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76"/>
        <w:ind w:left="292" w:right="503" w:firstLine="0"/>
        <w:jc w:val="center"/>
        <w:rPr>
          <w:b/>
          <w:sz w:val="24"/>
        </w:rPr>
      </w:pPr>
      <w:r>
        <w:rPr>
          <w:b/>
          <w:sz w:val="24"/>
        </w:rPr>
        <w:t>APPLICATION</w:t>
      </w:r>
      <w:r>
        <w:rPr>
          <w:b/>
          <w:spacing w:val="-7"/>
          <w:sz w:val="24"/>
        </w:rPr>
        <w:t> </w:t>
      </w:r>
      <w:r>
        <w:rPr>
          <w:b/>
          <w:sz w:val="24"/>
        </w:rPr>
        <w:t>OF</w:t>
      </w:r>
      <w:r>
        <w:rPr>
          <w:b/>
          <w:spacing w:val="-7"/>
          <w:sz w:val="24"/>
        </w:rPr>
        <w:t> </w:t>
      </w:r>
      <w:r>
        <w:rPr>
          <w:b/>
          <w:sz w:val="24"/>
        </w:rPr>
        <w:t>GEOGRAPHIC</w:t>
      </w:r>
      <w:r>
        <w:rPr>
          <w:b/>
          <w:spacing w:val="-6"/>
          <w:sz w:val="24"/>
        </w:rPr>
        <w:t> </w:t>
      </w:r>
      <w:r>
        <w:rPr>
          <w:b/>
          <w:sz w:val="24"/>
        </w:rPr>
        <w:t>INFORMATION</w:t>
      </w:r>
      <w:r>
        <w:rPr>
          <w:b/>
          <w:spacing w:val="-7"/>
          <w:sz w:val="24"/>
        </w:rPr>
        <w:t> </w:t>
      </w:r>
      <w:r>
        <w:rPr>
          <w:b/>
          <w:sz w:val="24"/>
        </w:rPr>
        <w:t>SYSTEM</w:t>
      </w:r>
      <w:r>
        <w:rPr>
          <w:b/>
          <w:spacing w:val="-8"/>
          <w:sz w:val="24"/>
        </w:rPr>
        <w:t> </w:t>
      </w:r>
      <w:r>
        <w:rPr>
          <w:b/>
          <w:sz w:val="24"/>
        </w:rPr>
        <w:t>TECHNOLOGY IN ANALYSING URBAN DENSIFICATION AND HOUSING MARKET IN BIDA, NIGERIA</w:t>
      </w:r>
    </w:p>
    <w:p>
      <w:pPr>
        <w:pStyle w:val="BodyText"/>
        <w:jc w:val="left"/>
        <w:rPr>
          <w:b/>
        </w:rPr>
      </w:pPr>
    </w:p>
    <w:p>
      <w:pPr>
        <w:pStyle w:val="BodyText"/>
        <w:jc w:val="left"/>
        <w:rPr>
          <w:b/>
        </w:rPr>
      </w:pPr>
    </w:p>
    <w:p>
      <w:pPr>
        <w:pStyle w:val="BodyText"/>
        <w:jc w:val="left"/>
        <w:rPr>
          <w:b/>
        </w:rPr>
      </w:pPr>
    </w:p>
    <w:p>
      <w:pPr>
        <w:pStyle w:val="BodyText"/>
        <w:spacing w:before="241"/>
        <w:jc w:val="left"/>
        <w:rPr>
          <w:b/>
        </w:rPr>
      </w:pPr>
    </w:p>
    <w:p>
      <w:pPr>
        <w:spacing w:before="0"/>
        <w:ind w:left="5" w:right="214" w:firstLine="0"/>
        <w:jc w:val="center"/>
        <w:rPr>
          <w:b/>
          <w:sz w:val="24"/>
        </w:rPr>
      </w:pPr>
      <w:r>
        <w:rPr>
          <w:b/>
          <w:spacing w:val="-2"/>
          <w:sz w:val="24"/>
        </w:rPr>
        <w:t>ABSTRACT</w:t>
      </w:r>
    </w:p>
    <w:p>
      <w:pPr>
        <w:pStyle w:val="BodyText"/>
        <w:spacing w:before="235"/>
        <w:jc w:val="left"/>
        <w:rPr>
          <w:b/>
        </w:rPr>
      </w:pPr>
    </w:p>
    <w:p>
      <w:pPr>
        <w:pStyle w:val="BodyText"/>
        <w:ind w:left="305" w:right="513"/>
      </w:pPr>
      <w:r>
        <w:rPr/>
        <w:t>Urban</w:t>
      </w:r>
      <w:r>
        <w:rPr>
          <w:spacing w:val="-3"/>
        </w:rPr>
        <w:t> </w:t>
      </w:r>
      <w:r>
        <w:rPr/>
        <w:t>densification</w:t>
      </w:r>
      <w:r>
        <w:rPr>
          <w:spacing w:val="-3"/>
        </w:rPr>
        <w:t> </w:t>
      </w:r>
      <w:r>
        <w:rPr/>
        <w:t>is</w:t>
      </w:r>
      <w:r>
        <w:rPr>
          <w:spacing w:val="-3"/>
        </w:rPr>
        <w:t> </w:t>
      </w:r>
      <w:r>
        <w:rPr/>
        <w:t>as</w:t>
      </w:r>
      <w:r>
        <w:rPr>
          <w:spacing w:val="-1"/>
        </w:rPr>
        <w:t> </w:t>
      </w:r>
      <w:r>
        <w:rPr/>
        <w:t>a</w:t>
      </w:r>
      <w:r>
        <w:rPr>
          <w:spacing w:val="-4"/>
        </w:rPr>
        <w:t> </w:t>
      </w:r>
      <w:r>
        <w:rPr/>
        <w:t>result</w:t>
      </w:r>
      <w:r>
        <w:rPr>
          <w:spacing w:val="-3"/>
        </w:rPr>
        <w:t> </w:t>
      </w:r>
      <w:r>
        <w:rPr/>
        <w:t>of</w:t>
      </w:r>
      <w:r>
        <w:rPr>
          <w:spacing w:val="-3"/>
        </w:rPr>
        <w:t> </w:t>
      </w:r>
      <w:r>
        <w:rPr/>
        <w:t>increase</w:t>
      </w:r>
      <w:r>
        <w:rPr>
          <w:spacing w:val="-4"/>
        </w:rPr>
        <w:t> </w:t>
      </w:r>
      <w:r>
        <w:rPr/>
        <w:t>in</w:t>
      </w:r>
      <w:r>
        <w:rPr>
          <w:spacing w:val="-3"/>
        </w:rPr>
        <w:t> </w:t>
      </w:r>
      <w:r>
        <w:rPr/>
        <w:t>the</w:t>
      </w:r>
      <w:r>
        <w:rPr>
          <w:spacing w:val="-2"/>
        </w:rPr>
        <w:t> </w:t>
      </w:r>
      <w:r>
        <w:rPr/>
        <w:t>level</w:t>
      </w:r>
      <w:r>
        <w:rPr>
          <w:spacing w:val="-3"/>
        </w:rPr>
        <w:t> </w:t>
      </w:r>
      <w:r>
        <w:rPr/>
        <w:t>of</w:t>
      </w:r>
      <w:r>
        <w:rPr>
          <w:spacing w:val="-3"/>
        </w:rPr>
        <w:t> </w:t>
      </w:r>
      <w:r>
        <w:rPr/>
        <w:t>urbanisation</w:t>
      </w:r>
      <w:r>
        <w:rPr>
          <w:spacing w:val="-3"/>
        </w:rPr>
        <w:t> </w:t>
      </w:r>
      <w:r>
        <w:rPr/>
        <w:t>of</w:t>
      </w:r>
      <w:r>
        <w:rPr>
          <w:spacing w:val="-1"/>
        </w:rPr>
        <w:t> </w:t>
      </w:r>
      <w:r>
        <w:rPr/>
        <w:t>a</w:t>
      </w:r>
      <w:r>
        <w:rPr>
          <w:spacing w:val="-4"/>
        </w:rPr>
        <w:t> </w:t>
      </w:r>
      <w:r>
        <w:rPr/>
        <w:t>limited</w:t>
      </w:r>
      <w:r>
        <w:rPr>
          <w:spacing w:val="-3"/>
        </w:rPr>
        <w:t> </w:t>
      </w:r>
      <w:r>
        <w:rPr/>
        <w:t>area which</w:t>
      </w:r>
      <w:r>
        <w:rPr>
          <w:spacing w:val="-15"/>
        </w:rPr>
        <w:t> </w:t>
      </w:r>
      <w:r>
        <w:rPr/>
        <w:t>causes</w:t>
      </w:r>
      <w:r>
        <w:rPr>
          <w:spacing w:val="-15"/>
        </w:rPr>
        <w:t> </w:t>
      </w:r>
      <w:r>
        <w:rPr/>
        <w:t>challenges</w:t>
      </w:r>
      <w:r>
        <w:rPr>
          <w:spacing w:val="-15"/>
        </w:rPr>
        <w:t> </w:t>
      </w:r>
      <w:r>
        <w:rPr/>
        <w:t>in</w:t>
      </w:r>
      <w:r>
        <w:rPr>
          <w:spacing w:val="-15"/>
        </w:rPr>
        <w:t> </w:t>
      </w:r>
      <w:r>
        <w:rPr/>
        <w:t>the</w:t>
      </w:r>
      <w:r>
        <w:rPr>
          <w:spacing w:val="-15"/>
        </w:rPr>
        <w:t> </w:t>
      </w:r>
      <w:r>
        <w:rPr/>
        <w:t>housing</w:t>
      </w:r>
      <w:r>
        <w:rPr>
          <w:spacing w:val="-15"/>
        </w:rPr>
        <w:t> </w:t>
      </w:r>
      <w:r>
        <w:rPr/>
        <w:t>affordability</w:t>
      </w:r>
      <w:r>
        <w:rPr>
          <w:spacing w:val="-15"/>
        </w:rPr>
        <w:t> </w:t>
      </w:r>
      <w:r>
        <w:rPr/>
        <w:t>due</w:t>
      </w:r>
      <w:r>
        <w:rPr>
          <w:spacing w:val="-15"/>
        </w:rPr>
        <w:t> </w:t>
      </w:r>
      <w:r>
        <w:rPr/>
        <w:t>to</w:t>
      </w:r>
      <w:r>
        <w:rPr>
          <w:spacing w:val="-15"/>
        </w:rPr>
        <w:t> </w:t>
      </w:r>
      <w:r>
        <w:rPr/>
        <w:t>the</w:t>
      </w:r>
      <w:r>
        <w:rPr>
          <w:spacing w:val="-15"/>
        </w:rPr>
        <w:t> </w:t>
      </w:r>
      <w:r>
        <w:rPr/>
        <w:t>increase</w:t>
      </w:r>
      <w:r>
        <w:rPr>
          <w:spacing w:val="-15"/>
        </w:rPr>
        <w:t> </w:t>
      </w:r>
      <w:r>
        <w:rPr/>
        <w:t>in</w:t>
      </w:r>
      <w:r>
        <w:rPr>
          <w:spacing w:val="-15"/>
        </w:rPr>
        <w:t> </w:t>
      </w:r>
      <w:r>
        <w:rPr/>
        <w:t>price</w:t>
      </w:r>
      <w:r>
        <w:rPr>
          <w:spacing w:val="-15"/>
        </w:rPr>
        <w:t> </w:t>
      </w:r>
      <w:r>
        <w:rPr/>
        <w:t>of</w:t>
      </w:r>
      <w:r>
        <w:rPr>
          <w:spacing w:val="-15"/>
        </w:rPr>
        <w:t> </w:t>
      </w:r>
      <w:r>
        <w:rPr/>
        <w:t>houses, high rental values, high demand and shortage in supply to meet the need of the urban residence. This study examines urban densification as an element of urban growth and how</w:t>
      </w:r>
      <w:r>
        <w:rPr>
          <w:spacing w:val="-8"/>
        </w:rPr>
        <w:t> </w:t>
      </w:r>
      <w:r>
        <w:rPr/>
        <w:t>it</w:t>
      </w:r>
      <w:r>
        <w:rPr>
          <w:spacing w:val="-7"/>
        </w:rPr>
        <w:t> </w:t>
      </w:r>
      <w:r>
        <w:rPr/>
        <w:t>can</w:t>
      </w:r>
      <w:r>
        <w:rPr>
          <w:spacing w:val="-7"/>
        </w:rPr>
        <w:t> </w:t>
      </w:r>
      <w:r>
        <w:rPr/>
        <w:t>provide</w:t>
      </w:r>
      <w:r>
        <w:rPr>
          <w:spacing w:val="-6"/>
        </w:rPr>
        <w:t> </w:t>
      </w:r>
      <w:r>
        <w:rPr/>
        <w:t>extra</w:t>
      </w:r>
      <w:r>
        <w:rPr>
          <w:spacing w:val="-8"/>
        </w:rPr>
        <w:t> </w:t>
      </w:r>
      <w:r>
        <w:rPr/>
        <w:t>spatial</w:t>
      </w:r>
      <w:r>
        <w:rPr>
          <w:spacing w:val="-7"/>
        </w:rPr>
        <w:t> </w:t>
      </w:r>
      <w:r>
        <w:rPr/>
        <w:t>information</w:t>
      </w:r>
      <w:r>
        <w:rPr>
          <w:spacing w:val="-7"/>
        </w:rPr>
        <w:t> </w:t>
      </w:r>
      <w:r>
        <w:rPr/>
        <w:t>in</w:t>
      </w:r>
      <w:r>
        <w:rPr>
          <w:spacing w:val="-7"/>
        </w:rPr>
        <w:t> </w:t>
      </w:r>
      <w:r>
        <w:rPr/>
        <w:t>explaining</w:t>
      </w:r>
      <w:r>
        <w:rPr>
          <w:spacing w:val="-9"/>
        </w:rPr>
        <w:t> </w:t>
      </w:r>
      <w:r>
        <w:rPr/>
        <w:t>the</w:t>
      </w:r>
      <w:r>
        <w:rPr>
          <w:spacing w:val="-8"/>
        </w:rPr>
        <w:t> </w:t>
      </w:r>
      <w:r>
        <w:rPr/>
        <w:t>variance</w:t>
      </w:r>
      <w:r>
        <w:rPr>
          <w:spacing w:val="-8"/>
        </w:rPr>
        <w:t> </w:t>
      </w:r>
      <w:r>
        <w:rPr/>
        <w:t>of</w:t>
      </w:r>
      <w:r>
        <w:rPr>
          <w:spacing w:val="-8"/>
        </w:rPr>
        <w:t> </w:t>
      </w:r>
      <w:r>
        <w:rPr/>
        <w:t>housing</w:t>
      </w:r>
      <w:r>
        <w:rPr>
          <w:spacing w:val="-10"/>
        </w:rPr>
        <w:t> </w:t>
      </w:r>
      <w:r>
        <w:rPr/>
        <w:t>market of</w:t>
      </w:r>
      <w:r>
        <w:rPr>
          <w:spacing w:val="-10"/>
        </w:rPr>
        <w:t> </w:t>
      </w:r>
      <w:r>
        <w:rPr/>
        <w:t>Bida</w:t>
      </w:r>
      <w:r>
        <w:rPr>
          <w:spacing w:val="-11"/>
        </w:rPr>
        <w:t> </w:t>
      </w:r>
      <w:r>
        <w:rPr/>
        <w:t>with</w:t>
      </w:r>
      <w:r>
        <w:rPr>
          <w:spacing w:val="-9"/>
        </w:rPr>
        <w:t> </w:t>
      </w:r>
      <w:r>
        <w:rPr/>
        <w:t>specific</w:t>
      </w:r>
      <w:r>
        <w:rPr>
          <w:spacing w:val="-8"/>
        </w:rPr>
        <w:t> </w:t>
      </w:r>
      <w:r>
        <w:rPr/>
        <w:t>emphasis</w:t>
      </w:r>
      <w:r>
        <w:rPr>
          <w:spacing w:val="-9"/>
        </w:rPr>
        <w:t> </w:t>
      </w:r>
      <w:r>
        <w:rPr/>
        <w:t>on</w:t>
      </w:r>
      <w:r>
        <w:rPr>
          <w:spacing w:val="-10"/>
        </w:rPr>
        <w:t> </w:t>
      </w:r>
      <w:r>
        <w:rPr/>
        <w:t>its</w:t>
      </w:r>
      <w:r>
        <w:rPr>
          <w:spacing w:val="-9"/>
        </w:rPr>
        <w:t> </w:t>
      </w:r>
      <w:r>
        <w:rPr/>
        <w:t>prevailing</w:t>
      </w:r>
      <w:r>
        <w:rPr>
          <w:spacing w:val="-9"/>
        </w:rPr>
        <w:t> </w:t>
      </w:r>
      <w:r>
        <w:rPr/>
        <w:t>submarkets.</w:t>
      </w:r>
      <w:r>
        <w:rPr>
          <w:spacing w:val="-9"/>
        </w:rPr>
        <w:t> </w:t>
      </w:r>
      <w:r>
        <w:rPr/>
        <w:t>Census</w:t>
      </w:r>
      <w:r>
        <w:rPr>
          <w:spacing w:val="-9"/>
        </w:rPr>
        <w:t> </w:t>
      </w:r>
      <w:r>
        <w:rPr/>
        <w:t>sampling</w:t>
      </w:r>
      <w:r>
        <w:rPr>
          <w:spacing w:val="-12"/>
        </w:rPr>
        <w:t> </w:t>
      </w:r>
      <w:r>
        <w:rPr/>
        <w:t>techniques was</w:t>
      </w:r>
      <w:r>
        <w:rPr>
          <w:spacing w:val="-4"/>
        </w:rPr>
        <w:t> </w:t>
      </w:r>
      <w:r>
        <w:rPr/>
        <w:t>adopted</w:t>
      </w:r>
      <w:r>
        <w:rPr>
          <w:spacing w:val="-4"/>
        </w:rPr>
        <w:t> </w:t>
      </w:r>
      <w:r>
        <w:rPr/>
        <w:t>in</w:t>
      </w:r>
      <w:r>
        <w:rPr>
          <w:spacing w:val="-4"/>
        </w:rPr>
        <w:t> </w:t>
      </w:r>
      <w:r>
        <w:rPr/>
        <w:t>sampling</w:t>
      </w:r>
      <w:r>
        <w:rPr>
          <w:spacing w:val="-4"/>
        </w:rPr>
        <w:t> </w:t>
      </w:r>
      <w:r>
        <w:rPr/>
        <w:t>all</w:t>
      </w:r>
      <w:r>
        <w:rPr>
          <w:spacing w:val="-2"/>
        </w:rPr>
        <w:t> </w:t>
      </w:r>
      <w:r>
        <w:rPr/>
        <w:t>31,410</w:t>
      </w:r>
      <w:r>
        <w:rPr>
          <w:spacing w:val="-4"/>
        </w:rPr>
        <w:t> </w:t>
      </w:r>
      <w:r>
        <w:rPr/>
        <w:t>buildings,</w:t>
      </w:r>
      <w:r>
        <w:rPr>
          <w:spacing w:val="-4"/>
        </w:rPr>
        <w:t> </w:t>
      </w:r>
      <w:r>
        <w:rPr/>
        <w:t>46,489</w:t>
      </w:r>
      <w:r>
        <w:rPr>
          <w:spacing w:val="-4"/>
        </w:rPr>
        <w:t> </w:t>
      </w:r>
      <w:r>
        <w:rPr/>
        <w:t>buildings</w:t>
      </w:r>
      <w:r>
        <w:rPr>
          <w:spacing w:val="-4"/>
        </w:rPr>
        <w:t> </w:t>
      </w:r>
      <w:r>
        <w:rPr/>
        <w:t>and</w:t>
      </w:r>
      <w:r>
        <w:rPr>
          <w:spacing w:val="-4"/>
        </w:rPr>
        <w:t> </w:t>
      </w:r>
      <w:r>
        <w:rPr/>
        <w:t>47,394</w:t>
      </w:r>
      <w:r>
        <w:rPr>
          <w:spacing w:val="-4"/>
        </w:rPr>
        <w:t> </w:t>
      </w:r>
      <w:r>
        <w:rPr/>
        <w:t>buildings</w:t>
      </w:r>
      <w:r>
        <w:rPr>
          <w:spacing w:val="-4"/>
        </w:rPr>
        <w:t> </w:t>
      </w:r>
      <w:r>
        <w:rPr/>
        <w:t>for the years 2008, 2013 and 2018 respectively and also 138 houses managed by the 3 registered</w:t>
      </w:r>
      <w:r>
        <w:rPr>
          <w:spacing w:val="-13"/>
        </w:rPr>
        <w:t> </w:t>
      </w:r>
      <w:r>
        <w:rPr/>
        <w:t>estate</w:t>
      </w:r>
      <w:r>
        <w:rPr>
          <w:spacing w:val="-13"/>
        </w:rPr>
        <w:t> </w:t>
      </w:r>
      <w:r>
        <w:rPr/>
        <w:t>firms</w:t>
      </w:r>
      <w:r>
        <w:rPr>
          <w:spacing w:val="-14"/>
        </w:rPr>
        <w:t> </w:t>
      </w:r>
      <w:r>
        <w:rPr/>
        <w:t>in</w:t>
      </w:r>
      <w:r>
        <w:rPr>
          <w:spacing w:val="-12"/>
        </w:rPr>
        <w:t> </w:t>
      </w:r>
      <w:r>
        <w:rPr/>
        <w:t>Bida.</w:t>
      </w:r>
      <w:r>
        <w:rPr>
          <w:spacing w:val="-15"/>
        </w:rPr>
        <w:t> </w:t>
      </w:r>
      <w:r>
        <w:rPr/>
        <w:t>Data</w:t>
      </w:r>
      <w:r>
        <w:rPr>
          <w:spacing w:val="-13"/>
        </w:rPr>
        <w:t> </w:t>
      </w:r>
      <w:r>
        <w:rPr/>
        <w:t>were</w:t>
      </w:r>
      <w:r>
        <w:rPr>
          <w:spacing w:val="-15"/>
        </w:rPr>
        <w:t> </w:t>
      </w:r>
      <w:r>
        <w:rPr/>
        <w:t>collected</w:t>
      </w:r>
      <w:r>
        <w:rPr>
          <w:spacing w:val="-12"/>
        </w:rPr>
        <w:t> </w:t>
      </w:r>
      <w:r>
        <w:rPr/>
        <w:t>using</w:t>
      </w:r>
      <w:r>
        <w:rPr>
          <w:spacing w:val="-14"/>
        </w:rPr>
        <w:t> </w:t>
      </w:r>
      <w:r>
        <w:rPr/>
        <w:t>Google</w:t>
      </w:r>
      <w:r>
        <w:rPr>
          <w:spacing w:val="-15"/>
        </w:rPr>
        <w:t> </w:t>
      </w:r>
      <w:r>
        <w:rPr/>
        <w:t>Earth</w:t>
      </w:r>
      <w:r>
        <w:rPr>
          <w:spacing w:val="-15"/>
        </w:rPr>
        <w:t> </w:t>
      </w:r>
      <w:r>
        <w:rPr/>
        <w:t>to</w:t>
      </w:r>
      <w:r>
        <w:rPr>
          <w:spacing w:val="-14"/>
        </w:rPr>
        <w:t> </w:t>
      </w:r>
      <w:r>
        <w:rPr/>
        <w:t>capture</w:t>
      </w:r>
      <w:r>
        <w:rPr>
          <w:spacing w:val="-15"/>
        </w:rPr>
        <w:t> </w:t>
      </w:r>
      <w:r>
        <w:rPr/>
        <w:t>satellite imageries</w:t>
      </w:r>
      <w:r>
        <w:rPr>
          <w:spacing w:val="-6"/>
        </w:rPr>
        <w:t> </w:t>
      </w:r>
      <w:r>
        <w:rPr/>
        <w:t>for</w:t>
      </w:r>
      <w:r>
        <w:rPr>
          <w:spacing w:val="-7"/>
        </w:rPr>
        <w:t> </w:t>
      </w:r>
      <w:r>
        <w:rPr/>
        <w:t>the</w:t>
      </w:r>
      <w:r>
        <w:rPr>
          <w:spacing w:val="-2"/>
        </w:rPr>
        <w:t> </w:t>
      </w:r>
      <w:r>
        <w:rPr/>
        <w:t>years</w:t>
      </w:r>
      <w:r>
        <w:rPr>
          <w:spacing w:val="-6"/>
        </w:rPr>
        <w:t> </w:t>
      </w:r>
      <w:r>
        <w:rPr/>
        <w:t>2008,</w:t>
      </w:r>
      <w:r>
        <w:rPr>
          <w:spacing w:val="-6"/>
        </w:rPr>
        <w:t> </w:t>
      </w:r>
      <w:r>
        <w:rPr/>
        <w:t>2013</w:t>
      </w:r>
      <w:r>
        <w:rPr>
          <w:spacing w:val="-6"/>
        </w:rPr>
        <w:t> </w:t>
      </w:r>
      <w:r>
        <w:rPr/>
        <w:t>and</w:t>
      </w:r>
      <w:r>
        <w:rPr>
          <w:spacing w:val="-6"/>
        </w:rPr>
        <w:t> </w:t>
      </w:r>
      <w:r>
        <w:rPr/>
        <w:t>2018</w:t>
      </w:r>
      <w:r>
        <w:rPr>
          <w:spacing w:val="-6"/>
        </w:rPr>
        <w:t> </w:t>
      </w:r>
      <w:r>
        <w:rPr/>
        <w:t>using</w:t>
      </w:r>
      <w:r>
        <w:rPr>
          <w:spacing w:val="-8"/>
        </w:rPr>
        <w:t> </w:t>
      </w:r>
      <w:r>
        <w:rPr/>
        <w:t>maximum</w:t>
      </w:r>
      <w:r>
        <w:rPr>
          <w:spacing w:val="-5"/>
        </w:rPr>
        <w:t> </w:t>
      </w:r>
      <w:r>
        <w:rPr/>
        <w:t>resolutions</w:t>
      </w:r>
      <w:r>
        <w:rPr>
          <w:spacing w:val="-8"/>
        </w:rPr>
        <w:t> </w:t>
      </w:r>
      <w:r>
        <w:rPr/>
        <w:t>while</w:t>
      </w:r>
      <w:r>
        <w:rPr>
          <w:spacing w:val="-6"/>
        </w:rPr>
        <w:t> </w:t>
      </w:r>
      <w:r>
        <w:rPr/>
        <w:t>handheld GPS</w:t>
      </w:r>
      <w:r>
        <w:rPr>
          <w:spacing w:val="-15"/>
        </w:rPr>
        <w:t> </w:t>
      </w:r>
      <w:r>
        <w:rPr/>
        <w:t>was</w:t>
      </w:r>
      <w:r>
        <w:rPr>
          <w:spacing w:val="-15"/>
        </w:rPr>
        <w:t> </w:t>
      </w:r>
      <w:r>
        <w:rPr/>
        <w:t>used</w:t>
      </w:r>
      <w:r>
        <w:rPr>
          <w:spacing w:val="-15"/>
        </w:rPr>
        <w:t> </w:t>
      </w:r>
      <w:r>
        <w:rPr/>
        <w:t>to</w:t>
      </w:r>
      <w:r>
        <w:rPr>
          <w:spacing w:val="-15"/>
        </w:rPr>
        <w:t> </w:t>
      </w:r>
      <w:r>
        <w:rPr/>
        <w:t>take</w:t>
      </w:r>
      <w:r>
        <w:rPr>
          <w:spacing w:val="-15"/>
        </w:rPr>
        <w:t> </w:t>
      </w:r>
      <w:r>
        <w:rPr/>
        <w:t>coordinates</w:t>
      </w:r>
      <w:r>
        <w:rPr>
          <w:spacing w:val="-15"/>
        </w:rPr>
        <w:t> </w:t>
      </w:r>
      <w:r>
        <w:rPr/>
        <w:t>of</w:t>
      </w:r>
      <w:r>
        <w:rPr>
          <w:spacing w:val="-15"/>
        </w:rPr>
        <w:t> </w:t>
      </w:r>
      <w:r>
        <w:rPr/>
        <w:t>rental</w:t>
      </w:r>
      <w:r>
        <w:rPr>
          <w:spacing w:val="-14"/>
        </w:rPr>
        <w:t> </w:t>
      </w:r>
      <w:r>
        <w:rPr/>
        <w:t>houses</w:t>
      </w:r>
      <w:r>
        <w:rPr>
          <w:spacing w:val="-12"/>
        </w:rPr>
        <w:t> </w:t>
      </w:r>
      <w:r>
        <w:rPr/>
        <w:t>managed</w:t>
      </w:r>
      <w:r>
        <w:rPr>
          <w:spacing w:val="-14"/>
        </w:rPr>
        <w:t> </w:t>
      </w:r>
      <w:r>
        <w:rPr/>
        <w:t>by</w:t>
      </w:r>
      <w:r>
        <w:rPr>
          <w:spacing w:val="-15"/>
        </w:rPr>
        <w:t> </w:t>
      </w:r>
      <w:r>
        <w:rPr/>
        <w:t>registered</w:t>
      </w:r>
      <w:r>
        <w:rPr>
          <w:spacing w:val="-12"/>
        </w:rPr>
        <w:t> </w:t>
      </w:r>
      <w:r>
        <w:rPr/>
        <w:t>estate</w:t>
      </w:r>
      <w:r>
        <w:rPr>
          <w:spacing w:val="-15"/>
        </w:rPr>
        <w:t> </w:t>
      </w:r>
      <w:r>
        <w:rPr/>
        <w:t>surveyors and valuers. Onscreen digitization was conducted where Point Density spatial analysis and Ordinary Kriging (OK) was used to analyse residential density and rental prices respectively, while machine learning approach using Artificial Neural Network (ANN) was</w:t>
      </w:r>
      <w:r>
        <w:rPr>
          <w:spacing w:val="-7"/>
        </w:rPr>
        <w:t> </w:t>
      </w:r>
      <w:r>
        <w:rPr/>
        <w:t>adopted</w:t>
      </w:r>
      <w:r>
        <w:rPr>
          <w:spacing w:val="-8"/>
        </w:rPr>
        <w:t> </w:t>
      </w:r>
      <w:r>
        <w:rPr/>
        <w:t>to</w:t>
      </w:r>
      <w:r>
        <w:rPr>
          <w:spacing w:val="-7"/>
        </w:rPr>
        <w:t> </w:t>
      </w:r>
      <w:r>
        <w:rPr/>
        <w:t>analyse</w:t>
      </w:r>
      <w:r>
        <w:rPr>
          <w:spacing w:val="-8"/>
        </w:rPr>
        <w:t> </w:t>
      </w:r>
      <w:r>
        <w:rPr/>
        <w:t>and</w:t>
      </w:r>
      <w:r>
        <w:rPr>
          <w:spacing w:val="-7"/>
        </w:rPr>
        <w:t> </w:t>
      </w:r>
      <w:r>
        <w:rPr/>
        <w:t>forecast</w:t>
      </w:r>
      <w:r>
        <w:rPr>
          <w:spacing w:val="-4"/>
        </w:rPr>
        <w:t> </w:t>
      </w:r>
      <w:r>
        <w:rPr/>
        <w:t>residential</w:t>
      </w:r>
      <w:r>
        <w:rPr>
          <w:spacing w:val="-7"/>
        </w:rPr>
        <w:t> </w:t>
      </w:r>
      <w:r>
        <w:rPr/>
        <w:t>density</w:t>
      </w:r>
      <w:r>
        <w:rPr>
          <w:spacing w:val="-12"/>
        </w:rPr>
        <w:t> </w:t>
      </w:r>
      <w:r>
        <w:rPr/>
        <w:t>and</w:t>
      </w:r>
      <w:r>
        <w:rPr>
          <w:spacing w:val="-7"/>
        </w:rPr>
        <w:t> </w:t>
      </w:r>
      <w:r>
        <w:rPr/>
        <w:t>housing</w:t>
      </w:r>
      <w:r>
        <w:rPr>
          <w:spacing w:val="-10"/>
        </w:rPr>
        <w:t> </w:t>
      </w:r>
      <w:r>
        <w:rPr/>
        <w:t>prices</w:t>
      </w:r>
      <w:r>
        <w:rPr>
          <w:spacing w:val="-5"/>
        </w:rPr>
        <w:t> </w:t>
      </w:r>
      <w:r>
        <w:rPr/>
        <w:t>with</w:t>
      </w:r>
      <w:r>
        <w:rPr>
          <w:spacing w:val="-7"/>
        </w:rPr>
        <w:t> </w:t>
      </w:r>
      <w:r>
        <w:rPr/>
        <w:t>the</w:t>
      </w:r>
      <w:r>
        <w:rPr>
          <w:spacing w:val="-8"/>
        </w:rPr>
        <w:t> </w:t>
      </w:r>
      <w:r>
        <w:rPr/>
        <w:t>aid</w:t>
      </w:r>
      <w:r>
        <w:rPr>
          <w:spacing w:val="-7"/>
        </w:rPr>
        <w:t> </w:t>
      </w:r>
      <w:r>
        <w:rPr/>
        <w:t>of Map Algebra tool in ArcGIS. It was found out amongst others that the pattern of densification process is in line with urban economic theory for monocentric open cities and</w:t>
      </w:r>
      <w:r>
        <w:rPr>
          <w:spacing w:val="-14"/>
        </w:rPr>
        <w:t> </w:t>
      </w:r>
      <w:r>
        <w:rPr/>
        <w:t>that</w:t>
      </w:r>
      <w:r>
        <w:rPr>
          <w:spacing w:val="-14"/>
        </w:rPr>
        <w:t> </w:t>
      </w:r>
      <w:r>
        <w:rPr/>
        <w:t>OK</w:t>
      </w:r>
      <w:r>
        <w:rPr>
          <w:spacing w:val="-15"/>
        </w:rPr>
        <w:t> </w:t>
      </w:r>
      <w:r>
        <w:rPr/>
        <w:t>model</w:t>
      </w:r>
      <w:r>
        <w:rPr>
          <w:spacing w:val="-13"/>
        </w:rPr>
        <w:t> </w:t>
      </w:r>
      <w:r>
        <w:rPr/>
        <w:t>disconfirmed</w:t>
      </w:r>
      <w:r>
        <w:rPr>
          <w:spacing w:val="-15"/>
        </w:rPr>
        <w:t> </w:t>
      </w:r>
      <w:r>
        <w:rPr/>
        <w:t>Alonso’s</w:t>
      </w:r>
      <w:r>
        <w:rPr>
          <w:spacing w:val="-13"/>
        </w:rPr>
        <w:t> </w:t>
      </w:r>
      <w:r>
        <w:rPr/>
        <w:t>monocentric</w:t>
      </w:r>
      <w:r>
        <w:rPr>
          <w:spacing w:val="-15"/>
        </w:rPr>
        <w:t> </w:t>
      </w:r>
      <w:r>
        <w:rPr/>
        <w:t>theory.</w:t>
      </w:r>
      <w:r>
        <w:rPr>
          <w:spacing w:val="-14"/>
        </w:rPr>
        <w:t> </w:t>
      </w:r>
      <w:r>
        <w:rPr/>
        <w:t>The</w:t>
      </w:r>
      <w:r>
        <w:rPr>
          <w:spacing w:val="-14"/>
        </w:rPr>
        <w:t> </w:t>
      </w:r>
      <w:r>
        <w:rPr/>
        <w:t>ANN</w:t>
      </w:r>
      <w:r>
        <w:rPr>
          <w:spacing w:val="-13"/>
        </w:rPr>
        <w:t> </w:t>
      </w:r>
      <w:r>
        <w:rPr/>
        <w:t>model</w:t>
      </w:r>
      <w:r>
        <w:rPr>
          <w:spacing w:val="-14"/>
        </w:rPr>
        <w:t> </w:t>
      </w:r>
      <w:r>
        <w:rPr/>
        <w:t>revealed that residential densities increase shall continue along the urban – rural gradient thereby causing a</w:t>
      </w:r>
      <w:r>
        <w:rPr>
          <w:spacing w:val="-1"/>
        </w:rPr>
        <w:t> </w:t>
      </w:r>
      <w:r>
        <w:rPr/>
        <w:t>transition of</w:t>
      </w:r>
      <w:r>
        <w:rPr>
          <w:spacing w:val="-1"/>
        </w:rPr>
        <w:t> </w:t>
      </w:r>
      <w:r>
        <w:rPr/>
        <w:t>open spaces and low density</w:t>
      </w:r>
      <w:r>
        <w:rPr>
          <w:spacing w:val="-3"/>
        </w:rPr>
        <w:t> </w:t>
      </w:r>
      <w:r>
        <w:rPr/>
        <w:t>areas in to medium and high density areas in the coming years maintaining its monocentricity, while rental prices of housing apartments shall continue</w:t>
      </w:r>
      <w:r>
        <w:rPr>
          <w:spacing w:val="-1"/>
        </w:rPr>
        <w:t> </w:t>
      </w:r>
      <w:r>
        <w:rPr/>
        <w:t>to decreases with decreasing</w:t>
      </w:r>
      <w:r>
        <w:rPr>
          <w:spacing w:val="-2"/>
        </w:rPr>
        <w:t> </w:t>
      </w:r>
      <w:r>
        <w:rPr/>
        <w:t>distance</w:t>
      </w:r>
      <w:r>
        <w:rPr>
          <w:spacing w:val="-1"/>
        </w:rPr>
        <w:t> </w:t>
      </w:r>
      <w:r>
        <w:rPr/>
        <w:t>to the</w:t>
      </w:r>
      <w:r>
        <w:rPr>
          <w:spacing w:val="-1"/>
        </w:rPr>
        <w:t> </w:t>
      </w:r>
      <w:r>
        <w:rPr/>
        <w:t>city</w:t>
      </w:r>
      <w:r>
        <w:rPr>
          <w:spacing w:val="-3"/>
        </w:rPr>
        <w:t> </w:t>
      </w:r>
      <w:r>
        <w:rPr/>
        <w:t>centre. It was therefore</w:t>
      </w:r>
      <w:r>
        <w:rPr>
          <w:spacing w:val="-14"/>
        </w:rPr>
        <w:t> </w:t>
      </w:r>
      <w:r>
        <w:rPr/>
        <w:t>recommended</w:t>
      </w:r>
      <w:r>
        <w:rPr>
          <w:spacing w:val="-13"/>
        </w:rPr>
        <w:t> </w:t>
      </w:r>
      <w:r>
        <w:rPr/>
        <w:t>amongst</w:t>
      </w:r>
      <w:r>
        <w:rPr>
          <w:spacing w:val="-12"/>
        </w:rPr>
        <w:t> </w:t>
      </w:r>
      <w:r>
        <w:rPr/>
        <w:t>others</w:t>
      </w:r>
      <w:r>
        <w:rPr>
          <w:spacing w:val="-13"/>
        </w:rPr>
        <w:t> </w:t>
      </w:r>
      <w:r>
        <w:rPr/>
        <w:t>that</w:t>
      </w:r>
      <w:r>
        <w:rPr>
          <w:spacing w:val="-13"/>
        </w:rPr>
        <w:t> </w:t>
      </w:r>
      <w:r>
        <w:rPr/>
        <w:t>there</w:t>
      </w:r>
      <w:r>
        <w:rPr>
          <w:spacing w:val="-14"/>
        </w:rPr>
        <w:t> </w:t>
      </w:r>
      <w:r>
        <w:rPr/>
        <w:t>is</w:t>
      </w:r>
      <w:r>
        <w:rPr>
          <w:spacing w:val="-13"/>
        </w:rPr>
        <w:t> </w:t>
      </w:r>
      <w:r>
        <w:rPr/>
        <w:t>the</w:t>
      </w:r>
      <w:r>
        <w:rPr>
          <w:spacing w:val="-14"/>
        </w:rPr>
        <w:t> </w:t>
      </w:r>
      <w:r>
        <w:rPr/>
        <w:t>need</w:t>
      </w:r>
      <w:r>
        <w:rPr>
          <w:spacing w:val="-13"/>
        </w:rPr>
        <w:t> </w:t>
      </w:r>
      <w:r>
        <w:rPr/>
        <w:t>for</w:t>
      </w:r>
      <w:r>
        <w:rPr>
          <w:spacing w:val="-15"/>
        </w:rPr>
        <w:t> </w:t>
      </w:r>
      <w:r>
        <w:rPr/>
        <w:t>rational</w:t>
      </w:r>
      <w:r>
        <w:rPr>
          <w:spacing w:val="-13"/>
        </w:rPr>
        <w:t> </w:t>
      </w:r>
      <w:r>
        <w:rPr/>
        <w:t>densification</w:t>
      </w:r>
      <w:r>
        <w:rPr>
          <w:spacing w:val="-13"/>
        </w:rPr>
        <w:t> </w:t>
      </w:r>
      <w:r>
        <w:rPr/>
        <w:t>for urban development in order check the increasing residential density that reduces green and open spaces.</w:t>
      </w:r>
    </w:p>
    <w:p>
      <w:pPr>
        <w:spacing w:after="0"/>
        <w:sectPr>
          <w:footerReference w:type="default" r:id="rId5"/>
          <w:type w:val="continuous"/>
          <w:pgSz w:w="11910" w:h="16840"/>
          <w:pgMar w:header="0" w:footer="1022" w:top="1320" w:bottom="1220" w:left="1680" w:right="900"/>
          <w:pgNumType w:start="1"/>
        </w:sectPr>
      </w:pPr>
    </w:p>
    <w:p>
      <w:pPr>
        <w:spacing w:before="76"/>
        <w:ind w:left="60" w:right="214" w:firstLine="0"/>
        <w:jc w:val="center"/>
        <w:rPr>
          <w:b/>
          <w:sz w:val="24"/>
        </w:rPr>
      </w:pPr>
      <w:r>
        <w:rPr>
          <w:b/>
          <w:sz w:val="24"/>
        </w:rPr>
        <w:t>CHAPTER</w:t>
      </w:r>
      <w:r>
        <w:rPr>
          <w:b/>
          <w:spacing w:val="-4"/>
          <w:sz w:val="24"/>
        </w:rPr>
        <w:t> </w:t>
      </w:r>
      <w:r>
        <w:rPr>
          <w:b/>
          <w:spacing w:val="-5"/>
          <w:sz w:val="24"/>
        </w:rPr>
        <w:t>ONE</w:t>
      </w:r>
    </w:p>
    <w:p>
      <w:pPr>
        <w:pStyle w:val="BodyText"/>
        <w:spacing w:before="241"/>
        <w:jc w:val="left"/>
        <w:rPr>
          <w:b/>
        </w:rPr>
      </w:pPr>
    </w:p>
    <w:p>
      <w:pPr>
        <w:pStyle w:val="ListParagraph"/>
        <w:numPr>
          <w:ilvl w:val="1"/>
          <w:numId w:val="1"/>
        </w:numPr>
        <w:tabs>
          <w:tab w:pos="3605" w:val="left" w:leader="none"/>
        </w:tabs>
        <w:spacing w:line="240" w:lineRule="auto" w:before="0" w:after="0"/>
        <w:ind w:left="3605" w:right="0" w:hanging="3300"/>
        <w:jc w:val="left"/>
        <w:rPr>
          <w:b/>
          <w:sz w:val="24"/>
        </w:rPr>
      </w:pPr>
      <w:r>
        <w:rPr>
          <w:b/>
          <w:spacing w:val="-2"/>
          <w:sz w:val="24"/>
        </w:rPr>
        <w:t>INTRODUCTION</w:t>
      </w:r>
    </w:p>
    <w:p>
      <w:pPr>
        <w:pStyle w:val="BodyText"/>
        <w:spacing w:before="242"/>
        <w:jc w:val="left"/>
        <w:rPr>
          <w:b/>
        </w:rPr>
      </w:pPr>
    </w:p>
    <w:p>
      <w:pPr>
        <w:pStyle w:val="Heading1"/>
        <w:numPr>
          <w:ilvl w:val="1"/>
          <w:numId w:val="1"/>
        </w:numPr>
        <w:tabs>
          <w:tab w:pos="1025" w:val="left" w:leader="none"/>
        </w:tabs>
        <w:spacing w:line="240" w:lineRule="auto" w:before="0" w:after="0"/>
        <w:ind w:left="1025" w:right="0" w:hanging="720"/>
        <w:jc w:val="left"/>
      </w:pPr>
      <w:r>
        <w:rPr/>
        <w:t>Background to</w:t>
      </w:r>
      <w:r>
        <w:rPr>
          <w:spacing w:val="-1"/>
        </w:rPr>
        <w:t> </w:t>
      </w:r>
      <w:r>
        <w:rPr/>
        <w:t>the</w:t>
      </w:r>
      <w:r>
        <w:rPr>
          <w:spacing w:val="-1"/>
        </w:rPr>
        <w:t> </w:t>
      </w:r>
      <w:r>
        <w:rPr>
          <w:spacing w:val="-2"/>
        </w:rPr>
        <w:t>Study</w:t>
      </w:r>
    </w:p>
    <w:p>
      <w:pPr>
        <w:pStyle w:val="BodyText"/>
        <w:spacing w:before="233"/>
        <w:jc w:val="left"/>
        <w:rPr>
          <w:b/>
        </w:rPr>
      </w:pPr>
    </w:p>
    <w:p>
      <w:pPr>
        <w:pStyle w:val="BodyText"/>
        <w:spacing w:line="480" w:lineRule="auto"/>
        <w:ind w:left="305" w:right="512"/>
      </w:pPr>
      <w:r>
        <w:rPr/>
        <w:t>Growing</w:t>
      </w:r>
      <w:r>
        <w:rPr>
          <w:spacing w:val="-12"/>
        </w:rPr>
        <w:t> </w:t>
      </w:r>
      <w:r>
        <w:rPr/>
        <w:t>urban</w:t>
      </w:r>
      <w:r>
        <w:rPr>
          <w:spacing w:val="-10"/>
        </w:rPr>
        <w:t> </w:t>
      </w:r>
      <w:r>
        <w:rPr/>
        <w:t>population</w:t>
      </w:r>
      <w:r>
        <w:rPr>
          <w:spacing w:val="-8"/>
        </w:rPr>
        <w:t> </w:t>
      </w:r>
      <w:r>
        <w:rPr/>
        <w:t>pose</w:t>
      </w:r>
      <w:r>
        <w:rPr>
          <w:spacing w:val="-8"/>
        </w:rPr>
        <w:t> </w:t>
      </w:r>
      <w:r>
        <w:rPr/>
        <w:t>a</w:t>
      </w:r>
      <w:r>
        <w:rPr>
          <w:spacing w:val="-11"/>
        </w:rPr>
        <w:t> </w:t>
      </w:r>
      <w:r>
        <w:rPr/>
        <w:t>challenge</w:t>
      </w:r>
      <w:r>
        <w:rPr>
          <w:spacing w:val="-8"/>
        </w:rPr>
        <w:t> </w:t>
      </w:r>
      <w:r>
        <w:rPr/>
        <w:t>to</w:t>
      </w:r>
      <w:r>
        <w:rPr>
          <w:spacing w:val="-9"/>
        </w:rPr>
        <w:t> </w:t>
      </w:r>
      <w:r>
        <w:rPr/>
        <w:t>many</w:t>
      </w:r>
      <w:r>
        <w:rPr>
          <w:spacing w:val="-12"/>
        </w:rPr>
        <w:t> </w:t>
      </w:r>
      <w:r>
        <w:rPr/>
        <w:t>cities</w:t>
      </w:r>
      <w:r>
        <w:rPr>
          <w:spacing w:val="-10"/>
        </w:rPr>
        <w:t> </w:t>
      </w:r>
      <w:r>
        <w:rPr/>
        <w:t>around</w:t>
      </w:r>
      <w:r>
        <w:rPr>
          <w:spacing w:val="-10"/>
        </w:rPr>
        <w:t> </w:t>
      </w:r>
      <w:r>
        <w:rPr/>
        <w:t>the</w:t>
      </w:r>
      <w:r>
        <w:rPr>
          <w:spacing w:val="-8"/>
        </w:rPr>
        <w:t> </w:t>
      </w:r>
      <w:r>
        <w:rPr/>
        <w:t>world.</w:t>
      </w:r>
      <w:r>
        <w:rPr>
          <w:spacing w:val="-3"/>
        </w:rPr>
        <w:t> </w:t>
      </w:r>
      <w:r>
        <w:rPr/>
        <w:t>The</w:t>
      </w:r>
      <w:r>
        <w:rPr>
          <w:spacing w:val="-8"/>
        </w:rPr>
        <w:t> </w:t>
      </w:r>
      <w:r>
        <w:rPr/>
        <w:t>world’s urban population has soared from 2.6 billion (45 % of the whole) in 1995 to 3.9 billion (54</w:t>
      </w:r>
      <w:r>
        <w:rPr>
          <w:spacing w:val="-9"/>
        </w:rPr>
        <w:t> </w:t>
      </w:r>
      <w:r>
        <w:rPr/>
        <w:t>%)</w:t>
      </w:r>
      <w:r>
        <w:rPr>
          <w:spacing w:val="-7"/>
        </w:rPr>
        <w:t> </w:t>
      </w:r>
      <w:r>
        <w:rPr/>
        <w:t>in</w:t>
      </w:r>
      <w:r>
        <w:rPr>
          <w:spacing w:val="-8"/>
        </w:rPr>
        <w:t> </w:t>
      </w:r>
      <w:r>
        <w:rPr/>
        <w:t>2014</w:t>
      </w:r>
      <w:r>
        <w:rPr>
          <w:spacing w:val="-7"/>
        </w:rPr>
        <w:t> </w:t>
      </w:r>
      <w:r>
        <w:rPr/>
        <w:t>(Asian</w:t>
      </w:r>
      <w:r>
        <w:rPr>
          <w:spacing w:val="-8"/>
        </w:rPr>
        <w:t> </w:t>
      </w:r>
      <w:r>
        <w:rPr/>
        <w:t>Development</w:t>
      </w:r>
      <w:r>
        <w:rPr>
          <w:spacing w:val="-5"/>
        </w:rPr>
        <w:t> </w:t>
      </w:r>
      <w:r>
        <w:rPr/>
        <w:t>Bank,</w:t>
      </w:r>
      <w:r>
        <w:rPr>
          <w:spacing w:val="-8"/>
        </w:rPr>
        <w:t> </w:t>
      </w:r>
      <w:r>
        <w:rPr/>
        <w:t>2012;</w:t>
      </w:r>
      <w:r>
        <w:rPr>
          <w:spacing w:val="-5"/>
        </w:rPr>
        <w:t> </w:t>
      </w:r>
      <w:r>
        <w:rPr/>
        <w:t>Asian</w:t>
      </w:r>
      <w:r>
        <w:rPr>
          <w:spacing w:val="-8"/>
        </w:rPr>
        <w:t> </w:t>
      </w:r>
      <w:r>
        <w:rPr/>
        <w:t>Development</w:t>
      </w:r>
      <w:r>
        <w:rPr>
          <w:spacing w:val="-8"/>
        </w:rPr>
        <w:t> </w:t>
      </w:r>
      <w:r>
        <w:rPr/>
        <w:t>Bank,</w:t>
      </w:r>
      <w:r>
        <w:rPr>
          <w:spacing w:val="-7"/>
        </w:rPr>
        <w:t> </w:t>
      </w:r>
      <w:r>
        <w:rPr/>
        <w:t>2015).</w:t>
      </w:r>
      <w:r>
        <w:rPr>
          <w:spacing w:val="-8"/>
        </w:rPr>
        <w:t> </w:t>
      </w:r>
      <w:r>
        <w:rPr/>
        <w:t>With over 50% of the world’s population residing in urban centres now, it is expected that future growth in the global population would be absorbed by the urban areas in four decades to come (UN-Habitat, 2013). There</w:t>
      </w:r>
      <w:r>
        <w:rPr>
          <w:spacing w:val="-1"/>
        </w:rPr>
        <w:t> </w:t>
      </w:r>
      <w:r>
        <w:rPr/>
        <w:t>are</w:t>
      </w:r>
      <w:r>
        <w:rPr>
          <w:spacing w:val="-1"/>
        </w:rPr>
        <w:t> </w:t>
      </w:r>
      <w:r>
        <w:rPr/>
        <w:t>rapid expansion of urban populations in West Africa. In the subregion, cities will accommodate an additional fifty-eight million and some other sixty-nine million at some stage in the 2020/30 decade. Despite the decline in the projected urbanisation growth rate after 2030 there is no hope for decline in the demographic increase of urban areas, there is need for cities in the subregion to accommodate additional seventy-nine million until 2040, and between 2040 and 2050 they will need to accommodate another eighty-four million (UN-Habitat, 2010).</w:t>
      </w:r>
    </w:p>
    <w:p>
      <w:pPr>
        <w:pStyle w:val="BodyText"/>
        <w:spacing w:line="480" w:lineRule="auto" w:before="239"/>
        <w:ind w:left="305" w:right="511"/>
      </w:pPr>
      <w:r>
        <w:rPr/>
        <w:t>With unprecedented rates of urban population expansion since 1996, it is perhaps not a surprise that the housing supply of many cities are falling (Asian Development Bank, 2012; Asian Development Bank, 2015). Estimate by UN-Habitat shows that there are eight hundred and eighty-one million people currently dwelling in slums in the cities of the developing world compared to seven hundred and ninety-two in the year 2000. By 2025, adequate and affordable housing will be likely be required by another 1.6 billion. This</w:t>
      </w:r>
      <w:r>
        <w:rPr>
          <w:spacing w:val="-3"/>
        </w:rPr>
        <w:t> </w:t>
      </w:r>
      <w:r>
        <w:rPr/>
        <w:t>is,</w:t>
      </w:r>
      <w:r>
        <w:rPr>
          <w:spacing w:val="-3"/>
        </w:rPr>
        <w:t> </w:t>
      </w:r>
      <w:r>
        <w:rPr/>
        <w:t>however,</w:t>
      </w:r>
      <w:r>
        <w:rPr>
          <w:spacing w:val="-3"/>
        </w:rPr>
        <w:t> </w:t>
      </w:r>
      <w:r>
        <w:rPr/>
        <w:t>a</w:t>
      </w:r>
      <w:r>
        <w:rPr>
          <w:spacing w:val="-5"/>
        </w:rPr>
        <w:t> </w:t>
      </w:r>
      <w:r>
        <w:rPr/>
        <w:t>wake-up</w:t>
      </w:r>
      <w:r>
        <w:rPr>
          <w:spacing w:val="-3"/>
        </w:rPr>
        <w:t> </w:t>
      </w:r>
      <w:r>
        <w:rPr/>
        <w:t>call</w:t>
      </w:r>
      <w:r>
        <w:rPr>
          <w:spacing w:val="-3"/>
        </w:rPr>
        <w:t> </w:t>
      </w:r>
      <w:r>
        <w:rPr/>
        <w:t>to</w:t>
      </w:r>
      <w:r>
        <w:rPr>
          <w:spacing w:val="-3"/>
        </w:rPr>
        <w:t> </w:t>
      </w:r>
      <w:r>
        <w:rPr/>
        <w:t>authorities,</w:t>
      </w:r>
      <w:r>
        <w:rPr>
          <w:spacing w:val="-3"/>
        </w:rPr>
        <w:t> </w:t>
      </w:r>
      <w:r>
        <w:rPr/>
        <w:t>advising</w:t>
      </w:r>
      <w:r>
        <w:rPr>
          <w:spacing w:val="-6"/>
        </w:rPr>
        <w:t> </w:t>
      </w:r>
      <w:r>
        <w:rPr/>
        <w:t>them</w:t>
      </w:r>
      <w:r>
        <w:rPr>
          <w:spacing w:val="-3"/>
        </w:rPr>
        <w:t> </w:t>
      </w:r>
      <w:r>
        <w:rPr/>
        <w:t>to</w:t>
      </w:r>
      <w:r>
        <w:rPr>
          <w:spacing w:val="-3"/>
        </w:rPr>
        <w:t> </w:t>
      </w:r>
      <w:r>
        <w:rPr/>
        <w:t>take</w:t>
      </w:r>
      <w:r>
        <w:rPr>
          <w:spacing w:val="-4"/>
        </w:rPr>
        <w:t> </w:t>
      </w:r>
      <w:r>
        <w:rPr/>
        <w:t>action resolutely</w:t>
      </w:r>
      <w:r>
        <w:rPr>
          <w:spacing w:val="-7"/>
        </w:rPr>
        <w:t> </w:t>
      </w:r>
      <w:r>
        <w:rPr/>
        <w:t>to allow all urban residents to have access to housing (UN-Habitat, 2015). Nigeria's urban population</w:t>
      </w:r>
      <w:r>
        <w:rPr>
          <w:spacing w:val="-3"/>
        </w:rPr>
        <w:t> </w:t>
      </w:r>
      <w:r>
        <w:rPr/>
        <w:t>was</w:t>
      </w:r>
      <w:r>
        <w:rPr>
          <w:spacing w:val="-4"/>
        </w:rPr>
        <w:t> </w:t>
      </w:r>
      <w:r>
        <w:rPr/>
        <w:t>estimated</w:t>
      </w:r>
      <w:r>
        <w:rPr>
          <w:spacing w:val="-1"/>
        </w:rPr>
        <w:t> </w:t>
      </w:r>
      <w:r>
        <w:rPr/>
        <w:t>to</w:t>
      </w:r>
      <w:r>
        <w:rPr>
          <w:spacing w:val="-2"/>
        </w:rPr>
        <w:t> </w:t>
      </w:r>
      <w:r>
        <w:rPr/>
        <w:t>be</w:t>
      </w:r>
      <w:r>
        <w:rPr>
          <w:spacing w:val="-5"/>
        </w:rPr>
        <w:t> </w:t>
      </w:r>
      <w:r>
        <w:rPr/>
        <w:t>44%</w:t>
      </w:r>
      <w:r>
        <w:rPr>
          <w:spacing w:val="-5"/>
        </w:rPr>
        <w:t> </w:t>
      </w:r>
      <w:r>
        <w:rPr/>
        <w:t>in</w:t>
      </w:r>
      <w:r>
        <w:rPr>
          <w:spacing w:val="-3"/>
        </w:rPr>
        <w:t> </w:t>
      </w:r>
      <w:r>
        <w:rPr/>
        <w:t>the</w:t>
      </w:r>
      <w:r>
        <w:rPr>
          <w:spacing w:val="1"/>
        </w:rPr>
        <w:t> </w:t>
      </w:r>
      <w:r>
        <w:rPr/>
        <w:t>year</w:t>
      </w:r>
      <w:r>
        <w:rPr>
          <w:spacing w:val="-5"/>
        </w:rPr>
        <w:t> </w:t>
      </w:r>
      <w:r>
        <w:rPr/>
        <w:t>2005</w:t>
      </w:r>
      <w:r>
        <w:rPr>
          <w:spacing w:val="-4"/>
        </w:rPr>
        <w:t> </w:t>
      </w:r>
      <w:r>
        <w:rPr/>
        <w:t>with</w:t>
      </w:r>
      <w:r>
        <w:rPr>
          <w:spacing w:val="-1"/>
        </w:rPr>
        <w:t> </w:t>
      </w:r>
      <w:r>
        <w:rPr/>
        <w:t>an</w:t>
      </w:r>
      <w:r>
        <w:rPr>
          <w:spacing w:val="-3"/>
        </w:rPr>
        <w:t> </w:t>
      </w:r>
      <w:r>
        <w:rPr/>
        <w:t>annual</w:t>
      </w:r>
      <w:r>
        <w:rPr>
          <w:spacing w:val="-1"/>
        </w:rPr>
        <w:t> </w:t>
      </w:r>
      <w:r>
        <w:rPr/>
        <w:t>growth</w:t>
      </w:r>
      <w:r>
        <w:rPr>
          <w:spacing w:val="-1"/>
        </w:rPr>
        <w:t> </w:t>
      </w:r>
      <w:r>
        <w:rPr/>
        <w:t>rate</w:t>
      </w:r>
      <w:r>
        <w:rPr>
          <w:spacing w:val="-4"/>
        </w:rPr>
        <w:t> </w:t>
      </w:r>
      <w:r>
        <w:rPr/>
        <w:t>of</w:t>
      </w:r>
      <w:r>
        <w:rPr>
          <w:spacing w:val="-1"/>
        </w:rPr>
        <w:t> </w:t>
      </w:r>
      <w:r>
        <w:rPr>
          <w:spacing w:val="-4"/>
        </w:rPr>
        <w:t>3.7%</w:t>
      </w:r>
    </w:p>
    <w:p>
      <w:pPr>
        <w:spacing w:after="0" w:line="480" w:lineRule="auto"/>
        <w:sectPr>
          <w:pgSz w:w="11910" w:h="16840"/>
          <w:pgMar w:header="0" w:footer="1022" w:top="1320" w:bottom="1220" w:left="1680" w:right="900"/>
        </w:sectPr>
      </w:pPr>
    </w:p>
    <w:p>
      <w:pPr>
        <w:pStyle w:val="BodyText"/>
        <w:spacing w:line="480" w:lineRule="auto" w:before="72"/>
        <w:ind w:left="305" w:right="517"/>
      </w:pPr>
      <w:r>
        <w:rPr/>
        <w:t>(United</w:t>
      </w:r>
      <w:r>
        <w:rPr>
          <w:spacing w:val="-11"/>
        </w:rPr>
        <w:t> </w:t>
      </w:r>
      <w:r>
        <w:rPr/>
        <w:t>Nations,</w:t>
      </w:r>
      <w:r>
        <w:rPr>
          <w:spacing w:val="-10"/>
        </w:rPr>
        <w:t> </w:t>
      </w:r>
      <w:r>
        <w:rPr/>
        <w:t>2009)</w:t>
      </w:r>
      <w:r>
        <w:rPr>
          <w:spacing w:val="-8"/>
        </w:rPr>
        <w:t> </w:t>
      </w:r>
      <w:r>
        <w:rPr/>
        <w:t>and</w:t>
      </w:r>
      <w:r>
        <w:rPr>
          <w:spacing w:val="-10"/>
        </w:rPr>
        <w:t> </w:t>
      </w:r>
      <w:r>
        <w:rPr/>
        <w:t>increased</w:t>
      </w:r>
      <w:r>
        <w:rPr>
          <w:spacing w:val="-10"/>
        </w:rPr>
        <w:t> </w:t>
      </w:r>
      <w:r>
        <w:rPr/>
        <w:t>to</w:t>
      </w:r>
      <w:r>
        <w:rPr>
          <w:spacing w:val="-10"/>
        </w:rPr>
        <w:t> </w:t>
      </w:r>
      <w:r>
        <w:rPr/>
        <w:t>48%</w:t>
      </w:r>
      <w:r>
        <w:rPr>
          <w:spacing w:val="-9"/>
        </w:rPr>
        <w:t> </w:t>
      </w:r>
      <w:r>
        <w:rPr/>
        <w:t>in</w:t>
      </w:r>
      <w:r>
        <w:rPr>
          <w:spacing w:val="-10"/>
        </w:rPr>
        <w:t> </w:t>
      </w:r>
      <w:r>
        <w:rPr/>
        <w:t>the</w:t>
      </w:r>
      <w:r>
        <w:rPr>
          <w:spacing w:val="-6"/>
        </w:rPr>
        <w:t> </w:t>
      </w:r>
      <w:r>
        <w:rPr/>
        <w:t>year</w:t>
      </w:r>
      <w:r>
        <w:rPr>
          <w:spacing w:val="-11"/>
        </w:rPr>
        <w:t> </w:t>
      </w:r>
      <w:r>
        <w:rPr/>
        <w:t>2014</w:t>
      </w:r>
      <w:r>
        <w:rPr>
          <w:spacing w:val="-11"/>
        </w:rPr>
        <w:t> </w:t>
      </w:r>
      <w:r>
        <w:rPr/>
        <w:t>with</w:t>
      </w:r>
      <w:r>
        <w:rPr>
          <w:spacing w:val="-6"/>
        </w:rPr>
        <w:t> </w:t>
      </w:r>
      <w:r>
        <w:rPr/>
        <w:t>a</w:t>
      </w:r>
      <w:r>
        <w:rPr>
          <w:spacing w:val="-12"/>
        </w:rPr>
        <w:t> </w:t>
      </w:r>
      <w:r>
        <w:rPr/>
        <w:t>4.7%</w:t>
      </w:r>
      <w:r>
        <w:rPr>
          <w:spacing w:val="-9"/>
        </w:rPr>
        <w:t> </w:t>
      </w:r>
      <w:r>
        <w:rPr/>
        <w:t>annual</w:t>
      </w:r>
      <w:r>
        <w:rPr>
          <w:spacing w:val="-8"/>
        </w:rPr>
        <w:t> </w:t>
      </w:r>
      <w:r>
        <w:rPr/>
        <w:t>growth rate (United Nations, 2014). As rapid urban agglomeration is experienced globally, building</w:t>
      </w:r>
      <w:r>
        <w:rPr>
          <w:spacing w:val="-15"/>
        </w:rPr>
        <w:t> </w:t>
      </w:r>
      <w:r>
        <w:rPr/>
        <w:t>additional</w:t>
      </w:r>
      <w:r>
        <w:rPr>
          <w:spacing w:val="-15"/>
        </w:rPr>
        <w:t> </w:t>
      </w:r>
      <w:r>
        <w:rPr/>
        <w:t>living</w:t>
      </w:r>
      <w:r>
        <w:rPr>
          <w:spacing w:val="-11"/>
        </w:rPr>
        <w:t> </w:t>
      </w:r>
      <w:r>
        <w:rPr/>
        <w:t>apartments</w:t>
      </w:r>
      <w:r>
        <w:rPr>
          <w:spacing w:val="-12"/>
        </w:rPr>
        <w:t> </w:t>
      </w:r>
      <w:r>
        <w:rPr/>
        <w:t>has</w:t>
      </w:r>
      <w:r>
        <w:rPr>
          <w:spacing w:val="-13"/>
        </w:rPr>
        <w:t> </w:t>
      </w:r>
      <w:r>
        <w:rPr/>
        <w:t>to</w:t>
      </w:r>
      <w:r>
        <w:rPr>
          <w:spacing w:val="-13"/>
        </w:rPr>
        <w:t> </w:t>
      </w:r>
      <w:r>
        <w:rPr/>
        <w:t>be</w:t>
      </w:r>
      <w:r>
        <w:rPr>
          <w:spacing w:val="-12"/>
        </w:rPr>
        <w:t> </w:t>
      </w:r>
      <w:r>
        <w:rPr/>
        <w:t>complemented</w:t>
      </w:r>
      <w:r>
        <w:rPr>
          <w:spacing w:val="-11"/>
        </w:rPr>
        <w:t> </w:t>
      </w:r>
      <w:r>
        <w:rPr/>
        <w:t>by</w:t>
      </w:r>
      <w:r>
        <w:rPr>
          <w:spacing w:val="-15"/>
        </w:rPr>
        <w:t> </w:t>
      </w:r>
      <w:r>
        <w:rPr/>
        <w:t>urban</w:t>
      </w:r>
      <w:r>
        <w:rPr>
          <w:spacing w:val="-10"/>
        </w:rPr>
        <w:t> </w:t>
      </w:r>
      <w:r>
        <w:rPr/>
        <w:t>gentrification</w:t>
      </w:r>
      <w:r>
        <w:rPr>
          <w:spacing w:val="-13"/>
        </w:rPr>
        <w:t> </w:t>
      </w:r>
      <w:r>
        <w:rPr/>
        <w:t>and densification actions (Lin </w:t>
      </w:r>
      <w:r>
        <w:rPr>
          <w:i/>
        </w:rPr>
        <w:t>et al.</w:t>
      </w:r>
      <w:r>
        <w:rPr/>
        <w:t>, 2015).</w:t>
      </w:r>
    </w:p>
    <w:p>
      <w:pPr>
        <w:pStyle w:val="BodyText"/>
        <w:spacing w:line="480" w:lineRule="auto" w:before="240"/>
        <w:ind w:left="305" w:right="515"/>
      </w:pPr>
      <w:r>
        <w:rPr/>
        <w:t>Urban densification is the increase in urbanisation level of a limited area, which could have an adverse effect on the biodiversity of its green spaces by destroying the habitats and soil temperature increase or pollutions (Vergnes </w:t>
      </w:r>
      <w:r>
        <w:rPr>
          <w:i/>
        </w:rPr>
        <w:t>et al.</w:t>
      </w:r>
      <w:r>
        <w:rPr/>
        <w:t>, 2014). Urban densification causes</w:t>
      </w:r>
      <w:r>
        <w:rPr>
          <w:spacing w:val="-8"/>
        </w:rPr>
        <w:t> </w:t>
      </w:r>
      <w:r>
        <w:rPr/>
        <w:t>a</w:t>
      </w:r>
      <w:r>
        <w:rPr>
          <w:spacing w:val="-9"/>
        </w:rPr>
        <w:t> </w:t>
      </w:r>
      <w:r>
        <w:rPr/>
        <w:t>lot</w:t>
      </w:r>
      <w:r>
        <w:rPr>
          <w:spacing w:val="-8"/>
        </w:rPr>
        <w:t> </w:t>
      </w:r>
      <w:r>
        <w:rPr/>
        <w:t>of</w:t>
      </w:r>
      <w:r>
        <w:rPr>
          <w:spacing w:val="-9"/>
        </w:rPr>
        <w:t> </w:t>
      </w:r>
      <w:r>
        <w:rPr/>
        <w:t>challenges</w:t>
      </w:r>
      <w:r>
        <w:rPr>
          <w:spacing w:val="-6"/>
        </w:rPr>
        <w:t> </w:t>
      </w:r>
      <w:r>
        <w:rPr/>
        <w:t>to</w:t>
      </w:r>
      <w:r>
        <w:rPr>
          <w:spacing w:val="-8"/>
        </w:rPr>
        <w:t> </w:t>
      </w:r>
      <w:r>
        <w:rPr/>
        <w:t>cities</w:t>
      </w:r>
      <w:r>
        <w:rPr>
          <w:spacing w:val="-9"/>
        </w:rPr>
        <w:t> </w:t>
      </w:r>
      <w:r>
        <w:rPr/>
        <w:t>ranging</w:t>
      </w:r>
      <w:r>
        <w:rPr>
          <w:spacing w:val="-11"/>
        </w:rPr>
        <w:t> </w:t>
      </w:r>
      <w:r>
        <w:rPr/>
        <w:t>from</w:t>
      </w:r>
      <w:r>
        <w:rPr>
          <w:spacing w:val="-8"/>
        </w:rPr>
        <w:t> </w:t>
      </w:r>
      <w:r>
        <w:rPr/>
        <w:t>decline</w:t>
      </w:r>
      <w:r>
        <w:rPr>
          <w:spacing w:val="-9"/>
        </w:rPr>
        <w:t> </w:t>
      </w:r>
      <w:r>
        <w:rPr/>
        <w:t>in</w:t>
      </w:r>
      <w:r>
        <w:rPr>
          <w:spacing w:val="-8"/>
        </w:rPr>
        <w:t> </w:t>
      </w:r>
      <w:r>
        <w:rPr/>
        <w:t>housing</w:t>
      </w:r>
      <w:r>
        <w:rPr>
          <w:spacing w:val="-11"/>
        </w:rPr>
        <w:t> </w:t>
      </w:r>
      <w:r>
        <w:rPr/>
        <w:t>affordability,</w:t>
      </w:r>
      <w:r>
        <w:rPr>
          <w:spacing w:val="-2"/>
        </w:rPr>
        <w:t> </w:t>
      </w:r>
      <w:r>
        <w:rPr/>
        <w:t>pressure on infrastructure and difficulties of city management. Urban densification has a consequential</w:t>
      </w:r>
      <w:r>
        <w:rPr>
          <w:spacing w:val="-3"/>
        </w:rPr>
        <w:t> </w:t>
      </w:r>
      <w:r>
        <w:rPr/>
        <w:t>effect</w:t>
      </w:r>
      <w:r>
        <w:rPr>
          <w:spacing w:val="-3"/>
        </w:rPr>
        <w:t> </w:t>
      </w:r>
      <w:r>
        <w:rPr/>
        <w:t>on</w:t>
      </w:r>
      <w:r>
        <w:rPr>
          <w:spacing w:val="-3"/>
        </w:rPr>
        <w:t> </w:t>
      </w:r>
      <w:r>
        <w:rPr/>
        <w:t>affordable</w:t>
      </w:r>
      <w:r>
        <w:rPr>
          <w:spacing w:val="-3"/>
        </w:rPr>
        <w:t> </w:t>
      </w:r>
      <w:r>
        <w:rPr/>
        <w:t>housing</w:t>
      </w:r>
      <w:r>
        <w:rPr>
          <w:spacing w:val="-6"/>
        </w:rPr>
        <w:t> </w:t>
      </w:r>
      <w:r>
        <w:rPr/>
        <w:t>and</w:t>
      </w:r>
      <w:r>
        <w:rPr>
          <w:spacing w:val="-3"/>
        </w:rPr>
        <w:t> </w:t>
      </w:r>
      <w:r>
        <w:rPr/>
        <w:t>may</w:t>
      </w:r>
      <w:r>
        <w:rPr>
          <w:spacing w:val="-6"/>
        </w:rPr>
        <w:t> </w:t>
      </w:r>
      <w:r>
        <w:rPr/>
        <w:t>cause</w:t>
      </w:r>
      <w:r>
        <w:rPr>
          <w:spacing w:val="-4"/>
        </w:rPr>
        <w:t> </w:t>
      </w:r>
      <w:r>
        <w:rPr/>
        <w:t>change</w:t>
      </w:r>
      <w:r>
        <w:rPr>
          <w:spacing w:val="-4"/>
        </w:rPr>
        <w:t> </w:t>
      </w:r>
      <w:r>
        <w:rPr/>
        <w:t>in</w:t>
      </w:r>
      <w:r>
        <w:rPr>
          <w:spacing w:val="-3"/>
        </w:rPr>
        <w:t> </w:t>
      </w:r>
      <w:r>
        <w:rPr/>
        <w:t>the</w:t>
      </w:r>
      <w:r>
        <w:rPr>
          <w:spacing w:val="-4"/>
        </w:rPr>
        <w:t> </w:t>
      </w:r>
      <w:r>
        <w:rPr/>
        <w:t>housing</w:t>
      </w:r>
      <w:r>
        <w:rPr>
          <w:spacing w:val="-6"/>
        </w:rPr>
        <w:t> </w:t>
      </w:r>
      <w:r>
        <w:rPr/>
        <w:t>market. As a result of change in the housing market the entire city or national economy would experience shift either negatively or positively (Gulyani </w:t>
      </w:r>
      <w:r>
        <w:rPr>
          <w:i/>
        </w:rPr>
        <w:t>et al.</w:t>
      </w:r>
      <w:r>
        <w:rPr/>
        <w:t>, 2018).</w:t>
      </w:r>
    </w:p>
    <w:p>
      <w:pPr>
        <w:pStyle w:val="BodyText"/>
        <w:spacing w:line="480" w:lineRule="auto" w:before="241"/>
        <w:ind w:left="305" w:right="513"/>
      </w:pPr>
      <w:r>
        <w:rPr/>
        <w:t>The</w:t>
      </w:r>
      <w:r>
        <w:rPr>
          <w:spacing w:val="-8"/>
        </w:rPr>
        <w:t> </w:t>
      </w:r>
      <w:r>
        <w:rPr/>
        <w:t>housing</w:t>
      </w:r>
      <w:r>
        <w:rPr>
          <w:spacing w:val="-10"/>
        </w:rPr>
        <w:t> </w:t>
      </w:r>
      <w:r>
        <w:rPr/>
        <w:t>market</w:t>
      </w:r>
      <w:r>
        <w:rPr>
          <w:spacing w:val="-7"/>
        </w:rPr>
        <w:t> </w:t>
      </w:r>
      <w:r>
        <w:rPr/>
        <w:t>is</w:t>
      </w:r>
      <w:r>
        <w:rPr>
          <w:spacing w:val="-7"/>
        </w:rPr>
        <w:t> </w:t>
      </w:r>
      <w:r>
        <w:rPr/>
        <w:t>very</w:t>
      </w:r>
      <w:r>
        <w:rPr>
          <w:spacing w:val="-12"/>
        </w:rPr>
        <w:t> </w:t>
      </w:r>
      <w:r>
        <w:rPr/>
        <w:t>imperative</w:t>
      </w:r>
      <w:r>
        <w:rPr>
          <w:spacing w:val="-8"/>
        </w:rPr>
        <w:t> </w:t>
      </w:r>
      <w:r>
        <w:rPr/>
        <w:t>because</w:t>
      </w:r>
      <w:r>
        <w:rPr>
          <w:spacing w:val="-8"/>
        </w:rPr>
        <w:t> </w:t>
      </w:r>
      <w:r>
        <w:rPr/>
        <w:t>of</w:t>
      </w:r>
      <w:r>
        <w:rPr>
          <w:spacing w:val="-6"/>
        </w:rPr>
        <w:t> </w:t>
      </w:r>
      <w:r>
        <w:rPr/>
        <w:t>the</w:t>
      </w:r>
      <w:r>
        <w:rPr>
          <w:spacing w:val="-8"/>
        </w:rPr>
        <w:t> </w:t>
      </w:r>
      <w:r>
        <w:rPr/>
        <w:t>place</w:t>
      </w:r>
      <w:r>
        <w:rPr>
          <w:spacing w:val="-8"/>
        </w:rPr>
        <w:t> </w:t>
      </w:r>
      <w:r>
        <w:rPr/>
        <w:t>it</w:t>
      </w:r>
      <w:r>
        <w:rPr>
          <w:spacing w:val="-7"/>
        </w:rPr>
        <w:t> </w:t>
      </w:r>
      <w:r>
        <w:rPr/>
        <w:t>holds</w:t>
      </w:r>
      <w:r>
        <w:rPr>
          <w:spacing w:val="-7"/>
        </w:rPr>
        <w:t> </w:t>
      </w:r>
      <w:r>
        <w:rPr/>
        <w:t>in</w:t>
      </w:r>
      <w:r>
        <w:rPr>
          <w:spacing w:val="-7"/>
        </w:rPr>
        <w:t> </w:t>
      </w:r>
      <w:r>
        <w:rPr/>
        <w:t>the</w:t>
      </w:r>
      <w:r>
        <w:rPr>
          <w:spacing w:val="-8"/>
        </w:rPr>
        <w:t> </w:t>
      </w:r>
      <w:r>
        <w:rPr/>
        <w:t>economy</w:t>
      </w:r>
      <w:r>
        <w:rPr>
          <w:spacing w:val="-7"/>
        </w:rPr>
        <w:t> </w:t>
      </w:r>
      <w:r>
        <w:rPr/>
        <w:t>(Seo, 2008). Housing construction easily</w:t>
      </w:r>
      <w:r>
        <w:rPr>
          <w:spacing w:val="-3"/>
        </w:rPr>
        <w:t> </w:t>
      </w:r>
      <w:r>
        <w:rPr/>
        <w:t>contributes to gross domestic product and its market has a direct impact on the national economy</w:t>
      </w:r>
      <w:r>
        <w:rPr>
          <w:spacing w:val="-1"/>
        </w:rPr>
        <w:t> </w:t>
      </w:r>
      <w:r>
        <w:rPr/>
        <w:t>(Hu </w:t>
      </w:r>
      <w:r>
        <w:rPr>
          <w:i/>
        </w:rPr>
        <w:t>et al.</w:t>
      </w:r>
      <w:r>
        <w:rPr/>
        <w:t>, 2013). Housing is a special kind of commodity which is fixed (Renigier-Biłozor </w:t>
      </w:r>
      <w:r>
        <w:rPr>
          <w:i/>
        </w:rPr>
        <w:t>et al.</w:t>
      </w:r>
      <w:r>
        <w:rPr/>
        <w:t>, 2017). Consequently, the location of the house is very imperative, since this feature is unchangeable (Cichociński &amp; Dąbrowski, 2013). Housing has demonstrated its importance to the broader economy during</w:t>
      </w:r>
      <w:r>
        <w:rPr>
          <w:spacing w:val="-2"/>
        </w:rPr>
        <w:t> </w:t>
      </w:r>
      <w:r>
        <w:rPr/>
        <w:t>the</w:t>
      </w:r>
      <w:r>
        <w:rPr>
          <w:spacing w:val="-1"/>
        </w:rPr>
        <w:t> </w:t>
      </w:r>
      <w:r>
        <w:rPr/>
        <w:t>global financial</w:t>
      </w:r>
      <w:r>
        <w:rPr>
          <w:spacing w:val="-2"/>
        </w:rPr>
        <w:t> </w:t>
      </w:r>
      <w:r>
        <w:rPr/>
        <w:t>crisis</w:t>
      </w:r>
      <w:r>
        <w:rPr>
          <w:spacing w:val="-2"/>
        </w:rPr>
        <w:t> </w:t>
      </w:r>
      <w:r>
        <w:rPr/>
        <w:t>of</w:t>
      </w:r>
      <w:r>
        <w:rPr>
          <w:spacing w:val="-2"/>
        </w:rPr>
        <w:t> </w:t>
      </w:r>
      <w:r>
        <w:rPr/>
        <w:t>2007 –</w:t>
      </w:r>
      <w:r>
        <w:rPr>
          <w:spacing w:val="-2"/>
        </w:rPr>
        <w:t> </w:t>
      </w:r>
      <w:r>
        <w:rPr/>
        <w:t>2011, which</w:t>
      </w:r>
      <w:r>
        <w:rPr>
          <w:spacing w:val="-2"/>
        </w:rPr>
        <w:t> </w:t>
      </w:r>
      <w:r>
        <w:rPr/>
        <w:t>has its</w:t>
      </w:r>
      <w:r>
        <w:rPr>
          <w:spacing w:val="-2"/>
        </w:rPr>
        <w:t> </w:t>
      </w:r>
      <w:r>
        <w:rPr/>
        <w:t>roots</w:t>
      </w:r>
      <w:r>
        <w:rPr>
          <w:spacing w:val="-2"/>
        </w:rPr>
        <w:t> </w:t>
      </w:r>
      <w:r>
        <w:rPr/>
        <w:t>in</w:t>
      </w:r>
      <w:r>
        <w:rPr>
          <w:spacing w:val="-2"/>
        </w:rPr>
        <w:t> </w:t>
      </w:r>
      <w:r>
        <w:rPr/>
        <w:t>the</w:t>
      </w:r>
      <w:r>
        <w:rPr>
          <w:spacing w:val="-1"/>
        </w:rPr>
        <w:t> </w:t>
      </w:r>
      <w:r>
        <w:rPr/>
        <w:t>United</w:t>
      </w:r>
      <w:r>
        <w:rPr>
          <w:spacing w:val="-2"/>
        </w:rPr>
        <w:t> </w:t>
      </w:r>
      <w:r>
        <w:rPr/>
        <w:t>States housing</w:t>
      </w:r>
      <w:r>
        <w:rPr>
          <w:spacing w:val="-13"/>
        </w:rPr>
        <w:t> </w:t>
      </w:r>
      <w:r>
        <w:rPr/>
        <w:t>market</w:t>
      </w:r>
      <w:r>
        <w:rPr>
          <w:spacing w:val="-9"/>
        </w:rPr>
        <w:t> </w:t>
      </w:r>
      <w:r>
        <w:rPr/>
        <w:t>as</w:t>
      </w:r>
      <w:r>
        <w:rPr>
          <w:spacing w:val="-10"/>
        </w:rPr>
        <w:t> </w:t>
      </w:r>
      <w:r>
        <w:rPr/>
        <w:t>its</w:t>
      </w:r>
      <w:r>
        <w:rPr>
          <w:spacing w:val="-10"/>
        </w:rPr>
        <w:t> </w:t>
      </w:r>
      <w:r>
        <w:rPr/>
        <w:t>contribution</w:t>
      </w:r>
      <w:r>
        <w:rPr>
          <w:spacing w:val="-10"/>
        </w:rPr>
        <w:t> </w:t>
      </w:r>
      <w:r>
        <w:rPr/>
        <w:t>to</w:t>
      </w:r>
      <w:r>
        <w:rPr>
          <w:spacing w:val="-10"/>
        </w:rPr>
        <w:t> </w:t>
      </w:r>
      <w:r>
        <w:rPr/>
        <w:t>the</w:t>
      </w:r>
      <w:r>
        <w:rPr>
          <w:spacing w:val="-11"/>
        </w:rPr>
        <w:t> </w:t>
      </w:r>
      <w:r>
        <w:rPr/>
        <w:t>national</w:t>
      </w:r>
      <w:r>
        <w:rPr>
          <w:spacing w:val="-13"/>
        </w:rPr>
        <w:t> </w:t>
      </w:r>
      <w:r>
        <w:rPr/>
        <w:t>GDP</w:t>
      </w:r>
      <w:r>
        <w:rPr>
          <w:spacing w:val="-8"/>
        </w:rPr>
        <w:t> </w:t>
      </w:r>
      <w:r>
        <w:rPr/>
        <w:t>fall</w:t>
      </w:r>
      <w:r>
        <w:rPr>
          <w:spacing w:val="-10"/>
        </w:rPr>
        <w:t> </w:t>
      </w:r>
      <w:r>
        <w:rPr/>
        <w:t>during</w:t>
      </w:r>
      <w:r>
        <w:rPr>
          <w:spacing w:val="-13"/>
        </w:rPr>
        <w:t> </w:t>
      </w:r>
      <w:r>
        <w:rPr/>
        <w:t>the</w:t>
      </w:r>
      <w:r>
        <w:rPr>
          <w:spacing w:val="-12"/>
        </w:rPr>
        <w:t> </w:t>
      </w:r>
      <w:r>
        <w:rPr/>
        <w:t>period.</w:t>
      </w:r>
      <w:r>
        <w:rPr>
          <w:spacing w:val="-8"/>
        </w:rPr>
        <w:t> </w:t>
      </w:r>
      <w:r>
        <w:rPr/>
        <w:t>Information on</w:t>
      </w:r>
      <w:r>
        <w:rPr>
          <w:spacing w:val="-1"/>
        </w:rPr>
        <w:t> </w:t>
      </w:r>
      <w:r>
        <w:rPr/>
        <w:t>trends</w:t>
      </w:r>
      <w:r>
        <w:rPr>
          <w:spacing w:val="-1"/>
        </w:rPr>
        <w:t> </w:t>
      </w:r>
      <w:r>
        <w:rPr/>
        <w:t>in</w:t>
      </w:r>
      <w:r>
        <w:rPr>
          <w:spacing w:val="-1"/>
        </w:rPr>
        <w:t> </w:t>
      </w:r>
      <w:r>
        <w:rPr/>
        <w:t>housing</w:t>
      </w:r>
      <w:r>
        <w:rPr>
          <w:spacing w:val="-4"/>
        </w:rPr>
        <w:t> </w:t>
      </w:r>
      <w:r>
        <w:rPr/>
        <w:t>prices</w:t>
      </w:r>
      <w:r>
        <w:rPr>
          <w:spacing w:val="-1"/>
        </w:rPr>
        <w:t> </w:t>
      </w:r>
      <w:r>
        <w:rPr/>
        <w:t>is</w:t>
      </w:r>
      <w:r>
        <w:rPr>
          <w:spacing w:val="-1"/>
        </w:rPr>
        <w:t> </w:t>
      </w:r>
      <w:r>
        <w:rPr/>
        <w:t>therefore</w:t>
      </w:r>
      <w:r>
        <w:rPr>
          <w:spacing w:val="-2"/>
        </w:rPr>
        <w:t> </w:t>
      </w:r>
      <w:r>
        <w:rPr/>
        <w:t>essential</w:t>
      </w:r>
      <w:r>
        <w:rPr>
          <w:spacing w:val="-1"/>
        </w:rPr>
        <w:t> </w:t>
      </w:r>
      <w:r>
        <w:rPr/>
        <w:t>to</w:t>
      </w:r>
      <w:r>
        <w:rPr>
          <w:spacing w:val="-1"/>
        </w:rPr>
        <w:t> </w:t>
      </w:r>
      <w:r>
        <w:rPr/>
        <w:t>the</w:t>
      </w:r>
      <w:r>
        <w:rPr>
          <w:spacing w:val="-2"/>
        </w:rPr>
        <w:t> </w:t>
      </w:r>
      <w:r>
        <w:rPr/>
        <w:t>governments,</w:t>
      </w:r>
      <w:r>
        <w:rPr>
          <w:spacing w:val="-1"/>
        </w:rPr>
        <w:t> </w:t>
      </w:r>
      <w:r>
        <w:rPr/>
        <w:t>market</w:t>
      </w:r>
      <w:r>
        <w:rPr>
          <w:spacing w:val="-1"/>
        </w:rPr>
        <w:t> </w:t>
      </w:r>
      <w:r>
        <w:rPr/>
        <w:t>participants and central banks (Hill &amp; Scholz, 2017). Although, several factors determine housing prices (Xiao, 2017a).</w:t>
      </w:r>
    </w:p>
    <w:p>
      <w:pPr>
        <w:spacing w:after="0" w:line="480" w:lineRule="auto"/>
        <w:sectPr>
          <w:pgSz w:w="11910" w:h="16840"/>
          <w:pgMar w:header="0" w:footer="1022" w:top="1320" w:bottom="1220" w:left="1680" w:right="900"/>
        </w:sectPr>
      </w:pPr>
    </w:p>
    <w:p>
      <w:pPr>
        <w:pStyle w:val="BodyText"/>
        <w:spacing w:line="480" w:lineRule="auto" w:before="72"/>
        <w:ind w:left="305" w:right="512"/>
      </w:pPr>
      <w:r>
        <w:rPr/>
        <w:t>The degree to which internal and external factors affect house prices varied over space. There are so many</w:t>
      </w:r>
      <w:r>
        <w:rPr>
          <w:spacing w:val="-1"/>
        </w:rPr>
        <w:t> </w:t>
      </w:r>
      <w:r>
        <w:rPr/>
        <w:t>number of factors (internal &amp; external) that inflate housing price in a particular location (Wang </w:t>
      </w:r>
      <w:r>
        <w:rPr>
          <w:i/>
        </w:rPr>
        <w:t>et al</w:t>
      </w:r>
      <w:r>
        <w:rPr/>
        <w:t>., 2017; Tupenaite </w:t>
      </w:r>
      <w:r>
        <w:rPr>
          <w:i/>
        </w:rPr>
        <w:t>et al.</w:t>
      </w:r>
      <w:r>
        <w:rPr/>
        <w:t>, 2017; Liu &amp; Li, 2018). It is important to talk about housing price changes issues. For instance, an increase in asset values (creates positive equity) can lead to the withdrawal of housing equity and confidence increase. In its place, decreasing house prices lowers the equity which could lead to equity downside risk, especially for new housing developers, which could give consumers</w:t>
      </w:r>
      <w:r>
        <w:rPr>
          <w:spacing w:val="-3"/>
        </w:rPr>
        <w:t> </w:t>
      </w:r>
      <w:r>
        <w:rPr/>
        <w:t>a</w:t>
      </w:r>
      <w:r>
        <w:rPr>
          <w:spacing w:val="-5"/>
        </w:rPr>
        <w:t> </w:t>
      </w:r>
      <w:r>
        <w:rPr/>
        <w:t>bad</w:t>
      </w:r>
      <w:r>
        <w:rPr>
          <w:spacing w:val="-3"/>
        </w:rPr>
        <w:t> </w:t>
      </w:r>
      <w:r>
        <w:rPr/>
        <w:t>impression</w:t>
      </w:r>
      <w:r>
        <w:rPr>
          <w:spacing w:val="-3"/>
        </w:rPr>
        <w:t> </w:t>
      </w:r>
      <w:r>
        <w:rPr/>
        <w:t>and</w:t>
      </w:r>
      <w:r>
        <w:rPr>
          <w:spacing w:val="-3"/>
        </w:rPr>
        <w:t> </w:t>
      </w:r>
      <w:r>
        <w:rPr/>
        <w:t>likely</w:t>
      </w:r>
      <w:r>
        <w:rPr>
          <w:spacing w:val="-7"/>
        </w:rPr>
        <w:t> </w:t>
      </w:r>
      <w:r>
        <w:rPr/>
        <w:t>reduce</w:t>
      </w:r>
      <w:r>
        <w:rPr>
          <w:spacing w:val="-4"/>
        </w:rPr>
        <w:t> </w:t>
      </w:r>
      <w:r>
        <w:rPr/>
        <w:t>household</w:t>
      </w:r>
      <w:r>
        <w:rPr>
          <w:spacing w:val="-3"/>
        </w:rPr>
        <w:t> </w:t>
      </w:r>
      <w:r>
        <w:rPr/>
        <w:t>spending.</w:t>
      </w:r>
      <w:r>
        <w:rPr>
          <w:spacing w:val="-3"/>
        </w:rPr>
        <w:t> </w:t>
      </w:r>
      <w:r>
        <w:rPr/>
        <w:t>House</w:t>
      </w:r>
      <w:r>
        <w:rPr>
          <w:spacing w:val="-2"/>
        </w:rPr>
        <w:t> </w:t>
      </w:r>
      <w:r>
        <w:rPr/>
        <w:t>price</w:t>
      </w:r>
      <w:r>
        <w:rPr>
          <w:spacing w:val="-4"/>
        </w:rPr>
        <w:t> </w:t>
      </w:r>
      <w:r>
        <w:rPr/>
        <w:t>changes also</w:t>
      </w:r>
      <w:r>
        <w:rPr>
          <w:spacing w:val="-11"/>
        </w:rPr>
        <w:t> </w:t>
      </w:r>
      <w:r>
        <w:rPr/>
        <w:t>have</w:t>
      </w:r>
      <w:r>
        <w:rPr>
          <w:spacing w:val="-11"/>
        </w:rPr>
        <w:t> </w:t>
      </w:r>
      <w:r>
        <w:rPr/>
        <w:t>a</w:t>
      </w:r>
      <w:r>
        <w:rPr>
          <w:spacing w:val="-11"/>
        </w:rPr>
        <w:t> </w:t>
      </w:r>
      <w:r>
        <w:rPr/>
        <w:t>direct</w:t>
      </w:r>
      <w:r>
        <w:rPr>
          <w:spacing w:val="-9"/>
        </w:rPr>
        <w:t> </w:t>
      </w:r>
      <w:r>
        <w:rPr/>
        <w:t>impact</w:t>
      </w:r>
      <w:r>
        <w:rPr>
          <w:spacing w:val="-9"/>
        </w:rPr>
        <w:t> </w:t>
      </w:r>
      <w:r>
        <w:rPr/>
        <w:t>on</w:t>
      </w:r>
      <w:r>
        <w:rPr>
          <w:spacing w:val="-12"/>
        </w:rPr>
        <w:t> </w:t>
      </w:r>
      <w:r>
        <w:rPr/>
        <w:t>wealth</w:t>
      </w:r>
      <w:r>
        <w:rPr>
          <w:spacing w:val="-12"/>
        </w:rPr>
        <w:t> </w:t>
      </w:r>
      <w:r>
        <w:rPr/>
        <w:t>distribution</w:t>
      </w:r>
      <w:r>
        <w:rPr>
          <w:spacing w:val="-12"/>
        </w:rPr>
        <w:t> </w:t>
      </w:r>
      <w:r>
        <w:rPr/>
        <w:t>in</w:t>
      </w:r>
      <w:r>
        <w:rPr>
          <w:spacing w:val="-12"/>
        </w:rPr>
        <w:t> </w:t>
      </w:r>
      <w:r>
        <w:rPr/>
        <w:t>the</w:t>
      </w:r>
      <w:r>
        <w:rPr>
          <w:spacing w:val="-13"/>
        </w:rPr>
        <w:t> </w:t>
      </w:r>
      <w:r>
        <w:rPr/>
        <w:t>economy.</w:t>
      </w:r>
      <w:r>
        <w:rPr>
          <w:spacing w:val="-10"/>
        </w:rPr>
        <w:t> </w:t>
      </w:r>
      <w:r>
        <w:rPr/>
        <w:t>When</w:t>
      </w:r>
      <w:r>
        <w:rPr>
          <w:spacing w:val="-12"/>
        </w:rPr>
        <w:t> </w:t>
      </w:r>
      <w:r>
        <w:rPr/>
        <w:t>prices</w:t>
      </w:r>
      <w:r>
        <w:rPr>
          <w:spacing w:val="-12"/>
        </w:rPr>
        <w:t> </w:t>
      </w:r>
      <w:r>
        <w:rPr/>
        <w:t>rise</w:t>
      </w:r>
      <w:r>
        <w:rPr>
          <w:spacing w:val="-13"/>
        </w:rPr>
        <w:t> </w:t>
      </w:r>
      <w:r>
        <w:rPr/>
        <w:t>rapidly, property owners enjoy an increase in wealth relative to accommodation renting persons (Zmölnig </w:t>
      </w:r>
      <w:r>
        <w:rPr>
          <w:i/>
        </w:rPr>
        <w:t>et al.</w:t>
      </w:r>
      <w:r>
        <w:rPr/>
        <w:t>, 2015).</w:t>
      </w:r>
    </w:p>
    <w:p>
      <w:pPr>
        <w:pStyle w:val="BodyText"/>
        <w:spacing w:line="480" w:lineRule="auto" w:before="241"/>
        <w:ind w:left="305" w:right="510"/>
      </w:pPr>
      <w:r>
        <w:rPr/>
        <w:t>Housing</w:t>
      </w:r>
      <w:r>
        <w:rPr>
          <w:spacing w:val="-2"/>
        </w:rPr>
        <w:t> </w:t>
      </w:r>
      <w:r>
        <w:rPr/>
        <w:t>prices within an urban area are</w:t>
      </w:r>
      <w:r>
        <w:rPr>
          <w:spacing w:val="-2"/>
        </w:rPr>
        <w:t> </w:t>
      </w:r>
      <w:r>
        <w:rPr/>
        <w:t>influenced by</w:t>
      </w:r>
      <w:r>
        <w:rPr>
          <w:spacing w:val="-5"/>
        </w:rPr>
        <w:t> </w:t>
      </w:r>
      <w:r>
        <w:rPr/>
        <w:t>various housing</w:t>
      </w:r>
      <w:r>
        <w:rPr>
          <w:spacing w:val="-3"/>
        </w:rPr>
        <w:t> </w:t>
      </w:r>
      <w:r>
        <w:rPr/>
        <w:t>characteristics or urban morphology such as location, environmental and neighbourhood characteristics (Saether, 2008) most especially urban densification. These housing characteristics and urban morphology together with the power of demand and supply further subdivide the housing</w:t>
      </w:r>
      <w:r>
        <w:rPr>
          <w:spacing w:val="-15"/>
        </w:rPr>
        <w:t> </w:t>
      </w:r>
      <w:r>
        <w:rPr/>
        <w:t>market</w:t>
      </w:r>
      <w:r>
        <w:rPr>
          <w:spacing w:val="-15"/>
        </w:rPr>
        <w:t> </w:t>
      </w:r>
      <w:r>
        <w:rPr/>
        <w:t>into</w:t>
      </w:r>
      <w:r>
        <w:rPr>
          <w:spacing w:val="-15"/>
        </w:rPr>
        <w:t> </w:t>
      </w:r>
      <w:r>
        <w:rPr/>
        <w:t>a</w:t>
      </w:r>
      <w:r>
        <w:rPr>
          <w:spacing w:val="-15"/>
        </w:rPr>
        <w:t> </w:t>
      </w:r>
      <w:r>
        <w:rPr/>
        <w:t>series</w:t>
      </w:r>
      <w:r>
        <w:rPr>
          <w:spacing w:val="-15"/>
        </w:rPr>
        <w:t> </w:t>
      </w:r>
      <w:r>
        <w:rPr/>
        <w:t>of</w:t>
      </w:r>
      <w:r>
        <w:rPr>
          <w:spacing w:val="-15"/>
        </w:rPr>
        <w:t> </w:t>
      </w:r>
      <w:r>
        <w:rPr/>
        <w:t>submarkets</w:t>
      </w:r>
      <w:r>
        <w:rPr>
          <w:spacing w:val="-15"/>
        </w:rPr>
        <w:t> </w:t>
      </w:r>
      <w:r>
        <w:rPr/>
        <w:t>(Wu</w:t>
      </w:r>
      <w:r>
        <w:rPr>
          <w:spacing w:val="-15"/>
        </w:rPr>
        <w:t> </w:t>
      </w:r>
      <w:r>
        <w:rPr/>
        <w:t>&amp;</w:t>
      </w:r>
      <w:r>
        <w:rPr>
          <w:spacing w:val="-15"/>
        </w:rPr>
        <w:t> </w:t>
      </w:r>
      <w:r>
        <w:rPr/>
        <w:t>Sharma,</w:t>
      </w:r>
      <w:r>
        <w:rPr>
          <w:spacing w:val="-15"/>
        </w:rPr>
        <w:t> </w:t>
      </w:r>
      <w:r>
        <w:rPr/>
        <w:t>2012).</w:t>
      </w:r>
      <w:r>
        <w:rPr>
          <w:spacing w:val="-15"/>
        </w:rPr>
        <w:t> </w:t>
      </w:r>
      <w:r>
        <w:rPr/>
        <w:t>The</w:t>
      </w:r>
      <w:r>
        <w:rPr>
          <w:spacing w:val="-15"/>
        </w:rPr>
        <w:t> </w:t>
      </w:r>
      <w:r>
        <w:rPr/>
        <w:t>housing</w:t>
      </w:r>
      <w:r>
        <w:rPr>
          <w:spacing w:val="-15"/>
        </w:rPr>
        <w:t> </w:t>
      </w:r>
      <w:r>
        <w:rPr/>
        <w:t>submarket can</w:t>
      </w:r>
      <w:r>
        <w:rPr>
          <w:spacing w:val="-2"/>
        </w:rPr>
        <w:t> </w:t>
      </w:r>
      <w:r>
        <w:rPr/>
        <w:t>be</w:t>
      </w:r>
      <w:r>
        <w:rPr>
          <w:spacing w:val="-1"/>
        </w:rPr>
        <w:t> </w:t>
      </w:r>
      <w:r>
        <w:rPr/>
        <w:t>identified</w:t>
      </w:r>
      <w:r>
        <w:rPr>
          <w:spacing w:val="-2"/>
        </w:rPr>
        <w:t> </w:t>
      </w:r>
      <w:r>
        <w:rPr/>
        <w:t>by</w:t>
      </w:r>
      <w:r>
        <w:rPr>
          <w:spacing w:val="-7"/>
        </w:rPr>
        <w:t> </w:t>
      </w:r>
      <w:r>
        <w:rPr/>
        <w:t>its</w:t>
      </w:r>
      <w:r>
        <w:rPr>
          <w:spacing w:val="-2"/>
        </w:rPr>
        <w:t> </w:t>
      </w:r>
      <w:r>
        <w:rPr/>
        <w:t>spatial</w:t>
      </w:r>
      <w:r>
        <w:rPr>
          <w:spacing w:val="-1"/>
        </w:rPr>
        <w:t> </w:t>
      </w:r>
      <w:r>
        <w:rPr/>
        <w:t>requirements</w:t>
      </w:r>
      <w:r>
        <w:rPr>
          <w:spacing w:val="-2"/>
        </w:rPr>
        <w:t> </w:t>
      </w:r>
      <w:r>
        <w:rPr/>
        <w:t>and</w:t>
      </w:r>
      <w:r>
        <w:rPr>
          <w:spacing w:val="-2"/>
        </w:rPr>
        <w:t> </w:t>
      </w:r>
      <w:r>
        <w:rPr/>
        <w:t>non-spatial</w:t>
      </w:r>
      <w:r>
        <w:rPr>
          <w:spacing w:val="-1"/>
        </w:rPr>
        <w:t> </w:t>
      </w:r>
      <w:r>
        <w:rPr/>
        <w:t>requirements</w:t>
      </w:r>
      <w:r>
        <w:rPr>
          <w:spacing w:val="-2"/>
        </w:rPr>
        <w:t> </w:t>
      </w:r>
      <w:r>
        <w:rPr/>
        <w:t>(Xiao,</w:t>
      </w:r>
      <w:r>
        <w:rPr>
          <w:spacing w:val="-2"/>
        </w:rPr>
        <w:t> </w:t>
      </w:r>
      <w:r>
        <w:rPr/>
        <w:t>2017b). Spatial requirements stresses a predefined geographic area while non-spatial requirements emphasizes on housing types, estimations and socioeconomic structure of the</w:t>
      </w:r>
      <w:r>
        <w:rPr>
          <w:spacing w:val="-8"/>
        </w:rPr>
        <w:t> </w:t>
      </w:r>
      <w:r>
        <w:rPr/>
        <w:t>housing</w:t>
      </w:r>
      <w:r>
        <w:rPr>
          <w:spacing w:val="-7"/>
        </w:rPr>
        <w:t> </w:t>
      </w:r>
      <w:r>
        <w:rPr/>
        <w:t>occupants.</w:t>
      </w:r>
      <w:r>
        <w:rPr>
          <w:spacing w:val="-7"/>
        </w:rPr>
        <w:t> </w:t>
      </w:r>
      <w:r>
        <w:rPr/>
        <w:t>Substantially,</w:t>
      </w:r>
      <w:r>
        <w:rPr>
          <w:spacing w:val="-7"/>
        </w:rPr>
        <w:t> </w:t>
      </w:r>
      <w:r>
        <w:rPr/>
        <w:t>house</w:t>
      </w:r>
      <w:r>
        <w:rPr>
          <w:spacing w:val="-6"/>
        </w:rPr>
        <w:t> </w:t>
      </w:r>
      <w:r>
        <w:rPr/>
        <w:t>prediction</w:t>
      </w:r>
      <w:r>
        <w:rPr>
          <w:spacing w:val="-7"/>
        </w:rPr>
        <w:t> </w:t>
      </w:r>
      <w:r>
        <w:rPr/>
        <w:t>models</w:t>
      </w:r>
      <w:r>
        <w:rPr>
          <w:spacing w:val="-7"/>
        </w:rPr>
        <w:t> </w:t>
      </w:r>
      <w:r>
        <w:rPr/>
        <w:t>accuracy</w:t>
      </w:r>
      <w:r>
        <w:rPr>
          <w:spacing w:val="-10"/>
        </w:rPr>
        <w:t> </w:t>
      </w:r>
      <w:r>
        <w:rPr/>
        <w:t>have</w:t>
      </w:r>
      <w:r>
        <w:rPr>
          <w:spacing w:val="-8"/>
        </w:rPr>
        <w:t> </w:t>
      </w:r>
      <w:r>
        <w:rPr/>
        <w:t>increase</w:t>
      </w:r>
      <w:r>
        <w:rPr>
          <w:spacing w:val="-6"/>
        </w:rPr>
        <w:t> </w:t>
      </w:r>
      <w:r>
        <w:rPr/>
        <w:t>by submarket divisions, which provide better house price forecast. Useful insights are also provided on different aspects of housing which add value to the housing market (Wu &amp; Sharma, 2012).</w:t>
      </w:r>
    </w:p>
    <w:p>
      <w:pPr>
        <w:pStyle w:val="BodyText"/>
        <w:spacing w:line="552" w:lineRule="exact" w:before="22"/>
        <w:ind w:left="305" w:right="516"/>
      </w:pPr>
      <w:r>
        <w:rPr/>
        <w:t>In Bida urban area, just like other urban areas of the developing world most especially Nigerian</w:t>
      </w:r>
      <w:r>
        <w:rPr>
          <w:spacing w:val="54"/>
          <w:w w:val="150"/>
        </w:rPr>
        <w:t> </w:t>
      </w:r>
      <w:r>
        <w:rPr/>
        <w:t>urban</w:t>
      </w:r>
      <w:r>
        <w:rPr>
          <w:spacing w:val="57"/>
          <w:w w:val="150"/>
        </w:rPr>
        <w:t> </w:t>
      </w:r>
      <w:r>
        <w:rPr/>
        <w:t>areas</w:t>
      </w:r>
      <w:r>
        <w:rPr>
          <w:spacing w:val="57"/>
          <w:w w:val="150"/>
        </w:rPr>
        <w:t> </w:t>
      </w:r>
      <w:r>
        <w:rPr/>
        <w:t>is</w:t>
      </w:r>
      <w:r>
        <w:rPr>
          <w:spacing w:val="57"/>
          <w:w w:val="150"/>
        </w:rPr>
        <w:t> </w:t>
      </w:r>
      <w:r>
        <w:rPr/>
        <w:t>characterised</w:t>
      </w:r>
      <w:r>
        <w:rPr>
          <w:spacing w:val="59"/>
          <w:w w:val="150"/>
        </w:rPr>
        <w:t> </w:t>
      </w:r>
      <w:r>
        <w:rPr/>
        <w:t>with</w:t>
      </w:r>
      <w:r>
        <w:rPr>
          <w:spacing w:val="57"/>
          <w:w w:val="150"/>
        </w:rPr>
        <w:t> </w:t>
      </w:r>
      <w:r>
        <w:rPr/>
        <w:t>rapid</w:t>
      </w:r>
      <w:r>
        <w:rPr>
          <w:spacing w:val="58"/>
          <w:w w:val="150"/>
        </w:rPr>
        <w:t> </w:t>
      </w:r>
      <w:r>
        <w:rPr/>
        <w:t>urban</w:t>
      </w:r>
      <w:r>
        <w:rPr>
          <w:spacing w:val="59"/>
          <w:w w:val="150"/>
        </w:rPr>
        <w:t> </w:t>
      </w:r>
      <w:r>
        <w:rPr/>
        <w:t>growth</w:t>
      </w:r>
      <w:r>
        <w:rPr>
          <w:spacing w:val="58"/>
          <w:w w:val="150"/>
        </w:rPr>
        <w:t> </w:t>
      </w:r>
      <w:r>
        <w:rPr/>
        <w:t>which</w:t>
      </w:r>
      <w:r>
        <w:rPr>
          <w:spacing w:val="57"/>
          <w:w w:val="150"/>
        </w:rPr>
        <w:t> </w:t>
      </w:r>
      <w:r>
        <w:rPr/>
        <w:t>is</w:t>
      </w:r>
      <w:r>
        <w:rPr>
          <w:spacing w:val="58"/>
          <w:w w:val="150"/>
        </w:rPr>
        <w:t> </w:t>
      </w:r>
      <w:r>
        <w:rPr>
          <w:spacing w:val="-2"/>
        </w:rPr>
        <w:t>largely</w:t>
      </w:r>
    </w:p>
    <w:p>
      <w:pPr>
        <w:spacing w:after="0" w:line="552" w:lineRule="exact"/>
        <w:sectPr>
          <w:pgSz w:w="11910" w:h="16840"/>
          <w:pgMar w:header="0" w:footer="1022" w:top="1320" w:bottom="1220" w:left="1680" w:right="900"/>
        </w:sectPr>
      </w:pPr>
    </w:p>
    <w:p>
      <w:pPr>
        <w:pStyle w:val="BodyText"/>
        <w:spacing w:line="480" w:lineRule="auto" w:before="72"/>
        <w:ind w:left="305" w:right="513"/>
      </w:pPr>
      <w:r>
        <w:rPr/>
        <w:t>uncontrolled</w:t>
      </w:r>
      <w:r>
        <w:rPr>
          <w:spacing w:val="-4"/>
        </w:rPr>
        <w:t> </w:t>
      </w:r>
      <w:r>
        <w:rPr/>
        <w:t>and</w:t>
      </w:r>
      <w:r>
        <w:rPr>
          <w:spacing w:val="-4"/>
        </w:rPr>
        <w:t> </w:t>
      </w:r>
      <w:r>
        <w:rPr/>
        <w:t>increased</w:t>
      </w:r>
      <w:r>
        <w:rPr>
          <w:spacing w:val="-4"/>
        </w:rPr>
        <w:t> </w:t>
      </w:r>
      <w:r>
        <w:rPr/>
        <w:t>urban</w:t>
      </w:r>
      <w:r>
        <w:rPr>
          <w:spacing w:val="-4"/>
        </w:rPr>
        <w:t> </w:t>
      </w:r>
      <w:r>
        <w:rPr/>
        <w:t>densification</w:t>
      </w:r>
      <w:r>
        <w:rPr>
          <w:spacing w:val="-4"/>
        </w:rPr>
        <w:t> </w:t>
      </w:r>
      <w:r>
        <w:rPr/>
        <w:t>most</w:t>
      </w:r>
      <w:r>
        <w:rPr>
          <w:spacing w:val="-4"/>
        </w:rPr>
        <w:t> </w:t>
      </w:r>
      <w:r>
        <w:rPr/>
        <w:t>especially</w:t>
      </w:r>
      <w:r>
        <w:rPr>
          <w:spacing w:val="-8"/>
        </w:rPr>
        <w:t> </w:t>
      </w:r>
      <w:r>
        <w:rPr/>
        <w:t>in</w:t>
      </w:r>
      <w:r>
        <w:rPr>
          <w:spacing w:val="-4"/>
        </w:rPr>
        <w:t> </w:t>
      </w:r>
      <w:r>
        <w:rPr/>
        <w:t>the</w:t>
      </w:r>
      <w:r>
        <w:rPr>
          <w:spacing w:val="-4"/>
        </w:rPr>
        <w:t> </w:t>
      </w:r>
      <w:r>
        <w:rPr/>
        <w:t>central</w:t>
      </w:r>
      <w:r>
        <w:rPr>
          <w:spacing w:val="-4"/>
        </w:rPr>
        <w:t> </w:t>
      </w:r>
      <w:r>
        <w:rPr/>
        <w:t>areas</w:t>
      </w:r>
      <w:r>
        <w:rPr>
          <w:spacing w:val="-4"/>
        </w:rPr>
        <w:t> </w:t>
      </w:r>
      <w:r>
        <w:rPr/>
        <w:t>of</w:t>
      </w:r>
      <w:r>
        <w:rPr>
          <w:spacing w:val="-4"/>
        </w:rPr>
        <w:t> </w:t>
      </w:r>
      <w:r>
        <w:rPr/>
        <w:t>the town.</w:t>
      </w:r>
      <w:r>
        <w:rPr>
          <w:spacing w:val="-8"/>
        </w:rPr>
        <w:t> </w:t>
      </w:r>
      <w:r>
        <w:rPr/>
        <w:t>Urban</w:t>
      </w:r>
      <w:r>
        <w:rPr>
          <w:spacing w:val="-8"/>
        </w:rPr>
        <w:t> </w:t>
      </w:r>
      <w:r>
        <w:rPr/>
        <w:t>densification</w:t>
      </w:r>
      <w:r>
        <w:rPr>
          <w:spacing w:val="-8"/>
        </w:rPr>
        <w:t> </w:t>
      </w:r>
      <w:r>
        <w:rPr/>
        <w:t>in</w:t>
      </w:r>
      <w:r>
        <w:rPr>
          <w:spacing w:val="-8"/>
        </w:rPr>
        <w:t> </w:t>
      </w:r>
      <w:r>
        <w:rPr/>
        <w:t>Bida</w:t>
      </w:r>
      <w:r>
        <w:rPr>
          <w:spacing w:val="-9"/>
        </w:rPr>
        <w:t> </w:t>
      </w:r>
      <w:r>
        <w:rPr/>
        <w:t>is</w:t>
      </w:r>
      <w:r>
        <w:rPr>
          <w:spacing w:val="-8"/>
        </w:rPr>
        <w:t> </w:t>
      </w:r>
      <w:r>
        <w:rPr/>
        <w:t>largely</w:t>
      </w:r>
      <w:r>
        <w:rPr>
          <w:spacing w:val="-13"/>
        </w:rPr>
        <w:t> </w:t>
      </w:r>
      <w:r>
        <w:rPr/>
        <w:t>in</w:t>
      </w:r>
      <w:r>
        <w:rPr>
          <w:spacing w:val="-8"/>
        </w:rPr>
        <w:t> </w:t>
      </w:r>
      <w:r>
        <w:rPr/>
        <w:t>terms</w:t>
      </w:r>
      <w:r>
        <w:rPr>
          <w:spacing w:val="-8"/>
        </w:rPr>
        <w:t> </w:t>
      </w:r>
      <w:r>
        <w:rPr/>
        <w:t>of</w:t>
      </w:r>
      <w:r>
        <w:rPr>
          <w:spacing w:val="-9"/>
        </w:rPr>
        <w:t> </w:t>
      </w:r>
      <w:r>
        <w:rPr/>
        <w:t>housing</w:t>
      </w:r>
      <w:r>
        <w:rPr>
          <w:spacing w:val="-11"/>
        </w:rPr>
        <w:t> </w:t>
      </w:r>
      <w:r>
        <w:rPr/>
        <w:t>and</w:t>
      </w:r>
      <w:r>
        <w:rPr>
          <w:spacing w:val="-8"/>
        </w:rPr>
        <w:t> </w:t>
      </w:r>
      <w:r>
        <w:rPr/>
        <w:t>population</w:t>
      </w:r>
      <w:r>
        <w:rPr>
          <w:spacing w:val="-8"/>
        </w:rPr>
        <w:t> </w:t>
      </w:r>
      <w:r>
        <w:rPr/>
        <w:t>densities. As the population increases, the building development increases and causes conversion in the use of structure. For example, special structures are converted to residential units or industrial buildings converted to commercial uses; green spaces developed, low rise buildings</w:t>
      </w:r>
      <w:r>
        <w:rPr>
          <w:spacing w:val="-1"/>
        </w:rPr>
        <w:t> </w:t>
      </w:r>
      <w:r>
        <w:rPr/>
        <w:t>converted to</w:t>
      </w:r>
      <w:r>
        <w:rPr>
          <w:spacing w:val="-1"/>
        </w:rPr>
        <w:t> </w:t>
      </w:r>
      <w:r>
        <w:rPr/>
        <w:t>high</w:t>
      </w:r>
      <w:r>
        <w:rPr>
          <w:spacing w:val="-1"/>
        </w:rPr>
        <w:t> </w:t>
      </w:r>
      <w:r>
        <w:rPr/>
        <w:t>rise</w:t>
      </w:r>
      <w:r>
        <w:rPr>
          <w:spacing w:val="-1"/>
        </w:rPr>
        <w:t> </w:t>
      </w:r>
      <w:r>
        <w:rPr/>
        <w:t>structures and</w:t>
      </w:r>
      <w:r>
        <w:rPr>
          <w:spacing w:val="-1"/>
        </w:rPr>
        <w:t> </w:t>
      </w:r>
      <w:r>
        <w:rPr/>
        <w:t>river</w:t>
      </w:r>
      <w:r>
        <w:rPr>
          <w:spacing w:val="-1"/>
        </w:rPr>
        <w:t> </w:t>
      </w:r>
      <w:r>
        <w:rPr/>
        <w:t>banks</w:t>
      </w:r>
      <w:r>
        <w:rPr>
          <w:spacing w:val="-1"/>
        </w:rPr>
        <w:t> </w:t>
      </w:r>
      <w:r>
        <w:rPr/>
        <w:t>and</w:t>
      </w:r>
      <w:r>
        <w:rPr>
          <w:spacing w:val="-1"/>
        </w:rPr>
        <w:t> </w:t>
      </w:r>
      <w:r>
        <w:rPr/>
        <w:t>flood</w:t>
      </w:r>
      <w:r>
        <w:rPr>
          <w:spacing w:val="-1"/>
        </w:rPr>
        <w:t> </w:t>
      </w:r>
      <w:r>
        <w:rPr/>
        <w:t>plains developed</w:t>
      </w:r>
      <w:r>
        <w:rPr>
          <w:spacing w:val="-1"/>
        </w:rPr>
        <w:t> </w:t>
      </w:r>
      <w:r>
        <w:rPr/>
        <w:t>to increase</w:t>
      </w:r>
      <w:r>
        <w:rPr>
          <w:spacing w:val="-6"/>
        </w:rPr>
        <w:t> </w:t>
      </w:r>
      <w:r>
        <w:rPr/>
        <w:t>housing</w:t>
      </w:r>
      <w:r>
        <w:rPr>
          <w:spacing w:val="-5"/>
        </w:rPr>
        <w:t> </w:t>
      </w:r>
      <w:r>
        <w:rPr/>
        <w:t>stock.</w:t>
      </w:r>
      <w:r>
        <w:rPr>
          <w:spacing w:val="-4"/>
        </w:rPr>
        <w:t> </w:t>
      </w:r>
      <w:r>
        <w:rPr/>
        <w:t>This</w:t>
      </w:r>
      <w:r>
        <w:rPr>
          <w:spacing w:val="-4"/>
        </w:rPr>
        <w:t> </w:t>
      </w:r>
      <w:r>
        <w:rPr/>
        <w:t>increase</w:t>
      </w:r>
      <w:r>
        <w:rPr>
          <w:spacing w:val="-2"/>
        </w:rPr>
        <w:t> </w:t>
      </w:r>
      <w:r>
        <w:rPr/>
        <w:t>in</w:t>
      </w:r>
      <w:r>
        <w:rPr>
          <w:spacing w:val="-4"/>
        </w:rPr>
        <w:t> </w:t>
      </w:r>
      <w:r>
        <w:rPr/>
        <w:t>the</w:t>
      </w:r>
      <w:r>
        <w:rPr>
          <w:spacing w:val="-5"/>
        </w:rPr>
        <w:t> </w:t>
      </w:r>
      <w:r>
        <w:rPr/>
        <w:t>housing</w:t>
      </w:r>
      <w:r>
        <w:rPr>
          <w:spacing w:val="-5"/>
        </w:rPr>
        <w:t> </w:t>
      </w:r>
      <w:r>
        <w:rPr/>
        <w:t>and</w:t>
      </w:r>
      <w:r>
        <w:rPr>
          <w:spacing w:val="-5"/>
        </w:rPr>
        <w:t> </w:t>
      </w:r>
      <w:r>
        <w:rPr/>
        <w:t>population</w:t>
      </w:r>
      <w:r>
        <w:rPr>
          <w:spacing w:val="-4"/>
        </w:rPr>
        <w:t> </w:t>
      </w:r>
      <w:r>
        <w:rPr/>
        <w:t>densities</w:t>
      </w:r>
      <w:r>
        <w:rPr>
          <w:spacing w:val="-5"/>
        </w:rPr>
        <w:t> </w:t>
      </w:r>
      <w:r>
        <w:rPr/>
        <w:t>may</w:t>
      </w:r>
      <w:r>
        <w:rPr>
          <w:spacing w:val="-10"/>
        </w:rPr>
        <w:t> </w:t>
      </w:r>
      <w:r>
        <w:rPr/>
        <w:t>have</w:t>
      </w:r>
      <w:r>
        <w:rPr>
          <w:spacing w:val="-2"/>
        </w:rPr>
        <w:t> </w:t>
      </w:r>
      <w:r>
        <w:rPr/>
        <w:t>a direct or indirect impact on the housing market structure, most especially, the housing </w:t>
      </w:r>
      <w:r>
        <w:rPr>
          <w:spacing w:val="-2"/>
        </w:rPr>
        <w:t>submarket.</w:t>
      </w:r>
    </w:p>
    <w:p>
      <w:pPr>
        <w:pStyle w:val="Heading1"/>
        <w:numPr>
          <w:ilvl w:val="1"/>
          <w:numId w:val="1"/>
        </w:numPr>
        <w:tabs>
          <w:tab w:pos="1024" w:val="left" w:leader="none"/>
        </w:tabs>
        <w:spacing w:line="240" w:lineRule="auto" w:before="248" w:after="0"/>
        <w:ind w:left="1024" w:right="0" w:hanging="719"/>
        <w:jc w:val="both"/>
      </w:pPr>
      <w:r>
        <w:rPr/>
        <w:t>Statement</w:t>
      </w:r>
      <w:r>
        <w:rPr>
          <w:spacing w:val="-2"/>
        </w:rPr>
        <w:t> </w:t>
      </w:r>
      <w:r>
        <w:rPr/>
        <w:t>of</w:t>
      </w:r>
      <w:r>
        <w:rPr>
          <w:spacing w:val="-1"/>
        </w:rPr>
        <w:t> </w:t>
      </w:r>
      <w:r>
        <w:rPr/>
        <w:t>the</w:t>
      </w:r>
      <w:r>
        <w:rPr>
          <w:spacing w:val="-3"/>
        </w:rPr>
        <w:t> </w:t>
      </w:r>
      <w:r>
        <w:rPr/>
        <w:t>Research </w:t>
      </w:r>
      <w:r>
        <w:rPr>
          <w:spacing w:val="-2"/>
        </w:rPr>
        <w:t>Problem</w:t>
      </w:r>
    </w:p>
    <w:p>
      <w:pPr>
        <w:pStyle w:val="BodyText"/>
        <w:spacing w:before="233"/>
        <w:jc w:val="left"/>
        <w:rPr>
          <w:b/>
        </w:rPr>
      </w:pPr>
    </w:p>
    <w:p>
      <w:pPr>
        <w:pStyle w:val="BodyText"/>
        <w:spacing w:line="480" w:lineRule="auto"/>
        <w:ind w:left="305" w:right="514"/>
      </w:pPr>
      <w:r>
        <w:rPr/>
        <w:t>Access to adequate, affordable and quality housing is among the current and growing problem in developing countries (UN-Habitat, 2011). Nigeria’s housing problems are muti-dimensional just like in many developing nations. The population explosion problem,</w:t>
      </w:r>
      <w:r>
        <w:rPr>
          <w:spacing w:val="-5"/>
        </w:rPr>
        <w:t> </w:t>
      </w:r>
      <w:r>
        <w:rPr/>
        <w:t>shortage</w:t>
      </w:r>
      <w:r>
        <w:rPr>
          <w:spacing w:val="-7"/>
        </w:rPr>
        <w:t> </w:t>
      </w:r>
      <w:r>
        <w:rPr/>
        <w:t>of</w:t>
      </w:r>
      <w:r>
        <w:rPr>
          <w:spacing w:val="-7"/>
        </w:rPr>
        <w:t> </w:t>
      </w:r>
      <w:r>
        <w:rPr/>
        <w:t>basic</w:t>
      </w:r>
      <w:r>
        <w:rPr>
          <w:spacing w:val="-7"/>
        </w:rPr>
        <w:t> </w:t>
      </w:r>
      <w:r>
        <w:rPr/>
        <w:t>infrastructure</w:t>
      </w:r>
      <w:r>
        <w:rPr>
          <w:spacing w:val="-8"/>
        </w:rPr>
        <w:t> </w:t>
      </w:r>
      <w:r>
        <w:rPr/>
        <w:t>that</w:t>
      </w:r>
      <w:r>
        <w:rPr>
          <w:spacing w:val="-6"/>
        </w:rPr>
        <w:t> </w:t>
      </w:r>
      <w:r>
        <w:rPr/>
        <w:t>can</w:t>
      </w:r>
      <w:r>
        <w:rPr>
          <w:spacing w:val="-3"/>
        </w:rPr>
        <w:t> </w:t>
      </w:r>
      <w:r>
        <w:rPr/>
        <w:t>enhance</w:t>
      </w:r>
      <w:r>
        <w:rPr>
          <w:spacing w:val="-7"/>
        </w:rPr>
        <w:t> </w:t>
      </w:r>
      <w:r>
        <w:rPr/>
        <w:t>living</w:t>
      </w:r>
      <w:r>
        <w:rPr>
          <w:spacing w:val="-8"/>
        </w:rPr>
        <w:t> </w:t>
      </w:r>
      <w:r>
        <w:rPr/>
        <w:t>standard</w:t>
      </w:r>
      <w:r>
        <w:rPr>
          <w:spacing w:val="-7"/>
        </w:rPr>
        <w:t> </w:t>
      </w:r>
      <w:r>
        <w:rPr/>
        <w:t>and</w:t>
      </w:r>
      <w:r>
        <w:rPr>
          <w:spacing w:val="-6"/>
        </w:rPr>
        <w:t> </w:t>
      </w:r>
      <w:r>
        <w:rPr/>
        <w:t>urban</w:t>
      </w:r>
      <w:r>
        <w:rPr>
          <w:spacing w:val="-6"/>
        </w:rPr>
        <w:t> </w:t>
      </w:r>
      <w:r>
        <w:rPr/>
        <w:t>drift have aggrevated problems of housing for many years (Mohammed &amp; Aremu, 2017). Larger percentage of Nigeria’s urban dwellers do not have access to basic needs which requires critical attention to be</w:t>
      </w:r>
      <w:r>
        <w:rPr>
          <w:spacing w:val="-1"/>
        </w:rPr>
        <w:t> </w:t>
      </w:r>
      <w:r>
        <w:rPr/>
        <w:t>addressed. One</w:t>
      </w:r>
      <w:r>
        <w:rPr>
          <w:spacing w:val="-2"/>
        </w:rPr>
        <w:t> </w:t>
      </w:r>
      <w:r>
        <w:rPr/>
        <w:t>of the</w:t>
      </w:r>
      <w:r>
        <w:rPr>
          <w:spacing w:val="-1"/>
        </w:rPr>
        <w:t> </w:t>
      </w:r>
      <w:r>
        <w:rPr/>
        <w:t>central issues in the</w:t>
      </w:r>
      <w:r>
        <w:rPr>
          <w:spacing w:val="-1"/>
        </w:rPr>
        <w:t> </w:t>
      </w:r>
      <w:r>
        <w:rPr/>
        <w:t>housing</w:t>
      </w:r>
      <w:r>
        <w:rPr>
          <w:spacing w:val="-3"/>
        </w:rPr>
        <w:t> </w:t>
      </w:r>
      <w:r>
        <w:rPr/>
        <w:t>sector of Nigeria is that there are distinctions in housing in terms of price and quantity on one hand and the people who have the ability</w:t>
      </w:r>
      <w:r>
        <w:rPr>
          <w:spacing w:val="-2"/>
        </w:rPr>
        <w:t> </w:t>
      </w:r>
      <w:r>
        <w:rPr/>
        <w:t>to pay</w:t>
      </w:r>
      <w:r>
        <w:rPr>
          <w:spacing w:val="-2"/>
        </w:rPr>
        <w:t> </w:t>
      </w:r>
      <w:r>
        <w:rPr/>
        <w:t>these prices on the other hand (Adedeji &amp; Olotuah, 2012).</w:t>
      </w:r>
    </w:p>
    <w:p>
      <w:pPr>
        <w:pStyle w:val="BodyText"/>
        <w:spacing w:line="480" w:lineRule="auto" w:before="239"/>
        <w:ind w:left="305" w:right="511"/>
      </w:pPr>
      <w:r>
        <w:rPr/>
        <w:t>Housing affordability can be determine by the cost at which houses reach the market. Where</w:t>
      </w:r>
      <w:r>
        <w:rPr>
          <w:spacing w:val="-3"/>
        </w:rPr>
        <w:t> </w:t>
      </w:r>
      <w:r>
        <w:rPr/>
        <w:t>the</w:t>
      </w:r>
      <w:r>
        <w:rPr>
          <w:spacing w:val="-1"/>
        </w:rPr>
        <w:t> </w:t>
      </w:r>
      <w:r>
        <w:rPr/>
        <w:t>cost</w:t>
      </w:r>
      <w:r>
        <w:rPr>
          <w:spacing w:val="-1"/>
        </w:rPr>
        <w:t> </w:t>
      </w:r>
      <w:r>
        <w:rPr/>
        <w:t>of</w:t>
      </w:r>
      <w:r>
        <w:rPr>
          <w:spacing w:val="-2"/>
        </w:rPr>
        <w:t> </w:t>
      </w:r>
      <w:r>
        <w:rPr/>
        <w:t>housing</w:t>
      </w:r>
      <w:r>
        <w:rPr>
          <w:spacing w:val="-4"/>
        </w:rPr>
        <w:t> </w:t>
      </w:r>
      <w:r>
        <w:rPr/>
        <w:t>unit</w:t>
      </w:r>
      <w:r>
        <w:rPr>
          <w:spacing w:val="-2"/>
        </w:rPr>
        <w:t> </w:t>
      </w:r>
      <w:r>
        <w:rPr/>
        <w:t>is</w:t>
      </w:r>
      <w:r>
        <w:rPr>
          <w:spacing w:val="-2"/>
        </w:rPr>
        <w:t> </w:t>
      </w:r>
      <w:r>
        <w:rPr/>
        <w:t>very</w:t>
      </w:r>
      <w:r>
        <w:rPr>
          <w:spacing w:val="-6"/>
        </w:rPr>
        <w:t> </w:t>
      </w:r>
      <w:r>
        <w:rPr/>
        <w:t>high, few</w:t>
      </w:r>
      <w:r>
        <w:rPr>
          <w:spacing w:val="-1"/>
        </w:rPr>
        <w:t> </w:t>
      </w:r>
      <w:r>
        <w:rPr/>
        <w:t>people</w:t>
      </w:r>
      <w:r>
        <w:rPr>
          <w:spacing w:val="-2"/>
        </w:rPr>
        <w:t> </w:t>
      </w:r>
      <w:r>
        <w:rPr/>
        <w:t>would</w:t>
      </w:r>
      <w:r>
        <w:rPr>
          <w:spacing w:val="-2"/>
        </w:rPr>
        <w:t> </w:t>
      </w:r>
      <w:r>
        <w:rPr/>
        <w:t>be</w:t>
      </w:r>
      <w:r>
        <w:rPr>
          <w:spacing w:val="-2"/>
        </w:rPr>
        <w:t> </w:t>
      </w:r>
      <w:r>
        <w:rPr/>
        <w:t>able</w:t>
      </w:r>
      <w:r>
        <w:rPr>
          <w:spacing w:val="-1"/>
        </w:rPr>
        <w:t> </w:t>
      </w:r>
      <w:r>
        <w:rPr/>
        <w:t>to</w:t>
      </w:r>
      <w:r>
        <w:rPr>
          <w:spacing w:val="-2"/>
        </w:rPr>
        <w:t> </w:t>
      </w:r>
      <w:r>
        <w:rPr/>
        <w:t>afford it. In</w:t>
      </w:r>
      <w:r>
        <w:rPr>
          <w:spacing w:val="-2"/>
        </w:rPr>
        <w:t> </w:t>
      </w:r>
      <w:r>
        <w:rPr/>
        <w:t>the Nigeria housing sector, there is a very wide gap between income and housing market. With</w:t>
      </w:r>
      <w:r>
        <w:rPr>
          <w:spacing w:val="26"/>
        </w:rPr>
        <w:t> </w:t>
      </w:r>
      <w:r>
        <w:rPr/>
        <w:t>this,</w:t>
      </w:r>
      <w:r>
        <w:rPr>
          <w:spacing w:val="28"/>
        </w:rPr>
        <w:t> </w:t>
      </w:r>
      <w:r>
        <w:rPr/>
        <w:t>the</w:t>
      </w:r>
      <w:r>
        <w:rPr>
          <w:spacing w:val="28"/>
        </w:rPr>
        <w:t>  </w:t>
      </w:r>
      <w:r>
        <w:rPr/>
        <w:t>low-income</w:t>
      </w:r>
      <w:r>
        <w:rPr>
          <w:spacing w:val="29"/>
        </w:rPr>
        <w:t> </w:t>
      </w:r>
      <w:r>
        <w:rPr/>
        <w:t>earners</w:t>
      </w:r>
      <w:r>
        <w:rPr>
          <w:spacing w:val="30"/>
        </w:rPr>
        <w:t> </w:t>
      </w:r>
      <w:r>
        <w:rPr/>
        <w:t>are</w:t>
      </w:r>
      <w:r>
        <w:rPr>
          <w:spacing w:val="26"/>
        </w:rPr>
        <w:t> </w:t>
      </w:r>
      <w:r>
        <w:rPr/>
        <w:t>pushed</w:t>
      </w:r>
      <w:r>
        <w:rPr>
          <w:spacing w:val="29"/>
        </w:rPr>
        <w:t> </w:t>
      </w:r>
      <w:r>
        <w:rPr/>
        <w:t>out</w:t>
      </w:r>
      <w:r>
        <w:rPr>
          <w:spacing w:val="29"/>
        </w:rPr>
        <w:t> </w:t>
      </w:r>
      <w:r>
        <w:rPr/>
        <w:t>of</w:t>
      </w:r>
      <w:r>
        <w:rPr>
          <w:spacing w:val="27"/>
        </w:rPr>
        <w:t> </w:t>
      </w:r>
      <w:r>
        <w:rPr/>
        <w:t>the</w:t>
      </w:r>
      <w:r>
        <w:rPr>
          <w:spacing w:val="31"/>
        </w:rPr>
        <w:t> </w:t>
      </w:r>
      <w:r>
        <w:rPr/>
        <w:t>housing</w:t>
      </w:r>
      <w:r>
        <w:rPr>
          <w:spacing w:val="28"/>
        </w:rPr>
        <w:t> </w:t>
      </w:r>
      <w:r>
        <w:rPr/>
        <w:t>market</w:t>
      </w:r>
      <w:r>
        <w:rPr>
          <w:spacing w:val="35"/>
        </w:rPr>
        <w:t> </w:t>
      </w:r>
      <w:r>
        <w:rPr/>
        <w:t>(Adedeji</w:t>
      </w:r>
      <w:r>
        <w:rPr>
          <w:spacing w:val="30"/>
        </w:rPr>
        <w:t> </w:t>
      </w:r>
      <w:r>
        <w:rPr>
          <w:spacing w:val="-10"/>
        </w:rPr>
        <w:t>&amp;</w:t>
      </w:r>
    </w:p>
    <w:p>
      <w:pPr>
        <w:spacing w:after="0" w:line="480" w:lineRule="auto"/>
        <w:sectPr>
          <w:pgSz w:w="11910" w:h="16840"/>
          <w:pgMar w:header="0" w:footer="1022" w:top="1320" w:bottom="1220" w:left="1680" w:right="900"/>
        </w:sectPr>
      </w:pPr>
    </w:p>
    <w:p>
      <w:pPr>
        <w:pStyle w:val="BodyText"/>
        <w:spacing w:line="480" w:lineRule="auto" w:before="72"/>
        <w:ind w:left="305" w:right="523"/>
      </w:pPr>
      <w:r>
        <w:rPr/>
        <w:t>Olotuah, 2012). However, one of the major challenges that hinder the progress is urban </w:t>
      </w:r>
      <w:r>
        <w:rPr>
          <w:spacing w:val="-2"/>
        </w:rPr>
        <w:t>densification.</w:t>
      </w:r>
    </w:p>
    <w:p>
      <w:pPr>
        <w:pStyle w:val="BodyText"/>
        <w:spacing w:line="480" w:lineRule="auto" w:before="240"/>
        <w:ind w:left="305" w:right="514"/>
      </w:pPr>
      <w:r>
        <w:rPr/>
        <w:t>Urban densification is as a result of increasing urbanisation level of a limited area resulting</w:t>
      </w:r>
      <w:r>
        <w:rPr>
          <w:spacing w:val="-5"/>
        </w:rPr>
        <w:t> </w:t>
      </w:r>
      <w:r>
        <w:rPr/>
        <w:t>to</w:t>
      </w:r>
      <w:r>
        <w:rPr>
          <w:spacing w:val="-3"/>
        </w:rPr>
        <w:t> </w:t>
      </w:r>
      <w:r>
        <w:rPr/>
        <w:t>challenges</w:t>
      </w:r>
      <w:r>
        <w:rPr>
          <w:spacing w:val="-3"/>
        </w:rPr>
        <w:t> </w:t>
      </w:r>
      <w:r>
        <w:rPr/>
        <w:t>in</w:t>
      </w:r>
      <w:r>
        <w:rPr>
          <w:spacing w:val="-1"/>
        </w:rPr>
        <w:t> </w:t>
      </w:r>
      <w:r>
        <w:rPr/>
        <w:t>housing</w:t>
      </w:r>
      <w:r>
        <w:rPr>
          <w:spacing w:val="-4"/>
        </w:rPr>
        <w:t> </w:t>
      </w:r>
      <w:r>
        <w:rPr/>
        <w:t>affordability</w:t>
      </w:r>
      <w:r>
        <w:rPr>
          <w:spacing w:val="-8"/>
        </w:rPr>
        <w:t> </w:t>
      </w:r>
      <w:r>
        <w:rPr/>
        <w:t>due</w:t>
      </w:r>
      <w:r>
        <w:rPr>
          <w:spacing w:val="-4"/>
        </w:rPr>
        <w:t> </w:t>
      </w:r>
      <w:r>
        <w:rPr/>
        <w:t>to</w:t>
      </w:r>
      <w:r>
        <w:rPr>
          <w:spacing w:val="-3"/>
        </w:rPr>
        <w:t> </w:t>
      </w:r>
      <w:r>
        <w:rPr/>
        <w:t>the</w:t>
      </w:r>
      <w:r>
        <w:rPr>
          <w:spacing w:val="-4"/>
        </w:rPr>
        <w:t> </w:t>
      </w:r>
      <w:r>
        <w:rPr/>
        <w:t>increase</w:t>
      </w:r>
      <w:r>
        <w:rPr>
          <w:spacing w:val="-4"/>
        </w:rPr>
        <w:t> </w:t>
      </w:r>
      <w:r>
        <w:rPr/>
        <w:t>in the</w:t>
      </w:r>
      <w:r>
        <w:rPr>
          <w:spacing w:val="-4"/>
        </w:rPr>
        <w:t> </w:t>
      </w:r>
      <w:r>
        <w:rPr/>
        <w:t>price</w:t>
      </w:r>
      <w:r>
        <w:rPr>
          <w:spacing w:val="-5"/>
        </w:rPr>
        <w:t> </w:t>
      </w:r>
      <w:r>
        <w:rPr/>
        <w:t>of</w:t>
      </w:r>
      <w:r>
        <w:rPr>
          <w:spacing w:val="-3"/>
        </w:rPr>
        <w:t> </w:t>
      </w:r>
      <w:r>
        <w:rPr/>
        <w:t>houses, high rental values, high demand and shortage in supply to meet the need of the urban </w:t>
      </w:r>
      <w:r>
        <w:rPr>
          <w:spacing w:val="-2"/>
        </w:rPr>
        <w:t>residence.</w:t>
      </w:r>
    </w:p>
    <w:p>
      <w:pPr>
        <w:pStyle w:val="BodyText"/>
        <w:spacing w:line="480" w:lineRule="auto" w:before="241"/>
        <w:ind w:left="305" w:right="513"/>
      </w:pPr>
      <w:r>
        <w:rPr/>
        <w:t>Bida is experiencing urban densification which has attracted people from different parts of</w:t>
      </w:r>
      <w:r>
        <w:rPr>
          <w:spacing w:val="-15"/>
        </w:rPr>
        <w:t> </w:t>
      </w:r>
      <w:r>
        <w:rPr/>
        <w:t>the</w:t>
      </w:r>
      <w:r>
        <w:rPr>
          <w:spacing w:val="-15"/>
        </w:rPr>
        <w:t> </w:t>
      </w:r>
      <w:r>
        <w:rPr/>
        <w:t>country</w:t>
      </w:r>
      <w:r>
        <w:rPr>
          <w:spacing w:val="-15"/>
        </w:rPr>
        <w:t> </w:t>
      </w:r>
      <w:r>
        <w:rPr/>
        <w:t>which</w:t>
      </w:r>
      <w:r>
        <w:rPr>
          <w:spacing w:val="-15"/>
        </w:rPr>
        <w:t> </w:t>
      </w:r>
      <w:r>
        <w:rPr/>
        <w:t>has</w:t>
      </w:r>
      <w:r>
        <w:rPr>
          <w:spacing w:val="-15"/>
        </w:rPr>
        <w:t> </w:t>
      </w:r>
      <w:r>
        <w:rPr/>
        <w:t>consequently</w:t>
      </w:r>
      <w:r>
        <w:rPr>
          <w:spacing w:val="-15"/>
        </w:rPr>
        <w:t> </w:t>
      </w:r>
      <w:r>
        <w:rPr/>
        <w:t>led</w:t>
      </w:r>
      <w:r>
        <w:rPr>
          <w:spacing w:val="-15"/>
        </w:rPr>
        <w:t> </w:t>
      </w:r>
      <w:r>
        <w:rPr/>
        <w:t>to</w:t>
      </w:r>
      <w:r>
        <w:rPr>
          <w:spacing w:val="-15"/>
        </w:rPr>
        <w:t> </w:t>
      </w:r>
      <w:r>
        <w:rPr/>
        <w:t>an</w:t>
      </w:r>
      <w:r>
        <w:rPr>
          <w:spacing w:val="-15"/>
        </w:rPr>
        <w:t> </w:t>
      </w:r>
      <w:r>
        <w:rPr/>
        <w:t>increase</w:t>
      </w:r>
      <w:r>
        <w:rPr>
          <w:spacing w:val="-15"/>
        </w:rPr>
        <w:t> </w:t>
      </w:r>
      <w:r>
        <w:rPr/>
        <w:t>in</w:t>
      </w:r>
      <w:r>
        <w:rPr>
          <w:spacing w:val="-15"/>
        </w:rPr>
        <w:t> </w:t>
      </w:r>
      <w:r>
        <w:rPr/>
        <w:t>housing</w:t>
      </w:r>
      <w:r>
        <w:rPr>
          <w:spacing w:val="-15"/>
        </w:rPr>
        <w:t> </w:t>
      </w:r>
      <w:r>
        <w:rPr/>
        <w:t>demand.</w:t>
      </w:r>
      <w:r>
        <w:rPr>
          <w:spacing w:val="-15"/>
        </w:rPr>
        <w:t> </w:t>
      </w:r>
      <w:r>
        <w:rPr/>
        <w:t>The</w:t>
      </w:r>
      <w:r>
        <w:rPr>
          <w:spacing w:val="-15"/>
        </w:rPr>
        <w:t> </w:t>
      </w:r>
      <w:r>
        <w:rPr/>
        <w:t>intensity of housing demand in the city has also resulted in increased house rents.</w:t>
      </w:r>
    </w:p>
    <w:p>
      <w:pPr>
        <w:pStyle w:val="BodyText"/>
        <w:spacing w:line="480" w:lineRule="auto" w:before="240"/>
        <w:ind w:left="305" w:right="511"/>
      </w:pPr>
      <w:r>
        <w:rPr/>
        <w:t>However, there is a large body of literature on housing market (Leung, 2004; Wu </w:t>
      </w:r>
      <w:r>
        <w:rPr>
          <w:i/>
        </w:rPr>
        <w:t>et al.</w:t>
      </w:r>
      <w:r>
        <w:rPr/>
        <w:t>, 2014; Muehlenbachs </w:t>
      </w:r>
      <w:r>
        <w:rPr>
          <w:i/>
        </w:rPr>
        <w:t>et al.</w:t>
      </w:r>
      <w:r>
        <w:rPr/>
        <w:t>, 2015; Yang </w:t>
      </w:r>
      <w:r>
        <w:rPr>
          <w:i/>
        </w:rPr>
        <w:t>et al.</w:t>
      </w:r>
      <w:r>
        <w:rPr/>
        <w:t>, 2017; Tupenaite </w:t>
      </w:r>
      <w:r>
        <w:rPr>
          <w:i/>
        </w:rPr>
        <w:t>et al</w:t>
      </w:r>
      <w:r>
        <w:rPr/>
        <w:t>., 2017; Zhou, 2018; Cameron, 2018; Cheung </w:t>
      </w:r>
      <w:r>
        <w:rPr>
          <w:i/>
        </w:rPr>
        <w:t>et al.</w:t>
      </w:r>
      <w:r>
        <w:rPr/>
        <w:t>, 2018; Wang </w:t>
      </w:r>
      <w:r>
        <w:rPr>
          <w:i/>
        </w:rPr>
        <w:t>et al.</w:t>
      </w:r>
      <w:r>
        <w:rPr/>
        <w:t>, 2018). For example, Xiao (2012) studied urban morphology and housing market with emphasis on street network pattern, where street pattern is a fundamental determinant of house prices and street network pattern influences accessibility. Wang </w:t>
      </w:r>
      <w:r>
        <w:rPr>
          <w:i/>
        </w:rPr>
        <w:t>et al. </w:t>
      </w:r>
      <w:r>
        <w:rPr/>
        <w:t>(2018) analyses the spatial patterns and driving</w:t>
      </w:r>
      <w:r>
        <w:rPr>
          <w:spacing w:val="-15"/>
        </w:rPr>
        <w:t> </w:t>
      </w:r>
      <w:r>
        <w:rPr/>
        <w:t>forces</w:t>
      </w:r>
      <w:r>
        <w:rPr>
          <w:spacing w:val="-15"/>
        </w:rPr>
        <w:t> </w:t>
      </w:r>
      <w:r>
        <w:rPr/>
        <w:t>of</w:t>
      </w:r>
      <w:r>
        <w:rPr>
          <w:spacing w:val="-15"/>
        </w:rPr>
        <w:t> </w:t>
      </w:r>
      <w:r>
        <w:rPr/>
        <w:t>Chinese</w:t>
      </w:r>
      <w:r>
        <w:rPr>
          <w:spacing w:val="-15"/>
        </w:rPr>
        <w:t> </w:t>
      </w:r>
      <w:r>
        <w:rPr/>
        <w:t>housing</w:t>
      </w:r>
      <w:r>
        <w:rPr>
          <w:spacing w:val="-15"/>
        </w:rPr>
        <w:t> </w:t>
      </w:r>
      <w:r>
        <w:rPr/>
        <w:t>prices</w:t>
      </w:r>
      <w:r>
        <w:rPr>
          <w:spacing w:val="-15"/>
        </w:rPr>
        <w:t> </w:t>
      </w:r>
      <w:r>
        <w:rPr/>
        <w:t>where</w:t>
      </w:r>
      <w:r>
        <w:rPr>
          <w:spacing w:val="-15"/>
        </w:rPr>
        <w:t> </w:t>
      </w:r>
      <w:r>
        <w:rPr/>
        <w:t>various</w:t>
      </w:r>
      <w:r>
        <w:rPr>
          <w:spacing w:val="-15"/>
        </w:rPr>
        <w:t> </w:t>
      </w:r>
      <w:r>
        <w:rPr/>
        <w:t>theoretical</w:t>
      </w:r>
      <w:r>
        <w:rPr>
          <w:spacing w:val="-15"/>
        </w:rPr>
        <w:t> </w:t>
      </w:r>
      <w:r>
        <w:rPr/>
        <w:t>dimensions</w:t>
      </w:r>
      <w:r>
        <w:rPr>
          <w:spacing w:val="-15"/>
        </w:rPr>
        <w:t> </w:t>
      </w:r>
      <w:r>
        <w:rPr/>
        <w:t>on</w:t>
      </w:r>
      <w:r>
        <w:rPr>
          <w:spacing w:val="-15"/>
        </w:rPr>
        <w:t> </w:t>
      </w:r>
      <w:r>
        <w:rPr/>
        <w:t>housing supply, demand and market, are viewed as determinants of a housing price model to examine the effect of prices of land on hosing prices. These authors did not consider housing submarket in their respective studies.</w:t>
      </w:r>
    </w:p>
    <w:p>
      <w:pPr>
        <w:pStyle w:val="BodyText"/>
        <w:spacing w:line="480" w:lineRule="auto" w:before="238"/>
        <w:ind w:left="305" w:right="513"/>
      </w:pPr>
      <w:r>
        <w:rPr/>
        <w:t>Available literature</w:t>
      </w:r>
      <w:r>
        <w:rPr>
          <w:spacing w:val="-1"/>
        </w:rPr>
        <w:t> </w:t>
      </w:r>
      <w:r>
        <w:rPr/>
        <w:t>on housing</w:t>
      </w:r>
      <w:r>
        <w:rPr>
          <w:spacing w:val="-2"/>
        </w:rPr>
        <w:t> </w:t>
      </w:r>
      <w:r>
        <w:rPr/>
        <w:t>submarket (for</w:t>
      </w:r>
      <w:r>
        <w:rPr>
          <w:spacing w:val="-1"/>
        </w:rPr>
        <w:t> </w:t>
      </w:r>
      <w:r>
        <w:rPr/>
        <w:t>example, Royuela &amp;</w:t>
      </w:r>
      <w:r>
        <w:rPr>
          <w:spacing w:val="-2"/>
        </w:rPr>
        <w:t> </w:t>
      </w:r>
      <w:r>
        <w:rPr/>
        <w:t>Vargas, 2007; Park, 2013;</w:t>
      </w:r>
      <w:r>
        <w:rPr>
          <w:spacing w:val="-8"/>
        </w:rPr>
        <w:t> </w:t>
      </w:r>
      <w:r>
        <w:rPr/>
        <w:t>Manganelli</w:t>
      </w:r>
      <w:r>
        <w:rPr>
          <w:spacing w:val="-7"/>
        </w:rPr>
        <w:t> </w:t>
      </w:r>
      <w:r>
        <w:rPr>
          <w:i/>
        </w:rPr>
        <w:t>et</w:t>
      </w:r>
      <w:r>
        <w:rPr>
          <w:i/>
          <w:spacing w:val="-8"/>
        </w:rPr>
        <w:t> </w:t>
      </w:r>
      <w:r>
        <w:rPr>
          <w:i/>
        </w:rPr>
        <w:t>al.</w:t>
      </w:r>
      <w:r>
        <w:rPr/>
        <w:t>,</w:t>
      </w:r>
      <w:r>
        <w:rPr>
          <w:spacing w:val="-10"/>
        </w:rPr>
        <w:t> </w:t>
      </w:r>
      <w:r>
        <w:rPr/>
        <w:t>2014),</w:t>
      </w:r>
      <w:r>
        <w:rPr>
          <w:spacing w:val="-8"/>
        </w:rPr>
        <w:t> </w:t>
      </w:r>
      <w:r>
        <w:rPr/>
        <w:t>very</w:t>
      </w:r>
      <w:r>
        <w:rPr>
          <w:spacing w:val="-12"/>
        </w:rPr>
        <w:t> </w:t>
      </w:r>
      <w:r>
        <w:rPr/>
        <w:t>little</w:t>
      </w:r>
      <w:r>
        <w:rPr>
          <w:spacing w:val="-8"/>
        </w:rPr>
        <w:t> </w:t>
      </w:r>
      <w:r>
        <w:rPr/>
        <w:t>is</w:t>
      </w:r>
      <w:r>
        <w:rPr>
          <w:spacing w:val="-8"/>
        </w:rPr>
        <w:t> </w:t>
      </w:r>
      <w:r>
        <w:rPr/>
        <w:t>written</w:t>
      </w:r>
      <w:r>
        <w:rPr>
          <w:spacing w:val="-8"/>
        </w:rPr>
        <w:t> </w:t>
      </w:r>
      <w:r>
        <w:rPr/>
        <w:t>on</w:t>
      </w:r>
      <w:r>
        <w:rPr>
          <w:spacing w:val="-8"/>
        </w:rPr>
        <w:t> </w:t>
      </w:r>
      <w:r>
        <w:rPr/>
        <w:t>delineation</w:t>
      </w:r>
      <w:r>
        <w:rPr>
          <w:spacing w:val="-5"/>
        </w:rPr>
        <w:t> </w:t>
      </w:r>
      <w:r>
        <w:rPr/>
        <w:t>of</w:t>
      </w:r>
      <w:r>
        <w:rPr>
          <w:spacing w:val="-8"/>
        </w:rPr>
        <w:t> </w:t>
      </w:r>
      <w:r>
        <w:rPr/>
        <w:t>housing</w:t>
      </w:r>
      <w:r>
        <w:rPr>
          <w:spacing w:val="-10"/>
        </w:rPr>
        <w:t> </w:t>
      </w:r>
      <w:r>
        <w:rPr/>
        <w:t>market</w:t>
      </w:r>
      <w:r>
        <w:rPr>
          <w:spacing w:val="-7"/>
        </w:rPr>
        <w:t> </w:t>
      </w:r>
      <w:r>
        <w:rPr/>
        <w:t>(for example,</w:t>
      </w:r>
      <w:r>
        <w:rPr>
          <w:spacing w:val="-5"/>
        </w:rPr>
        <w:t> </w:t>
      </w:r>
      <w:r>
        <w:rPr/>
        <w:t>Wu</w:t>
      </w:r>
      <w:r>
        <w:rPr>
          <w:spacing w:val="-6"/>
        </w:rPr>
        <w:t> </w:t>
      </w:r>
      <w:r>
        <w:rPr/>
        <w:t>&amp;</w:t>
      </w:r>
      <w:r>
        <w:rPr>
          <w:spacing w:val="-8"/>
        </w:rPr>
        <w:t> </w:t>
      </w:r>
      <w:r>
        <w:rPr/>
        <w:t>Sharma,</w:t>
      </w:r>
      <w:r>
        <w:rPr>
          <w:spacing w:val="-3"/>
        </w:rPr>
        <w:t> </w:t>
      </w:r>
      <w:r>
        <w:rPr/>
        <w:t>2012;</w:t>
      </w:r>
      <w:r>
        <w:rPr>
          <w:spacing w:val="-4"/>
        </w:rPr>
        <w:t> </w:t>
      </w:r>
      <w:r>
        <w:rPr/>
        <w:t>Manganelli</w:t>
      </w:r>
      <w:r>
        <w:rPr>
          <w:spacing w:val="-5"/>
        </w:rPr>
        <w:t> </w:t>
      </w:r>
      <w:r>
        <w:rPr>
          <w:i/>
        </w:rPr>
        <w:t>et</w:t>
      </w:r>
      <w:r>
        <w:rPr>
          <w:i/>
          <w:spacing w:val="-5"/>
        </w:rPr>
        <w:t> </w:t>
      </w:r>
      <w:r>
        <w:rPr>
          <w:i/>
        </w:rPr>
        <w:t>al.</w:t>
      </w:r>
      <w:r>
        <w:rPr/>
        <w:t>,</w:t>
      </w:r>
      <w:r>
        <w:rPr>
          <w:spacing w:val="-3"/>
        </w:rPr>
        <w:t> </w:t>
      </w:r>
      <w:r>
        <w:rPr/>
        <w:t>2014).</w:t>
      </w:r>
      <w:r>
        <w:rPr>
          <w:spacing w:val="-7"/>
        </w:rPr>
        <w:t> </w:t>
      </w:r>
      <w:r>
        <w:rPr/>
        <w:t>Wu</w:t>
      </w:r>
      <w:r>
        <w:rPr>
          <w:spacing w:val="-6"/>
        </w:rPr>
        <w:t> </w:t>
      </w:r>
      <w:r>
        <w:rPr/>
        <w:t>&amp;</w:t>
      </w:r>
      <w:r>
        <w:rPr>
          <w:spacing w:val="-8"/>
        </w:rPr>
        <w:t> </w:t>
      </w:r>
      <w:r>
        <w:rPr/>
        <w:t>Sharma</w:t>
      </w:r>
      <w:r>
        <w:rPr>
          <w:spacing w:val="-5"/>
        </w:rPr>
        <w:t> </w:t>
      </w:r>
      <w:r>
        <w:rPr/>
        <w:t>(2012)</w:t>
      </w:r>
      <w:r>
        <w:rPr>
          <w:spacing w:val="-5"/>
        </w:rPr>
        <w:t> </w:t>
      </w:r>
      <w:r>
        <w:rPr/>
        <w:t>classified housing submarket by developing a spatially constrained data-driven methodology to segment</w:t>
      </w:r>
      <w:r>
        <w:rPr>
          <w:spacing w:val="54"/>
        </w:rPr>
        <w:t> </w:t>
      </w:r>
      <w:r>
        <w:rPr/>
        <w:t>the</w:t>
      </w:r>
      <w:r>
        <w:rPr>
          <w:spacing w:val="53"/>
        </w:rPr>
        <w:t> </w:t>
      </w:r>
      <w:r>
        <w:rPr/>
        <w:t>housing</w:t>
      </w:r>
      <w:r>
        <w:rPr>
          <w:spacing w:val="53"/>
        </w:rPr>
        <w:t> </w:t>
      </w:r>
      <w:r>
        <w:rPr/>
        <w:t>market.</w:t>
      </w:r>
      <w:r>
        <w:rPr>
          <w:spacing w:val="55"/>
        </w:rPr>
        <w:t> </w:t>
      </w:r>
      <w:r>
        <w:rPr/>
        <w:t>Specifically,</w:t>
      </w:r>
      <w:r>
        <w:rPr>
          <w:spacing w:val="53"/>
        </w:rPr>
        <w:t> </w:t>
      </w:r>
      <w:r>
        <w:rPr/>
        <w:t>the</w:t>
      </w:r>
      <w:r>
        <w:rPr>
          <w:spacing w:val="55"/>
        </w:rPr>
        <w:t> </w:t>
      </w:r>
      <w:r>
        <w:rPr/>
        <w:t>model</w:t>
      </w:r>
      <w:r>
        <w:rPr>
          <w:spacing w:val="53"/>
        </w:rPr>
        <w:t> </w:t>
      </w:r>
      <w:r>
        <w:rPr/>
        <w:t>based</w:t>
      </w:r>
      <w:r>
        <w:rPr>
          <w:spacing w:val="57"/>
        </w:rPr>
        <w:t> </w:t>
      </w:r>
      <w:r>
        <w:rPr/>
        <w:t>on</w:t>
      </w:r>
      <w:r>
        <w:rPr>
          <w:spacing w:val="53"/>
        </w:rPr>
        <w:t> </w:t>
      </w:r>
      <w:r>
        <w:rPr/>
        <w:t>cluster</w:t>
      </w:r>
      <w:r>
        <w:rPr>
          <w:spacing w:val="55"/>
        </w:rPr>
        <w:t> </w:t>
      </w:r>
      <w:r>
        <w:rPr/>
        <w:t>analysis</w:t>
      </w:r>
      <w:r>
        <w:rPr>
          <w:spacing w:val="58"/>
        </w:rPr>
        <w:t> </w:t>
      </w:r>
      <w:r>
        <w:rPr>
          <w:spacing w:val="-5"/>
        </w:rPr>
        <w:t>and</w:t>
      </w:r>
    </w:p>
    <w:p>
      <w:pPr>
        <w:spacing w:after="0" w:line="480" w:lineRule="auto"/>
        <w:sectPr>
          <w:pgSz w:w="11910" w:h="16840"/>
          <w:pgMar w:header="0" w:footer="1022" w:top="1320" w:bottom="1220" w:left="1680" w:right="900"/>
        </w:sectPr>
      </w:pPr>
    </w:p>
    <w:p>
      <w:pPr>
        <w:pStyle w:val="BodyText"/>
        <w:spacing w:line="480" w:lineRule="auto" w:before="72"/>
        <w:ind w:left="305" w:right="514"/>
      </w:pPr>
      <w:r>
        <w:rPr/>
        <w:t>Principal</w:t>
      </w:r>
      <w:r>
        <w:rPr>
          <w:spacing w:val="-6"/>
        </w:rPr>
        <w:t> </w:t>
      </w:r>
      <w:r>
        <w:rPr/>
        <w:t>Component</w:t>
      </w:r>
      <w:r>
        <w:rPr>
          <w:spacing w:val="-6"/>
        </w:rPr>
        <w:t> </w:t>
      </w:r>
      <w:r>
        <w:rPr/>
        <w:t>Analysis</w:t>
      </w:r>
      <w:r>
        <w:rPr>
          <w:spacing w:val="-5"/>
        </w:rPr>
        <w:t> </w:t>
      </w:r>
      <w:r>
        <w:rPr/>
        <w:t>(PCA)</w:t>
      </w:r>
      <w:r>
        <w:rPr>
          <w:spacing w:val="-5"/>
        </w:rPr>
        <w:t> </w:t>
      </w:r>
      <w:r>
        <w:rPr/>
        <w:t>was</w:t>
      </w:r>
      <w:r>
        <w:rPr>
          <w:spacing w:val="-6"/>
        </w:rPr>
        <w:t> </w:t>
      </w:r>
      <w:r>
        <w:rPr/>
        <w:t>developed</w:t>
      </w:r>
      <w:r>
        <w:rPr>
          <w:spacing w:val="-6"/>
        </w:rPr>
        <w:t> </w:t>
      </w:r>
      <w:r>
        <w:rPr/>
        <w:t>for</w:t>
      </w:r>
      <w:r>
        <w:rPr>
          <w:spacing w:val="-5"/>
        </w:rPr>
        <w:t> </w:t>
      </w:r>
      <w:r>
        <w:rPr/>
        <w:t>housing</w:t>
      </w:r>
      <w:r>
        <w:rPr>
          <w:spacing w:val="-6"/>
        </w:rPr>
        <w:t> </w:t>
      </w:r>
      <w:r>
        <w:rPr/>
        <w:t>submarket</w:t>
      </w:r>
      <w:r>
        <w:rPr>
          <w:spacing w:val="-5"/>
        </w:rPr>
        <w:t> </w:t>
      </w:r>
      <w:r>
        <w:rPr/>
        <w:t>delineation. The model constitutes a number of locational attributes which were used for PCA, and also the incorporation of spatial locations of the houses into the cluster analysis. Manganelli </w:t>
      </w:r>
      <w:r>
        <w:rPr>
          <w:i/>
        </w:rPr>
        <w:t>et al</w:t>
      </w:r>
      <w:r>
        <w:rPr/>
        <w:t>. (2014)</w:t>
      </w:r>
      <w:r>
        <w:rPr>
          <w:spacing w:val="40"/>
        </w:rPr>
        <w:t> </w:t>
      </w:r>
      <w:r>
        <w:rPr/>
        <w:t>adopted Geographically Weighted Regression in analysing housing market, in order to identify homogeneous areas and to define housing submarkets. The researchers focus on the spatial specification of housing submarket delineation and ignoring the non-spatial specifications. This has been criticised by Xiao (2012) for making scientific research complex and not simply replicable.</w:t>
      </w:r>
    </w:p>
    <w:p>
      <w:pPr>
        <w:pStyle w:val="BodyText"/>
        <w:spacing w:line="480" w:lineRule="auto" w:before="241"/>
        <w:ind w:left="305" w:right="511"/>
      </w:pPr>
      <w:r>
        <w:rPr/>
        <w:t>Studies</w:t>
      </w:r>
      <w:r>
        <w:rPr>
          <w:spacing w:val="-15"/>
        </w:rPr>
        <w:t> </w:t>
      </w:r>
      <w:r>
        <w:rPr/>
        <w:t>of</w:t>
      </w:r>
      <w:r>
        <w:rPr>
          <w:spacing w:val="-14"/>
        </w:rPr>
        <w:t> </w:t>
      </w:r>
      <w:r>
        <w:rPr/>
        <w:t>urban</w:t>
      </w:r>
      <w:r>
        <w:rPr>
          <w:spacing w:val="-12"/>
        </w:rPr>
        <w:t> </w:t>
      </w:r>
      <w:r>
        <w:rPr/>
        <w:t>morphology</w:t>
      </w:r>
      <w:r>
        <w:rPr>
          <w:spacing w:val="-15"/>
        </w:rPr>
        <w:t> </w:t>
      </w:r>
      <w:r>
        <w:rPr/>
        <w:t>(densification</w:t>
      </w:r>
      <w:r>
        <w:rPr>
          <w:spacing w:val="-12"/>
        </w:rPr>
        <w:t> </w:t>
      </w:r>
      <w:r>
        <w:rPr/>
        <w:t>specifically)</w:t>
      </w:r>
      <w:r>
        <w:rPr>
          <w:spacing w:val="-13"/>
        </w:rPr>
        <w:t> </w:t>
      </w:r>
      <w:r>
        <w:rPr/>
        <w:t>in</w:t>
      </w:r>
      <w:r>
        <w:rPr>
          <w:spacing w:val="-13"/>
        </w:rPr>
        <w:t> </w:t>
      </w:r>
      <w:r>
        <w:rPr/>
        <w:t>relation</w:t>
      </w:r>
      <w:r>
        <w:rPr>
          <w:spacing w:val="-13"/>
        </w:rPr>
        <w:t> </w:t>
      </w:r>
      <w:r>
        <w:rPr/>
        <w:t>to</w:t>
      </w:r>
      <w:r>
        <w:rPr>
          <w:spacing w:val="-13"/>
        </w:rPr>
        <w:t> </w:t>
      </w:r>
      <w:r>
        <w:rPr/>
        <w:t>the</w:t>
      </w:r>
      <w:r>
        <w:rPr>
          <w:spacing w:val="-12"/>
        </w:rPr>
        <w:t> </w:t>
      </w:r>
      <w:r>
        <w:rPr/>
        <w:t>housing</w:t>
      </w:r>
      <w:r>
        <w:rPr>
          <w:spacing w:val="-15"/>
        </w:rPr>
        <w:t> </w:t>
      </w:r>
      <w:r>
        <w:rPr/>
        <w:t>market are</w:t>
      </w:r>
      <w:r>
        <w:rPr>
          <w:spacing w:val="-15"/>
        </w:rPr>
        <w:t> </w:t>
      </w:r>
      <w:r>
        <w:rPr/>
        <w:t>not</w:t>
      </w:r>
      <w:r>
        <w:rPr>
          <w:spacing w:val="-12"/>
        </w:rPr>
        <w:t> </w:t>
      </w:r>
      <w:r>
        <w:rPr/>
        <w:t>common</w:t>
      </w:r>
      <w:r>
        <w:rPr>
          <w:spacing w:val="-14"/>
        </w:rPr>
        <w:t> </w:t>
      </w:r>
      <w:r>
        <w:rPr/>
        <w:t>because</w:t>
      </w:r>
      <w:r>
        <w:rPr>
          <w:spacing w:val="-13"/>
        </w:rPr>
        <w:t> </w:t>
      </w:r>
      <w:r>
        <w:rPr/>
        <w:t>of</w:t>
      </w:r>
      <w:r>
        <w:rPr>
          <w:spacing w:val="-15"/>
        </w:rPr>
        <w:t> </w:t>
      </w:r>
      <w:r>
        <w:rPr/>
        <w:t>the</w:t>
      </w:r>
      <w:r>
        <w:rPr>
          <w:spacing w:val="-15"/>
        </w:rPr>
        <w:t> </w:t>
      </w:r>
      <w:r>
        <w:rPr/>
        <w:t>rare</w:t>
      </w:r>
      <w:r>
        <w:rPr>
          <w:spacing w:val="-14"/>
        </w:rPr>
        <w:t> </w:t>
      </w:r>
      <w:r>
        <w:rPr/>
        <w:t>robust</w:t>
      </w:r>
      <w:r>
        <w:rPr>
          <w:spacing w:val="-14"/>
        </w:rPr>
        <w:t> </w:t>
      </w:r>
      <w:r>
        <w:rPr/>
        <w:t>approach</w:t>
      </w:r>
      <w:r>
        <w:rPr>
          <w:spacing w:val="-14"/>
        </w:rPr>
        <w:t> </w:t>
      </w:r>
      <w:r>
        <w:rPr/>
        <w:t>to</w:t>
      </w:r>
      <w:r>
        <w:rPr>
          <w:spacing w:val="-14"/>
        </w:rPr>
        <w:t> </w:t>
      </w:r>
      <w:r>
        <w:rPr/>
        <w:t>measure</w:t>
      </w:r>
      <w:r>
        <w:rPr>
          <w:spacing w:val="-15"/>
        </w:rPr>
        <w:t> </w:t>
      </w:r>
      <w:r>
        <w:rPr/>
        <w:t>the</w:t>
      </w:r>
      <w:r>
        <w:rPr>
          <w:spacing w:val="-15"/>
        </w:rPr>
        <w:t> </w:t>
      </w:r>
      <w:r>
        <w:rPr/>
        <w:t>urban</w:t>
      </w:r>
      <w:r>
        <w:rPr>
          <w:spacing w:val="-12"/>
        </w:rPr>
        <w:t> </w:t>
      </w:r>
      <w:r>
        <w:rPr/>
        <w:t>form</w:t>
      </w:r>
      <w:r>
        <w:rPr>
          <w:spacing w:val="-15"/>
        </w:rPr>
        <w:t> </w:t>
      </w:r>
      <w:r>
        <w:rPr/>
        <w:t>accurately (Xiao, 2017b). In this context, this dissertation employs conventional methods such as Convolutional Neural Network, hedonic and spatial analysis methods to analyse urban density</w:t>
      </w:r>
      <w:r>
        <w:rPr>
          <w:spacing w:val="-3"/>
        </w:rPr>
        <w:t> </w:t>
      </w:r>
      <w:r>
        <w:rPr/>
        <w:t>and housing market. By doing so, it attempts to contribute significantly</w:t>
      </w:r>
      <w:r>
        <w:rPr>
          <w:spacing w:val="-2"/>
        </w:rPr>
        <w:t> </w:t>
      </w:r>
      <w:r>
        <w:rPr/>
        <w:t>to urban scholarship</w:t>
      </w:r>
      <w:r>
        <w:rPr>
          <w:spacing w:val="-8"/>
        </w:rPr>
        <w:t> </w:t>
      </w:r>
      <w:r>
        <w:rPr/>
        <w:t>by</w:t>
      </w:r>
      <w:r>
        <w:rPr>
          <w:spacing w:val="-13"/>
        </w:rPr>
        <w:t> </w:t>
      </w:r>
      <w:r>
        <w:rPr/>
        <w:t>exploring</w:t>
      </w:r>
      <w:r>
        <w:rPr>
          <w:spacing w:val="-8"/>
        </w:rPr>
        <w:t> </w:t>
      </w:r>
      <w:r>
        <w:rPr/>
        <w:t>how</w:t>
      </w:r>
      <w:r>
        <w:rPr>
          <w:spacing w:val="-8"/>
        </w:rPr>
        <w:t> </w:t>
      </w:r>
      <w:r>
        <w:rPr/>
        <w:t>measured</w:t>
      </w:r>
      <w:r>
        <w:rPr>
          <w:spacing w:val="-8"/>
        </w:rPr>
        <w:t> </w:t>
      </w:r>
      <w:r>
        <w:rPr/>
        <w:t>residential</w:t>
      </w:r>
      <w:r>
        <w:rPr>
          <w:spacing w:val="-8"/>
        </w:rPr>
        <w:t> </w:t>
      </w:r>
      <w:r>
        <w:rPr/>
        <w:t>density</w:t>
      </w:r>
      <w:r>
        <w:rPr>
          <w:spacing w:val="-13"/>
        </w:rPr>
        <w:t> </w:t>
      </w:r>
      <w:r>
        <w:rPr/>
        <w:t>related</w:t>
      </w:r>
      <w:r>
        <w:rPr>
          <w:spacing w:val="-6"/>
        </w:rPr>
        <w:t> </w:t>
      </w:r>
      <w:r>
        <w:rPr/>
        <w:t>to</w:t>
      </w:r>
      <w:r>
        <w:rPr>
          <w:spacing w:val="-8"/>
        </w:rPr>
        <w:t> </w:t>
      </w:r>
      <w:r>
        <w:rPr/>
        <w:t>several</w:t>
      </w:r>
      <w:r>
        <w:rPr>
          <w:spacing w:val="-5"/>
        </w:rPr>
        <w:t> </w:t>
      </w:r>
      <w:r>
        <w:rPr/>
        <w:t>issues</w:t>
      </w:r>
      <w:r>
        <w:rPr>
          <w:spacing w:val="-8"/>
        </w:rPr>
        <w:t> </w:t>
      </w:r>
      <w:r>
        <w:rPr/>
        <w:t>in</w:t>
      </w:r>
      <w:r>
        <w:rPr>
          <w:spacing w:val="-8"/>
        </w:rPr>
        <w:t> </w:t>
      </w:r>
      <w:r>
        <w:rPr/>
        <w:t>the housing market, particularly the housing submarket.</w:t>
      </w:r>
    </w:p>
    <w:p>
      <w:pPr>
        <w:pStyle w:val="BodyText"/>
        <w:spacing w:line="480" w:lineRule="auto" w:before="241"/>
        <w:ind w:left="305" w:right="511"/>
      </w:pPr>
      <w:r>
        <w:rPr/>
        <w:t>Much has not been done on how to delineate submarkets in housing markets of the developing world, most especially Nigeria urban areas, where typology of buildings in several fast-growing urban areas are simple structures and informal. This is the case in Bida town. It is on this basis this research intends to fill another gap in the literature by delineating the Bida housing submarket and demarcating it using both spatial and non- spatial specifications.</w:t>
      </w:r>
    </w:p>
    <w:p>
      <w:pPr>
        <w:spacing w:after="0" w:line="480" w:lineRule="auto"/>
        <w:sectPr>
          <w:pgSz w:w="11910" w:h="16840"/>
          <w:pgMar w:header="0" w:footer="1022" w:top="1320" w:bottom="1220" w:left="1680" w:right="900"/>
        </w:sectPr>
      </w:pPr>
    </w:p>
    <w:p>
      <w:pPr>
        <w:pStyle w:val="Heading1"/>
        <w:numPr>
          <w:ilvl w:val="1"/>
          <w:numId w:val="1"/>
        </w:numPr>
        <w:tabs>
          <w:tab w:pos="1025" w:val="left" w:leader="none"/>
        </w:tabs>
        <w:spacing w:line="240" w:lineRule="auto" w:before="79" w:after="0"/>
        <w:ind w:left="1025" w:right="0" w:hanging="720"/>
        <w:jc w:val="left"/>
      </w:pPr>
      <w:r>
        <w:rPr/>
        <w:t>Research</w:t>
      </w:r>
      <w:r>
        <w:rPr>
          <w:spacing w:val="-5"/>
        </w:rPr>
        <w:t> </w:t>
      </w:r>
      <w:r>
        <w:rPr>
          <w:spacing w:val="-2"/>
        </w:rPr>
        <w:t>Questions</w:t>
      </w:r>
    </w:p>
    <w:p>
      <w:pPr>
        <w:pStyle w:val="BodyText"/>
        <w:spacing w:before="233"/>
        <w:jc w:val="left"/>
        <w:rPr>
          <w:b/>
        </w:rPr>
      </w:pPr>
    </w:p>
    <w:p>
      <w:pPr>
        <w:pStyle w:val="ListParagraph"/>
        <w:numPr>
          <w:ilvl w:val="0"/>
          <w:numId w:val="2"/>
        </w:numPr>
        <w:tabs>
          <w:tab w:pos="1025" w:val="left" w:leader="none"/>
        </w:tabs>
        <w:spacing w:line="480" w:lineRule="auto" w:before="0" w:after="0"/>
        <w:ind w:left="1025" w:right="880" w:hanging="488"/>
        <w:jc w:val="left"/>
        <w:rPr>
          <w:sz w:val="24"/>
        </w:rPr>
      </w:pPr>
      <w:r>
        <w:rPr>
          <w:sz w:val="24"/>
        </w:rPr>
        <w:t>What</w:t>
      </w:r>
      <w:r>
        <w:rPr>
          <w:spacing w:val="-3"/>
          <w:sz w:val="24"/>
        </w:rPr>
        <w:t> </w:t>
      </w:r>
      <w:r>
        <w:rPr>
          <w:sz w:val="24"/>
        </w:rPr>
        <w:t>pattern</w:t>
      </w:r>
      <w:r>
        <w:rPr>
          <w:spacing w:val="-3"/>
          <w:sz w:val="24"/>
        </w:rPr>
        <w:t> </w:t>
      </w:r>
      <w:r>
        <w:rPr>
          <w:sz w:val="24"/>
        </w:rPr>
        <w:t>revealed</w:t>
      </w:r>
      <w:r>
        <w:rPr>
          <w:spacing w:val="-3"/>
          <w:sz w:val="24"/>
        </w:rPr>
        <w:t> </w:t>
      </w:r>
      <w:r>
        <w:rPr>
          <w:sz w:val="24"/>
        </w:rPr>
        <w:t>by</w:t>
      </w:r>
      <w:r>
        <w:rPr>
          <w:spacing w:val="-6"/>
          <w:sz w:val="24"/>
        </w:rPr>
        <w:t> </w:t>
      </w:r>
      <w:r>
        <w:rPr>
          <w:sz w:val="24"/>
        </w:rPr>
        <w:t>the</w:t>
      </w:r>
      <w:r>
        <w:rPr>
          <w:spacing w:val="-3"/>
          <w:sz w:val="24"/>
        </w:rPr>
        <w:t> </w:t>
      </w:r>
      <w:r>
        <w:rPr>
          <w:sz w:val="24"/>
        </w:rPr>
        <w:t>residential</w:t>
      </w:r>
      <w:r>
        <w:rPr>
          <w:spacing w:val="-3"/>
          <w:sz w:val="24"/>
        </w:rPr>
        <w:t> </w:t>
      </w:r>
      <w:r>
        <w:rPr>
          <w:sz w:val="24"/>
        </w:rPr>
        <w:t>density</w:t>
      </w:r>
      <w:r>
        <w:rPr>
          <w:spacing w:val="-5"/>
          <w:sz w:val="24"/>
        </w:rPr>
        <w:t> </w:t>
      </w:r>
      <w:r>
        <w:rPr>
          <w:sz w:val="24"/>
        </w:rPr>
        <w:t>of</w:t>
      </w:r>
      <w:r>
        <w:rPr>
          <w:spacing w:val="-2"/>
          <w:sz w:val="24"/>
        </w:rPr>
        <w:t> </w:t>
      </w:r>
      <w:r>
        <w:rPr>
          <w:sz w:val="24"/>
        </w:rPr>
        <w:t>housing</w:t>
      </w:r>
      <w:r>
        <w:rPr>
          <w:spacing w:val="-6"/>
          <w:sz w:val="24"/>
        </w:rPr>
        <w:t> </w:t>
      </w:r>
      <w:r>
        <w:rPr>
          <w:sz w:val="24"/>
        </w:rPr>
        <w:t>submarkets</w:t>
      </w:r>
      <w:r>
        <w:rPr>
          <w:spacing w:val="-3"/>
          <w:sz w:val="24"/>
        </w:rPr>
        <w:t> </w:t>
      </w:r>
      <w:r>
        <w:rPr>
          <w:sz w:val="24"/>
        </w:rPr>
        <w:t>in</w:t>
      </w:r>
      <w:r>
        <w:rPr>
          <w:spacing w:val="-3"/>
          <w:sz w:val="24"/>
        </w:rPr>
        <w:t> </w:t>
      </w:r>
      <w:r>
        <w:rPr>
          <w:sz w:val="24"/>
        </w:rPr>
        <w:t>the study area?</w:t>
      </w:r>
    </w:p>
    <w:p>
      <w:pPr>
        <w:pStyle w:val="ListParagraph"/>
        <w:numPr>
          <w:ilvl w:val="0"/>
          <w:numId w:val="2"/>
        </w:numPr>
        <w:tabs>
          <w:tab w:pos="1025" w:val="left" w:leader="none"/>
        </w:tabs>
        <w:spacing w:line="480" w:lineRule="auto" w:before="0" w:after="0"/>
        <w:ind w:left="1025" w:right="515" w:hanging="555"/>
        <w:jc w:val="left"/>
        <w:rPr>
          <w:sz w:val="24"/>
        </w:rPr>
      </w:pPr>
      <w:r>
        <w:rPr>
          <w:sz w:val="24"/>
        </w:rPr>
        <w:t>How</w:t>
      </w:r>
      <w:r>
        <w:rPr>
          <w:spacing w:val="28"/>
          <w:sz w:val="24"/>
        </w:rPr>
        <w:t> </w:t>
      </w:r>
      <w:r>
        <w:rPr>
          <w:sz w:val="24"/>
        </w:rPr>
        <w:t>are</w:t>
      </w:r>
      <w:r>
        <w:rPr>
          <w:spacing w:val="28"/>
          <w:sz w:val="24"/>
        </w:rPr>
        <w:t> </w:t>
      </w:r>
      <w:r>
        <w:rPr>
          <w:sz w:val="24"/>
        </w:rPr>
        <w:t>the</w:t>
      </w:r>
      <w:r>
        <w:rPr>
          <w:spacing w:val="28"/>
          <w:sz w:val="24"/>
        </w:rPr>
        <w:t> </w:t>
      </w:r>
      <w:r>
        <w:rPr>
          <w:sz w:val="24"/>
        </w:rPr>
        <w:t>space</w:t>
      </w:r>
      <w:r>
        <w:rPr>
          <w:spacing w:val="28"/>
          <w:sz w:val="24"/>
        </w:rPr>
        <w:t> </w:t>
      </w:r>
      <w:r>
        <w:rPr>
          <w:sz w:val="24"/>
        </w:rPr>
        <w:t>and</w:t>
      </w:r>
      <w:r>
        <w:rPr>
          <w:spacing w:val="28"/>
          <w:sz w:val="24"/>
        </w:rPr>
        <w:t> </w:t>
      </w:r>
      <w:r>
        <w:rPr>
          <w:sz w:val="24"/>
        </w:rPr>
        <w:t>time</w:t>
      </w:r>
      <w:r>
        <w:rPr>
          <w:spacing w:val="28"/>
          <w:sz w:val="24"/>
        </w:rPr>
        <w:t> </w:t>
      </w:r>
      <w:r>
        <w:rPr>
          <w:sz w:val="24"/>
        </w:rPr>
        <w:t>variations</w:t>
      </w:r>
      <w:r>
        <w:rPr>
          <w:spacing w:val="29"/>
          <w:sz w:val="24"/>
        </w:rPr>
        <w:t> </w:t>
      </w:r>
      <w:r>
        <w:rPr>
          <w:sz w:val="24"/>
        </w:rPr>
        <w:t>in</w:t>
      </w:r>
      <w:r>
        <w:rPr>
          <w:spacing w:val="29"/>
          <w:sz w:val="24"/>
        </w:rPr>
        <w:t> </w:t>
      </w:r>
      <w:r>
        <w:rPr>
          <w:sz w:val="24"/>
        </w:rPr>
        <w:t>residential</w:t>
      </w:r>
      <w:r>
        <w:rPr>
          <w:spacing w:val="35"/>
          <w:sz w:val="24"/>
        </w:rPr>
        <w:t> </w:t>
      </w:r>
      <w:r>
        <w:rPr>
          <w:sz w:val="24"/>
        </w:rPr>
        <w:t>density</w:t>
      </w:r>
      <w:r>
        <w:rPr>
          <w:spacing w:val="24"/>
          <w:sz w:val="24"/>
        </w:rPr>
        <w:t> </w:t>
      </w:r>
      <w:r>
        <w:rPr>
          <w:sz w:val="24"/>
        </w:rPr>
        <w:t>of</w:t>
      </w:r>
      <w:r>
        <w:rPr>
          <w:spacing w:val="28"/>
          <w:sz w:val="24"/>
        </w:rPr>
        <w:t> </w:t>
      </w:r>
      <w:r>
        <w:rPr>
          <w:sz w:val="24"/>
        </w:rPr>
        <w:t>the</w:t>
      </w:r>
      <w:r>
        <w:rPr>
          <w:spacing w:val="28"/>
          <w:sz w:val="24"/>
        </w:rPr>
        <w:t> </w:t>
      </w:r>
      <w:r>
        <w:rPr>
          <w:sz w:val="24"/>
        </w:rPr>
        <w:t>study</w:t>
      </w:r>
      <w:r>
        <w:rPr>
          <w:spacing w:val="26"/>
          <w:sz w:val="24"/>
        </w:rPr>
        <w:t> </w:t>
      </w:r>
      <w:r>
        <w:rPr>
          <w:sz w:val="24"/>
        </w:rPr>
        <w:t>area between the years 2008 - 2018?</w:t>
      </w:r>
    </w:p>
    <w:p>
      <w:pPr>
        <w:pStyle w:val="ListParagraph"/>
        <w:numPr>
          <w:ilvl w:val="0"/>
          <w:numId w:val="2"/>
        </w:numPr>
        <w:tabs>
          <w:tab w:pos="1025" w:val="left" w:leader="none"/>
        </w:tabs>
        <w:spacing w:line="480" w:lineRule="auto" w:before="0" w:after="0"/>
        <w:ind w:left="1025" w:right="514" w:hanging="620"/>
        <w:jc w:val="left"/>
        <w:rPr>
          <w:sz w:val="24"/>
        </w:rPr>
      </w:pPr>
      <w:r>
        <w:rPr>
          <w:sz w:val="24"/>
        </w:rPr>
        <w:t>What</w:t>
      </w:r>
      <w:r>
        <w:rPr>
          <w:spacing w:val="-4"/>
          <w:sz w:val="24"/>
        </w:rPr>
        <w:t> </w:t>
      </w:r>
      <w:r>
        <w:rPr>
          <w:sz w:val="24"/>
        </w:rPr>
        <w:t>are</w:t>
      </w:r>
      <w:r>
        <w:rPr>
          <w:spacing w:val="-8"/>
          <w:sz w:val="24"/>
        </w:rPr>
        <w:t> </w:t>
      </w:r>
      <w:r>
        <w:rPr>
          <w:sz w:val="24"/>
        </w:rPr>
        <w:t>the</w:t>
      </w:r>
      <w:r>
        <w:rPr>
          <w:spacing w:val="-6"/>
          <w:sz w:val="24"/>
        </w:rPr>
        <w:t> </w:t>
      </w:r>
      <w:r>
        <w:rPr>
          <w:sz w:val="24"/>
        </w:rPr>
        <w:t>extents</w:t>
      </w:r>
      <w:r>
        <w:rPr>
          <w:spacing w:val="-5"/>
          <w:sz w:val="24"/>
        </w:rPr>
        <w:t> </w:t>
      </w:r>
      <w:r>
        <w:rPr>
          <w:sz w:val="24"/>
        </w:rPr>
        <w:t>of</w:t>
      </w:r>
      <w:r>
        <w:rPr>
          <w:spacing w:val="-7"/>
          <w:sz w:val="24"/>
        </w:rPr>
        <w:t> </w:t>
      </w:r>
      <w:r>
        <w:rPr>
          <w:sz w:val="24"/>
        </w:rPr>
        <w:t>spatial</w:t>
      </w:r>
      <w:r>
        <w:rPr>
          <w:spacing w:val="-5"/>
          <w:sz w:val="24"/>
        </w:rPr>
        <w:t> </w:t>
      </w:r>
      <w:r>
        <w:rPr>
          <w:sz w:val="24"/>
        </w:rPr>
        <w:t>and</w:t>
      </w:r>
      <w:r>
        <w:rPr>
          <w:spacing w:val="-6"/>
          <w:sz w:val="24"/>
        </w:rPr>
        <w:t> </w:t>
      </w:r>
      <w:r>
        <w:rPr>
          <w:sz w:val="24"/>
        </w:rPr>
        <w:t>temporal</w:t>
      </w:r>
      <w:r>
        <w:rPr>
          <w:spacing w:val="-5"/>
          <w:sz w:val="24"/>
        </w:rPr>
        <w:t> </w:t>
      </w:r>
      <w:r>
        <w:rPr>
          <w:sz w:val="24"/>
        </w:rPr>
        <w:t>changes</w:t>
      </w:r>
      <w:r>
        <w:rPr>
          <w:spacing w:val="-4"/>
          <w:sz w:val="24"/>
        </w:rPr>
        <w:t> </w:t>
      </w:r>
      <w:r>
        <w:rPr>
          <w:sz w:val="24"/>
        </w:rPr>
        <w:t>in</w:t>
      </w:r>
      <w:r>
        <w:rPr>
          <w:spacing w:val="-5"/>
          <w:sz w:val="24"/>
        </w:rPr>
        <w:t> </w:t>
      </w:r>
      <w:r>
        <w:rPr>
          <w:sz w:val="24"/>
        </w:rPr>
        <w:t>the</w:t>
      </w:r>
      <w:r>
        <w:rPr>
          <w:spacing w:val="-6"/>
          <w:sz w:val="24"/>
        </w:rPr>
        <w:t> </w:t>
      </w:r>
      <w:r>
        <w:rPr>
          <w:sz w:val="24"/>
        </w:rPr>
        <w:t>housing</w:t>
      </w:r>
      <w:r>
        <w:rPr>
          <w:spacing w:val="-8"/>
          <w:sz w:val="24"/>
        </w:rPr>
        <w:t> </w:t>
      </w:r>
      <w:r>
        <w:rPr>
          <w:sz w:val="24"/>
        </w:rPr>
        <w:t>market</w:t>
      </w:r>
      <w:r>
        <w:rPr>
          <w:spacing w:val="-3"/>
          <w:sz w:val="24"/>
        </w:rPr>
        <w:t> </w:t>
      </w:r>
      <w:r>
        <w:rPr>
          <w:sz w:val="24"/>
        </w:rPr>
        <w:t>of</w:t>
      </w:r>
      <w:r>
        <w:rPr>
          <w:spacing w:val="-7"/>
          <w:sz w:val="24"/>
        </w:rPr>
        <w:t> </w:t>
      </w:r>
      <w:r>
        <w:rPr>
          <w:sz w:val="24"/>
        </w:rPr>
        <w:t>the study area between the years 2008 - 2018?</w:t>
      </w:r>
    </w:p>
    <w:p>
      <w:pPr>
        <w:pStyle w:val="ListParagraph"/>
        <w:numPr>
          <w:ilvl w:val="0"/>
          <w:numId w:val="2"/>
        </w:numPr>
        <w:tabs>
          <w:tab w:pos="1025" w:val="left" w:leader="none"/>
        </w:tabs>
        <w:spacing w:line="240" w:lineRule="auto" w:before="1" w:after="0"/>
        <w:ind w:left="1025" w:right="0" w:hanging="607"/>
        <w:jc w:val="left"/>
        <w:rPr>
          <w:sz w:val="24"/>
        </w:rPr>
      </w:pPr>
      <w:r>
        <w:rPr>
          <w:sz w:val="24"/>
        </w:rPr>
        <w:t>To</w:t>
      </w:r>
      <w:r>
        <w:rPr>
          <w:spacing w:val="-1"/>
          <w:sz w:val="24"/>
        </w:rPr>
        <w:t> </w:t>
      </w:r>
      <w:r>
        <w:rPr>
          <w:sz w:val="24"/>
        </w:rPr>
        <w:t>what extents</w:t>
      </w:r>
      <w:r>
        <w:rPr>
          <w:spacing w:val="-1"/>
          <w:sz w:val="24"/>
        </w:rPr>
        <w:t> </w:t>
      </w:r>
      <w:r>
        <w:rPr>
          <w:sz w:val="24"/>
        </w:rPr>
        <w:t>does</w:t>
      </w:r>
      <w:r>
        <w:rPr>
          <w:spacing w:val="1"/>
          <w:sz w:val="24"/>
        </w:rPr>
        <w:t> </w:t>
      </w:r>
      <w:r>
        <w:rPr>
          <w:sz w:val="24"/>
        </w:rPr>
        <w:t>residential</w:t>
      </w:r>
      <w:r>
        <w:rPr>
          <w:spacing w:val="-1"/>
          <w:sz w:val="24"/>
        </w:rPr>
        <w:t> </w:t>
      </w:r>
      <w:r>
        <w:rPr>
          <w:sz w:val="24"/>
        </w:rPr>
        <w:t>density</w:t>
      </w:r>
      <w:r>
        <w:rPr>
          <w:spacing w:val="-5"/>
          <w:sz w:val="24"/>
        </w:rPr>
        <w:t> </w:t>
      </w:r>
      <w:r>
        <w:rPr>
          <w:sz w:val="24"/>
        </w:rPr>
        <w:t>have</w:t>
      </w:r>
      <w:r>
        <w:rPr>
          <w:spacing w:val="-2"/>
          <w:sz w:val="24"/>
        </w:rPr>
        <w:t> </w:t>
      </w:r>
      <w:r>
        <w:rPr>
          <w:sz w:val="24"/>
        </w:rPr>
        <w:t>relationship with</w:t>
      </w:r>
      <w:r>
        <w:rPr>
          <w:spacing w:val="-1"/>
          <w:sz w:val="24"/>
        </w:rPr>
        <w:t> </w:t>
      </w:r>
      <w:r>
        <w:rPr>
          <w:sz w:val="24"/>
        </w:rPr>
        <w:t>the rental </w:t>
      </w:r>
      <w:r>
        <w:rPr>
          <w:spacing w:val="-2"/>
          <w:sz w:val="24"/>
        </w:rPr>
        <w:t>value?</w:t>
      </w:r>
    </w:p>
    <w:p>
      <w:pPr>
        <w:pStyle w:val="BodyText"/>
        <w:spacing w:before="247"/>
        <w:jc w:val="left"/>
      </w:pPr>
    </w:p>
    <w:p>
      <w:pPr>
        <w:pStyle w:val="Heading1"/>
        <w:numPr>
          <w:ilvl w:val="1"/>
          <w:numId w:val="1"/>
        </w:numPr>
        <w:tabs>
          <w:tab w:pos="1025" w:val="left" w:leader="none"/>
        </w:tabs>
        <w:spacing w:line="240" w:lineRule="auto" w:before="0" w:after="0"/>
        <w:ind w:left="1025" w:right="0" w:hanging="720"/>
        <w:jc w:val="left"/>
      </w:pPr>
      <w:r>
        <w:rPr/>
        <w:t>Aim</w:t>
      </w:r>
      <w:r>
        <w:rPr>
          <w:spacing w:val="-5"/>
        </w:rPr>
        <w:t> </w:t>
      </w:r>
      <w:r>
        <w:rPr/>
        <w:t>and Objectives of</w:t>
      </w:r>
      <w:r>
        <w:rPr>
          <w:spacing w:val="1"/>
        </w:rPr>
        <w:t> </w:t>
      </w:r>
      <w:r>
        <w:rPr/>
        <w:t>the </w:t>
      </w:r>
      <w:r>
        <w:rPr>
          <w:spacing w:val="-2"/>
        </w:rPr>
        <w:t>Study</w:t>
      </w:r>
    </w:p>
    <w:p>
      <w:pPr>
        <w:pStyle w:val="BodyText"/>
        <w:spacing w:before="233"/>
        <w:jc w:val="left"/>
        <w:rPr>
          <w:b/>
        </w:rPr>
      </w:pPr>
    </w:p>
    <w:p>
      <w:pPr>
        <w:pStyle w:val="BodyText"/>
        <w:spacing w:line="480" w:lineRule="auto"/>
        <w:ind w:left="305" w:right="512"/>
      </w:pPr>
      <w:r>
        <w:rPr/>
        <w:t>This research shall seek to apply Geographic Information System</w:t>
      </w:r>
      <w:r>
        <w:rPr>
          <w:spacing w:val="40"/>
        </w:rPr>
        <w:t> </w:t>
      </w:r>
      <w:r>
        <w:rPr/>
        <w:t>(GIS) technology to analyse</w:t>
      </w:r>
      <w:r>
        <w:rPr>
          <w:spacing w:val="-6"/>
        </w:rPr>
        <w:t> </w:t>
      </w:r>
      <w:r>
        <w:rPr/>
        <w:t>urban</w:t>
      </w:r>
      <w:r>
        <w:rPr>
          <w:spacing w:val="-5"/>
        </w:rPr>
        <w:t> </w:t>
      </w:r>
      <w:r>
        <w:rPr/>
        <w:t>densification</w:t>
      </w:r>
      <w:r>
        <w:rPr>
          <w:spacing w:val="-5"/>
        </w:rPr>
        <w:t> </w:t>
      </w:r>
      <w:r>
        <w:rPr/>
        <w:t>and</w:t>
      </w:r>
      <w:r>
        <w:rPr>
          <w:spacing w:val="-5"/>
        </w:rPr>
        <w:t> </w:t>
      </w:r>
      <w:r>
        <w:rPr/>
        <w:t>housing</w:t>
      </w:r>
      <w:r>
        <w:rPr>
          <w:spacing w:val="-7"/>
        </w:rPr>
        <w:t> </w:t>
      </w:r>
      <w:r>
        <w:rPr/>
        <w:t>market</w:t>
      </w:r>
      <w:r>
        <w:rPr>
          <w:spacing w:val="-4"/>
        </w:rPr>
        <w:t> </w:t>
      </w:r>
      <w:r>
        <w:rPr/>
        <w:t>of</w:t>
      </w:r>
      <w:r>
        <w:rPr>
          <w:spacing w:val="-3"/>
        </w:rPr>
        <w:t> </w:t>
      </w:r>
      <w:r>
        <w:rPr/>
        <w:t>Bida</w:t>
      </w:r>
      <w:r>
        <w:rPr>
          <w:spacing w:val="-3"/>
        </w:rPr>
        <w:t> </w:t>
      </w:r>
      <w:r>
        <w:rPr/>
        <w:t>and</w:t>
      </w:r>
      <w:r>
        <w:rPr>
          <w:spacing w:val="-3"/>
        </w:rPr>
        <w:t> </w:t>
      </w:r>
      <w:r>
        <w:rPr/>
        <w:t>as</w:t>
      </w:r>
      <w:r>
        <w:rPr>
          <w:spacing w:val="-5"/>
        </w:rPr>
        <w:t> </w:t>
      </w:r>
      <w:r>
        <w:rPr/>
        <w:t>well,</w:t>
      </w:r>
      <w:r>
        <w:rPr>
          <w:spacing w:val="-5"/>
        </w:rPr>
        <w:t> </w:t>
      </w:r>
      <w:r>
        <w:rPr/>
        <w:t>assess</w:t>
      </w:r>
      <w:r>
        <w:rPr>
          <w:spacing w:val="-1"/>
        </w:rPr>
        <w:t> </w:t>
      </w:r>
      <w:r>
        <w:rPr/>
        <w:t>the</w:t>
      </w:r>
      <w:r>
        <w:rPr>
          <w:spacing w:val="-1"/>
        </w:rPr>
        <w:t> </w:t>
      </w:r>
      <w:r>
        <w:rPr/>
        <w:t>pattern</w:t>
      </w:r>
      <w:r>
        <w:rPr>
          <w:spacing w:val="-3"/>
        </w:rPr>
        <w:t> </w:t>
      </w:r>
      <w:r>
        <w:rPr/>
        <w:t>in urban densification and housing market of Bida for ten years.</w:t>
      </w:r>
    </w:p>
    <w:p>
      <w:pPr>
        <w:pStyle w:val="BodyText"/>
        <w:spacing w:before="241"/>
        <w:ind w:left="305"/>
      </w:pPr>
      <w:r>
        <w:rPr/>
        <w:t>The</w:t>
      </w:r>
      <w:r>
        <w:rPr>
          <w:spacing w:val="-2"/>
        </w:rPr>
        <w:t> </w:t>
      </w:r>
      <w:r>
        <w:rPr/>
        <w:t>objectives set for the study</w:t>
      </w:r>
      <w:r>
        <w:rPr>
          <w:spacing w:val="-5"/>
        </w:rPr>
        <w:t> </w:t>
      </w:r>
      <w:r>
        <w:rPr/>
        <w:t>are</w:t>
      </w:r>
      <w:r>
        <w:rPr>
          <w:spacing w:val="1"/>
        </w:rPr>
        <w:t> </w:t>
      </w:r>
      <w:r>
        <w:rPr>
          <w:spacing w:val="-5"/>
        </w:rPr>
        <w:t>to:</w:t>
      </w:r>
    </w:p>
    <w:p>
      <w:pPr>
        <w:pStyle w:val="BodyText"/>
        <w:spacing w:before="242"/>
        <w:jc w:val="left"/>
      </w:pPr>
    </w:p>
    <w:p>
      <w:pPr>
        <w:pStyle w:val="ListParagraph"/>
        <w:numPr>
          <w:ilvl w:val="0"/>
          <w:numId w:val="3"/>
        </w:numPr>
        <w:tabs>
          <w:tab w:pos="1025" w:val="left" w:leader="none"/>
        </w:tabs>
        <w:spacing w:line="240" w:lineRule="auto" w:before="0" w:after="0"/>
        <w:ind w:left="1025" w:right="0" w:hanging="540"/>
        <w:jc w:val="left"/>
        <w:rPr>
          <w:sz w:val="24"/>
        </w:rPr>
      </w:pPr>
      <w:r>
        <w:rPr>
          <w:sz w:val="24"/>
        </w:rPr>
        <w:t>Examine</w:t>
      </w:r>
      <w:r>
        <w:rPr>
          <w:spacing w:val="-3"/>
          <w:sz w:val="24"/>
        </w:rPr>
        <w:t> </w:t>
      </w:r>
      <w:r>
        <w:rPr>
          <w:sz w:val="24"/>
        </w:rPr>
        <w:t>residential density</w:t>
      </w:r>
      <w:r>
        <w:rPr>
          <w:spacing w:val="-5"/>
          <w:sz w:val="24"/>
        </w:rPr>
        <w:t> </w:t>
      </w:r>
      <w:r>
        <w:rPr>
          <w:sz w:val="24"/>
        </w:rPr>
        <w:t>pattern</w:t>
      </w:r>
      <w:r>
        <w:rPr>
          <w:spacing w:val="-1"/>
          <w:sz w:val="24"/>
        </w:rPr>
        <w:t> </w:t>
      </w:r>
      <w:r>
        <w:rPr>
          <w:sz w:val="24"/>
        </w:rPr>
        <w:t>of</w:t>
      </w:r>
      <w:r>
        <w:rPr>
          <w:spacing w:val="-1"/>
          <w:sz w:val="24"/>
        </w:rPr>
        <w:t> </w:t>
      </w:r>
      <w:r>
        <w:rPr>
          <w:sz w:val="24"/>
        </w:rPr>
        <w:t>the</w:t>
      </w:r>
      <w:r>
        <w:rPr>
          <w:spacing w:val="-1"/>
          <w:sz w:val="24"/>
        </w:rPr>
        <w:t> </w:t>
      </w:r>
      <w:r>
        <w:rPr>
          <w:sz w:val="24"/>
        </w:rPr>
        <w:t>housing submarkets in the</w:t>
      </w:r>
      <w:r>
        <w:rPr>
          <w:spacing w:val="-1"/>
          <w:sz w:val="24"/>
        </w:rPr>
        <w:t> </w:t>
      </w:r>
      <w:r>
        <w:rPr>
          <w:sz w:val="24"/>
        </w:rPr>
        <w:t>study</w:t>
      </w:r>
      <w:r>
        <w:rPr>
          <w:spacing w:val="-3"/>
          <w:sz w:val="24"/>
        </w:rPr>
        <w:t> </w:t>
      </w:r>
      <w:r>
        <w:rPr>
          <w:spacing w:val="-2"/>
          <w:sz w:val="24"/>
        </w:rPr>
        <w:t>area.</w:t>
      </w:r>
    </w:p>
    <w:p>
      <w:pPr>
        <w:pStyle w:val="BodyText"/>
        <w:spacing w:before="98"/>
        <w:jc w:val="left"/>
      </w:pPr>
    </w:p>
    <w:p>
      <w:pPr>
        <w:pStyle w:val="ListParagraph"/>
        <w:numPr>
          <w:ilvl w:val="0"/>
          <w:numId w:val="3"/>
        </w:numPr>
        <w:tabs>
          <w:tab w:pos="1025" w:val="left" w:leader="none"/>
        </w:tabs>
        <w:spacing w:line="480" w:lineRule="auto" w:before="0" w:after="0"/>
        <w:ind w:left="1025" w:right="516" w:hanging="540"/>
        <w:jc w:val="left"/>
        <w:rPr>
          <w:sz w:val="24"/>
        </w:rPr>
      </w:pPr>
      <w:r>
        <w:rPr>
          <w:sz w:val="24"/>
        </w:rPr>
        <w:t>Examine</w:t>
      </w:r>
      <w:r>
        <w:rPr>
          <w:spacing w:val="-16"/>
          <w:sz w:val="24"/>
        </w:rPr>
        <w:t> </w:t>
      </w:r>
      <w:r>
        <w:rPr>
          <w:sz w:val="24"/>
        </w:rPr>
        <w:t>spatiotemporal</w:t>
      </w:r>
      <w:r>
        <w:rPr>
          <w:spacing w:val="-15"/>
          <w:sz w:val="24"/>
        </w:rPr>
        <w:t> </w:t>
      </w:r>
      <w:r>
        <w:rPr>
          <w:sz w:val="24"/>
        </w:rPr>
        <w:t>variations</w:t>
      </w:r>
      <w:r>
        <w:rPr>
          <w:spacing w:val="-15"/>
          <w:sz w:val="24"/>
        </w:rPr>
        <w:t> </w:t>
      </w:r>
      <w:r>
        <w:rPr>
          <w:sz w:val="24"/>
        </w:rPr>
        <w:t>in</w:t>
      </w:r>
      <w:r>
        <w:rPr>
          <w:spacing w:val="-15"/>
          <w:sz w:val="24"/>
        </w:rPr>
        <w:t> </w:t>
      </w:r>
      <w:r>
        <w:rPr>
          <w:sz w:val="24"/>
        </w:rPr>
        <w:t>residential</w:t>
      </w:r>
      <w:r>
        <w:rPr>
          <w:spacing w:val="-15"/>
          <w:sz w:val="24"/>
        </w:rPr>
        <w:t> </w:t>
      </w:r>
      <w:r>
        <w:rPr>
          <w:sz w:val="24"/>
        </w:rPr>
        <w:t>density</w:t>
      </w:r>
      <w:r>
        <w:rPr>
          <w:spacing w:val="-19"/>
          <w:sz w:val="24"/>
        </w:rPr>
        <w:t> </w:t>
      </w:r>
      <w:r>
        <w:rPr>
          <w:sz w:val="24"/>
        </w:rPr>
        <w:t>of</w:t>
      </w:r>
      <w:r>
        <w:rPr>
          <w:spacing w:val="-16"/>
          <w:sz w:val="24"/>
        </w:rPr>
        <w:t> </w:t>
      </w:r>
      <w:r>
        <w:rPr>
          <w:sz w:val="24"/>
        </w:rPr>
        <w:t>the</w:t>
      </w:r>
      <w:r>
        <w:rPr>
          <w:spacing w:val="-15"/>
          <w:sz w:val="24"/>
        </w:rPr>
        <w:t> </w:t>
      </w:r>
      <w:r>
        <w:rPr>
          <w:sz w:val="24"/>
        </w:rPr>
        <w:t>study</w:t>
      </w:r>
      <w:r>
        <w:rPr>
          <w:spacing w:val="-17"/>
          <w:sz w:val="24"/>
        </w:rPr>
        <w:t> </w:t>
      </w:r>
      <w:r>
        <w:rPr>
          <w:sz w:val="24"/>
        </w:rPr>
        <w:t>area</w:t>
      </w:r>
      <w:r>
        <w:rPr>
          <w:spacing w:val="-15"/>
          <w:sz w:val="24"/>
        </w:rPr>
        <w:t> </w:t>
      </w:r>
      <w:r>
        <w:rPr>
          <w:sz w:val="24"/>
        </w:rPr>
        <w:t>between the years 2008 - 2018.</w:t>
      </w:r>
    </w:p>
    <w:p>
      <w:pPr>
        <w:pStyle w:val="ListParagraph"/>
        <w:numPr>
          <w:ilvl w:val="0"/>
          <w:numId w:val="3"/>
        </w:numPr>
        <w:tabs>
          <w:tab w:pos="1025" w:val="left" w:leader="none"/>
        </w:tabs>
        <w:spacing w:line="480" w:lineRule="auto" w:before="241" w:after="0"/>
        <w:ind w:left="1025" w:right="514" w:hanging="540"/>
        <w:jc w:val="left"/>
        <w:rPr>
          <w:sz w:val="24"/>
        </w:rPr>
      </w:pPr>
      <w:r>
        <w:rPr>
          <w:sz w:val="24"/>
        </w:rPr>
        <w:t>Examine</w:t>
      </w:r>
      <w:r>
        <w:rPr>
          <w:spacing w:val="-2"/>
          <w:sz w:val="24"/>
        </w:rPr>
        <w:t> </w:t>
      </w:r>
      <w:r>
        <w:rPr>
          <w:sz w:val="24"/>
        </w:rPr>
        <w:t>the</w:t>
      </w:r>
      <w:r>
        <w:rPr>
          <w:spacing w:val="-3"/>
          <w:sz w:val="24"/>
        </w:rPr>
        <w:t> </w:t>
      </w:r>
      <w:r>
        <w:rPr>
          <w:sz w:val="24"/>
        </w:rPr>
        <w:t>spatiotemporal</w:t>
      </w:r>
      <w:r>
        <w:rPr>
          <w:spacing w:val="-2"/>
          <w:sz w:val="24"/>
        </w:rPr>
        <w:t> </w:t>
      </w:r>
      <w:r>
        <w:rPr>
          <w:sz w:val="24"/>
        </w:rPr>
        <w:t>dynamics</w:t>
      </w:r>
      <w:r>
        <w:rPr>
          <w:spacing w:val="-2"/>
          <w:sz w:val="24"/>
        </w:rPr>
        <w:t> </w:t>
      </w:r>
      <w:r>
        <w:rPr>
          <w:sz w:val="24"/>
        </w:rPr>
        <w:t>in Bida housing</w:t>
      </w:r>
      <w:r>
        <w:rPr>
          <w:spacing w:val="-4"/>
          <w:sz w:val="24"/>
        </w:rPr>
        <w:t> </w:t>
      </w:r>
      <w:r>
        <w:rPr>
          <w:sz w:val="24"/>
        </w:rPr>
        <w:t>market</w:t>
      </w:r>
      <w:r>
        <w:rPr>
          <w:spacing w:val="-2"/>
          <w:sz w:val="24"/>
        </w:rPr>
        <w:t> </w:t>
      </w:r>
      <w:r>
        <w:rPr>
          <w:sz w:val="24"/>
        </w:rPr>
        <w:t>between the years 2008 – 2018.</w:t>
      </w:r>
    </w:p>
    <w:p>
      <w:pPr>
        <w:pStyle w:val="ListParagraph"/>
        <w:numPr>
          <w:ilvl w:val="0"/>
          <w:numId w:val="3"/>
        </w:numPr>
        <w:tabs>
          <w:tab w:pos="1025" w:val="left" w:leader="none"/>
        </w:tabs>
        <w:spacing w:line="480" w:lineRule="auto" w:before="240" w:after="0"/>
        <w:ind w:left="1025" w:right="515" w:hanging="540"/>
        <w:jc w:val="left"/>
        <w:rPr>
          <w:sz w:val="24"/>
        </w:rPr>
      </w:pPr>
      <w:r>
        <w:rPr>
          <w:sz w:val="24"/>
        </w:rPr>
        <w:t>Develop</w:t>
      </w:r>
      <w:r>
        <w:rPr>
          <w:spacing w:val="40"/>
          <w:sz w:val="24"/>
        </w:rPr>
        <w:t> </w:t>
      </w:r>
      <w:r>
        <w:rPr>
          <w:sz w:val="24"/>
        </w:rPr>
        <w:t>a</w:t>
      </w:r>
      <w:r>
        <w:rPr>
          <w:spacing w:val="40"/>
          <w:sz w:val="24"/>
        </w:rPr>
        <w:t> </w:t>
      </w:r>
      <w:r>
        <w:rPr>
          <w:sz w:val="24"/>
        </w:rPr>
        <w:t>model</w:t>
      </w:r>
      <w:r>
        <w:rPr>
          <w:spacing w:val="40"/>
          <w:sz w:val="24"/>
        </w:rPr>
        <w:t> </w:t>
      </w:r>
      <w:r>
        <w:rPr>
          <w:sz w:val="24"/>
        </w:rPr>
        <w:t>to</w:t>
      </w:r>
      <w:r>
        <w:rPr>
          <w:spacing w:val="40"/>
          <w:sz w:val="24"/>
        </w:rPr>
        <w:t> </w:t>
      </w:r>
      <w:r>
        <w:rPr>
          <w:sz w:val="24"/>
        </w:rPr>
        <w:t>predict</w:t>
      </w:r>
      <w:r>
        <w:rPr>
          <w:spacing w:val="40"/>
          <w:sz w:val="24"/>
        </w:rPr>
        <w:t> </w:t>
      </w:r>
      <w:r>
        <w:rPr>
          <w:sz w:val="24"/>
        </w:rPr>
        <w:t>and</w:t>
      </w:r>
      <w:r>
        <w:rPr>
          <w:spacing w:val="40"/>
          <w:sz w:val="24"/>
        </w:rPr>
        <w:t> </w:t>
      </w:r>
      <w:r>
        <w:rPr>
          <w:sz w:val="24"/>
        </w:rPr>
        <w:t>analyse</w:t>
      </w:r>
      <w:r>
        <w:rPr>
          <w:spacing w:val="40"/>
          <w:sz w:val="24"/>
        </w:rPr>
        <w:t> </w:t>
      </w:r>
      <w:r>
        <w:rPr>
          <w:sz w:val="24"/>
        </w:rPr>
        <w:t>the</w:t>
      </w:r>
      <w:r>
        <w:rPr>
          <w:spacing w:val="40"/>
          <w:sz w:val="24"/>
        </w:rPr>
        <w:t> </w:t>
      </w:r>
      <w:r>
        <w:rPr>
          <w:sz w:val="24"/>
        </w:rPr>
        <w:t>relationship</w:t>
      </w:r>
      <w:r>
        <w:rPr>
          <w:spacing w:val="40"/>
          <w:sz w:val="24"/>
        </w:rPr>
        <w:t> </w:t>
      </w:r>
      <w:r>
        <w:rPr>
          <w:sz w:val="24"/>
        </w:rPr>
        <w:t>between</w:t>
      </w:r>
      <w:r>
        <w:rPr>
          <w:spacing w:val="40"/>
          <w:sz w:val="24"/>
        </w:rPr>
        <w:t> </w:t>
      </w:r>
      <w:r>
        <w:rPr>
          <w:sz w:val="24"/>
        </w:rPr>
        <w:t>residential density and rental value.</w:t>
      </w:r>
    </w:p>
    <w:p>
      <w:pPr>
        <w:spacing w:after="0" w:line="480" w:lineRule="auto"/>
        <w:jc w:val="left"/>
        <w:rPr>
          <w:sz w:val="24"/>
        </w:rPr>
        <w:sectPr>
          <w:pgSz w:w="11910" w:h="16840"/>
          <w:pgMar w:header="0" w:footer="1022" w:top="1320" w:bottom="1220" w:left="1680" w:right="900"/>
        </w:sectPr>
      </w:pPr>
    </w:p>
    <w:p>
      <w:pPr>
        <w:pStyle w:val="Heading1"/>
        <w:numPr>
          <w:ilvl w:val="1"/>
          <w:numId w:val="1"/>
        </w:numPr>
        <w:tabs>
          <w:tab w:pos="1025" w:val="left" w:leader="none"/>
        </w:tabs>
        <w:spacing w:line="240" w:lineRule="auto" w:before="79" w:after="0"/>
        <w:ind w:left="1025" w:right="0" w:hanging="720"/>
        <w:jc w:val="left"/>
      </w:pPr>
      <w:r>
        <w:rPr/>
        <w:t>Justification</w:t>
      </w:r>
      <w:r>
        <w:rPr>
          <w:spacing w:val="-1"/>
        </w:rPr>
        <w:t> </w:t>
      </w:r>
      <w:r>
        <w:rPr/>
        <w:t>of</w:t>
      </w:r>
      <w:r>
        <w:rPr>
          <w:spacing w:val="2"/>
        </w:rPr>
        <w:t> </w:t>
      </w:r>
      <w:r>
        <w:rPr/>
        <w:t>the</w:t>
      </w:r>
      <w:r>
        <w:rPr>
          <w:spacing w:val="-2"/>
        </w:rPr>
        <w:t> Study</w:t>
      </w:r>
    </w:p>
    <w:p>
      <w:pPr>
        <w:pStyle w:val="BodyText"/>
        <w:spacing w:before="233"/>
        <w:jc w:val="left"/>
        <w:rPr>
          <w:b/>
        </w:rPr>
      </w:pPr>
    </w:p>
    <w:p>
      <w:pPr>
        <w:pStyle w:val="BodyText"/>
        <w:spacing w:line="480" w:lineRule="auto"/>
        <w:ind w:left="305" w:right="511"/>
      </w:pPr>
      <w:r>
        <w:rPr/>
        <w:t>Location is emphasised by both the monocentric and polycentric economic models, suggesting</w:t>
      </w:r>
      <w:r>
        <w:rPr>
          <w:spacing w:val="-7"/>
        </w:rPr>
        <w:t> </w:t>
      </w:r>
      <w:r>
        <w:rPr/>
        <w:t>that growing</w:t>
      </w:r>
      <w:r>
        <w:rPr>
          <w:spacing w:val="-5"/>
        </w:rPr>
        <w:t> </w:t>
      </w:r>
      <w:r>
        <w:rPr/>
        <w:t>distance</w:t>
      </w:r>
      <w:r>
        <w:rPr>
          <w:spacing w:val="-6"/>
        </w:rPr>
        <w:t> </w:t>
      </w:r>
      <w:r>
        <w:rPr/>
        <w:t>to</w:t>
      </w:r>
      <w:r>
        <w:rPr>
          <w:spacing w:val="-4"/>
        </w:rPr>
        <w:t> </w:t>
      </w:r>
      <w:r>
        <w:rPr/>
        <w:t>the</w:t>
      </w:r>
      <w:r>
        <w:rPr>
          <w:spacing w:val="-3"/>
        </w:rPr>
        <w:t> </w:t>
      </w:r>
      <w:r>
        <w:rPr/>
        <w:t>CBD</w:t>
      </w:r>
      <w:r>
        <w:rPr>
          <w:spacing w:val="-3"/>
        </w:rPr>
        <w:t> </w:t>
      </w:r>
      <w:r>
        <w:rPr/>
        <w:t>causes</w:t>
      </w:r>
      <w:r>
        <w:rPr>
          <w:spacing w:val="-5"/>
        </w:rPr>
        <w:t> </w:t>
      </w:r>
      <w:r>
        <w:rPr/>
        <w:t>a</w:t>
      </w:r>
      <w:r>
        <w:rPr>
          <w:spacing w:val="-6"/>
        </w:rPr>
        <w:t> </w:t>
      </w:r>
      <w:r>
        <w:rPr/>
        <w:t>decrease</w:t>
      </w:r>
      <w:r>
        <w:rPr>
          <w:spacing w:val="-6"/>
        </w:rPr>
        <w:t> </w:t>
      </w:r>
      <w:r>
        <w:rPr/>
        <w:t>in</w:t>
      </w:r>
      <w:r>
        <w:rPr>
          <w:spacing w:val="-4"/>
        </w:rPr>
        <w:t> </w:t>
      </w:r>
      <w:r>
        <w:rPr/>
        <w:t>the</w:t>
      </w:r>
      <w:r>
        <w:rPr>
          <w:spacing w:val="-3"/>
        </w:rPr>
        <w:t> </w:t>
      </w:r>
      <w:r>
        <w:rPr/>
        <w:t>housing</w:t>
      </w:r>
      <w:r>
        <w:rPr>
          <w:spacing w:val="-7"/>
        </w:rPr>
        <w:t> </w:t>
      </w:r>
      <w:r>
        <w:rPr/>
        <w:t>prices,</w:t>
      </w:r>
      <w:r>
        <w:rPr>
          <w:spacing w:val="-2"/>
        </w:rPr>
        <w:t> </w:t>
      </w:r>
      <w:r>
        <w:rPr/>
        <w:t>but studies in the recent times show that people do not prefer their housing location in accordance</w:t>
      </w:r>
      <w:r>
        <w:rPr>
          <w:spacing w:val="-13"/>
        </w:rPr>
        <w:t> </w:t>
      </w:r>
      <w:r>
        <w:rPr/>
        <w:t>to</w:t>
      </w:r>
      <w:r>
        <w:rPr>
          <w:spacing w:val="-12"/>
        </w:rPr>
        <w:t> </w:t>
      </w:r>
      <w:r>
        <w:rPr/>
        <w:t>the</w:t>
      </w:r>
      <w:r>
        <w:rPr>
          <w:spacing w:val="-13"/>
        </w:rPr>
        <w:t> </w:t>
      </w:r>
      <w:r>
        <w:rPr/>
        <w:t>minimum</w:t>
      </w:r>
      <w:r>
        <w:rPr>
          <w:spacing w:val="-12"/>
        </w:rPr>
        <w:t> </w:t>
      </w:r>
      <w:r>
        <w:rPr/>
        <w:t>travel</w:t>
      </w:r>
      <w:r>
        <w:rPr>
          <w:spacing w:val="-12"/>
        </w:rPr>
        <w:t> </w:t>
      </w:r>
      <w:r>
        <w:rPr/>
        <w:t>cost</w:t>
      </w:r>
      <w:r>
        <w:rPr>
          <w:spacing w:val="-11"/>
        </w:rPr>
        <w:t> </w:t>
      </w:r>
      <w:r>
        <w:rPr/>
        <w:t>or</w:t>
      </w:r>
      <w:r>
        <w:rPr>
          <w:spacing w:val="-13"/>
        </w:rPr>
        <w:t> </w:t>
      </w:r>
      <w:r>
        <w:rPr/>
        <w:t>distance</w:t>
      </w:r>
      <w:r>
        <w:rPr>
          <w:spacing w:val="-11"/>
        </w:rPr>
        <w:t> </w:t>
      </w:r>
      <w:r>
        <w:rPr/>
        <w:t>cover</w:t>
      </w:r>
      <w:r>
        <w:rPr>
          <w:spacing w:val="-13"/>
        </w:rPr>
        <w:t> </w:t>
      </w:r>
      <w:r>
        <w:rPr/>
        <w:t>to</w:t>
      </w:r>
      <w:r>
        <w:rPr>
          <w:spacing w:val="-12"/>
        </w:rPr>
        <w:t> </w:t>
      </w:r>
      <w:r>
        <w:rPr/>
        <w:t>reach</w:t>
      </w:r>
      <w:r>
        <w:rPr>
          <w:spacing w:val="-12"/>
        </w:rPr>
        <w:t> </w:t>
      </w:r>
      <w:r>
        <w:rPr/>
        <w:t>their</w:t>
      </w:r>
      <w:r>
        <w:rPr>
          <w:spacing w:val="-13"/>
        </w:rPr>
        <w:t> </w:t>
      </w:r>
      <w:r>
        <w:rPr/>
        <w:t>workplace</w:t>
      </w:r>
      <w:r>
        <w:rPr>
          <w:spacing w:val="-7"/>
        </w:rPr>
        <w:t> </w:t>
      </w:r>
      <w:r>
        <w:rPr/>
        <w:t>and</w:t>
      </w:r>
      <w:r>
        <w:rPr>
          <w:spacing w:val="-12"/>
        </w:rPr>
        <w:t> </w:t>
      </w:r>
      <w:r>
        <w:rPr/>
        <w:t>that work has significantly dispersed within urban areas, therefore, the CBD and distance to it</w:t>
      </w:r>
      <w:r>
        <w:rPr>
          <w:spacing w:val="-15"/>
        </w:rPr>
        <w:t> </w:t>
      </w:r>
      <w:r>
        <w:rPr/>
        <w:t>becomes</w:t>
      </w:r>
      <w:r>
        <w:rPr>
          <w:spacing w:val="-15"/>
        </w:rPr>
        <w:t> </w:t>
      </w:r>
      <w:r>
        <w:rPr/>
        <w:t>insignificant</w:t>
      </w:r>
      <w:r>
        <w:rPr>
          <w:spacing w:val="-15"/>
        </w:rPr>
        <w:t> </w:t>
      </w:r>
      <w:r>
        <w:rPr/>
        <w:t>(Xiao,</w:t>
      </w:r>
      <w:r>
        <w:rPr>
          <w:spacing w:val="-15"/>
        </w:rPr>
        <w:t> </w:t>
      </w:r>
      <w:r>
        <w:rPr/>
        <w:t>2012;</w:t>
      </w:r>
      <w:r>
        <w:rPr>
          <w:spacing w:val="-15"/>
        </w:rPr>
        <w:t> </w:t>
      </w:r>
      <w:r>
        <w:rPr/>
        <w:t>Xiao,</w:t>
      </w:r>
      <w:r>
        <w:rPr>
          <w:spacing w:val="-15"/>
        </w:rPr>
        <w:t> </w:t>
      </w:r>
      <w:r>
        <w:rPr/>
        <w:t>2017b).</w:t>
      </w:r>
      <w:r>
        <w:rPr>
          <w:spacing w:val="-15"/>
        </w:rPr>
        <w:t> </w:t>
      </w:r>
      <w:r>
        <w:rPr/>
        <w:t>There</w:t>
      </w:r>
      <w:r>
        <w:rPr>
          <w:spacing w:val="-15"/>
        </w:rPr>
        <w:t> </w:t>
      </w:r>
      <w:r>
        <w:rPr/>
        <w:t>are</w:t>
      </w:r>
      <w:r>
        <w:rPr>
          <w:spacing w:val="-15"/>
        </w:rPr>
        <w:t> </w:t>
      </w:r>
      <w:r>
        <w:rPr/>
        <w:t>many</w:t>
      </w:r>
      <w:r>
        <w:rPr>
          <w:spacing w:val="-15"/>
        </w:rPr>
        <w:t> </w:t>
      </w:r>
      <w:r>
        <w:rPr/>
        <w:t>literatures</w:t>
      </w:r>
      <w:r>
        <w:rPr>
          <w:spacing w:val="-15"/>
        </w:rPr>
        <w:t> </w:t>
      </w:r>
      <w:r>
        <w:rPr/>
        <w:t>on</w:t>
      </w:r>
      <w:r>
        <w:rPr>
          <w:spacing w:val="-15"/>
        </w:rPr>
        <w:t> </w:t>
      </w:r>
      <w:r>
        <w:rPr/>
        <w:t>housing market where few captured urban forms and housing market. However, little has been done on urban densification and the housing market.</w:t>
      </w:r>
    </w:p>
    <w:p>
      <w:pPr>
        <w:pStyle w:val="BodyText"/>
        <w:spacing w:line="480" w:lineRule="auto" w:before="241"/>
        <w:ind w:left="305" w:right="510"/>
      </w:pPr>
      <w:r>
        <w:rPr/>
        <w:t>Also, this study is of paramount importance because urban densification has either negative or positive impacts on the housing sector, most especially the housing market. The housing market, therefore, depends on the facilities, economy, beliefs, culture, demography, services and policies within the neighborhood to which it operates. It can, therefore, be stated that the outcome of this research work would be beneficial, which shall</w:t>
      </w:r>
      <w:r>
        <w:rPr>
          <w:spacing w:val="-7"/>
        </w:rPr>
        <w:t> </w:t>
      </w:r>
      <w:r>
        <w:rPr/>
        <w:t>focus</w:t>
      </w:r>
      <w:r>
        <w:rPr>
          <w:spacing w:val="-7"/>
        </w:rPr>
        <w:t> </w:t>
      </w:r>
      <w:r>
        <w:rPr/>
        <w:t>on</w:t>
      </w:r>
      <w:r>
        <w:rPr>
          <w:spacing w:val="-7"/>
        </w:rPr>
        <w:t> </w:t>
      </w:r>
      <w:r>
        <w:rPr/>
        <w:t>developing</w:t>
      </w:r>
      <w:r>
        <w:rPr>
          <w:spacing w:val="-7"/>
        </w:rPr>
        <w:t> </w:t>
      </w:r>
      <w:r>
        <w:rPr/>
        <w:t>a</w:t>
      </w:r>
      <w:r>
        <w:rPr>
          <w:spacing w:val="-8"/>
        </w:rPr>
        <w:t> </w:t>
      </w:r>
      <w:r>
        <w:rPr/>
        <w:t>methodology</w:t>
      </w:r>
      <w:r>
        <w:rPr>
          <w:spacing w:val="-10"/>
        </w:rPr>
        <w:t> </w:t>
      </w:r>
      <w:r>
        <w:rPr/>
        <w:t>aimed</w:t>
      </w:r>
      <w:r>
        <w:rPr>
          <w:spacing w:val="-7"/>
        </w:rPr>
        <w:t> </w:t>
      </w:r>
      <w:r>
        <w:rPr/>
        <w:t>at</w:t>
      </w:r>
      <w:r>
        <w:rPr>
          <w:spacing w:val="-5"/>
        </w:rPr>
        <w:t> </w:t>
      </w:r>
      <w:r>
        <w:rPr/>
        <w:t>ensuring</w:t>
      </w:r>
      <w:r>
        <w:rPr>
          <w:spacing w:val="-5"/>
        </w:rPr>
        <w:t> </w:t>
      </w:r>
      <w:r>
        <w:rPr/>
        <w:t>a</w:t>
      </w:r>
      <w:r>
        <w:rPr>
          <w:spacing w:val="-8"/>
        </w:rPr>
        <w:t> </w:t>
      </w:r>
      <w:r>
        <w:rPr/>
        <w:t>sustainable</w:t>
      </w:r>
      <w:r>
        <w:rPr>
          <w:spacing w:val="-6"/>
        </w:rPr>
        <w:t> </w:t>
      </w:r>
      <w:r>
        <w:rPr/>
        <w:t>housing</w:t>
      </w:r>
      <w:r>
        <w:rPr>
          <w:spacing w:val="-9"/>
        </w:rPr>
        <w:t> </w:t>
      </w:r>
      <w:r>
        <w:rPr/>
        <w:t>market aimed at providing affordable housing alongside proffering solutions to ailing consequences of urban densification in Bida.</w:t>
      </w:r>
    </w:p>
    <w:p>
      <w:pPr>
        <w:pStyle w:val="BodyText"/>
        <w:spacing w:before="241"/>
        <w:ind w:left="305"/>
      </w:pPr>
      <w:r>
        <w:rPr/>
        <w:t>The</w:t>
      </w:r>
      <w:r>
        <w:rPr>
          <w:spacing w:val="-4"/>
        </w:rPr>
        <w:t> </w:t>
      </w:r>
      <w:r>
        <w:rPr/>
        <w:t>investigation will</w:t>
      </w:r>
      <w:r>
        <w:rPr>
          <w:spacing w:val="2"/>
        </w:rPr>
        <w:t> </w:t>
      </w:r>
      <w:r>
        <w:rPr/>
        <w:t>contribute</w:t>
      </w:r>
      <w:r>
        <w:rPr>
          <w:spacing w:val="-1"/>
        </w:rPr>
        <w:t> </w:t>
      </w:r>
      <w:r>
        <w:rPr/>
        <w:t>to the existing</w:t>
      </w:r>
      <w:r>
        <w:rPr>
          <w:spacing w:val="-2"/>
        </w:rPr>
        <w:t> </w:t>
      </w:r>
      <w:r>
        <w:rPr/>
        <w:t>body</w:t>
      </w:r>
      <w:r>
        <w:rPr>
          <w:spacing w:val="-5"/>
        </w:rPr>
        <w:t> </w:t>
      </w:r>
      <w:r>
        <w:rPr/>
        <w:t>of knowledge</w:t>
      </w:r>
      <w:r>
        <w:rPr>
          <w:spacing w:val="-1"/>
        </w:rPr>
        <w:t> </w:t>
      </w:r>
      <w:r>
        <w:rPr/>
        <w:t>in terms</w:t>
      </w:r>
      <w:r>
        <w:rPr>
          <w:spacing w:val="1"/>
        </w:rPr>
        <w:t> </w:t>
      </w:r>
      <w:r>
        <w:rPr>
          <w:spacing w:val="-5"/>
        </w:rPr>
        <w:t>of:</w:t>
      </w:r>
    </w:p>
    <w:p>
      <w:pPr>
        <w:pStyle w:val="BodyText"/>
        <w:spacing w:before="238"/>
        <w:jc w:val="left"/>
      </w:pPr>
    </w:p>
    <w:p>
      <w:pPr>
        <w:pStyle w:val="ListParagraph"/>
        <w:numPr>
          <w:ilvl w:val="0"/>
          <w:numId w:val="4"/>
        </w:numPr>
        <w:tabs>
          <w:tab w:pos="1025" w:val="left" w:leader="none"/>
        </w:tabs>
        <w:spacing w:line="480" w:lineRule="auto" w:before="0" w:after="0"/>
        <w:ind w:left="1025" w:right="520" w:hanging="488"/>
        <w:jc w:val="left"/>
        <w:rPr>
          <w:sz w:val="24"/>
        </w:rPr>
      </w:pPr>
      <w:r>
        <w:rPr>
          <w:sz w:val="24"/>
        </w:rPr>
        <w:t>Bridging</w:t>
      </w:r>
      <w:r>
        <w:rPr>
          <w:spacing w:val="-7"/>
          <w:sz w:val="24"/>
        </w:rPr>
        <w:t> </w:t>
      </w:r>
      <w:r>
        <w:rPr>
          <w:sz w:val="24"/>
        </w:rPr>
        <w:t>the</w:t>
      </w:r>
      <w:r>
        <w:rPr>
          <w:spacing w:val="-2"/>
          <w:sz w:val="24"/>
        </w:rPr>
        <w:t> </w:t>
      </w:r>
      <w:r>
        <w:rPr>
          <w:sz w:val="24"/>
        </w:rPr>
        <w:t>gap</w:t>
      </w:r>
      <w:r>
        <w:rPr>
          <w:spacing w:val="-4"/>
          <w:sz w:val="24"/>
        </w:rPr>
        <w:t> </w:t>
      </w:r>
      <w:r>
        <w:rPr>
          <w:sz w:val="24"/>
        </w:rPr>
        <w:t>in</w:t>
      </w:r>
      <w:r>
        <w:rPr>
          <w:spacing w:val="-5"/>
          <w:sz w:val="24"/>
        </w:rPr>
        <w:t> </w:t>
      </w:r>
      <w:r>
        <w:rPr>
          <w:sz w:val="24"/>
        </w:rPr>
        <w:t>understanding</w:t>
      </w:r>
      <w:r>
        <w:rPr>
          <w:spacing w:val="-4"/>
          <w:sz w:val="24"/>
        </w:rPr>
        <w:t> </w:t>
      </w:r>
      <w:r>
        <w:rPr>
          <w:sz w:val="24"/>
        </w:rPr>
        <w:t>the</w:t>
      </w:r>
      <w:r>
        <w:rPr>
          <w:spacing w:val="-6"/>
          <w:sz w:val="24"/>
        </w:rPr>
        <w:t> </w:t>
      </w:r>
      <w:r>
        <w:rPr>
          <w:sz w:val="24"/>
        </w:rPr>
        <w:t>urban</w:t>
      </w:r>
      <w:r>
        <w:rPr>
          <w:spacing w:val="-4"/>
          <w:sz w:val="24"/>
        </w:rPr>
        <w:t> </w:t>
      </w:r>
      <w:r>
        <w:rPr>
          <w:sz w:val="24"/>
        </w:rPr>
        <w:t>housing</w:t>
      </w:r>
      <w:r>
        <w:rPr>
          <w:spacing w:val="-6"/>
          <w:sz w:val="24"/>
        </w:rPr>
        <w:t> </w:t>
      </w:r>
      <w:r>
        <w:rPr>
          <w:sz w:val="24"/>
        </w:rPr>
        <w:t>market</w:t>
      </w:r>
      <w:r>
        <w:rPr>
          <w:spacing w:val="-3"/>
          <w:sz w:val="24"/>
        </w:rPr>
        <w:t> </w:t>
      </w:r>
      <w:r>
        <w:rPr>
          <w:sz w:val="24"/>
        </w:rPr>
        <w:t>and</w:t>
      </w:r>
      <w:r>
        <w:rPr>
          <w:spacing w:val="-4"/>
          <w:sz w:val="24"/>
        </w:rPr>
        <w:t> </w:t>
      </w:r>
      <w:r>
        <w:rPr>
          <w:sz w:val="24"/>
        </w:rPr>
        <w:t>submarkets</w:t>
      </w:r>
      <w:r>
        <w:rPr>
          <w:spacing w:val="-6"/>
          <w:sz w:val="24"/>
        </w:rPr>
        <w:t> </w:t>
      </w:r>
      <w:r>
        <w:rPr>
          <w:sz w:val="24"/>
        </w:rPr>
        <w:t>as</w:t>
      </w:r>
      <w:r>
        <w:rPr>
          <w:spacing w:val="-6"/>
          <w:sz w:val="24"/>
        </w:rPr>
        <w:t> </w:t>
      </w:r>
      <w:r>
        <w:rPr>
          <w:sz w:val="24"/>
        </w:rPr>
        <w:t>it associates with both residential choices and spatial information</w:t>
      </w:r>
    </w:p>
    <w:p>
      <w:pPr>
        <w:pStyle w:val="ListParagraph"/>
        <w:numPr>
          <w:ilvl w:val="0"/>
          <w:numId w:val="4"/>
        </w:numPr>
        <w:tabs>
          <w:tab w:pos="1025" w:val="left" w:leader="none"/>
        </w:tabs>
        <w:spacing w:line="480" w:lineRule="auto" w:before="0" w:after="0"/>
        <w:ind w:left="1025" w:right="521" w:hanging="555"/>
        <w:jc w:val="left"/>
        <w:rPr>
          <w:sz w:val="24"/>
        </w:rPr>
      </w:pPr>
      <w:r>
        <w:rPr>
          <w:sz w:val="24"/>
        </w:rPr>
        <w:t>Helping</w:t>
      </w:r>
      <w:r>
        <w:rPr>
          <w:spacing w:val="-1"/>
          <w:sz w:val="24"/>
        </w:rPr>
        <w:t> </w:t>
      </w:r>
      <w:r>
        <w:rPr>
          <w:sz w:val="24"/>
        </w:rPr>
        <w:t>urban planners and urban managers differentiate between economic</w:t>
      </w:r>
      <w:r>
        <w:rPr>
          <w:spacing w:val="-1"/>
          <w:sz w:val="24"/>
        </w:rPr>
        <w:t> </w:t>
      </w:r>
      <w:r>
        <w:rPr>
          <w:sz w:val="24"/>
        </w:rPr>
        <w:t>and social classes and they respond to affordable housing</w:t>
      </w:r>
    </w:p>
    <w:p>
      <w:pPr>
        <w:pStyle w:val="ListParagraph"/>
        <w:numPr>
          <w:ilvl w:val="0"/>
          <w:numId w:val="4"/>
        </w:numPr>
        <w:tabs>
          <w:tab w:pos="1025" w:val="left" w:leader="none"/>
          <w:tab w:pos="1085" w:val="left" w:leader="none"/>
        </w:tabs>
        <w:spacing w:line="480" w:lineRule="auto" w:before="0" w:after="0"/>
        <w:ind w:left="1025" w:right="516" w:hanging="620"/>
        <w:jc w:val="left"/>
        <w:rPr>
          <w:sz w:val="24"/>
        </w:rPr>
      </w:pPr>
      <w:r>
        <w:rPr>
          <w:sz w:val="24"/>
        </w:rPr>
        <w:tab/>
        <w:t>Helping</w:t>
      </w:r>
      <w:r>
        <w:rPr>
          <w:spacing w:val="-8"/>
          <w:sz w:val="24"/>
        </w:rPr>
        <w:t> </w:t>
      </w:r>
      <w:r>
        <w:rPr>
          <w:sz w:val="24"/>
        </w:rPr>
        <w:t>urban</w:t>
      </w:r>
      <w:r>
        <w:rPr>
          <w:spacing w:val="-6"/>
          <w:sz w:val="24"/>
        </w:rPr>
        <w:t> </w:t>
      </w:r>
      <w:r>
        <w:rPr>
          <w:sz w:val="24"/>
        </w:rPr>
        <w:t>planners</w:t>
      </w:r>
      <w:r>
        <w:rPr>
          <w:spacing w:val="-3"/>
          <w:sz w:val="24"/>
        </w:rPr>
        <w:t> </w:t>
      </w:r>
      <w:r>
        <w:rPr>
          <w:sz w:val="24"/>
        </w:rPr>
        <w:t>and</w:t>
      </w:r>
      <w:r>
        <w:rPr>
          <w:spacing w:val="-6"/>
          <w:sz w:val="24"/>
        </w:rPr>
        <w:t> </w:t>
      </w:r>
      <w:r>
        <w:rPr>
          <w:sz w:val="24"/>
        </w:rPr>
        <w:t>authorities</w:t>
      </w:r>
      <w:r>
        <w:rPr>
          <w:spacing w:val="-6"/>
          <w:sz w:val="24"/>
        </w:rPr>
        <w:t> </w:t>
      </w:r>
      <w:r>
        <w:rPr>
          <w:sz w:val="24"/>
        </w:rPr>
        <w:t>to</w:t>
      </w:r>
      <w:r>
        <w:rPr>
          <w:spacing w:val="-5"/>
          <w:sz w:val="24"/>
        </w:rPr>
        <w:t> </w:t>
      </w:r>
      <w:r>
        <w:rPr>
          <w:sz w:val="24"/>
        </w:rPr>
        <w:t>efficiently</w:t>
      </w:r>
      <w:r>
        <w:rPr>
          <w:spacing w:val="-11"/>
          <w:sz w:val="24"/>
        </w:rPr>
        <w:t> </w:t>
      </w:r>
      <w:r>
        <w:rPr>
          <w:sz w:val="24"/>
        </w:rPr>
        <w:t>solve</w:t>
      </w:r>
      <w:r>
        <w:rPr>
          <w:spacing w:val="-6"/>
          <w:sz w:val="24"/>
        </w:rPr>
        <w:t> </w:t>
      </w:r>
      <w:r>
        <w:rPr>
          <w:sz w:val="24"/>
        </w:rPr>
        <w:t>the</w:t>
      </w:r>
      <w:r>
        <w:rPr>
          <w:spacing w:val="-6"/>
          <w:sz w:val="24"/>
        </w:rPr>
        <w:t> </w:t>
      </w:r>
      <w:r>
        <w:rPr>
          <w:sz w:val="24"/>
        </w:rPr>
        <w:t>problem</w:t>
      </w:r>
      <w:r>
        <w:rPr>
          <w:spacing w:val="-5"/>
          <w:sz w:val="24"/>
        </w:rPr>
        <w:t> </w:t>
      </w:r>
      <w:r>
        <w:rPr>
          <w:sz w:val="24"/>
        </w:rPr>
        <w:t>of</w:t>
      </w:r>
      <w:r>
        <w:rPr>
          <w:spacing w:val="-7"/>
          <w:sz w:val="24"/>
        </w:rPr>
        <w:t> </w:t>
      </w:r>
      <w:r>
        <w:rPr>
          <w:sz w:val="24"/>
        </w:rPr>
        <w:t>spatial growth and management and</w:t>
      </w:r>
    </w:p>
    <w:p>
      <w:pPr>
        <w:spacing w:after="0" w:line="480" w:lineRule="auto"/>
        <w:jc w:val="left"/>
        <w:rPr>
          <w:sz w:val="24"/>
        </w:rPr>
        <w:sectPr>
          <w:pgSz w:w="11910" w:h="16840"/>
          <w:pgMar w:header="0" w:footer="1022" w:top="1320" w:bottom="1220" w:left="1680" w:right="900"/>
        </w:sectPr>
      </w:pPr>
    </w:p>
    <w:p>
      <w:pPr>
        <w:pStyle w:val="ListParagraph"/>
        <w:numPr>
          <w:ilvl w:val="0"/>
          <w:numId w:val="4"/>
        </w:numPr>
        <w:tabs>
          <w:tab w:pos="1025" w:val="left" w:leader="none"/>
        </w:tabs>
        <w:spacing w:line="480" w:lineRule="auto" w:before="72" w:after="0"/>
        <w:ind w:left="1025" w:right="520" w:hanging="608"/>
        <w:jc w:val="left"/>
        <w:rPr>
          <w:sz w:val="24"/>
        </w:rPr>
      </w:pPr>
      <w:r>
        <w:rPr>
          <w:sz w:val="24"/>
        </w:rPr>
        <w:t>Assisting</w:t>
      </w:r>
      <w:r>
        <w:rPr>
          <w:spacing w:val="-15"/>
          <w:sz w:val="24"/>
        </w:rPr>
        <w:t> </w:t>
      </w:r>
      <w:r>
        <w:rPr>
          <w:sz w:val="24"/>
        </w:rPr>
        <w:t>in</w:t>
      </w:r>
      <w:r>
        <w:rPr>
          <w:spacing w:val="-15"/>
          <w:sz w:val="24"/>
        </w:rPr>
        <w:t> </w:t>
      </w:r>
      <w:r>
        <w:rPr>
          <w:sz w:val="24"/>
        </w:rPr>
        <w:t>the</w:t>
      </w:r>
      <w:r>
        <w:rPr>
          <w:spacing w:val="-15"/>
          <w:sz w:val="24"/>
        </w:rPr>
        <w:t> </w:t>
      </w:r>
      <w:r>
        <w:rPr>
          <w:sz w:val="24"/>
        </w:rPr>
        <w:t>assessment</w:t>
      </w:r>
      <w:r>
        <w:rPr>
          <w:spacing w:val="-15"/>
          <w:sz w:val="24"/>
        </w:rPr>
        <w:t> </w:t>
      </w:r>
      <w:r>
        <w:rPr>
          <w:sz w:val="24"/>
        </w:rPr>
        <w:t>of</w:t>
      </w:r>
      <w:r>
        <w:rPr>
          <w:spacing w:val="-15"/>
          <w:sz w:val="24"/>
        </w:rPr>
        <w:t> </w:t>
      </w:r>
      <w:r>
        <w:rPr>
          <w:sz w:val="24"/>
        </w:rPr>
        <w:t>housing</w:t>
      </w:r>
      <w:r>
        <w:rPr>
          <w:spacing w:val="-15"/>
          <w:sz w:val="24"/>
        </w:rPr>
        <w:t> </w:t>
      </w:r>
      <w:r>
        <w:rPr>
          <w:sz w:val="24"/>
        </w:rPr>
        <w:t>values</w:t>
      </w:r>
      <w:r>
        <w:rPr>
          <w:spacing w:val="-15"/>
          <w:sz w:val="24"/>
        </w:rPr>
        <w:t> </w:t>
      </w:r>
      <w:r>
        <w:rPr>
          <w:sz w:val="24"/>
        </w:rPr>
        <w:t>to</w:t>
      </w:r>
      <w:r>
        <w:rPr>
          <w:spacing w:val="-15"/>
          <w:sz w:val="24"/>
        </w:rPr>
        <w:t> </w:t>
      </w:r>
      <w:r>
        <w:rPr>
          <w:sz w:val="24"/>
        </w:rPr>
        <w:t>evaluate</w:t>
      </w:r>
      <w:r>
        <w:rPr>
          <w:spacing w:val="-15"/>
          <w:sz w:val="24"/>
        </w:rPr>
        <w:t> </w:t>
      </w:r>
      <w:r>
        <w:rPr>
          <w:sz w:val="24"/>
        </w:rPr>
        <w:t>planning</w:t>
      </w:r>
      <w:r>
        <w:rPr>
          <w:spacing w:val="-15"/>
          <w:sz w:val="24"/>
        </w:rPr>
        <w:t> </w:t>
      </w:r>
      <w:r>
        <w:rPr>
          <w:sz w:val="24"/>
        </w:rPr>
        <w:t>regulations</w:t>
      </w:r>
      <w:r>
        <w:rPr>
          <w:spacing w:val="-15"/>
          <w:sz w:val="24"/>
        </w:rPr>
        <w:t> </w:t>
      </w:r>
      <w:r>
        <w:rPr>
          <w:sz w:val="24"/>
        </w:rPr>
        <w:t>and urban land-use policies.</w:t>
      </w:r>
    </w:p>
    <w:p>
      <w:pPr>
        <w:pStyle w:val="Heading1"/>
        <w:numPr>
          <w:ilvl w:val="1"/>
          <w:numId w:val="1"/>
        </w:numPr>
        <w:tabs>
          <w:tab w:pos="1025" w:val="left" w:leader="none"/>
        </w:tabs>
        <w:spacing w:line="240" w:lineRule="auto" w:before="247" w:after="0"/>
        <w:ind w:left="1025" w:right="0" w:hanging="720"/>
        <w:jc w:val="left"/>
      </w:pPr>
      <w:r>
        <w:rPr/>
        <w:t>Scope</w:t>
      </w:r>
      <w:r>
        <w:rPr>
          <w:spacing w:val="-2"/>
        </w:rPr>
        <w:t> </w:t>
      </w:r>
      <w:r>
        <w:rPr/>
        <w:t>of</w:t>
      </w:r>
      <w:r>
        <w:rPr>
          <w:spacing w:val="1"/>
        </w:rPr>
        <w:t> </w:t>
      </w:r>
      <w:r>
        <w:rPr/>
        <w:t>the </w:t>
      </w:r>
      <w:r>
        <w:rPr>
          <w:spacing w:val="-4"/>
        </w:rPr>
        <w:t>Study</w:t>
      </w:r>
    </w:p>
    <w:p>
      <w:pPr>
        <w:pStyle w:val="BodyText"/>
        <w:spacing w:before="233"/>
        <w:jc w:val="left"/>
        <w:rPr>
          <w:b/>
        </w:rPr>
      </w:pPr>
    </w:p>
    <w:p>
      <w:pPr>
        <w:pStyle w:val="BodyText"/>
        <w:spacing w:line="480" w:lineRule="auto"/>
        <w:ind w:left="305" w:right="512"/>
      </w:pPr>
      <w:r>
        <w:rPr/>
        <w:t>This study shall identify and evaluate the nature of urban densification and housing market</w:t>
      </w:r>
      <w:r>
        <w:rPr>
          <w:spacing w:val="-8"/>
        </w:rPr>
        <w:t> </w:t>
      </w:r>
      <w:r>
        <w:rPr/>
        <w:t>of</w:t>
      </w:r>
      <w:r>
        <w:rPr>
          <w:spacing w:val="-9"/>
        </w:rPr>
        <w:t> </w:t>
      </w:r>
      <w:r>
        <w:rPr/>
        <w:t>Bida.</w:t>
      </w:r>
      <w:r>
        <w:rPr>
          <w:spacing w:val="-6"/>
        </w:rPr>
        <w:t> </w:t>
      </w:r>
      <w:r>
        <w:rPr/>
        <w:t>It</w:t>
      </w:r>
      <w:r>
        <w:rPr>
          <w:spacing w:val="-8"/>
        </w:rPr>
        <w:t> </w:t>
      </w:r>
      <w:r>
        <w:rPr/>
        <w:t>shall</w:t>
      </w:r>
      <w:r>
        <w:rPr>
          <w:spacing w:val="-8"/>
        </w:rPr>
        <w:t> </w:t>
      </w:r>
      <w:r>
        <w:rPr/>
        <w:t>also</w:t>
      </w:r>
      <w:r>
        <w:rPr>
          <w:spacing w:val="-8"/>
        </w:rPr>
        <w:t> </w:t>
      </w:r>
      <w:r>
        <w:rPr/>
        <w:t>compare</w:t>
      </w:r>
      <w:r>
        <w:rPr>
          <w:spacing w:val="-9"/>
        </w:rPr>
        <w:t> </w:t>
      </w:r>
      <w:r>
        <w:rPr/>
        <w:t>the</w:t>
      </w:r>
      <w:r>
        <w:rPr>
          <w:spacing w:val="-9"/>
        </w:rPr>
        <w:t> </w:t>
      </w:r>
      <w:r>
        <w:rPr/>
        <w:t>level</w:t>
      </w:r>
      <w:r>
        <w:rPr>
          <w:spacing w:val="-8"/>
        </w:rPr>
        <w:t> </w:t>
      </w:r>
      <w:r>
        <w:rPr/>
        <w:t>of</w:t>
      </w:r>
      <w:r>
        <w:rPr>
          <w:spacing w:val="-7"/>
        </w:rPr>
        <w:t> </w:t>
      </w:r>
      <w:r>
        <w:rPr/>
        <w:t>disparity</w:t>
      </w:r>
      <w:r>
        <w:rPr>
          <w:spacing w:val="-13"/>
        </w:rPr>
        <w:t> </w:t>
      </w:r>
      <w:r>
        <w:rPr/>
        <w:t>in</w:t>
      </w:r>
      <w:r>
        <w:rPr>
          <w:spacing w:val="-7"/>
        </w:rPr>
        <w:t> </w:t>
      </w:r>
      <w:r>
        <w:rPr/>
        <w:t>urban</w:t>
      </w:r>
      <w:r>
        <w:rPr>
          <w:spacing w:val="-8"/>
        </w:rPr>
        <w:t> </w:t>
      </w:r>
      <w:r>
        <w:rPr/>
        <w:t>densification</w:t>
      </w:r>
      <w:r>
        <w:rPr>
          <w:spacing w:val="-7"/>
        </w:rPr>
        <w:t> </w:t>
      </w:r>
      <w:r>
        <w:rPr/>
        <w:t>in</w:t>
      </w:r>
      <w:r>
        <w:rPr>
          <w:spacing w:val="-8"/>
        </w:rPr>
        <w:t> </w:t>
      </w:r>
      <w:r>
        <w:rPr/>
        <w:t>terms of building density and housing market in order to assess housing affordability of residence in Bida. The study areas would be divided into various segments (submarket) according to their housing market structure. The pattern in urban densification and housing market shall be investigated within a decade range on an annual basis i.e. year 2008 – 2018.</w:t>
      </w:r>
    </w:p>
    <w:p>
      <w:pPr>
        <w:pStyle w:val="BodyText"/>
        <w:spacing w:line="480" w:lineRule="auto" w:before="241"/>
        <w:ind w:left="305" w:right="514"/>
      </w:pPr>
      <w:r>
        <w:rPr/>
        <w:t>The study area shall cover the entire Bida town to its extent as of 2018. This research shall also consider the positions of the traditional wall as the boundary for the core neighbourhoods</w:t>
      </w:r>
      <w:r>
        <w:rPr>
          <w:spacing w:val="-8"/>
        </w:rPr>
        <w:t> </w:t>
      </w:r>
      <w:r>
        <w:rPr/>
        <w:t>of</w:t>
      </w:r>
      <w:r>
        <w:rPr>
          <w:spacing w:val="-9"/>
        </w:rPr>
        <w:t> </w:t>
      </w:r>
      <w:r>
        <w:rPr/>
        <w:t>the</w:t>
      </w:r>
      <w:r>
        <w:rPr>
          <w:spacing w:val="-9"/>
        </w:rPr>
        <w:t> </w:t>
      </w:r>
      <w:r>
        <w:rPr/>
        <w:t>town</w:t>
      </w:r>
      <w:r>
        <w:rPr>
          <w:spacing w:val="-8"/>
        </w:rPr>
        <w:t> </w:t>
      </w:r>
      <w:r>
        <w:rPr/>
        <w:t>as</w:t>
      </w:r>
      <w:r>
        <w:rPr>
          <w:spacing w:val="-8"/>
        </w:rPr>
        <w:t> </w:t>
      </w:r>
      <w:r>
        <w:rPr/>
        <w:t>the</w:t>
      </w:r>
      <w:r>
        <w:rPr>
          <w:spacing w:val="-9"/>
        </w:rPr>
        <w:t> </w:t>
      </w:r>
      <w:r>
        <w:rPr/>
        <w:t>area</w:t>
      </w:r>
      <w:r>
        <w:rPr>
          <w:spacing w:val="-9"/>
        </w:rPr>
        <w:t> </w:t>
      </w:r>
      <w:r>
        <w:rPr/>
        <w:t>is</w:t>
      </w:r>
      <w:r>
        <w:rPr>
          <w:spacing w:val="-8"/>
        </w:rPr>
        <w:t> </w:t>
      </w:r>
      <w:r>
        <w:rPr/>
        <w:t>almost</w:t>
      </w:r>
      <w:r>
        <w:rPr>
          <w:spacing w:val="-8"/>
        </w:rPr>
        <w:t> </w:t>
      </w:r>
      <w:r>
        <w:rPr/>
        <w:t>completely</w:t>
      </w:r>
      <w:r>
        <w:rPr>
          <w:spacing w:val="-12"/>
        </w:rPr>
        <w:t> </w:t>
      </w:r>
      <w:r>
        <w:rPr/>
        <w:t>developed</w:t>
      </w:r>
      <w:r>
        <w:rPr>
          <w:spacing w:val="-3"/>
        </w:rPr>
        <w:t> </w:t>
      </w:r>
      <w:r>
        <w:rPr/>
        <w:t>and</w:t>
      </w:r>
      <w:r>
        <w:rPr>
          <w:spacing w:val="-6"/>
        </w:rPr>
        <w:t> </w:t>
      </w:r>
      <w:r>
        <w:rPr/>
        <w:t>homogenous in nature.</w:t>
      </w:r>
    </w:p>
    <w:p>
      <w:pPr>
        <w:pStyle w:val="BodyText"/>
        <w:spacing w:line="480" w:lineRule="auto" w:before="241"/>
        <w:ind w:left="305" w:right="514"/>
      </w:pPr>
      <w:r>
        <w:rPr/>
        <w:t>However, in terms of variable, the study will cover; satellite images of the study area between</w:t>
      </w:r>
      <w:r>
        <w:rPr>
          <w:spacing w:val="-10"/>
        </w:rPr>
        <w:t> </w:t>
      </w:r>
      <w:r>
        <w:rPr/>
        <w:t>years</w:t>
      </w:r>
      <w:r>
        <w:rPr>
          <w:spacing w:val="-15"/>
        </w:rPr>
        <w:t> </w:t>
      </w:r>
      <w:r>
        <w:rPr/>
        <w:t>2008</w:t>
      </w:r>
      <w:r>
        <w:rPr>
          <w:spacing w:val="-14"/>
        </w:rPr>
        <w:t> </w:t>
      </w:r>
      <w:r>
        <w:rPr/>
        <w:t>to</w:t>
      </w:r>
      <w:r>
        <w:rPr>
          <w:spacing w:val="-14"/>
        </w:rPr>
        <w:t> </w:t>
      </w:r>
      <w:r>
        <w:rPr/>
        <w:t>2018,</w:t>
      </w:r>
      <w:r>
        <w:rPr>
          <w:spacing w:val="-14"/>
        </w:rPr>
        <w:t> </w:t>
      </w:r>
      <w:r>
        <w:rPr/>
        <w:t>overall</w:t>
      </w:r>
      <w:r>
        <w:rPr>
          <w:spacing w:val="-13"/>
        </w:rPr>
        <w:t> </w:t>
      </w:r>
      <w:r>
        <w:rPr/>
        <w:t>residential</w:t>
      </w:r>
      <w:r>
        <w:rPr>
          <w:spacing w:val="-14"/>
        </w:rPr>
        <w:t> </w:t>
      </w:r>
      <w:r>
        <w:rPr/>
        <w:t>area</w:t>
      </w:r>
      <w:r>
        <w:rPr>
          <w:spacing w:val="-15"/>
        </w:rPr>
        <w:t> </w:t>
      </w:r>
      <w:r>
        <w:rPr/>
        <w:t>between</w:t>
      </w:r>
      <w:r>
        <w:rPr>
          <w:spacing w:val="-10"/>
        </w:rPr>
        <w:t> </w:t>
      </w:r>
      <w:r>
        <w:rPr/>
        <w:t>years</w:t>
      </w:r>
      <w:r>
        <w:rPr>
          <w:spacing w:val="-15"/>
        </w:rPr>
        <w:t> </w:t>
      </w:r>
      <w:r>
        <w:rPr/>
        <w:t>2008</w:t>
      </w:r>
      <w:r>
        <w:rPr>
          <w:spacing w:val="-14"/>
        </w:rPr>
        <w:t> </w:t>
      </w:r>
      <w:r>
        <w:rPr/>
        <w:t>to</w:t>
      </w:r>
      <w:r>
        <w:rPr>
          <w:spacing w:val="-14"/>
        </w:rPr>
        <w:t> </w:t>
      </w:r>
      <w:r>
        <w:rPr/>
        <w:t>2018,</w:t>
      </w:r>
      <w:r>
        <w:rPr>
          <w:spacing w:val="-14"/>
        </w:rPr>
        <w:t> </w:t>
      </w:r>
      <w:r>
        <w:rPr/>
        <w:t>changes in the residential area between years 2008 to 2018, type of residential rented housing in major residential neighbourhoods of study area, number, and type of rental housing apartments managed by registered estate surveyors in the major residential neighbourhoods of the study area, rental value of different type of residential houses in the major residential neighbourhoods of study area, existing classification of residential neighbourhoods</w:t>
      </w:r>
      <w:r>
        <w:rPr>
          <w:spacing w:val="-8"/>
        </w:rPr>
        <w:t> </w:t>
      </w:r>
      <w:r>
        <w:rPr/>
        <w:t>by</w:t>
      </w:r>
      <w:r>
        <w:rPr>
          <w:spacing w:val="-10"/>
        </w:rPr>
        <w:t> </w:t>
      </w:r>
      <w:r>
        <w:rPr/>
        <w:t>registered</w:t>
      </w:r>
      <w:r>
        <w:rPr>
          <w:spacing w:val="-8"/>
        </w:rPr>
        <w:t> </w:t>
      </w:r>
      <w:r>
        <w:rPr/>
        <w:t>estate</w:t>
      </w:r>
      <w:r>
        <w:rPr>
          <w:spacing w:val="-8"/>
        </w:rPr>
        <w:t> </w:t>
      </w:r>
      <w:r>
        <w:rPr/>
        <w:t>firms,</w:t>
      </w:r>
      <w:r>
        <w:rPr>
          <w:spacing w:val="-8"/>
        </w:rPr>
        <w:t> </w:t>
      </w:r>
      <w:r>
        <w:rPr/>
        <w:t>number</w:t>
      </w:r>
      <w:r>
        <w:rPr>
          <w:spacing w:val="-7"/>
        </w:rPr>
        <w:t> </w:t>
      </w:r>
      <w:r>
        <w:rPr/>
        <w:t>and</w:t>
      </w:r>
      <w:r>
        <w:rPr>
          <w:spacing w:val="-8"/>
        </w:rPr>
        <w:t> </w:t>
      </w:r>
      <w:r>
        <w:rPr/>
        <w:t>type</w:t>
      </w:r>
      <w:r>
        <w:rPr>
          <w:spacing w:val="-9"/>
        </w:rPr>
        <w:t> </w:t>
      </w:r>
      <w:r>
        <w:rPr/>
        <w:t>of</w:t>
      </w:r>
      <w:r>
        <w:rPr>
          <w:spacing w:val="-9"/>
        </w:rPr>
        <w:t> </w:t>
      </w:r>
      <w:r>
        <w:rPr/>
        <w:t>rental</w:t>
      </w:r>
      <w:r>
        <w:rPr>
          <w:spacing w:val="-8"/>
        </w:rPr>
        <w:t> </w:t>
      </w:r>
      <w:r>
        <w:rPr/>
        <w:t>housing</w:t>
      </w:r>
      <w:r>
        <w:rPr>
          <w:spacing w:val="-11"/>
        </w:rPr>
        <w:t> </w:t>
      </w:r>
      <w:r>
        <w:rPr/>
        <w:t>apartments managed</w:t>
      </w:r>
      <w:r>
        <w:rPr>
          <w:spacing w:val="6"/>
        </w:rPr>
        <w:t> </w:t>
      </w:r>
      <w:r>
        <w:rPr/>
        <w:t>by</w:t>
      </w:r>
      <w:r>
        <w:rPr>
          <w:spacing w:val="5"/>
        </w:rPr>
        <w:t> </w:t>
      </w:r>
      <w:r>
        <w:rPr/>
        <w:t>estate</w:t>
      </w:r>
      <w:r>
        <w:rPr>
          <w:spacing w:val="10"/>
        </w:rPr>
        <w:t> </w:t>
      </w:r>
      <w:r>
        <w:rPr/>
        <w:t>management</w:t>
      </w:r>
      <w:r>
        <w:rPr>
          <w:spacing w:val="10"/>
        </w:rPr>
        <w:t> </w:t>
      </w:r>
      <w:r>
        <w:rPr/>
        <w:t>firms</w:t>
      </w:r>
      <w:r>
        <w:rPr>
          <w:spacing w:val="10"/>
        </w:rPr>
        <w:t> </w:t>
      </w:r>
      <w:r>
        <w:rPr/>
        <w:t>in</w:t>
      </w:r>
      <w:r>
        <w:rPr>
          <w:spacing w:val="11"/>
        </w:rPr>
        <w:t> </w:t>
      </w:r>
      <w:r>
        <w:rPr/>
        <w:t>Bida,</w:t>
      </w:r>
      <w:r>
        <w:rPr>
          <w:spacing w:val="9"/>
        </w:rPr>
        <w:t> </w:t>
      </w:r>
      <w:r>
        <w:rPr/>
        <w:t>the</w:t>
      </w:r>
      <w:r>
        <w:rPr>
          <w:spacing w:val="7"/>
        </w:rPr>
        <w:t> </w:t>
      </w:r>
      <w:r>
        <w:rPr/>
        <w:t>annual</w:t>
      </w:r>
      <w:r>
        <w:rPr>
          <w:spacing w:val="12"/>
        </w:rPr>
        <w:t> </w:t>
      </w:r>
      <w:r>
        <w:rPr/>
        <w:t>rent</w:t>
      </w:r>
      <w:r>
        <w:rPr>
          <w:spacing w:val="8"/>
        </w:rPr>
        <w:t> </w:t>
      </w:r>
      <w:r>
        <w:rPr/>
        <w:t>of</w:t>
      </w:r>
      <w:r>
        <w:rPr>
          <w:spacing w:val="10"/>
        </w:rPr>
        <w:t> </w:t>
      </w:r>
      <w:r>
        <w:rPr/>
        <w:t>housing</w:t>
      </w:r>
      <w:r>
        <w:rPr>
          <w:spacing w:val="8"/>
        </w:rPr>
        <w:t> </w:t>
      </w:r>
      <w:r>
        <w:rPr/>
        <w:t>apartments</w:t>
      </w:r>
      <w:r>
        <w:rPr>
          <w:spacing w:val="11"/>
        </w:rPr>
        <w:t> </w:t>
      </w:r>
      <w:r>
        <w:rPr>
          <w:spacing w:val="-5"/>
        </w:rPr>
        <w:t>in</w:t>
      </w:r>
    </w:p>
    <w:p>
      <w:pPr>
        <w:spacing w:after="0" w:line="480" w:lineRule="auto"/>
        <w:sectPr>
          <w:pgSz w:w="11910" w:h="16840"/>
          <w:pgMar w:header="0" w:footer="1022" w:top="1320" w:bottom="1220" w:left="1680" w:right="900"/>
        </w:sectPr>
      </w:pPr>
    </w:p>
    <w:p>
      <w:pPr>
        <w:pStyle w:val="BodyText"/>
        <w:spacing w:line="480" w:lineRule="auto" w:before="72"/>
        <w:ind w:left="305" w:right="519"/>
      </w:pPr>
      <w:r>
        <w:rPr/>
        <w:t>Bida</w:t>
      </w:r>
      <w:r>
        <w:rPr>
          <w:spacing w:val="-9"/>
        </w:rPr>
        <w:t> </w:t>
      </w:r>
      <w:r>
        <w:rPr/>
        <w:t>between</w:t>
      </w:r>
      <w:r>
        <w:rPr>
          <w:spacing w:val="-4"/>
        </w:rPr>
        <w:t> </w:t>
      </w:r>
      <w:r>
        <w:rPr/>
        <w:t>years</w:t>
      </w:r>
      <w:r>
        <w:rPr>
          <w:spacing w:val="-9"/>
        </w:rPr>
        <w:t> </w:t>
      </w:r>
      <w:r>
        <w:rPr/>
        <w:t>2008</w:t>
      </w:r>
      <w:r>
        <w:rPr>
          <w:spacing w:val="-7"/>
        </w:rPr>
        <w:t> </w:t>
      </w:r>
      <w:r>
        <w:rPr/>
        <w:t>to</w:t>
      </w:r>
      <w:r>
        <w:rPr>
          <w:spacing w:val="-8"/>
        </w:rPr>
        <w:t> </w:t>
      </w:r>
      <w:r>
        <w:rPr/>
        <w:t>2018</w:t>
      </w:r>
      <w:r>
        <w:rPr>
          <w:spacing w:val="-8"/>
        </w:rPr>
        <w:t> </w:t>
      </w:r>
      <w:r>
        <w:rPr/>
        <w:t>and</w:t>
      </w:r>
      <w:r>
        <w:rPr>
          <w:spacing w:val="-8"/>
        </w:rPr>
        <w:t> </w:t>
      </w:r>
      <w:r>
        <w:rPr/>
        <w:t>coordinates</w:t>
      </w:r>
      <w:r>
        <w:rPr>
          <w:spacing w:val="-7"/>
        </w:rPr>
        <w:t> </w:t>
      </w:r>
      <w:r>
        <w:rPr/>
        <w:t>of</w:t>
      </w:r>
      <w:r>
        <w:rPr>
          <w:spacing w:val="-9"/>
        </w:rPr>
        <w:t> </w:t>
      </w:r>
      <w:r>
        <w:rPr/>
        <w:t>sample</w:t>
      </w:r>
      <w:r>
        <w:rPr>
          <w:spacing w:val="-9"/>
        </w:rPr>
        <w:t> </w:t>
      </w:r>
      <w:r>
        <w:rPr/>
        <w:t>rental</w:t>
      </w:r>
      <w:r>
        <w:rPr>
          <w:spacing w:val="-8"/>
        </w:rPr>
        <w:t> </w:t>
      </w:r>
      <w:r>
        <w:rPr/>
        <w:t>housing</w:t>
      </w:r>
      <w:r>
        <w:rPr>
          <w:spacing w:val="-8"/>
        </w:rPr>
        <w:t> </w:t>
      </w:r>
      <w:r>
        <w:rPr/>
        <w:t>apartments</w:t>
      </w:r>
      <w:r>
        <w:rPr>
          <w:spacing w:val="-8"/>
        </w:rPr>
        <w:t> </w:t>
      </w:r>
      <w:r>
        <w:rPr/>
        <w:t>in </w:t>
      </w:r>
      <w:r>
        <w:rPr>
          <w:spacing w:val="-2"/>
        </w:rPr>
        <w:t>Bida.</w:t>
      </w:r>
    </w:p>
    <w:p>
      <w:pPr>
        <w:pStyle w:val="Heading1"/>
        <w:numPr>
          <w:ilvl w:val="1"/>
          <w:numId w:val="1"/>
        </w:numPr>
        <w:tabs>
          <w:tab w:pos="1024" w:val="left" w:leader="none"/>
        </w:tabs>
        <w:spacing w:line="240" w:lineRule="auto" w:before="247" w:after="0"/>
        <w:ind w:left="1024" w:right="0" w:hanging="719"/>
        <w:jc w:val="both"/>
      </w:pPr>
      <w:r>
        <w:rPr>
          <w:spacing w:val="-2"/>
        </w:rPr>
        <w:t>Limitations</w:t>
      </w:r>
    </w:p>
    <w:p>
      <w:pPr>
        <w:pStyle w:val="BodyText"/>
        <w:spacing w:before="233"/>
        <w:jc w:val="left"/>
        <w:rPr>
          <w:b/>
        </w:rPr>
      </w:pPr>
    </w:p>
    <w:p>
      <w:pPr>
        <w:pStyle w:val="BodyText"/>
        <w:spacing w:line="480" w:lineRule="auto"/>
        <w:ind w:left="305" w:right="515"/>
      </w:pPr>
      <w:r>
        <w:rPr/>
        <w:t>This research work focused on urban densification of and housing market of Bida. However, data needed for the study is the rental values of residential apartments and location</w:t>
      </w:r>
      <w:r>
        <w:rPr>
          <w:spacing w:val="-15"/>
        </w:rPr>
        <w:t> </w:t>
      </w:r>
      <w:r>
        <w:rPr/>
        <w:t>of</w:t>
      </w:r>
      <w:r>
        <w:rPr>
          <w:spacing w:val="-15"/>
        </w:rPr>
        <w:t> </w:t>
      </w:r>
      <w:r>
        <w:rPr/>
        <w:t>buildings</w:t>
      </w:r>
      <w:r>
        <w:rPr>
          <w:spacing w:val="-15"/>
        </w:rPr>
        <w:t> </w:t>
      </w:r>
      <w:r>
        <w:rPr/>
        <w:t>in</w:t>
      </w:r>
      <w:r>
        <w:rPr>
          <w:spacing w:val="-15"/>
        </w:rPr>
        <w:t> </w:t>
      </w:r>
      <w:r>
        <w:rPr/>
        <w:t>the</w:t>
      </w:r>
      <w:r>
        <w:rPr>
          <w:spacing w:val="-15"/>
        </w:rPr>
        <w:t> </w:t>
      </w:r>
      <w:r>
        <w:rPr/>
        <w:t>study</w:t>
      </w:r>
      <w:r>
        <w:rPr>
          <w:spacing w:val="-15"/>
        </w:rPr>
        <w:t> </w:t>
      </w:r>
      <w:r>
        <w:rPr/>
        <w:t>area.</w:t>
      </w:r>
      <w:r>
        <w:rPr>
          <w:spacing w:val="-15"/>
        </w:rPr>
        <w:t> </w:t>
      </w:r>
      <w:r>
        <w:rPr/>
        <w:t>This</w:t>
      </w:r>
      <w:r>
        <w:rPr>
          <w:spacing w:val="-15"/>
        </w:rPr>
        <w:t> </w:t>
      </w:r>
      <w:r>
        <w:rPr/>
        <w:t>research</w:t>
      </w:r>
      <w:r>
        <w:rPr>
          <w:spacing w:val="-15"/>
        </w:rPr>
        <w:t> </w:t>
      </w:r>
      <w:r>
        <w:rPr/>
        <w:t>work</w:t>
      </w:r>
      <w:r>
        <w:rPr>
          <w:spacing w:val="-15"/>
        </w:rPr>
        <w:t> </w:t>
      </w:r>
      <w:r>
        <w:rPr/>
        <w:t>would</w:t>
      </w:r>
      <w:r>
        <w:rPr>
          <w:spacing w:val="-15"/>
        </w:rPr>
        <w:t> </w:t>
      </w:r>
      <w:r>
        <w:rPr/>
        <w:t>have</w:t>
      </w:r>
      <w:r>
        <w:rPr>
          <w:spacing w:val="-15"/>
        </w:rPr>
        <w:t> </w:t>
      </w:r>
      <w:r>
        <w:rPr/>
        <w:t>been</w:t>
      </w:r>
      <w:r>
        <w:rPr>
          <w:spacing w:val="-15"/>
        </w:rPr>
        <w:t> </w:t>
      </w:r>
      <w:r>
        <w:rPr/>
        <w:t>more</w:t>
      </w:r>
      <w:r>
        <w:rPr>
          <w:spacing w:val="-15"/>
        </w:rPr>
        <w:t> </w:t>
      </w:r>
      <w:r>
        <w:rPr/>
        <w:t>accurate if there is Spatial Data Infrastructure (SDI) where data related to houses and densities would have been kept and managed. This research, therefore, generates its data from satellite imageries of Bida.</w:t>
      </w:r>
    </w:p>
    <w:p>
      <w:pPr>
        <w:pStyle w:val="Heading1"/>
        <w:numPr>
          <w:ilvl w:val="1"/>
          <w:numId w:val="1"/>
        </w:numPr>
        <w:tabs>
          <w:tab w:pos="1024" w:val="left" w:leader="none"/>
        </w:tabs>
        <w:spacing w:line="240" w:lineRule="auto" w:before="246" w:after="0"/>
        <w:ind w:left="1024" w:right="0" w:hanging="719"/>
        <w:jc w:val="both"/>
      </w:pPr>
      <w:r>
        <w:rPr/>
        <w:t>Study</w:t>
      </w:r>
      <w:r>
        <w:rPr>
          <w:spacing w:val="-2"/>
        </w:rPr>
        <w:t> </w:t>
      </w:r>
      <w:r>
        <w:rPr>
          <w:spacing w:val="-4"/>
        </w:rPr>
        <w:t>Area</w:t>
      </w:r>
    </w:p>
    <w:p>
      <w:pPr>
        <w:pStyle w:val="BodyText"/>
        <w:spacing w:before="2"/>
        <w:jc w:val="left"/>
        <w:rPr>
          <w:b/>
        </w:rPr>
      </w:pPr>
    </w:p>
    <w:p>
      <w:pPr>
        <w:pStyle w:val="ListParagraph"/>
        <w:numPr>
          <w:ilvl w:val="2"/>
          <w:numId w:val="1"/>
        </w:numPr>
        <w:tabs>
          <w:tab w:pos="1024" w:val="left" w:leader="none"/>
        </w:tabs>
        <w:spacing w:line="240" w:lineRule="auto" w:before="0" w:after="0"/>
        <w:ind w:left="1024" w:right="0" w:hanging="719"/>
        <w:jc w:val="both"/>
        <w:rPr>
          <w:b/>
          <w:sz w:val="24"/>
        </w:rPr>
      </w:pPr>
      <w:r>
        <w:rPr>
          <w:b/>
          <w:spacing w:val="-2"/>
          <w:sz w:val="24"/>
        </w:rPr>
        <w:t>Location</w:t>
      </w:r>
    </w:p>
    <w:p>
      <w:pPr>
        <w:pStyle w:val="BodyText"/>
        <w:spacing w:before="192"/>
        <w:jc w:val="left"/>
        <w:rPr>
          <w:b/>
        </w:rPr>
      </w:pPr>
    </w:p>
    <w:p>
      <w:pPr>
        <w:pStyle w:val="BodyText"/>
        <w:spacing w:line="480" w:lineRule="auto"/>
        <w:ind w:left="305" w:right="512"/>
      </w:pPr>
      <w:r>
        <w:rPr/>
        <w:t>Bida the area of study is a traditional, modern and heterogeneous society and a </w:t>
      </w:r>
      <w:hyperlink r:id="rId6">
        <w:r>
          <w:rPr/>
          <w:t>Local</w:t>
        </w:r>
      </w:hyperlink>
      <w:r>
        <w:rPr/>
        <w:t> </w:t>
      </w:r>
      <w:hyperlink r:id="rId6">
        <w:r>
          <w:rPr/>
          <w:t>Government headquarters</w:t>
        </w:r>
      </w:hyperlink>
      <w:r>
        <w:rPr/>
        <w:t> in Niger state, a north central town in </w:t>
      </w:r>
      <w:hyperlink r:id="rId7">
        <w:r>
          <w:rPr/>
          <w:t>Nigeria,</w:t>
        </w:r>
      </w:hyperlink>
      <w:r>
        <w:rPr/>
        <w:t> as well as the traditional</w:t>
      </w:r>
      <w:r>
        <w:rPr>
          <w:spacing w:val="-9"/>
        </w:rPr>
        <w:t> </w:t>
      </w:r>
      <w:r>
        <w:rPr/>
        <w:t>headquarters</w:t>
      </w:r>
      <w:r>
        <w:rPr>
          <w:spacing w:val="-8"/>
        </w:rPr>
        <w:t> </w:t>
      </w:r>
      <w:r>
        <w:rPr/>
        <w:t>of</w:t>
      </w:r>
      <w:r>
        <w:rPr>
          <w:spacing w:val="-10"/>
        </w:rPr>
        <w:t> </w:t>
      </w:r>
      <w:r>
        <w:rPr/>
        <w:t>Nupe</w:t>
      </w:r>
      <w:r>
        <w:rPr>
          <w:spacing w:val="-9"/>
        </w:rPr>
        <w:t> </w:t>
      </w:r>
      <w:r>
        <w:rPr/>
        <w:t>Kingdom</w:t>
      </w:r>
      <w:r>
        <w:rPr>
          <w:spacing w:val="-8"/>
        </w:rPr>
        <w:t> </w:t>
      </w:r>
      <w:r>
        <w:rPr/>
        <w:t>(Yahaya,</w:t>
      </w:r>
      <w:r>
        <w:rPr>
          <w:spacing w:val="-10"/>
        </w:rPr>
        <w:t> </w:t>
      </w:r>
      <w:r>
        <w:rPr/>
        <w:t>2002;</w:t>
      </w:r>
      <w:r>
        <w:rPr>
          <w:spacing w:val="-8"/>
        </w:rPr>
        <w:t> </w:t>
      </w:r>
      <w:r>
        <w:rPr/>
        <w:t>Ononogbo,</w:t>
      </w:r>
      <w:r>
        <w:rPr>
          <w:spacing w:val="-8"/>
        </w:rPr>
        <w:t> </w:t>
      </w:r>
      <w:r>
        <w:rPr/>
        <w:t>2014).</w:t>
      </w:r>
      <w:r>
        <w:rPr>
          <w:spacing w:val="-10"/>
        </w:rPr>
        <w:t> </w:t>
      </w:r>
      <w:r>
        <w:rPr/>
        <w:t>Bida</w:t>
      </w:r>
      <w:r>
        <w:rPr>
          <w:spacing w:val="-11"/>
        </w:rPr>
        <w:t> </w:t>
      </w:r>
      <w:r>
        <w:rPr/>
        <w:t>is</w:t>
      </w:r>
      <w:r>
        <w:rPr>
          <w:spacing w:val="-9"/>
        </w:rPr>
        <w:t> </w:t>
      </w:r>
      <w:r>
        <w:rPr/>
        <w:t>one of the largest settlements and it is next</w:t>
      </w:r>
      <w:r>
        <w:rPr>
          <w:spacing w:val="-1"/>
        </w:rPr>
        <w:t> </w:t>
      </w:r>
      <w:r>
        <w:rPr/>
        <w:t>to Minna</w:t>
      </w:r>
      <w:r>
        <w:rPr>
          <w:spacing w:val="-2"/>
        </w:rPr>
        <w:t> </w:t>
      </w:r>
      <w:r>
        <w:rPr/>
        <w:t>which is the largest settlement in Niger state and located in southern region of the state. It is also located on the A124 regional highway linking Minna to Ilorin and Abuja (Mahmud &amp; Umaru, 2018). Bida Local Government Area has about 1.698 km</w:t>
      </w:r>
      <w:r>
        <w:rPr>
          <w:vertAlign w:val="superscript"/>
        </w:rPr>
        <w:t>2</w:t>
      </w:r>
      <w:r>
        <w:rPr>
          <w:vertAlign w:val="baseline"/>
        </w:rPr>
        <w:t> area and a population of 266,008 (National Population Commission, 2006). Bida town lies on latitude 9°5'30" - 9°2'07"N and longitude 5º58'30"- 6°3'0"E. As a traditional headquarters, Bida is led by Etsu Nupe whose</w:t>
      </w:r>
      <w:r>
        <w:rPr>
          <w:spacing w:val="-15"/>
          <w:vertAlign w:val="baseline"/>
        </w:rPr>
        <w:t> </w:t>
      </w:r>
      <w:r>
        <w:rPr>
          <w:vertAlign w:val="baseline"/>
        </w:rPr>
        <w:t>leadership</w:t>
      </w:r>
      <w:r>
        <w:rPr>
          <w:spacing w:val="-15"/>
          <w:vertAlign w:val="baseline"/>
        </w:rPr>
        <w:t> </w:t>
      </w:r>
      <w:r>
        <w:rPr>
          <w:vertAlign w:val="baseline"/>
        </w:rPr>
        <w:t>extends</w:t>
      </w:r>
      <w:r>
        <w:rPr>
          <w:spacing w:val="-15"/>
          <w:vertAlign w:val="baseline"/>
        </w:rPr>
        <w:t> </w:t>
      </w:r>
      <w:r>
        <w:rPr>
          <w:vertAlign w:val="baseline"/>
        </w:rPr>
        <w:t>to</w:t>
      </w:r>
      <w:r>
        <w:rPr>
          <w:spacing w:val="-15"/>
          <w:vertAlign w:val="baseline"/>
        </w:rPr>
        <w:t> </w:t>
      </w:r>
      <w:r>
        <w:rPr>
          <w:vertAlign w:val="baseline"/>
        </w:rPr>
        <w:t>other</w:t>
      </w:r>
      <w:r>
        <w:rPr>
          <w:spacing w:val="-15"/>
          <w:vertAlign w:val="baseline"/>
        </w:rPr>
        <w:t> </w:t>
      </w:r>
      <w:r>
        <w:rPr>
          <w:vertAlign w:val="baseline"/>
        </w:rPr>
        <w:t>districts</w:t>
      </w:r>
      <w:r>
        <w:rPr>
          <w:spacing w:val="-15"/>
          <w:vertAlign w:val="baseline"/>
        </w:rPr>
        <w:t> </w:t>
      </w:r>
      <w:r>
        <w:rPr>
          <w:vertAlign w:val="baseline"/>
        </w:rPr>
        <w:t>namely,</w:t>
      </w:r>
      <w:r>
        <w:rPr>
          <w:spacing w:val="-15"/>
          <w:vertAlign w:val="baseline"/>
        </w:rPr>
        <w:t> </w:t>
      </w:r>
      <w:r>
        <w:rPr>
          <w:vertAlign w:val="baseline"/>
        </w:rPr>
        <w:t>Mokwa,</w:t>
      </w:r>
      <w:r>
        <w:rPr>
          <w:spacing w:val="-15"/>
          <w:vertAlign w:val="baseline"/>
        </w:rPr>
        <w:t> </w:t>
      </w:r>
      <w:r>
        <w:rPr>
          <w:vertAlign w:val="baseline"/>
        </w:rPr>
        <w:t>Lemu,</w:t>
      </w:r>
      <w:r>
        <w:rPr>
          <w:spacing w:val="-15"/>
          <w:vertAlign w:val="baseline"/>
        </w:rPr>
        <w:t> </w:t>
      </w:r>
      <w:r>
        <w:rPr>
          <w:vertAlign w:val="baseline"/>
        </w:rPr>
        <w:t>Enagi,</w:t>
      </w:r>
      <w:r>
        <w:rPr>
          <w:spacing w:val="-15"/>
          <w:vertAlign w:val="baseline"/>
        </w:rPr>
        <w:t> </w:t>
      </w:r>
      <w:r>
        <w:rPr>
          <w:vertAlign w:val="baseline"/>
        </w:rPr>
        <w:t>Katcha,</w:t>
      </w:r>
      <w:r>
        <w:rPr>
          <w:spacing w:val="-15"/>
          <w:vertAlign w:val="baseline"/>
        </w:rPr>
        <w:t> </w:t>
      </w:r>
      <w:r>
        <w:rPr>
          <w:vertAlign w:val="baseline"/>
        </w:rPr>
        <w:t>Kutigi, Baddeggi, and others. A major ethnic group in the town is </w:t>
      </w:r>
      <w:hyperlink r:id="rId8">
        <w:r>
          <w:rPr>
            <w:vertAlign w:val="baseline"/>
          </w:rPr>
          <w:t>Nupe</w:t>
        </w:r>
      </w:hyperlink>
      <w:r>
        <w:rPr>
          <w:vertAlign w:val="baseline"/>
        </w:rPr>
        <w:t> with other tribes like Hausa, Fulani,</w:t>
      </w:r>
      <w:r>
        <w:rPr>
          <w:spacing w:val="-1"/>
          <w:vertAlign w:val="baseline"/>
        </w:rPr>
        <w:t> </w:t>
      </w:r>
      <w:r>
        <w:rPr>
          <w:vertAlign w:val="baseline"/>
        </w:rPr>
        <w:t>Yoruba, Igbo, and</w:t>
      </w:r>
      <w:r>
        <w:rPr>
          <w:spacing w:val="-1"/>
          <w:vertAlign w:val="baseline"/>
        </w:rPr>
        <w:t> </w:t>
      </w:r>
      <w:r>
        <w:rPr>
          <w:vertAlign w:val="baseline"/>
        </w:rPr>
        <w:t>others (Yahaya, 2002). Activities</w:t>
      </w:r>
      <w:r>
        <w:rPr>
          <w:spacing w:val="-2"/>
          <w:vertAlign w:val="baseline"/>
        </w:rPr>
        <w:t> </w:t>
      </w:r>
      <w:r>
        <w:rPr>
          <w:vertAlign w:val="baseline"/>
        </w:rPr>
        <w:t>like</w:t>
      </w:r>
      <w:r>
        <w:rPr>
          <w:spacing w:val="-2"/>
          <w:vertAlign w:val="baseline"/>
        </w:rPr>
        <w:t> </w:t>
      </w:r>
      <w:r>
        <w:rPr>
          <w:vertAlign w:val="baseline"/>
        </w:rPr>
        <w:t>traditional</w:t>
      </w:r>
      <w:r>
        <w:rPr>
          <w:spacing w:val="-1"/>
          <w:vertAlign w:val="baseline"/>
        </w:rPr>
        <w:t> </w:t>
      </w:r>
      <w:r>
        <w:rPr>
          <w:vertAlign w:val="baseline"/>
        </w:rPr>
        <w:t>brass and</w:t>
      </w:r>
      <w:r>
        <w:rPr>
          <w:spacing w:val="29"/>
          <w:vertAlign w:val="baseline"/>
        </w:rPr>
        <w:t> </w:t>
      </w:r>
      <w:r>
        <w:rPr>
          <w:vertAlign w:val="baseline"/>
        </w:rPr>
        <w:t>copper</w:t>
      </w:r>
      <w:r>
        <w:rPr>
          <w:spacing w:val="33"/>
          <w:vertAlign w:val="baseline"/>
        </w:rPr>
        <w:t> </w:t>
      </w:r>
      <w:r>
        <w:rPr>
          <w:vertAlign w:val="baseline"/>
        </w:rPr>
        <w:t>goblets,</w:t>
      </w:r>
      <w:r>
        <w:rPr>
          <w:spacing w:val="32"/>
          <w:vertAlign w:val="baseline"/>
        </w:rPr>
        <w:t> </w:t>
      </w:r>
      <w:r>
        <w:rPr>
          <w:vertAlign w:val="baseline"/>
        </w:rPr>
        <w:t>crafts</w:t>
      </w:r>
      <w:r>
        <w:rPr>
          <w:spacing w:val="32"/>
          <w:vertAlign w:val="baseline"/>
        </w:rPr>
        <w:t> </w:t>
      </w:r>
      <w:r>
        <w:rPr>
          <w:vertAlign w:val="baseline"/>
        </w:rPr>
        <w:t>and</w:t>
      </w:r>
      <w:r>
        <w:rPr>
          <w:spacing w:val="32"/>
          <w:vertAlign w:val="baseline"/>
        </w:rPr>
        <w:t> </w:t>
      </w:r>
      <w:r>
        <w:rPr>
          <w:vertAlign w:val="baseline"/>
        </w:rPr>
        <w:t>other</w:t>
      </w:r>
      <w:r>
        <w:rPr>
          <w:spacing w:val="30"/>
          <w:vertAlign w:val="baseline"/>
        </w:rPr>
        <w:t> </w:t>
      </w:r>
      <w:r>
        <w:rPr>
          <w:vertAlign w:val="baseline"/>
        </w:rPr>
        <w:t>metal</w:t>
      </w:r>
      <w:r>
        <w:rPr>
          <w:spacing w:val="32"/>
          <w:vertAlign w:val="baseline"/>
        </w:rPr>
        <w:t> </w:t>
      </w:r>
      <w:r>
        <w:rPr>
          <w:vertAlign w:val="baseline"/>
        </w:rPr>
        <w:t>products,</w:t>
      </w:r>
      <w:r>
        <w:rPr>
          <w:spacing w:val="32"/>
          <w:vertAlign w:val="baseline"/>
        </w:rPr>
        <w:t> </w:t>
      </w:r>
      <w:r>
        <w:rPr>
          <w:vertAlign w:val="baseline"/>
        </w:rPr>
        <w:t>raffia</w:t>
      </w:r>
      <w:r>
        <w:rPr>
          <w:spacing w:val="31"/>
          <w:vertAlign w:val="baseline"/>
        </w:rPr>
        <w:t> </w:t>
      </w:r>
      <w:r>
        <w:rPr>
          <w:vertAlign w:val="baseline"/>
        </w:rPr>
        <w:t>and</w:t>
      </w:r>
      <w:r>
        <w:rPr>
          <w:spacing w:val="31"/>
          <w:vertAlign w:val="baseline"/>
        </w:rPr>
        <w:t> </w:t>
      </w:r>
      <w:r>
        <w:rPr>
          <w:vertAlign w:val="baseline"/>
        </w:rPr>
        <w:t>mats,</w:t>
      </w:r>
      <w:r>
        <w:rPr>
          <w:spacing w:val="40"/>
          <w:vertAlign w:val="baseline"/>
        </w:rPr>
        <w:t> </w:t>
      </w:r>
      <w:r>
        <w:rPr>
          <w:vertAlign w:val="baseline"/>
        </w:rPr>
        <w:t>glass</w:t>
      </w:r>
      <w:r>
        <w:rPr>
          <w:spacing w:val="31"/>
          <w:vertAlign w:val="baseline"/>
        </w:rPr>
        <w:t> </w:t>
      </w:r>
      <w:r>
        <w:rPr>
          <w:vertAlign w:val="baseline"/>
        </w:rPr>
        <w:t>beads</w:t>
      </w:r>
      <w:r>
        <w:rPr>
          <w:spacing w:val="32"/>
          <w:vertAlign w:val="baseline"/>
        </w:rPr>
        <w:t> </w:t>
      </w:r>
      <w:r>
        <w:rPr>
          <w:spacing w:val="-5"/>
          <w:vertAlign w:val="baseline"/>
        </w:rPr>
        <w:t>and</w:t>
      </w:r>
    </w:p>
    <w:p>
      <w:pPr>
        <w:spacing w:after="0" w:line="480" w:lineRule="auto"/>
        <w:sectPr>
          <w:pgSz w:w="11910" w:h="16840"/>
          <w:pgMar w:header="0" w:footer="1022" w:top="1320" w:bottom="1220" w:left="1680" w:right="900"/>
        </w:sectPr>
      </w:pPr>
    </w:p>
    <w:p>
      <w:pPr>
        <w:spacing w:line="480" w:lineRule="auto" w:before="72"/>
        <w:ind w:left="305" w:right="514" w:firstLine="0"/>
        <w:jc w:val="both"/>
        <w:rPr>
          <w:sz w:val="24"/>
        </w:rPr>
      </w:pPr>
      <w:r>
        <w:rPr>
          <w:sz w:val="24"/>
        </w:rPr>
        <w:t>bangles, silk cloth and locally dyed cotton is what the town is well known for (Alarima </w:t>
      </w:r>
      <w:r>
        <w:rPr>
          <w:i/>
          <w:sz w:val="24"/>
        </w:rPr>
        <w:t>et</w:t>
      </w:r>
      <w:r>
        <w:rPr>
          <w:i/>
          <w:spacing w:val="-14"/>
          <w:sz w:val="24"/>
        </w:rPr>
        <w:t> </w:t>
      </w:r>
      <w:r>
        <w:rPr>
          <w:i/>
          <w:sz w:val="24"/>
        </w:rPr>
        <w:t>al.</w:t>
      </w:r>
      <w:r>
        <w:rPr>
          <w:sz w:val="24"/>
        </w:rPr>
        <w:t>,</w:t>
      </w:r>
      <w:r>
        <w:rPr>
          <w:spacing w:val="-14"/>
          <w:sz w:val="24"/>
        </w:rPr>
        <w:t> </w:t>
      </w:r>
      <w:r>
        <w:rPr>
          <w:sz w:val="24"/>
        </w:rPr>
        <w:t>2012).</w:t>
      </w:r>
      <w:r>
        <w:rPr>
          <w:spacing w:val="-11"/>
          <w:sz w:val="24"/>
        </w:rPr>
        <w:t> </w:t>
      </w:r>
      <w:r>
        <w:rPr>
          <w:sz w:val="24"/>
        </w:rPr>
        <w:t>Durbar</w:t>
      </w:r>
      <w:r>
        <w:rPr>
          <w:spacing w:val="-13"/>
          <w:sz w:val="24"/>
        </w:rPr>
        <w:t> </w:t>
      </w:r>
      <w:r>
        <w:rPr>
          <w:sz w:val="24"/>
        </w:rPr>
        <w:t>festival</w:t>
      </w:r>
      <w:r>
        <w:rPr>
          <w:spacing w:val="-13"/>
          <w:sz w:val="24"/>
        </w:rPr>
        <w:t> </w:t>
      </w:r>
      <w:r>
        <w:rPr>
          <w:sz w:val="24"/>
        </w:rPr>
        <w:t>is</w:t>
      </w:r>
      <w:r>
        <w:rPr>
          <w:spacing w:val="-14"/>
          <w:sz w:val="24"/>
        </w:rPr>
        <w:t> </w:t>
      </w:r>
      <w:r>
        <w:rPr>
          <w:sz w:val="24"/>
        </w:rPr>
        <w:t>another</w:t>
      </w:r>
      <w:r>
        <w:rPr>
          <w:spacing w:val="-13"/>
          <w:sz w:val="24"/>
        </w:rPr>
        <w:t> </w:t>
      </w:r>
      <w:r>
        <w:rPr>
          <w:sz w:val="24"/>
        </w:rPr>
        <w:t>feature</w:t>
      </w:r>
      <w:r>
        <w:rPr>
          <w:spacing w:val="-15"/>
          <w:sz w:val="24"/>
        </w:rPr>
        <w:t> </w:t>
      </w:r>
      <w:r>
        <w:rPr>
          <w:sz w:val="24"/>
        </w:rPr>
        <w:t>that</w:t>
      </w:r>
      <w:r>
        <w:rPr>
          <w:spacing w:val="-10"/>
          <w:sz w:val="24"/>
        </w:rPr>
        <w:t> </w:t>
      </w:r>
      <w:r>
        <w:rPr>
          <w:sz w:val="24"/>
        </w:rPr>
        <w:t>the</w:t>
      </w:r>
      <w:r>
        <w:rPr>
          <w:spacing w:val="-15"/>
          <w:sz w:val="24"/>
        </w:rPr>
        <w:t> </w:t>
      </w:r>
      <w:r>
        <w:rPr>
          <w:sz w:val="24"/>
        </w:rPr>
        <w:t>town</w:t>
      </w:r>
      <w:r>
        <w:rPr>
          <w:spacing w:val="-14"/>
          <w:sz w:val="24"/>
        </w:rPr>
        <w:t> </w:t>
      </w:r>
      <w:r>
        <w:rPr>
          <w:sz w:val="24"/>
        </w:rPr>
        <w:t>is</w:t>
      </w:r>
      <w:r>
        <w:rPr>
          <w:spacing w:val="-11"/>
          <w:sz w:val="24"/>
        </w:rPr>
        <w:t> </w:t>
      </w:r>
      <w:r>
        <w:rPr>
          <w:sz w:val="24"/>
        </w:rPr>
        <w:t>also</w:t>
      </w:r>
      <w:r>
        <w:rPr>
          <w:spacing w:val="-14"/>
          <w:sz w:val="24"/>
        </w:rPr>
        <w:t> </w:t>
      </w:r>
      <w:r>
        <w:rPr>
          <w:sz w:val="24"/>
        </w:rPr>
        <w:t>known</w:t>
      </w:r>
      <w:r>
        <w:rPr>
          <w:spacing w:val="-13"/>
          <w:sz w:val="24"/>
        </w:rPr>
        <w:t> </w:t>
      </w:r>
      <w:r>
        <w:rPr>
          <w:sz w:val="24"/>
        </w:rPr>
        <w:t>for</w:t>
      </w:r>
      <w:r>
        <w:rPr>
          <w:spacing w:val="-15"/>
          <w:sz w:val="24"/>
        </w:rPr>
        <w:t> </w:t>
      </w:r>
      <w:r>
        <w:rPr>
          <w:sz w:val="24"/>
        </w:rPr>
        <w:t>(Max</w:t>
      </w:r>
      <w:r>
        <w:rPr>
          <w:spacing w:val="-10"/>
          <w:sz w:val="24"/>
        </w:rPr>
        <w:t> </w:t>
      </w:r>
      <w:r>
        <w:rPr>
          <w:sz w:val="24"/>
        </w:rPr>
        <w:t>Lock, 1980).</w:t>
      </w:r>
      <w:r>
        <w:rPr>
          <w:spacing w:val="-11"/>
          <w:sz w:val="24"/>
        </w:rPr>
        <w:t> </w:t>
      </w:r>
      <w:r>
        <w:rPr>
          <w:sz w:val="26"/>
        </w:rPr>
        <w:t>There</w:t>
      </w:r>
      <w:r>
        <w:rPr>
          <w:spacing w:val="-8"/>
          <w:sz w:val="26"/>
        </w:rPr>
        <w:t> </w:t>
      </w:r>
      <w:r>
        <w:rPr>
          <w:sz w:val="26"/>
        </w:rPr>
        <w:t>are</w:t>
      </w:r>
      <w:r>
        <w:rPr>
          <w:spacing w:val="-11"/>
          <w:sz w:val="26"/>
        </w:rPr>
        <w:t> </w:t>
      </w:r>
      <w:r>
        <w:rPr>
          <w:sz w:val="26"/>
        </w:rPr>
        <w:t>two</w:t>
      </w:r>
      <w:r>
        <w:rPr>
          <w:spacing w:val="-11"/>
          <w:sz w:val="26"/>
        </w:rPr>
        <w:t> </w:t>
      </w:r>
      <w:r>
        <w:rPr>
          <w:sz w:val="26"/>
        </w:rPr>
        <w:t>polytechnics</w:t>
      </w:r>
      <w:r>
        <w:rPr>
          <w:spacing w:val="-8"/>
          <w:sz w:val="26"/>
        </w:rPr>
        <w:t> </w:t>
      </w:r>
      <w:r>
        <w:rPr>
          <w:sz w:val="26"/>
        </w:rPr>
        <w:t>in</w:t>
      </w:r>
      <w:r>
        <w:rPr>
          <w:spacing w:val="-11"/>
          <w:sz w:val="26"/>
        </w:rPr>
        <w:t> </w:t>
      </w:r>
      <w:r>
        <w:rPr>
          <w:sz w:val="26"/>
        </w:rPr>
        <w:t>Bida</w:t>
      </w:r>
      <w:r>
        <w:rPr>
          <w:spacing w:val="-11"/>
          <w:sz w:val="26"/>
        </w:rPr>
        <w:t> </w:t>
      </w:r>
      <w:r>
        <w:rPr>
          <w:sz w:val="26"/>
        </w:rPr>
        <w:t>(Federal</w:t>
      </w:r>
      <w:r>
        <w:rPr>
          <w:spacing w:val="-11"/>
          <w:sz w:val="26"/>
        </w:rPr>
        <w:t> </w:t>
      </w:r>
      <w:r>
        <w:rPr>
          <w:sz w:val="26"/>
        </w:rPr>
        <w:t>Polytechnic</w:t>
      </w:r>
      <w:r>
        <w:rPr>
          <w:spacing w:val="-8"/>
          <w:sz w:val="26"/>
        </w:rPr>
        <w:t> </w:t>
      </w:r>
      <w:r>
        <w:rPr>
          <w:sz w:val="26"/>
        </w:rPr>
        <w:t>Bida</w:t>
      </w:r>
      <w:r>
        <w:rPr>
          <w:spacing w:val="-11"/>
          <w:sz w:val="26"/>
        </w:rPr>
        <w:t> </w:t>
      </w:r>
      <w:r>
        <w:rPr>
          <w:sz w:val="26"/>
        </w:rPr>
        <w:t>and</w:t>
      </w:r>
      <w:r>
        <w:rPr>
          <w:spacing w:val="-11"/>
          <w:sz w:val="26"/>
        </w:rPr>
        <w:t> </w:t>
      </w:r>
      <w:r>
        <w:rPr>
          <w:sz w:val="26"/>
        </w:rPr>
        <w:t>a</w:t>
      </w:r>
      <w:r>
        <w:rPr>
          <w:spacing w:val="-11"/>
          <w:sz w:val="26"/>
        </w:rPr>
        <w:t> </w:t>
      </w:r>
      <w:r>
        <w:rPr>
          <w:sz w:val="26"/>
        </w:rPr>
        <w:t>campus of Niger State Polytechnic), there are also one secondary and tertiary health institutions in the town (Umaru Sanda General Hospital and Federal Medical Centre).</w:t>
      </w:r>
      <w:r>
        <w:rPr>
          <w:spacing w:val="-8"/>
          <w:sz w:val="26"/>
        </w:rPr>
        <w:t> </w:t>
      </w:r>
      <w:r>
        <w:rPr>
          <w:sz w:val="26"/>
        </w:rPr>
        <w:t>Others</w:t>
      </w:r>
      <w:r>
        <w:rPr>
          <w:spacing w:val="-8"/>
          <w:sz w:val="26"/>
        </w:rPr>
        <w:t> </w:t>
      </w:r>
      <w:r>
        <w:rPr>
          <w:sz w:val="26"/>
        </w:rPr>
        <w:t>includes</w:t>
      </w:r>
      <w:r>
        <w:rPr>
          <w:spacing w:val="-9"/>
          <w:sz w:val="26"/>
        </w:rPr>
        <w:t> </w:t>
      </w:r>
      <w:r>
        <w:rPr>
          <w:sz w:val="26"/>
        </w:rPr>
        <w:t>security</w:t>
      </w:r>
      <w:r>
        <w:rPr>
          <w:spacing w:val="-14"/>
          <w:sz w:val="26"/>
        </w:rPr>
        <w:t> </w:t>
      </w:r>
      <w:r>
        <w:rPr>
          <w:sz w:val="26"/>
        </w:rPr>
        <w:t>and</w:t>
      </w:r>
      <w:r>
        <w:rPr>
          <w:spacing w:val="-6"/>
          <w:sz w:val="26"/>
        </w:rPr>
        <w:t> </w:t>
      </w:r>
      <w:r>
        <w:rPr>
          <w:sz w:val="26"/>
        </w:rPr>
        <w:t>military</w:t>
      </w:r>
      <w:r>
        <w:rPr>
          <w:spacing w:val="-14"/>
          <w:sz w:val="26"/>
        </w:rPr>
        <w:t> </w:t>
      </w:r>
      <w:r>
        <w:rPr>
          <w:sz w:val="26"/>
        </w:rPr>
        <w:t>institutions</w:t>
      </w:r>
      <w:r>
        <w:rPr>
          <w:spacing w:val="-9"/>
          <w:sz w:val="26"/>
        </w:rPr>
        <w:t> </w:t>
      </w:r>
      <w:r>
        <w:rPr>
          <w:sz w:val="26"/>
        </w:rPr>
        <w:t>(police</w:t>
      </w:r>
      <w:r>
        <w:rPr>
          <w:spacing w:val="-8"/>
          <w:sz w:val="26"/>
        </w:rPr>
        <w:t> </w:t>
      </w:r>
      <w:r>
        <w:rPr>
          <w:sz w:val="26"/>
        </w:rPr>
        <w:t>station</w:t>
      </w:r>
      <w:r>
        <w:rPr>
          <w:spacing w:val="-9"/>
          <w:sz w:val="26"/>
        </w:rPr>
        <w:t> </w:t>
      </w:r>
      <w:r>
        <w:rPr>
          <w:sz w:val="26"/>
        </w:rPr>
        <w:t>and</w:t>
      </w:r>
      <w:r>
        <w:rPr>
          <w:spacing w:val="-8"/>
          <w:sz w:val="26"/>
        </w:rPr>
        <w:t> </w:t>
      </w:r>
      <w:r>
        <w:rPr>
          <w:sz w:val="26"/>
        </w:rPr>
        <w:t>army barrack),</w:t>
      </w:r>
      <w:r>
        <w:rPr>
          <w:spacing w:val="-3"/>
          <w:sz w:val="26"/>
        </w:rPr>
        <w:t> </w:t>
      </w:r>
      <w:r>
        <w:rPr>
          <w:sz w:val="26"/>
        </w:rPr>
        <w:t>primary</w:t>
      </w:r>
      <w:r>
        <w:rPr>
          <w:spacing w:val="-8"/>
          <w:sz w:val="26"/>
        </w:rPr>
        <w:t> </w:t>
      </w:r>
      <w:r>
        <w:rPr>
          <w:sz w:val="26"/>
        </w:rPr>
        <w:t>and</w:t>
      </w:r>
      <w:r>
        <w:rPr>
          <w:spacing w:val="-1"/>
          <w:sz w:val="26"/>
        </w:rPr>
        <w:t> </w:t>
      </w:r>
      <w:r>
        <w:rPr>
          <w:sz w:val="26"/>
        </w:rPr>
        <w:t>secondary</w:t>
      </w:r>
      <w:r>
        <w:rPr>
          <w:spacing w:val="-8"/>
          <w:sz w:val="26"/>
        </w:rPr>
        <w:t> </w:t>
      </w:r>
      <w:r>
        <w:rPr>
          <w:sz w:val="26"/>
        </w:rPr>
        <w:t>schools</w:t>
      </w:r>
      <w:r>
        <w:rPr>
          <w:spacing w:val="-3"/>
          <w:sz w:val="26"/>
        </w:rPr>
        <w:t> </w:t>
      </w:r>
      <w:r>
        <w:rPr>
          <w:sz w:val="26"/>
        </w:rPr>
        <w:t>both</w:t>
      </w:r>
      <w:r>
        <w:rPr>
          <w:spacing w:val="-2"/>
          <w:sz w:val="26"/>
        </w:rPr>
        <w:t> </w:t>
      </w:r>
      <w:r>
        <w:rPr>
          <w:sz w:val="26"/>
        </w:rPr>
        <w:t>public</w:t>
      </w:r>
      <w:r>
        <w:rPr>
          <w:spacing w:val="-3"/>
          <w:sz w:val="26"/>
        </w:rPr>
        <w:t> </w:t>
      </w:r>
      <w:r>
        <w:rPr>
          <w:sz w:val="26"/>
        </w:rPr>
        <w:t>and</w:t>
      </w:r>
      <w:r>
        <w:rPr>
          <w:spacing w:val="-3"/>
          <w:sz w:val="26"/>
        </w:rPr>
        <w:t> </w:t>
      </w:r>
      <w:r>
        <w:rPr>
          <w:sz w:val="26"/>
        </w:rPr>
        <w:t>private,</w:t>
      </w:r>
      <w:r>
        <w:rPr>
          <w:spacing w:val="-3"/>
          <w:sz w:val="26"/>
        </w:rPr>
        <w:t> </w:t>
      </w:r>
      <w:r>
        <w:rPr>
          <w:sz w:val="26"/>
        </w:rPr>
        <w:t>television</w:t>
      </w:r>
      <w:r>
        <w:rPr>
          <w:spacing w:val="-3"/>
          <w:sz w:val="26"/>
        </w:rPr>
        <w:t> </w:t>
      </w:r>
      <w:r>
        <w:rPr>
          <w:sz w:val="26"/>
        </w:rPr>
        <w:t>house (Nigeria Television Authority - NTA), commercials banks, Nigeri Telecommunications</w:t>
      </w:r>
      <w:r>
        <w:rPr>
          <w:spacing w:val="-1"/>
          <w:sz w:val="26"/>
        </w:rPr>
        <w:t> </w:t>
      </w:r>
      <w:r>
        <w:rPr>
          <w:sz w:val="26"/>
        </w:rPr>
        <w:t>(NITEL), Nigeria</w:t>
      </w:r>
      <w:r>
        <w:rPr>
          <w:spacing w:val="-1"/>
          <w:sz w:val="26"/>
        </w:rPr>
        <w:t> </w:t>
      </w:r>
      <w:r>
        <w:rPr>
          <w:sz w:val="26"/>
        </w:rPr>
        <w:t>Postal</w:t>
      </w:r>
      <w:r>
        <w:rPr>
          <w:spacing w:val="-1"/>
          <w:sz w:val="26"/>
        </w:rPr>
        <w:t> </w:t>
      </w:r>
      <w:r>
        <w:rPr>
          <w:sz w:val="26"/>
        </w:rPr>
        <w:t>Service</w:t>
      </w:r>
      <w:r>
        <w:rPr>
          <w:spacing w:val="-1"/>
          <w:sz w:val="26"/>
        </w:rPr>
        <w:t> </w:t>
      </w:r>
      <w:r>
        <w:rPr>
          <w:sz w:val="26"/>
        </w:rPr>
        <w:t>(NIPOST),</w:t>
      </w:r>
      <w:r>
        <w:rPr>
          <w:spacing w:val="-1"/>
          <w:sz w:val="26"/>
        </w:rPr>
        <w:t> </w:t>
      </w:r>
      <w:r>
        <w:rPr>
          <w:sz w:val="26"/>
        </w:rPr>
        <w:t>restaurants</w:t>
      </w:r>
      <w:r>
        <w:rPr>
          <w:spacing w:val="-1"/>
          <w:sz w:val="26"/>
        </w:rPr>
        <w:t> </w:t>
      </w:r>
      <w:r>
        <w:rPr>
          <w:sz w:val="26"/>
        </w:rPr>
        <w:t>and eateries, hotels and two major markets </w:t>
      </w:r>
      <w:r>
        <w:rPr>
          <w:sz w:val="24"/>
        </w:rPr>
        <w:t>(Ononogbo, 2014).</w:t>
      </w:r>
    </w:p>
    <w:p>
      <w:pPr>
        <w:pStyle w:val="BodyText"/>
        <w:jc w:val="left"/>
        <w:rPr>
          <w:sz w:val="20"/>
        </w:rPr>
      </w:pPr>
    </w:p>
    <w:p>
      <w:pPr>
        <w:pStyle w:val="BodyText"/>
        <w:spacing w:before="177"/>
        <w:jc w:val="left"/>
        <w:rPr>
          <w:sz w:val="20"/>
        </w:rPr>
      </w:pPr>
      <w:r>
        <w:rPr/>
        <w:drawing>
          <wp:anchor distT="0" distB="0" distL="0" distR="0" allowOverlap="1" layoutInCell="1" locked="0" behindDoc="1" simplePos="0" relativeHeight="487587840">
            <wp:simplePos x="0" y="0"/>
            <wp:positionH relativeFrom="page">
              <wp:posOffset>1296033</wp:posOffset>
            </wp:positionH>
            <wp:positionV relativeFrom="paragraph">
              <wp:posOffset>274076</wp:posOffset>
            </wp:positionV>
            <wp:extent cx="5398313" cy="4476750"/>
            <wp:effectExtent l="0" t="0" r="0" b="0"/>
            <wp:wrapTopAndBottom/>
            <wp:docPr id="2" name="Image 2" descr="\\HUDA-TECH-PC\Users\Public\Nigeria Showing Niger.jpg"/>
            <wp:cNvGraphicFramePr>
              <a:graphicFrameLocks/>
            </wp:cNvGraphicFramePr>
            <a:graphic>
              <a:graphicData uri="http://schemas.openxmlformats.org/drawingml/2006/picture">
                <pic:pic>
                  <pic:nvPicPr>
                    <pic:cNvPr id="2" name="Image 2" descr="\\HUDA-TECH-PC\Users\Public\Nigeria Showing Niger.jpg"/>
                    <pic:cNvPicPr/>
                  </pic:nvPicPr>
                  <pic:blipFill>
                    <a:blip r:embed="rId9" cstate="print"/>
                    <a:stretch>
                      <a:fillRect/>
                    </a:stretch>
                  </pic:blipFill>
                  <pic:spPr>
                    <a:xfrm>
                      <a:off x="0" y="0"/>
                      <a:ext cx="5398313" cy="4476750"/>
                    </a:xfrm>
                    <a:prstGeom prst="rect">
                      <a:avLst/>
                    </a:prstGeom>
                  </pic:spPr>
                </pic:pic>
              </a:graphicData>
            </a:graphic>
          </wp:anchor>
        </w:drawing>
      </w:r>
    </w:p>
    <w:p>
      <w:pPr>
        <w:pStyle w:val="Heading1"/>
        <w:spacing w:before="106"/>
        <w:ind w:left="5" w:right="214" w:firstLine="0"/>
        <w:jc w:val="center"/>
      </w:pPr>
      <w:r>
        <w:rPr/>
        <w:t>Figure</w:t>
      </w:r>
      <w:r>
        <w:rPr>
          <w:spacing w:val="-2"/>
        </w:rPr>
        <w:t> </w:t>
      </w:r>
      <w:r>
        <w:rPr/>
        <w:t>1.1:</w:t>
      </w:r>
      <w:r>
        <w:rPr>
          <w:spacing w:val="-1"/>
        </w:rPr>
        <w:t> </w:t>
      </w:r>
      <w:r>
        <w:rPr/>
        <w:t>Niger</w:t>
      </w:r>
      <w:r>
        <w:rPr>
          <w:spacing w:val="-1"/>
        </w:rPr>
        <w:t> </w:t>
      </w:r>
      <w:r>
        <w:rPr/>
        <w:t>State Location in</w:t>
      </w:r>
      <w:r>
        <w:rPr>
          <w:spacing w:val="2"/>
        </w:rPr>
        <w:t> </w:t>
      </w:r>
      <w:r>
        <w:rPr>
          <w:spacing w:val="-2"/>
        </w:rPr>
        <w:t>Nigeria</w:t>
      </w:r>
    </w:p>
    <w:p>
      <w:pPr>
        <w:spacing w:after="0"/>
        <w:jc w:val="center"/>
        <w:sectPr>
          <w:pgSz w:w="11910" w:h="16840"/>
          <w:pgMar w:header="0" w:footer="1022" w:top="1320" w:bottom="1220" w:left="1680" w:right="900"/>
        </w:sectPr>
      </w:pPr>
    </w:p>
    <w:p>
      <w:pPr>
        <w:pStyle w:val="BodyText"/>
        <w:spacing w:before="72"/>
        <w:ind w:right="214"/>
        <w:jc w:val="center"/>
      </w:pPr>
      <w:r>
        <w:rPr>
          <w:b/>
        </w:rPr>
        <w:t>Source:</w:t>
      </w:r>
      <w:r>
        <w:rPr>
          <w:b/>
          <w:spacing w:val="-2"/>
        </w:rPr>
        <w:t> </w:t>
      </w:r>
      <w:r>
        <w:rPr/>
        <w:t>Federal</w:t>
      </w:r>
      <w:r>
        <w:rPr>
          <w:spacing w:val="-1"/>
        </w:rPr>
        <w:t> </w:t>
      </w:r>
      <w:r>
        <w:rPr/>
        <w:t>Ministry</w:t>
      </w:r>
      <w:r>
        <w:rPr>
          <w:spacing w:val="-4"/>
        </w:rPr>
        <w:t> </w:t>
      </w:r>
      <w:r>
        <w:rPr/>
        <w:t>of Works,</w:t>
      </w:r>
      <w:r>
        <w:rPr>
          <w:spacing w:val="-2"/>
        </w:rPr>
        <w:t> </w:t>
      </w:r>
      <w:r>
        <w:rPr/>
        <w:t>Transport</w:t>
      </w:r>
      <w:r>
        <w:rPr>
          <w:spacing w:val="-1"/>
        </w:rPr>
        <w:t> </w:t>
      </w:r>
      <w:r>
        <w:rPr/>
        <w:t>and</w:t>
      </w:r>
      <w:r>
        <w:rPr>
          <w:spacing w:val="1"/>
        </w:rPr>
        <w:t> </w:t>
      </w:r>
      <w:r>
        <w:rPr/>
        <w:t>Housing,</w:t>
      </w:r>
      <w:r>
        <w:rPr>
          <w:spacing w:val="-1"/>
        </w:rPr>
        <w:t> </w:t>
      </w:r>
      <w:r>
        <w:rPr>
          <w:spacing w:val="-4"/>
        </w:rPr>
        <w:t>2015</w:t>
      </w:r>
    </w:p>
    <w:p>
      <w:pPr>
        <w:pStyle w:val="BodyText"/>
        <w:jc w:val="left"/>
        <w:rPr>
          <w:sz w:val="20"/>
        </w:rPr>
      </w:pPr>
    </w:p>
    <w:p>
      <w:pPr>
        <w:pStyle w:val="BodyText"/>
        <w:spacing w:before="76"/>
        <w:jc w:val="left"/>
        <w:rPr>
          <w:sz w:val="20"/>
        </w:rPr>
      </w:pPr>
      <w:r>
        <w:rPr/>
        <w:drawing>
          <wp:anchor distT="0" distB="0" distL="0" distR="0" allowOverlap="1" layoutInCell="1" locked="0" behindDoc="1" simplePos="0" relativeHeight="487588352">
            <wp:simplePos x="0" y="0"/>
            <wp:positionH relativeFrom="page">
              <wp:posOffset>1269458</wp:posOffset>
            </wp:positionH>
            <wp:positionV relativeFrom="paragraph">
              <wp:posOffset>209577</wp:posOffset>
            </wp:positionV>
            <wp:extent cx="5406852" cy="4786884"/>
            <wp:effectExtent l="0" t="0" r="0" b="0"/>
            <wp:wrapTopAndBottom/>
            <wp:docPr id="3" name="Image 3" descr="\\HUDA-TECH-PC\Users\Public\Niger Showing Bida.jpg"/>
            <wp:cNvGraphicFramePr>
              <a:graphicFrameLocks/>
            </wp:cNvGraphicFramePr>
            <a:graphic>
              <a:graphicData uri="http://schemas.openxmlformats.org/drawingml/2006/picture">
                <pic:pic>
                  <pic:nvPicPr>
                    <pic:cNvPr id="3" name="Image 3" descr="\\HUDA-TECH-PC\Users\Public\Niger Showing Bida.jpg"/>
                    <pic:cNvPicPr/>
                  </pic:nvPicPr>
                  <pic:blipFill>
                    <a:blip r:embed="rId10" cstate="print"/>
                    <a:stretch>
                      <a:fillRect/>
                    </a:stretch>
                  </pic:blipFill>
                  <pic:spPr>
                    <a:xfrm>
                      <a:off x="0" y="0"/>
                      <a:ext cx="5406852" cy="4786884"/>
                    </a:xfrm>
                    <a:prstGeom prst="rect">
                      <a:avLst/>
                    </a:prstGeom>
                  </pic:spPr>
                </pic:pic>
              </a:graphicData>
            </a:graphic>
          </wp:anchor>
        </w:drawing>
      </w:r>
    </w:p>
    <w:p>
      <w:pPr>
        <w:spacing w:line="268" w:lineRule="auto" w:before="10"/>
        <w:ind w:left="1753" w:right="1957" w:firstLine="753"/>
        <w:jc w:val="left"/>
        <w:rPr>
          <w:sz w:val="24"/>
        </w:rPr>
      </w:pPr>
      <w:r>
        <w:rPr>
          <w:b/>
          <w:sz w:val="24"/>
        </w:rPr>
        <w:t>Figure 1.2: Bida Location in Niger State Source:</w:t>
      </w:r>
      <w:r>
        <w:rPr>
          <w:b/>
          <w:spacing w:val="-6"/>
          <w:sz w:val="24"/>
        </w:rPr>
        <w:t> </w:t>
      </w:r>
      <w:r>
        <w:rPr>
          <w:sz w:val="24"/>
        </w:rPr>
        <w:t>Niger</w:t>
      </w:r>
      <w:r>
        <w:rPr>
          <w:spacing w:val="-5"/>
          <w:sz w:val="24"/>
        </w:rPr>
        <w:t> </w:t>
      </w:r>
      <w:r>
        <w:rPr>
          <w:sz w:val="24"/>
        </w:rPr>
        <w:t>State</w:t>
      </w:r>
      <w:r>
        <w:rPr>
          <w:spacing w:val="-5"/>
          <w:sz w:val="24"/>
        </w:rPr>
        <w:t> </w:t>
      </w:r>
      <w:r>
        <w:rPr>
          <w:sz w:val="24"/>
        </w:rPr>
        <w:t>Ministry</w:t>
      </w:r>
      <w:r>
        <w:rPr>
          <w:spacing w:val="-9"/>
          <w:sz w:val="24"/>
        </w:rPr>
        <w:t> </w:t>
      </w:r>
      <w:r>
        <w:rPr>
          <w:sz w:val="24"/>
        </w:rPr>
        <w:t>of</w:t>
      </w:r>
      <w:r>
        <w:rPr>
          <w:spacing w:val="-4"/>
          <w:sz w:val="24"/>
        </w:rPr>
        <w:t> </w:t>
      </w:r>
      <w:r>
        <w:rPr>
          <w:sz w:val="24"/>
        </w:rPr>
        <w:t>Lands</w:t>
      </w:r>
      <w:r>
        <w:rPr>
          <w:spacing w:val="-5"/>
          <w:sz w:val="24"/>
        </w:rPr>
        <w:t> </w:t>
      </w:r>
      <w:r>
        <w:rPr>
          <w:sz w:val="24"/>
        </w:rPr>
        <w:t>and</w:t>
      </w:r>
      <w:r>
        <w:rPr>
          <w:spacing w:val="-5"/>
          <w:sz w:val="24"/>
        </w:rPr>
        <w:t> </w:t>
      </w:r>
      <w:r>
        <w:rPr>
          <w:sz w:val="24"/>
        </w:rPr>
        <w:t>Housing,</w:t>
      </w:r>
      <w:r>
        <w:rPr>
          <w:spacing w:val="-5"/>
          <w:sz w:val="24"/>
        </w:rPr>
        <w:t> </w:t>
      </w:r>
      <w:r>
        <w:rPr>
          <w:sz w:val="24"/>
        </w:rPr>
        <w:t>2015</w:t>
      </w:r>
    </w:p>
    <w:p>
      <w:pPr>
        <w:spacing w:after="0" w:line="268" w:lineRule="auto"/>
        <w:jc w:val="left"/>
        <w:rPr>
          <w:sz w:val="24"/>
        </w:rPr>
        <w:sectPr>
          <w:pgSz w:w="11910" w:h="16840"/>
          <w:pgMar w:header="0" w:footer="1022" w:top="1320" w:bottom="1220" w:left="1680" w:right="900"/>
        </w:sectPr>
      </w:pPr>
    </w:p>
    <w:p>
      <w:pPr>
        <w:pStyle w:val="BodyText"/>
        <w:ind w:left="304"/>
        <w:jc w:val="left"/>
        <w:rPr>
          <w:sz w:val="20"/>
        </w:rPr>
      </w:pPr>
      <w:r>
        <w:rPr>
          <w:sz w:val="20"/>
        </w:rPr>
        <w:drawing>
          <wp:inline distT="0" distB="0" distL="0" distR="0">
            <wp:extent cx="5488111" cy="6035040"/>
            <wp:effectExtent l="0" t="0" r="0" b="0"/>
            <wp:docPr id="4" name="Image 4" descr="C:\Users\RAMATU S. MOHAMMED\Desktop\Maps\Bida.jpg"/>
            <wp:cNvGraphicFramePr>
              <a:graphicFrameLocks/>
            </wp:cNvGraphicFramePr>
            <a:graphic>
              <a:graphicData uri="http://schemas.openxmlformats.org/drawingml/2006/picture">
                <pic:pic>
                  <pic:nvPicPr>
                    <pic:cNvPr id="4" name="Image 4" descr="C:\Users\RAMATU S. MOHAMMED\Desktop\Maps\Bida.jpg"/>
                    <pic:cNvPicPr/>
                  </pic:nvPicPr>
                  <pic:blipFill>
                    <a:blip r:embed="rId11" cstate="print"/>
                    <a:stretch>
                      <a:fillRect/>
                    </a:stretch>
                  </pic:blipFill>
                  <pic:spPr>
                    <a:xfrm>
                      <a:off x="0" y="0"/>
                      <a:ext cx="5488111" cy="6035040"/>
                    </a:xfrm>
                    <a:prstGeom prst="rect">
                      <a:avLst/>
                    </a:prstGeom>
                  </pic:spPr>
                </pic:pic>
              </a:graphicData>
            </a:graphic>
          </wp:inline>
        </w:drawing>
      </w:r>
      <w:r>
        <w:rPr>
          <w:sz w:val="20"/>
        </w:rPr>
      </w:r>
    </w:p>
    <w:p>
      <w:pPr>
        <w:pStyle w:val="Heading1"/>
        <w:spacing w:before="56"/>
        <w:ind w:left="295" w:right="503" w:firstLine="0"/>
        <w:jc w:val="center"/>
      </w:pPr>
      <w:r>
        <w:rPr/>
        <w:t>Figure</w:t>
      </w:r>
      <w:r>
        <w:rPr>
          <w:spacing w:val="-2"/>
        </w:rPr>
        <w:t> </w:t>
      </w:r>
      <w:r>
        <w:rPr/>
        <w:t>1.3:</w:t>
      </w:r>
      <w:r>
        <w:rPr>
          <w:spacing w:val="-1"/>
        </w:rPr>
        <w:t> </w:t>
      </w:r>
      <w:r>
        <w:rPr/>
        <w:t>Street</w:t>
      </w:r>
      <w:r>
        <w:rPr>
          <w:spacing w:val="-1"/>
        </w:rPr>
        <w:t> </w:t>
      </w:r>
      <w:r>
        <w:rPr/>
        <w:t>Map</w:t>
      </w:r>
      <w:r>
        <w:rPr>
          <w:spacing w:val="1"/>
        </w:rPr>
        <w:t> </w:t>
      </w:r>
      <w:r>
        <w:rPr/>
        <w:t>of </w:t>
      </w:r>
      <w:r>
        <w:rPr>
          <w:spacing w:val="-4"/>
        </w:rPr>
        <w:t>Bida</w:t>
      </w:r>
    </w:p>
    <w:p>
      <w:pPr>
        <w:pStyle w:val="BodyText"/>
        <w:spacing w:before="34"/>
        <w:ind w:left="292" w:right="508"/>
        <w:jc w:val="center"/>
      </w:pPr>
      <w:r>
        <w:rPr>
          <w:b/>
        </w:rPr>
        <w:t>Source:</w:t>
      </w:r>
      <w:r>
        <w:rPr>
          <w:b/>
          <w:spacing w:val="-2"/>
        </w:rPr>
        <w:t> </w:t>
      </w:r>
      <w:r>
        <w:rPr/>
        <w:t>Niger</w:t>
      </w:r>
      <w:r>
        <w:rPr>
          <w:spacing w:val="-1"/>
        </w:rPr>
        <w:t> </w:t>
      </w:r>
      <w:r>
        <w:rPr/>
        <w:t>State</w:t>
      </w:r>
      <w:r>
        <w:rPr>
          <w:spacing w:val="-1"/>
        </w:rPr>
        <w:t> </w:t>
      </w:r>
      <w:r>
        <w:rPr/>
        <w:t>Ministry</w:t>
      </w:r>
      <w:r>
        <w:rPr>
          <w:spacing w:val="-6"/>
        </w:rPr>
        <w:t> </w:t>
      </w:r>
      <w:r>
        <w:rPr/>
        <w:t>of Lands</w:t>
      </w:r>
      <w:r>
        <w:rPr>
          <w:spacing w:val="-1"/>
        </w:rPr>
        <w:t> </w:t>
      </w:r>
      <w:r>
        <w:rPr/>
        <w:t>and</w:t>
      </w:r>
      <w:r>
        <w:rPr>
          <w:spacing w:val="-1"/>
        </w:rPr>
        <w:t> </w:t>
      </w:r>
      <w:r>
        <w:rPr/>
        <w:t>Housing, </w:t>
      </w:r>
      <w:r>
        <w:rPr>
          <w:spacing w:val="-4"/>
        </w:rPr>
        <w:t>2015</w:t>
      </w:r>
    </w:p>
    <w:p>
      <w:pPr>
        <w:pStyle w:val="BodyText"/>
        <w:jc w:val="left"/>
      </w:pPr>
    </w:p>
    <w:p>
      <w:pPr>
        <w:pStyle w:val="BodyText"/>
        <w:spacing w:before="207"/>
        <w:jc w:val="left"/>
      </w:pPr>
    </w:p>
    <w:p>
      <w:pPr>
        <w:pStyle w:val="Heading1"/>
        <w:numPr>
          <w:ilvl w:val="2"/>
          <w:numId w:val="1"/>
        </w:numPr>
        <w:tabs>
          <w:tab w:pos="1025" w:val="left" w:leader="none"/>
        </w:tabs>
        <w:spacing w:line="240" w:lineRule="auto" w:before="0" w:after="0"/>
        <w:ind w:left="1025" w:right="0" w:hanging="720"/>
        <w:jc w:val="left"/>
      </w:pPr>
      <w:r>
        <w:rPr/>
        <w:t>Physical</w:t>
      </w:r>
      <w:r>
        <w:rPr>
          <w:spacing w:val="-2"/>
        </w:rPr>
        <w:t> characteristics</w:t>
      </w:r>
    </w:p>
    <w:p>
      <w:pPr>
        <w:pStyle w:val="BodyText"/>
        <w:spacing w:before="194"/>
        <w:jc w:val="left"/>
        <w:rPr>
          <w:b/>
        </w:rPr>
      </w:pPr>
    </w:p>
    <w:p>
      <w:pPr>
        <w:pStyle w:val="BodyText"/>
        <w:spacing w:line="480" w:lineRule="auto"/>
        <w:ind w:left="305" w:right="516"/>
      </w:pPr>
      <w:r>
        <w:rPr/>
        <w:t>There</w:t>
      </w:r>
      <w:r>
        <w:rPr>
          <w:spacing w:val="-8"/>
        </w:rPr>
        <w:t> </w:t>
      </w:r>
      <w:r>
        <w:rPr/>
        <w:t>are</w:t>
      </w:r>
      <w:r>
        <w:rPr>
          <w:spacing w:val="-7"/>
        </w:rPr>
        <w:t> </w:t>
      </w:r>
      <w:r>
        <w:rPr/>
        <w:t>two</w:t>
      </w:r>
      <w:r>
        <w:rPr>
          <w:spacing w:val="-6"/>
        </w:rPr>
        <w:t> </w:t>
      </w:r>
      <w:r>
        <w:rPr/>
        <w:t>distinct</w:t>
      </w:r>
      <w:r>
        <w:rPr>
          <w:spacing w:val="-6"/>
        </w:rPr>
        <w:t> </w:t>
      </w:r>
      <w:r>
        <w:rPr/>
        <w:t>climatic</w:t>
      </w:r>
      <w:r>
        <w:rPr>
          <w:spacing w:val="-6"/>
        </w:rPr>
        <w:t> </w:t>
      </w:r>
      <w:r>
        <w:rPr/>
        <w:t>seasons</w:t>
      </w:r>
      <w:r>
        <w:rPr>
          <w:spacing w:val="-5"/>
        </w:rPr>
        <w:t> </w:t>
      </w:r>
      <w:r>
        <w:rPr/>
        <w:t>in</w:t>
      </w:r>
      <w:r>
        <w:rPr>
          <w:spacing w:val="-5"/>
        </w:rPr>
        <w:t> </w:t>
      </w:r>
      <w:r>
        <w:rPr/>
        <w:t>Bida</w:t>
      </w:r>
      <w:r>
        <w:rPr>
          <w:spacing w:val="-6"/>
        </w:rPr>
        <w:t> </w:t>
      </w:r>
      <w:r>
        <w:rPr/>
        <w:t>in</w:t>
      </w:r>
      <w:r>
        <w:rPr>
          <w:spacing w:val="-8"/>
        </w:rPr>
        <w:t> </w:t>
      </w:r>
      <w:r>
        <w:rPr/>
        <w:t>a</w:t>
      </w:r>
      <w:r>
        <w:rPr>
          <w:spacing w:val="-4"/>
        </w:rPr>
        <w:t> </w:t>
      </w:r>
      <w:r>
        <w:rPr/>
        <w:t>year</w:t>
      </w:r>
      <w:r>
        <w:rPr>
          <w:spacing w:val="-7"/>
        </w:rPr>
        <w:t> </w:t>
      </w:r>
      <w:r>
        <w:rPr/>
        <w:t>(dry</w:t>
      </w:r>
      <w:r>
        <w:rPr>
          <w:spacing w:val="-10"/>
        </w:rPr>
        <w:t> </w:t>
      </w:r>
      <w:r>
        <w:rPr/>
        <w:t>and</w:t>
      </w:r>
      <w:r>
        <w:rPr>
          <w:spacing w:val="-6"/>
        </w:rPr>
        <w:t> </w:t>
      </w:r>
      <w:r>
        <w:rPr/>
        <w:t>rainy</w:t>
      </w:r>
      <w:r>
        <w:rPr>
          <w:spacing w:val="-10"/>
        </w:rPr>
        <w:t> </w:t>
      </w:r>
      <w:r>
        <w:rPr/>
        <w:t>seasons).</w:t>
      </w:r>
      <w:r>
        <w:rPr>
          <w:spacing w:val="-6"/>
        </w:rPr>
        <w:t> </w:t>
      </w:r>
      <w:r>
        <w:rPr/>
        <w:t>Rainfall is experienced between April and November with peak in June/July. About 122.7mm annual average rainfall is recorded annually with highest of 226mm – 300mm recorded in</w:t>
      </w:r>
      <w:r>
        <w:rPr>
          <w:spacing w:val="-12"/>
        </w:rPr>
        <w:t> </w:t>
      </w:r>
      <w:r>
        <w:rPr/>
        <w:t>July</w:t>
      </w:r>
      <w:r>
        <w:rPr>
          <w:spacing w:val="-17"/>
        </w:rPr>
        <w:t> </w:t>
      </w:r>
      <w:r>
        <w:rPr/>
        <w:t>(Debaniyu,</w:t>
      </w:r>
      <w:r>
        <w:rPr>
          <w:spacing w:val="-11"/>
        </w:rPr>
        <w:t> </w:t>
      </w:r>
      <w:r>
        <w:rPr/>
        <w:t>2013).</w:t>
      </w:r>
      <w:r>
        <w:rPr>
          <w:spacing w:val="-6"/>
        </w:rPr>
        <w:t> </w:t>
      </w:r>
      <w:r>
        <w:rPr/>
        <w:t>In</w:t>
      </w:r>
      <w:r>
        <w:rPr>
          <w:spacing w:val="-11"/>
        </w:rPr>
        <w:t> </w:t>
      </w:r>
      <w:r>
        <w:rPr/>
        <w:t>the</w:t>
      </w:r>
      <w:r>
        <w:rPr>
          <w:spacing w:val="-11"/>
        </w:rPr>
        <w:t> </w:t>
      </w:r>
      <w:r>
        <w:rPr/>
        <w:t>dry</w:t>
      </w:r>
      <w:r>
        <w:rPr>
          <w:spacing w:val="-15"/>
        </w:rPr>
        <w:t> </w:t>
      </w:r>
      <w:r>
        <w:rPr/>
        <w:t>season,</w:t>
      </w:r>
      <w:r>
        <w:rPr>
          <w:spacing w:val="-11"/>
        </w:rPr>
        <w:t> </w:t>
      </w:r>
      <w:r>
        <w:rPr/>
        <w:t>the</w:t>
      </w:r>
      <w:r>
        <w:rPr>
          <w:spacing w:val="-12"/>
        </w:rPr>
        <w:t> </w:t>
      </w:r>
      <w:r>
        <w:rPr/>
        <w:t>town</w:t>
      </w:r>
      <w:r>
        <w:rPr>
          <w:spacing w:val="-11"/>
        </w:rPr>
        <w:t> </w:t>
      </w:r>
      <w:r>
        <w:rPr/>
        <w:t>experience</w:t>
      </w:r>
      <w:r>
        <w:rPr>
          <w:spacing w:val="-11"/>
        </w:rPr>
        <w:t> </w:t>
      </w:r>
      <w:r>
        <w:rPr/>
        <w:t>cold</w:t>
      </w:r>
      <w:r>
        <w:rPr>
          <w:spacing w:val="-11"/>
        </w:rPr>
        <w:t> </w:t>
      </w:r>
      <w:r>
        <w:rPr/>
        <w:t>harmattan</w:t>
      </w:r>
      <w:r>
        <w:rPr>
          <w:spacing w:val="-11"/>
        </w:rPr>
        <w:t> </w:t>
      </w:r>
      <w:r>
        <w:rPr/>
        <w:t>wind</w:t>
      </w:r>
      <w:r>
        <w:rPr>
          <w:spacing w:val="-10"/>
        </w:rPr>
        <w:t> </w:t>
      </w:r>
      <w:r>
        <w:rPr>
          <w:spacing w:val="-5"/>
        </w:rPr>
        <w:t>and</w:t>
      </w:r>
    </w:p>
    <w:p>
      <w:pPr>
        <w:spacing w:after="0" w:line="480" w:lineRule="auto"/>
        <w:sectPr>
          <w:pgSz w:w="11910" w:h="16840"/>
          <w:pgMar w:header="0" w:footer="1022" w:top="1620" w:bottom="1220" w:left="1680" w:right="900"/>
        </w:sectPr>
      </w:pPr>
    </w:p>
    <w:p>
      <w:pPr>
        <w:pStyle w:val="BodyText"/>
        <w:spacing w:line="480" w:lineRule="auto" w:before="72"/>
        <w:ind w:left="305" w:right="509"/>
      </w:pPr>
      <w:r>
        <w:rPr/>
        <w:t>south</w:t>
      </w:r>
      <w:r>
        <w:rPr>
          <w:spacing w:val="-5"/>
        </w:rPr>
        <w:t> </w:t>
      </w:r>
      <w:r>
        <w:rPr/>
        <w:t>west</w:t>
      </w:r>
      <w:r>
        <w:rPr>
          <w:spacing w:val="-4"/>
        </w:rPr>
        <w:t> </w:t>
      </w:r>
      <w:r>
        <w:rPr/>
        <w:t>wind</w:t>
      </w:r>
      <w:r>
        <w:rPr>
          <w:spacing w:val="-5"/>
        </w:rPr>
        <w:t> </w:t>
      </w:r>
      <w:r>
        <w:rPr/>
        <w:t>which</w:t>
      </w:r>
      <w:r>
        <w:rPr>
          <w:spacing w:val="-5"/>
        </w:rPr>
        <w:t> </w:t>
      </w:r>
      <w:r>
        <w:rPr/>
        <w:t>is</w:t>
      </w:r>
      <w:r>
        <w:rPr>
          <w:spacing w:val="-4"/>
        </w:rPr>
        <w:t> </w:t>
      </w:r>
      <w:r>
        <w:rPr/>
        <w:t>the</w:t>
      </w:r>
      <w:r>
        <w:rPr>
          <w:spacing w:val="-5"/>
        </w:rPr>
        <w:t> </w:t>
      </w:r>
      <w:r>
        <w:rPr/>
        <w:t>hottest</w:t>
      </w:r>
      <w:r>
        <w:rPr>
          <w:spacing w:val="-4"/>
        </w:rPr>
        <w:t> </w:t>
      </w:r>
      <w:r>
        <w:rPr/>
        <w:t>between</w:t>
      </w:r>
      <w:r>
        <w:rPr>
          <w:spacing w:val="-5"/>
        </w:rPr>
        <w:t> </w:t>
      </w:r>
      <w:r>
        <w:rPr/>
        <w:t>month</w:t>
      </w:r>
      <w:r>
        <w:rPr>
          <w:spacing w:val="-5"/>
        </w:rPr>
        <w:t> </w:t>
      </w:r>
      <w:r>
        <w:rPr/>
        <w:t>of</w:t>
      </w:r>
      <w:r>
        <w:rPr>
          <w:spacing w:val="-6"/>
        </w:rPr>
        <w:t> </w:t>
      </w:r>
      <w:r>
        <w:rPr/>
        <w:t>March</w:t>
      </w:r>
      <w:r>
        <w:rPr>
          <w:spacing w:val="-5"/>
        </w:rPr>
        <w:t> </w:t>
      </w:r>
      <w:r>
        <w:rPr/>
        <w:t>and</w:t>
      </w:r>
      <w:r>
        <w:rPr>
          <w:spacing w:val="-5"/>
        </w:rPr>
        <w:t> </w:t>
      </w:r>
      <w:r>
        <w:rPr/>
        <w:t>April,</w:t>
      </w:r>
      <w:r>
        <w:rPr>
          <w:spacing w:val="-5"/>
        </w:rPr>
        <w:t> </w:t>
      </w:r>
      <w:r>
        <w:rPr/>
        <w:t>prior</w:t>
      </w:r>
      <w:r>
        <w:rPr>
          <w:spacing w:val="-6"/>
        </w:rPr>
        <w:t> </w:t>
      </w:r>
      <w:r>
        <w:rPr/>
        <w:t>to</w:t>
      </w:r>
      <w:r>
        <w:rPr>
          <w:spacing w:val="-4"/>
        </w:rPr>
        <w:t> </w:t>
      </w:r>
      <w:r>
        <w:rPr/>
        <w:t>another rainy</w:t>
      </w:r>
      <w:r>
        <w:rPr>
          <w:spacing w:val="-10"/>
        </w:rPr>
        <w:t> </w:t>
      </w:r>
      <w:r>
        <w:rPr/>
        <w:t>season.</w:t>
      </w:r>
      <w:r>
        <w:rPr>
          <w:spacing w:val="-5"/>
        </w:rPr>
        <w:t> </w:t>
      </w:r>
      <w:r>
        <w:rPr/>
        <w:t>The</w:t>
      </w:r>
      <w:r>
        <w:rPr>
          <w:spacing w:val="-6"/>
        </w:rPr>
        <w:t> </w:t>
      </w:r>
      <w:r>
        <w:rPr/>
        <w:t>town</w:t>
      </w:r>
      <w:r>
        <w:rPr>
          <w:spacing w:val="-5"/>
        </w:rPr>
        <w:t> </w:t>
      </w:r>
      <w:r>
        <w:rPr/>
        <w:t>experience</w:t>
      </w:r>
      <w:r>
        <w:rPr>
          <w:spacing w:val="-6"/>
        </w:rPr>
        <w:t> </w:t>
      </w:r>
      <w:r>
        <w:rPr/>
        <w:t>highest</w:t>
      </w:r>
      <w:r>
        <w:rPr>
          <w:spacing w:val="-4"/>
        </w:rPr>
        <w:t> </w:t>
      </w:r>
      <w:r>
        <w:rPr/>
        <w:t>temperature</w:t>
      </w:r>
      <w:r>
        <w:rPr>
          <w:spacing w:val="-6"/>
        </w:rPr>
        <w:t> </w:t>
      </w:r>
      <w:r>
        <w:rPr/>
        <w:t>in</w:t>
      </w:r>
      <w:r>
        <w:rPr>
          <w:spacing w:val="-4"/>
        </w:rPr>
        <w:t> </w:t>
      </w:r>
      <w:r>
        <w:rPr/>
        <w:t>March</w:t>
      </w:r>
      <w:r>
        <w:rPr>
          <w:spacing w:val="-5"/>
        </w:rPr>
        <w:t> </w:t>
      </w:r>
      <w:r>
        <w:rPr/>
        <w:t>with</w:t>
      </w:r>
      <w:r>
        <w:rPr>
          <w:spacing w:val="-4"/>
        </w:rPr>
        <w:t> </w:t>
      </w:r>
      <w:r>
        <w:rPr/>
        <w:t>about</w:t>
      </w:r>
      <w:r>
        <w:rPr>
          <w:spacing w:val="-4"/>
        </w:rPr>
        <w:t> </w:t>
      </w:r>
      <w:r>
        <w:rPr/>
        <w:t>37.1</w:t>
      </w:r>
      <w:r>
        <w:rPr>
          <w:vertAlign w:val="superscript"/>
        </w:rPr>
        <w:t>o</w:t>
      </w:r>
      <w:r>
        <w:rPr>
          <w:vertAlign w:val="baseline"/>
        </w:rPr>
        <w:t>c.</w:t>
      </w:r>
      <w:r>
        <w:rPr>
          <w:spacing w:val="-5"/>
          <w:vertAlign w:val="baseline"/>
        </w:rPr>
        <w:t> </w:t>
      </w:r>
      <w:r>
        <w:rPr>
          <w:vertAlign w:val="baseline"/>
        </w:rPr>
        <w:t>Bida being a hot town but mainly</w:t>
      </w:r>
      <w:r>
        <w:rPr>
          <w:spacing w:val="-3"/>
          <w:vertAlign w:val="baseline"/>
        </w:rPr>
        <w:t> </w:t>
      </w:r>
      <w:r>
        <w:rPr>
          <w:vertAlign w:val="baseline"/>
        </w:rPr>
        <w:t>have moderate climatic conditions in most part of the year. As a result of the climate being the tropical in nature, the sunshine duration ranges between eight-ten hours a day and ranging from about 30°c - 3 7.0°c yearly where in March temperature</w:t>
      </w:r>
      <w:r>
        <w:rPr>
          <w:spacing w:val="-2"/>
          <w:vertAlign w:val="baseline"/>
        </w:rPr>
        <w:t> </w:t>
      </w:r>
      <w:r>
        <w:rPr>
          <w:vertAlign w:val="baseline"/>
        </w:rPr>
        <w:t>is at peak. However,</w:t>
      </w:r>
      <w:r>
        <w:rPr>
          <w:spacing w:val="-1"/>
          <w:vertAlign w:val="baseline"/>
        </w:rPr>
        <w:t> </w:t>
      </w:r>
      <w:r>
        <w:rPr>
          <w:vertAlign w:val="baseline"/>
        </w:rPr>
        <w:t>the</w:t>
      </w:r>
      <w:r>
        <w:rPr>
          <w:spacing w:val="-1"/>
          <w:vertAlign w:val="baseline"/>
        </w:rPr>
        <w:t> </w:t>
      </w:r>
      <w:r>
        <w:rPr>
          <w:vertAlign w:val="baseline"/>
        </w:rPr>
        <w:t>marked increase</w:t>
      </w:r>
      <w:r>
        <w:rPr>
          <w:spacing w:val="-1"/>
          <w:vertAlign w:val="baseline"/>
        </w:rPr>
        <w:t> </w:t>
      </w:r>
      <w:r>
        <w:rPr>
          <w:vertAlign w:val="baseline"/>
        </w:rPr>
        <w:t>in cloud cover</w:t>
      </w:r>
      <w:r>
        <w:rPr>
          <w:spacing w:val="-1"/>
          <w:vertAlign w:val="baseline"/>
        </w:rPr>
        <w:t> </w:t>
      </w:r>
      <w:r>
        <w:rPr>
          <w:vertAlign w:val="baseline"/>
        </w:rPr>
        <w:t>during</w:t>
      </w:r>
      <w:r>
        <w:rPr>
          <w:spacing w:val="-3"/>
          <w:vertAlign w:val="baseline"/>
        </w:rPr>
        <w:t> </w:t>
      </w:r>
      <w:r>
        <w:rPr>
          <w:vertAlign w:val="baseline"/>
        </w:rPr>
        <w:t>July, August, and September makes the hours of sunshine per day, drop sharply</w:t>
      </w:r>
      <w:r>
        <w:rPr>
          <w:spacing w:val="-2"/>
          <w:vertAlign w:val="baseline"/>
        </w:rPr>
        <w:t> </w:t>
      </w:r>
      <w:r>
        <w:rPr>
          <w:vertAlign w:val="baseline"/>
        </w:rPr>
        <w:t>to an average of about four hours (MaxLock, 1980). The beginning of rains starts from mid April and ends</w:t>
      </w:r>
      <w:r>
        <w:rPr>
          <w:spacing w:val="-12"/>
          <w:vertAlign w:val="baseline"/>
        </w:rPr>
        <w:t> </w:t>
      </w:r>
      <w:r>
        <w:rPr>
          <w:vertAlign w:val="baseline"/>
        </w:rPr>
        <w:t>around</w:t>
      </w:r>
      <w:r>
        <w:rPr>
          <w:spacing w:val="-11"/>
          <w:vertAlign w:val="baseline"/>
        </w:rPr>
        <w:t> </w:t>
      </w:r>
      <w:r>
        <w:rPr>
          <w:vertAlign w:val="baseline"/>
        </w:rPr>
        <w:t>mid</w:t>
      </w:r>
      <w:r>
        <w:rPr>
          <w:spacing w:val="-11"/>
          <w:vertAlign w:val="baseline"/>
        </w:rPr>
        <w:t> </w:t>
      </w:r>
      <w:r>
        <w:rPr>
          <w:vertAlign w:val="baseline"/>
        </w:rPr>
        <w:t>October</w:t>
      </w:r>
      <w:r>
        <w:rPr>
          <w:spacing w:val="-11"/>
          <w:vertAlign w:val="baseline"/>
        </w:rPr>
        <w:t> </w:t>
      </w:r>
      <w:r>
        <w:rPr>
          <w:vertAlign w:val="baseline"/>
        </w:rPr>
        <w:t>to</w:t>
      </w:r>
      <w:r>
        <w:rPr>
          <w:spacing w:val="-12"/>
          <w:vertAlign w:val="baseline"/>
        </w:rPr>
        <w:t> </w:t>
      </w:r>
      <w:r>
        <w:rPr>
          <w:vertAlign w:val="baseline"/>
        </w:rPr>
        <w:t>early</w:t>
      </w:r>
      <w:r>
        <w:rPr>
          <w:spacing w:val="-14"/>
          <w:vertAlign w:val="baseline"/>
        </w:rPr>
        <w:t> </w:t>
      </w:r>
      <w:r>
        <w:rPr>
          <w:vertAlign w:val="baseline"/>
        </w:rPr>
        <w:t>November.</w:t>
      </w:r>
      <w:r>
        <w:rPr>
          <w:spacing w:val="-13"/>
          <w:vertAlign w:val="baseline"/>
        </w:rPr>
        <w:t> </w:t>
      </w:r>
      <w:r>
        <w:rPr>
          <w:vertAlign w:val="baseline"/>
        </w:rPr>
        <w:t>Consequently,</w:t>
      </w:r>
      <w:r>
        <w:rPr>
          <w:spacing w:val="-8"/>
          <w:vertAlign w:val="baseline"/>
        </w:rPr>
        <w:t> </w:t>
      </w:r>
      <w:r>
        <w:rPr>
          <w:vertAlign w:val="baseline"/>
        </w:rPr>
        <w:t>there</w:t>
      </w:r>
      <w:r>
        <w:rPr>
          <w:spacing w:val="-13"/>
          <w:vertAlign w:val="baseline"/>
        </w:rPr>
        <w:t> </w:t>
      </w:r>
      <w:r>
        <w:rPr>
          <w:vertAlign w:val="baseline"/>
        </w:rPr>
        <w:t>is</w:t>
      </w:r>
      <w:r>
        <w:rPr>
          <w:spacing w:val="-11"/>
          <w:vertAlign w:val="baseline"/>
        </w:rPr>
        <w:t> </w:t>
      </w:r>
      <w:r>
        <w:rPr>
          <w:vertAlign w:val="baseline"/>
        </w:rPr>
        <w:t>variation</w:t>
      </w:r>
      <w:r>
        <w:rPr>
          <w:spacing w:val="-12"/>
          <w:vertAlign w:val="baseline"/>
        </w:rPr>
        <w:t> </w:t>
      </w:r>
      <w:r>
        <w:rPr>
          <w:vertAlign w:val="baseline"/>
        </w:rPr>
        <w:t>in</w:t>
      </w:r>
      <w:r>
        <w:rPr>
          <w:spacing w:val="-12"/>
          <w:vertAlign w:val="baseline"/>
        </w:rPr>
        <w:t> </w:t>
      </w:r>
      <w:r>
        <w:rPr>
          <w:vertAlign w:val="baseline"/>
        </w:rPr>
        <w:t>the</w:t>
      </w:r>
      <w:r>
        <w:rPr>
          <w:spacing w:val="-13"/>
          <w:vertAlign w:val="baseline"/>
        </w:rPr>
        <w:t> </w:t>
      </w:r>
      <w:r>
        <w:rPr>
          <w:vertAlign w:val="baseline"/>
        </w:rPr>
        <w:t>rainy season duration which ranges from around 190 days to 240 days amounting to annual mean rainfall approximately 1,650mm per annum. The beginning and the end of the season, there is frequent incidences of rain storms. In this weather condition, there are cloud</w:t>
      </w:r>
      <w:r>
        <w:rPr>
          <w:spacing w:val="-4"/>
          <w:vertAlign w:val="baseline"/>
        </w:rPr>
        <w:t> </w:t>
      </w:r>
      <w:r>
        <w:rPr>
          <w:vertAlign w:val="baseline"/>
        </w:rPr>
        <w:t>cover</w:t>
      </w:r>
      <w:r>
        <w:rPr>
          <w:spacing w:val="-6"/>
          <w:vertAlign w:val="baseline"/>
        </w:rPr>
        <w:t> </w:t>
      </w:r>
      <w:r>
        <w:rPr>
          <w:vertAlign w:val="baseline"/>
        </w:rPr>
        <w:t>on</w:t>
      </w:r>
      <w:r>
        <w:rPr>
          <w:spacing w:val="-5"/>
          <w:vertAlign w:val="baseline"/>
        </w:rPr>
        <w:t> </w:t>
      </w:r>
      <w:r>
        <w:rPr>
          <w:vertAlign w:val="baseline"/>
        </w:rPr>
        <w:t>daily</w:t>
      </w:r>
      <w:r>
        <w:rPr>
          <w:spacing w:val="-12"/>
          <w:vertAlign w:val="baseline"/>
        </w:rPr>
        <w:t> </w:t>
      </w:r>
      <w:r>
        <w:rPr>
          <w:vertAlign w:val="baseline"/>
        </w:rPr>
        <w:t>basis</w:t>
      </w:r>
      <w:r>
        <w:rPr>
          <w:spacing w:val="-5"/>
          <w:vertAlign w:val="baseline"/>
        </w:rPr>
        <w:t> </w:t>
      </w:r>
      <w:r>
        <w:rPr>
          <w:vertAlign w:val="baseline"/>
        </w:rPr>
        <w:t>for</w:t>
      </w:r>
      <w:r>
        <w:rPr>
          <w:spacing w:val="-6"/>
          <w:vertAlign w:val="baseline"/>
        </w:rPr>
        <w:t> </w:t>
      </w:r>
      <w:r>
        <w:rPr>
          <w:vertAlign w:val="baseline"/>
        </w:rPr>
        <w:t>several</w:t>
      </w:r>
      <w:r>
        <w:rPr>
          <w:spacing w:val="-4"/>
          <w:vertAlign w:val="baseline"/>
        </w:rPr>
        <w:t> </w:t>
      </w:r>
      <w:r>
        <w:rPr>
          <w:vertAlign w:val="baseline"/>
        </w:rPr>
        <w:t>weeks.</w:t>
      </w:r>
      <w:r>
        <w:rPr>
          <w:spacing w:val="-2"/>
          <w:vertAlign w:val="baseline"/>
        </w:rPr>
        <w:t> </w:t>
      </w:r>
      <w:r>
        <w:rPr>
          <w:vertAlign w:val="baseline"/>
        </w:rPr>
        <w:t>It</w:t>
      </w:r>
      <w:r>
        <w:rPr>
          <w:spacing w:val="-4"/>
          <w:vertAlign w:val="baseline"/>
        </w:rPr>
        <w:t> </w:t>
      </w:r>
      <w:r>
        <w:rPr>
          <w:vertAlign w:val="baseline"/>
        </w:rPr>
        <w:t>is</w:t>
      </w:r>
      <w:r>
        <w:rPr>
          <w:spacing w:val="-4"/>
          <w:vertAlign w:val="baseline"/>
        </w:rPr>
        <w:t> </w:t>
      </w:r>
      <w:r>
        <w:rPr>
          <w:vertAlign w:val="baseline"/>
        </w:rPr>
        <w:t>accompanied</w:t>
      </w:r>
      <w:r>
        <w:rPr>
          <w:spacing w:val="-5"/>
          <w:vertAlign w:val="baseline"/>
        </w:rPr>
        <w:t> </w:t>
      </w:r>
      <w:r>
        <w:rPr>
          <w:vertAlign w:val="baseline"/>
        </w:rPr>
        <w:t>by</w:t>
      </w:r>
      <w:r>
        <w:rPr>
          <w:spacing w:val="-8"/>
          <w:vertAlign w:val="baseline"/>
        </w:rPr>
        <w:t> </w:t>
      </w:r>
      <w:r>
        <w:rPr>
          <w:vertAlign w:val="baseline"/>
        </w:rPr>
        <w:t>lightning</w:t>
      </w:r>
      <w:r>
        <w:rPr>
          <w:spacing w:val="-7"/>
          <w:vertAlign w:val="baseline"/>
        </w:rPr>
        <w:t> </w:t>
      </w:r>
      <w:r>
        <w:rPr>
          <w:vertAlign w:val="baseline"/>
        </w:rPr>
        <w:t>and</w:t>
      </w:r>
      <w:r>
        <w:rPr>
          <w:spacing w:val="-4"/>
          <w:vertAlign w:val="baseline"/>
        </w:rPr>
        <w:t> </w:t>
      </w:r>
      <w:r>
        <w:rPr>
          <w:vertAlign w:val="baseline"/>
        </w:rPr>
        <w:t>thunder, characterised with strong winds and high intensity rainfall (MaxLock, 1980).</w:t>
      </w:r>
    </w:p>
    <w:p>
      <w:pPr>
        <w:pStyle w:val="BodyText"/>
        <w:spacing w:line="480" w:lineRule="auto" w:before="242"/>
        <w:ind w:left="305" w:right="512"/>
      </w:pPr>
      <w:r>
        <w:rPr/>
        <w:t>Another feature of the rainfall is its mean monthly distribution. There is a very high concentration</w:t>
      </w:r>
      <w:r>
        <w:rPr>
          <w:spacing w:val="-10"/>
        </w:rPr>
        <w:t> </w:t>
      </w:r>
      <w:r>
        <w:rPr/>
        <w:t>of</w:t>
      </w:r>
      <w:r>
        <w:rPr>
          <w:spacing w:val="-8"/>
        </w:rPr>
        <w:t> </w:t>
      </w:r>
      <w:r>
        <w:rPr/>
        <w:t>rainfall</w:t>
      </w:r>
      <w:r>
        <w:rPr>
          <w:spacing w:val="-9"/>
        </w:rPr>
        <w:t> </w:t>
      </w:r>
      <w:r>
        <w:rPr/>
        <w:t>in</w:t>
      </w:r>
      <w:r>
        <w:rPr>
          <w:spacing w:val="-9"/>
        </w:rPr>
        <w:t> </w:t>
      </w:r>
      <w:r>
        <w:rPr/>
        <w:t>July,</w:t>
      </w:r>
      <w:r>
        <w:rPr>
          <w:spacing w:val="-8"/>
        </w:rPr>
        <w:t> </w:t>
      </w:r>
      <w:r>
        <w:rPr/>
        <w:t>August</w:t>
      </w:r>
      <w:r>
        <w:rPr>
          <w:spacing w:val="-9"/>
        </w:rPr>
        <w:t> </w:t>
      </w:r>
      <w:r>
        <w:rPr/>
        <w:t>and</w:t>
      </w:r>
      <w:r>
        <w:rPr>
          <w:spacing w:val="-8"/>
        </w:rPr>
        <w:t> </w:t>
      </w:r>
      <w:r>
        <w:rPr/>
        <w:t>September</w:t>
      </w:r>
      <w:r>
        <w:rPr>
          <w:spacing w:val="-11"/>
        </w:rPr>
        <w:t> </w:t>
      </w:r>
      <w:r>
        <w:rPr/>
        <w:t>during</w:t>
      </w:r>
      <w:r>
        <w:rPr>
          <w:spacing w:val="-10"/>
        </w:rPr>
        <w:t> </w:t>
      </w:r>
      <w:r>
        <w:rPr/>
        <w:t>which</w:t>
      </w:r>
      <w:r>
        <w:rPr>
          <w:spacing w:val="-7"/>
        </w:rPr>
        <w:t> </w:t>
      </w:r>
      <w:r>
        <w:rPr/>
        <w:t>about</w:t>
      </w:r>
      <w:r>
        <w:rPr>
          <w:spacing w:val="-7"/>
        </w:rPr>
        <w:t> </w:t>
      </w:r>
      <w:r>
        <w:rPr/>
        <w:t>57</w:t>
      </w:r>
      <w:r>
        <w:rPr>
          <w:spacing w:val="-10"/>
        </w:rPr>
        <w:t> </w:t>
      </w:r>
      <w:r>
        <w:rPr/>
        <w:t>percent</w:t>
      </w:r>
      <w:r>
        <w:rPr>
          <w:spacing w:val="-9"/>
        </w:rPr>
        <w:t> </w:t>
      </w:r>
      <w:r>
        <w:rPr/>
        <w:t>of the</w:t>
      </w:r>
      <w:r>
        <w:rPr>
          <w:spacing w:val="-3"/>
        </w:rPr>
        <w:t> </w:t>
      </w:r>
      <w:r>
        <w:rPr/>
        <w:t>annual</w:t>
      </w:r>
      <w:r>
        <w:rPr>
          <w:spacing w:val="-3"/>
        </w:rPr>
        <w:t> </w:t>
      </w:r>
      <w:r>
        <w:rPr/>
        <w:t>rainfall</w:t>
      </w:r>
      <w:r>
        <w:rPr>
          <w:spacing w:val="-1"/>
        </w:rPr>
        <w:t> </w:t>
      </w:r>
      <w:r>
        <w:rPr/>
        <w:t>of</w:t>
      </w:r>
      <w:r>
        <w:rPr>
          <w:spacing w:val="-3"/>
        </w:rPr>
        <w:t> </w:t>
      </w:r>
      <w:r>
        <w:rPr/>
        <w:t>the</w:t>
      </w:r>
      <w:r>
        <w:rPr>
          <w:spacing w:val="-5"/>
        </w:rPr>
        <w:t> </w:t>
      </w:r>
      <w:r>
        <w:rPr/>
        <w:t>town</w:t>
      </w:r>
      <w:r>
        <w:rPr>
          <w:spacing w:val="-3"/>
        </w:rPr>
        <w:t> </w:t>
      </w:r>
      <w:r>
        <w:rPr/>
        <w:t>is</w:t>
      </w:r>
      <w:r>
        <w:rPr>
          <w:spacing w:val="-3"/>
        </w:rPr>
        <w:t> </w:t>
      </w:r>
      <w:r>
        <w:rPr/>
        <w:t>experienced.</w:t>
      </w:r>
      <w:r>
        <w:rPr>
          <w:spacing w:val="-3"/>
        </w:rPr>
        <w:t> </w:t>
      </w:r>
      <w:r>
        <w:rPr/>
        <w:t>The</w:t>
      </w:r>
      <w:r>
        <w:rPr>
          <w:spacing w:val="-2"/>
        </w:rPr>
        <w:t> </w:t>
      </w:r>
      <w:r>
        <w:rPr/>
        <w:t>feature</w:t>
      </w:r>
      <w:r>
        <w:rPr>
          <w:spacing w:val="-3"/>
        </w:rPr>
        <w:t> </w:t>
      </w:r>
      <w:r>
        <w:rPr/>
        <w:t>also</w:t>
      </w:r>
      <w:r>
        <w:rPr>
          <w:spacing w:val="-3"/>
        </w:rPr>
        <w:t> </w:t>
      </w:r>
      <w:r>
        <w:rPr/>
        <w:t>shows</w:t>
      </w:r>
      <w:r>
        <w:rPr>
          <w:spacing w:val="-3"/>
        </w:rPr>
        <w:t> </w:t>
      </w:r>
      <w:r>
        <w:rPr/>
        <w:t>a</w:t>
      </w:r>
      <w:r>
        <w:rPr>
          <w:spacing w:val="-5"/>
        </w:rPr>
        <w:t> </w:t>
      </w:r>
      <w:r>
        <w:rPr/>
        <w:t>sharp</w:t>
      </w:r>
      <w:r>
        <w:rPr>
          <w:spacing w:val="-3"/>
        </w:rPr>
        <w:t> </w:t>
      </w:r>
      <w:r>
        <w:rPr/>
        <w:t>drop</w:t>
      </w:r>
      <w:r>
        <w:rPr>
          <w:spacing w:val="-2"/>
        </w:rPr>
        <w:t> </w:t>
      </w:r>
      <w:r>
        <w:rPr/>
        <w:t>in</w:t>
      </w:r>
      <w:r>
        <w:rPr>
          <w:spacing w:val="-3"/>
        </w:rPr>
        <w:t> </w:t>
      </w:r>
      <w:r>
        <w:rPr/>
        <w:t>the rainfall received after these three months (MaxLock, 1980).</w:t>
      </w:r>
    </w:p>
    <w:p>
      <w:pPr>
        <w:pStyle w:val="BodyText"/>
        <w:spacing w:line="480" w:lineRule="auto" w:before="237"/>
        <w:ind w:left="305" w:right="513"/>
      </w:pPr>
      <w:r>
        <w:rPr/>
        <w:t>The</w:t>
      </w:r>
      <w:r>
        <w:rPr>
          <w:spacing w:val="-2"/>
        </w:rPr>
        <w:t> </w:t>
      </w:r>
      <w:r>
        <w:rPr/>
        <w:t>humidity</w:t>
      </w:r>
      <w:r>
        <w:rPr>
          <w:spacing w:val="-5"/>
        </w:rPr>
        <w:t> </w:t>
      </w:r>
      <w:r>
        <w:rPr/>
        <w:t>of</w:t>
      </w:r>
      <w:r>
        <w:rPr>
          <w:spacing w:val="-1"/>
        </w:rPr>
        <w:t> </w:t>
      </w:r>
      <w:r>
        <w:rPr/>
        <w:t>the</w:t>
      </w:r>
      <w:r>
        <w:rPr>
          <w:spacing w:val="-1"/>
        </w:rPr>
        <w:t> </w:t>
      </w:r>
      <w:r>
        <w:rPr/>
        <w:t>town rises everywhere</w:t>
      </w:r>
      <w:r>
        <w:rPr>
          <w:spacing w:val="-1"/>
        </w:rPr>
        <w:t> </w:t>
      </w:r>
      <w:r>
        <w:rPr/>
        <w:t>during the rainy</w:t>
      </w:r>
      <w:r>
        <w:rPr>
          <w:spacing w:val="-5"/>
        </w:rPr>
        <w:t> </w:t>
      </w:r>
      <w:r>
        <w:rPr/>
        <w:t>season and falls inseparably during the dry season within the town. In the afternoon relative humidity of the town, cloud rise above 60 percent during the rainy season and fall to as 30 percent during the dry season (MaxLock, 1980).</w:t>
      </w:r>
    </w:p>
    <w:p>
      <w:pPr>
        <w:pStyle w:val="BodyText"/>
        <w:spacing w:line="480" w:lineRule="auto" w:before="241"/>
        <w:ind w:left="305" w:right="514"/>
      </w:pPr>
      <w:r>
        <w:rPr/>
        <w:t>The Nupes live within the low basin formed by the two valleys of Rivers Niger and Kaduna.</w:t>
      </w:r>
      <w:r>
        <w:rPr>
          <w:spacing w:val="6"/>
        </w:rPr>
        <w:t> </w:t>
      </w:r>
      <w:r>
        <w:rPr/>
        <w:t>The</w:t>
      </w:r>
      <w:r>
        <w:rPr>
          <w:spacing w:val="5"/>
        </w:rPr>
        <w:t> </w:t>
      </w:r>
      <w:r>
        <w:rPr/>
        <w:t>area</w:t>
      </w:r>
      <w:r>
        <w:rPr>
          <w:spacing w:val="2"/>
        </w:rPr>
        <w:t> </w:t>
      </w:r>
      <w:r>
        <w:rPr/>
        <w:t>is</w:t>
      </w:r>
      <w:r>
        <w:rPr>
          <w:spacing w:val="5"/>
        </w:rPr>
        <w:t> </w:t>
      </w:r>
      <w:r>
        <w:rPr/>
        <w:t>surrounded</w:t>
      </w:r>
      <w:r>
        <w:rPr>
          <w:spacing w:val="4"/>
        </w:rPr>
        <w:t> </w:t>
      </w:r>
      <w:r>
        <w:rPr/>
        <w:t>by</w:t>
      </w:r>
      <w:r>
        <w:rPr>
          <w:spacing w:val="2"/>
        </w:rPr>
        <w:t> </w:t>
      </w:r>
      <w:r>
        <w:rPr/>
        <w:t>hills</w:t>
      </w:r>
      <w:r>
        <w:rPr>
          <w:spacing w:val="5"/>
        </w:rPr>
        <w:t> </w:t>
      </w:r>
      <w:r>
        <w:rPr/>
        <w:t>and</w:t>
      </w:r>
      <w:r>
        <w:rPr>
          <w:spacing w:val="7"/>
        </w:rPr>
        <w:t> </w:t>
      </w:r>
      <w:r>
        <w:rPr/>
        <w:t>and</w:t>
      </w:r>
      <w:r>
        <w:rPr>
          <w:spacing w:val="8"/>
        </w:rPr>
        <w:t> </w:t>
      </w:r>
      <w:r>
        <w:rPr/>
        <w:t>forms</w:t>
      </w:r>
      <w:r>
        <w:rPr>
          <w:spacing w:val="5"/>
        </w:rPr>
        <w:t> </w:t>
      </w:r>
      <w:r>
        <w:rPr/>
        <w:t>a</w:t>
      </w:r>
      <w:r>
        <w:rPr>
          <w:spacing w:val="5"/>
        </w:rPr>
        <w:t> </w:t>
      </w:r>
      <w:r>
        <w:rPr/>
        <w:t>valley,</w:t>
      </w:r>
      <w:r>
        <w:rPr>
          <w:spacing w:val="8"/>
        </w:rPr>
        <w:t> </w:t>
      </w:r>
      <w:r>
        <w:rPr/>
        <w:t>a</w:t>
      </w:r>
      <w:r>
        <w:rPr>
          <w:spacing w:val="6"/>
        </w:rPr>
        <w:t> </w:t>
      </w:r>
      <w:r>
        <w:rPr/>
        <w:t>few</w:t>
      </w:r>
      <w:r>
        <w:rPr>
          <w:spacing w:val="7"/>
        </w:rPr>
        <w:t> </w:t>
      </w:r>
      <w:r>
        <w:rPr/>
        <w:t>3</w:t>
      </w:r>
      <w:r>
        <w:rPr>
          <w:spacing w:val="3"/>
        </w:rPr>
        <w:t> </w:t>
      </w:r>
      <w:r>
        <w:rPr/>
        <w:t>to</w:t>
      </w:r>
      <w:r>
        <w:rPr>
          <w:spacing w:val="4"/>
        </w:rPr>
        <w:t> </w:t>
      </w:r>
      <w:r>
        <w:rPr/>
        <w:t>4</w:t>
      </w:r>
      <w:r>
        <w:rPr>
          <w:spacing w:val="4"/>
        </w:rPr>
        <w:t> </w:t>
      </w:r>
      <w:r>
        <w:rPr>
          <w:spacing w:val="-2"/>
        </w:rPr>
        <w:t>kilometers</w:t>
      </w:r>
    </w:p>
    <w:p>
      <w:pPr>
        <w:spacing w:after="0" w:line="480" w:lineRule="auto"/>
        <w:sectPr>
          <w:pgSz w:w="11910" w:h="16840"/>
          <w:pgMar w:header="0" w:footer="1022" w:top="1320" w:bottom="1220" w:left="1680" w:right="900"/>
        </w:sectPr>
      </w:pPr>
    </w:p>
    <w:p>
      <w:pPr>
        <w:pStyle w:val="BodyText"/>
        <w:spacing w:line="480" w:lineRule="auto" w:before="72"/>
        <w:ind w:left="305" w:right="512"/>
      </w:pPr>
      <w:r>
        <w:rPr/>
        <w:t>west of the prevailing built-up region. Occasional little steep hills rise between 20m to 25m</w:t>
      </w:r>
      <w:r>
        <w:rPr>
          <w:spacing w:val="40"/>
        </w:rPr>
        <w:t> </w:t>
      </w:r>
      <w:r>
        <w:rPr/>
        <w:t>above</w:t>
      </w:r>
      <w:r>
        <w:rPr>
          <w:spacing w:val="40"/>
        </w:rPr>
        <w:t> </w:t>
      </w:r>
      <w:r>
        <w:rPr/>
        <w:t>the</w:t>
      </w:r>
      <w:r>
        <w:rPr>
          <w:spacing w:val="40"/>
        </w:rPr>
        <w:t> </w:t>
      </w:r>
      <w:r>
        <w:rPr/>
        <w:t>sea</w:t>
      </w:r>
      <w:r>
        <w:rPr>
          <w:spacing w:val="40"/>
        </w:rPr>
        <w:t> </w:t>
      </w:r>
      <w:r>
        <w:rPr/>
        <w:t>level</w:t>
      </w:r>
      <w:r>
        <w:rPr>
          <w:spacing w:val="40"/>
        </w:rPr>
        <w:t> </w:t>
      </w:r>
      <w:r>
        <w:rPr/>
        <w:t>and</w:t>
      </w:r>
      <w:r>
        <w:rPr>
          <w:spacing w:val="40"/>
        </w:rPr>
        <w:t> </w:t>
      </w:r>
      <w:r>
        <w:rPr/>
        <w:t>the</w:t>
      </w:r>
      <w:r>
        <w:rPr>
          <w:spacing w:val="40"/>
        </w:rPr>
        <w:t> </w:t>
      </w:r>
      <w:r>
        <w:rPr/>
        <w:t>nicely-tired</w:t>
      </w:r>
      <w:r>
        <w:rPr>
          <w:spacing w:val="40"/>
        </w:rPr>
        <w:t> </w:t>
      </w:r>
      <w:r>
        <w:rPr/>
        <w:t>gutter</w:t>
      </w:r>
      <w:r>
        <w:rPr>
          <w:spacing w:val="40"/>
        </w:rPr>
        <w:t> </w:t>
      </w:r>
      <w:r>
        <w:rPr/>
        <w:t>slopping</w:t>
      </w:r>
      <w:r>
        <w:rPr>
          <w:spacing w:val="40"/>
        </w:rPr>
        <w:t> </w:t>
      </w:r>
      <w:r>
        <w:rPr/>
        <w:t>between</w:t>
      </w:r>
      <w:r>
        <w:rPr>
          <w:spacing w:val="40"/>
        </w:rPr>
        <w:t> </w:t>
      </w:r>
      <w:r>
        <w:rPr/>
        <w:t>the</w:t>
      </w:r>
      <w:r>
        <w:rPr>
          <w:spacing w:val="40"/>
        </w:rPr>
        <w:t> </w:t>
      </w:r>
      <w:r>
        <w:rPr/>
        <w:t>valley. The</w:t>
      </w:r>
      <w:r>
        <w:rPr>
          <w:spacing w:val="80"/>
        </w:rPr>
        <w:t> </w:t>
      </w:r>
      <w:r>
        <w:rPr/>
        <w:t>metropolis</w:t>
      </w:r>
      <w:r>
        <w:rPr>
          <w:spacing w:val="80"/>
        </w:rPr>
        <w:t> </w:t>
      </w:r>
      <w:r>
        <w:rPr/>
        <w:t>is</w:t>
      </w:r>
      <w:r>
        <w:rPr>
          <w:spacing w:val="80"/>
        </w:rPr>
        <w:t> </w:t>
      </w:r>
      <w:r>
        <w:rPr/>
        <w:t>drained</w:t>
      </w:r>
      <w:r>
        <w:rPr>
          <w:spacing w:val="80"/>
        </w:rPr>
        <w:t> </w:t>
      </w:r>
      <w:r>
        <w:rPr/>
        <w:t>with</w:t>
      </w:r>
      <w:r>
        <w:rPr>
          <w:spacing w:val="80"/>
        </w:rPr>
        <w:t> </w:t>
      </w:r>
      <w:r>
        <w:rPr/>
        <w:t>the</w:t>
      </w:r>
      <w:r>
        <w:rPr>
          <w:spacing w:val="80"/>
        </w:rPr>
        <w:t> </w:t>
      </w:r>
      <w:r>
        <w:rPr/>
        <w:t>aid</w:t>
      </w:r>
      <w:r>
        <w:rPr>
          <w:spacing w:val="80"/>
        </w:rPr>
        <w:t> </w:t>
      </w:r>
      <w:r>
        <w:rPr/>
        <w:t>of</w:t>
      </w:r>
      <w:r>
        <w:rPr>
          <w:spacing w:val="80"/>
        </w:rPr>
        <w:t> </w:t>
      </w:r>
      <w:r>
        <w:rPr/>
        <w:t>Landzu</w:t>
      </w:r>
      <w:r>
        <w:rPr>
          <w:spacing w:val="80"/>
        </w:rPr>
        <w:t> </w:t>
      </w:r>
      <w:r>
        <w:rPr/>
        <w:t>streams</w:t>
      </w:r>
      <w:r>
        <w:rPr>
          <w:spacing w:val="80"/>
        </w:rPr>
        <w:t> </w:t>
      </w:r>
      <w:r>
        <w:rPr/>
        <w:t>which</w:t>
      </w:r>
      <w:r>
        <w:rPr>
          <w:spacing w:val="80"/>
        </w:rPr>
        <w:t> </w:t>
      </w:r>
      <w:r>
        <w:rPr/>
        <w:t>go</w:t>
      </w:r>
      <w:r>
        <w:rPr>
          <w:spacing w:val="80"/>
        </w:rPr>
        <w:t> </w:t>
      </w:r>
      <w:r>
        <w:rPr/>
        <w:t>with</w:t>
      </w:r>
      <w:r>
        <w:rPr>
          <w:spacing w:val="80"/>
        </w:rPr>
        <w:t> </w:t>
      </w:r>
      <w:r>
        <w:rPr/>
        <w:t>the flow</w:t>
      </w:r>
      <w:r>
        <w:rPr>
          <w:spacing w:val="40"/>
        </w:rPr>
        <w:t> </w:t>
      </w:r>
      <w:r>
        <w:rPr/>
        <w:t>transversely</w:t>
      </w:r>
      <w:r>
        <w:rPr>
          <w:spacing w:val="40"/>
        </w:rPr>
        <w:t> </w:t>
      </w:r>
      <w:r>
        <w:rPr/>
        <w:t>the</w:t>
      </w:r>
      <w:r>
        <w:rPr>
          <w:spacing w:val="40"/>
        </w:rPr>
        <w:t> </w:t>
      </w:r>
      <w:r>
        <w:rPr/>
        <w:t>coronary</w:t>
      </w:r>
      <w:r>
        <w:rPr>
          <w:spacing w:val="40"/>
        </w:rPr>
        <w:t> </w:t>
      </w:r>
      <w:r>
        <w:rPr/>
        <w:t>centre</w:t>
      </w:r>
      <w:r>
        <w:rPr>
          <w:spacing w:val="40"/>
        </w:rPr>
        <w:t> </w:t>
      </w:r>
      <w:r>
        <w:rPr/>
        <w:t>of</w:t>
      </w:r>
      <w:r>
        <w:rPr>
          <w:spacing w:val="40"/>
        </w:rPr>
        <w:t> </w:t>
      </w:r>
      <w:r>
        <w:rPr/>
        <w:t>the</w:t>
      </w:r>
      <w:r>
        <w:rPr>
          <w:spacing w:val="40"/>
        </w:rPr>
        <w:t> </w:t>
      </w:r>
      <w:r>
        <w:rPr/>
        <w:t>city</w:t>
      </w:r>
      <w:r>
        <w:rPr>
          <w:spacing w:val="40"/>
        </w:rPr>
        <w:t> </w:t>
      </w:r>
      <w:r>
        <w:rPr/>
        <w:t>characterised</w:t>
      </w:r>
      <w:r>
        <w:rPr>
          <w:spacing w:val="40"/>
        </w:rPr>
        <w:t> </w:t>
      </w:r>
      <w:r>
        <w:rPr/>
        <w:t>with</w:t>
      </w:r>
      <w:r>
        <w:rPr>
          <w:spacing w:val="40"/>
        </w:rPr>
        <w:t> </w:t>
      </w:r>
      <w:r>
        <w:rPr/>
        <w:t>seasonal tributaries</w:t>
      </w:r>
      <w:r>
        <w:rPr>
          <w:spacing w:val="40"/>
        </w:rPr>
        <w:t> </w:t>
      </w:r>
      <w:r>
        <w:rPr/>
        <w:t>which can be gully routes today (Ononogbo, 2014).</w:t>
      </w:r>
    </w:p>
    <w:p>
      <w:pPr>
        <w:pStyle w:val="BodyText"/>
        <w:spacing w:line="480" w:lineRule="auto" w:before="240"/>
        <w:ind w:left="305" w:right="514"/>
      </w:pPr>
      <w:r>
        <w:rPr/>
        <w:t>Bida is located in the Nupe sandstone formation with a complicated basement. </w:t>
      </w:r>
      <w:r>
        <w:rPr/>
        <w:t>the previous is fabricated from surf stones, sandy cemented or clays coarse sands, and the soil supersede dense sandstone and the predominant components encompass the mild undulating plains and of a very deep soils (MaxLock, 1980).</w:t>
      </w:r>
    </w:p>
    <w:p>
      <w:pPr>
        <w:pStyle w:val="BodyText"/>
        <w:spacing w:line="480" w:lineRule="auto" w:before="241"/>
        <w:ind w:left="305" w:right="512"/>
      </w:pPr>
      <w:r>
        <w:rPr/>
        <w:t>The town lies in the vegetational region of Guinea savannah. The sector is characterised predominantly through grassland with bushes and shrubs scattered anywhere. Urbanization and expanded human activities and ecological foot prints have greatly altered</w:t>
      </w:r>
      <w:r>
        <w:rPr>
          <w:spacing w:val="-11"/>
        </w:rPr>
        <w:t> </w:t>
      </w:r>
      <w:r>
        <w:rPr/>
        <w:t>the</w:t>
      </w:r>
      <w:r>
        <w:rPr>
          <w:spacing w:val="-10"/>
        </w:rPr>
        <w:t> </w:t>
      </w:r>
      <w:r>
        <w:rPr/>
        <w:t>herbal</w:t>
      </w:r>
      <w:r>
        <w:rPr>
          <w:spacing w:val="-11"/>
        </w:rPr>
        <w:t> </w:t>
      </w:r>
      <w:r>
        <w:rPr/>
        <w:t>nearby</w:t>
      </w:r>
      <w:r>
        <w:rPr>
          <w:spacing w:val="-13"/>
        </w:rPr>
        <w:t> </w:t>
      </w:r>
      <w:r>
        <w:rPr/>
        <w:t>flora</w:t>
      </w:r>
      <w:r>
        <w:rPr>
          <w:spacing w:val="-12"/>
        </w:rPr>
        <w:t> </w:t>
      </w:r>
      <w:r>
        <w:rPr/>
        <w:t>in</w:t>
      </w:r>
      <w:r>
        <w:rPr>
          <w:spacing w:val="-11"/>
        </w:rPr>
        <w:t> </w:t>
      </w:r>
      <w:r>
        <w:rPr/>
        <w:t>a</w:t>
      </w:r>
      <w:r>
        <w:rPr>
          <w:spacing w:val="-10"/>
        </w:rPr>
        <w:t> </w:t>
      </w:r>
      <w:r>
        <w:rPr/>
        <w:t>few</w:t>
      </w:r>
      <w:r>
        <w:rPr>
          <w:spacing w:val="-12"/>
        </w:rPr>
        <w:t> </w:t>
      </w:r>
      <w:r>
        <w:rPr/>
        <w:t>components</w:t>
      </w:r>
      <w:r>
        <w:rPr>
          <w:spacing w:val="-11"/>
        </w:rPr>
        <w:t> </w:t>
      </w:r>
      <w:r>
        <w:rPr/>
        <w:t>of</w:t>
      </w:r>
      <w:r>
        <w:rPr>
          <w:spacing w:val="-10"/>
        </w:rPr>
        <w:t> </w:t>
      </w:r>
      <w:r>
        <w:rPr/>
        <w:t>Bida.</w:t>
      </w:r>
      <w:r>
        <w:rPr>
          <w:spacing w:val="-11"/>
        </w:rPr>
        <w:t> </w:t>
      </w:r>
      <w:r>
        <w:rPr/>
        <w:t>The</w:t>
      </w:r>
      <w:r>
        <w:rPr>
          <w:spacing w:val="-10"/>
        </w:rPr>
        <w:t> </w:t>
      </w:r>
      <w:r>
        <w:rPr/>
        <w:t>mostly</w:t>
      </w:r>
      <w:r>
        <w:rPr>
          <w:spacing w:val="-15"/>
        </w:rPr>
        <w:t> </w:t>
      </w:r>
      <w:r>
        <w:rPr/>
        <w:t>timber</w:t>
      </w:r>
      <w:r>
        <w:rPr>
          <w:spacing w:val="-12"/>
        </w:rPr>
        <w:t> </w:t>
      </w:r>
      <w:r>
        <w:rPr/>
        <w:t>plantation in Bida include Mangifera indica (mangoes, Azadirata indica (neem tree), shear butter tree and Parkia Filhu(Golden locust bean timber), among others (MaxLock, 1980).</w:t>
      </w:r>
    </w:p>
    <w:p>
      <w:pPr>
        <w:pStyle w:val="BodyText"/>
        <w:spacing w:line="480" w:lineRule="auto" w:before="241"/>
        <w:ind w:left="305" w:right="512"/>
      </w:pPr>
      <w:r>
        <w:rPr/>
        <w:t>The dominant soil types found in Bida include combisols and to some extent, lithosol</w:t>
      </w:r>
      <w:r>
        <w:rPr>
          <w:spacing w:val="-1"/>
        </w:rPr>
        <w:t> </w:t>
      </w:r>
      <w:r>
        <w:rPr/>
        <w:t>in the upper slopes of the interfluves of Bida and luvisols are the major soil type found on the</w:t>
      </w:r>
      <w:r>
        <w:rPr>
          <w:spacing w:val="-3"/>
        </w:rPr>
        <w:t> </w:t>
      </w:r>
      <w:r>
        <w:rPr/>
        <w:t>foot</w:t>
      </w:r>
      <w:r>
        <w:rPr>
          <w:spacing w:val="-3"/>
        </w:rPr>
        <w:t> </w:t>
      </w:r>
      <w:r>
        <w:rPr/>
        <w:t>slope</w:t>
      </w:r>
      <w:r>
        <w:rPr>
          <w:spacing w:val="-4"/>
        </w:rPr>
        <w:t> </w:t>
      </w:r>
      <w:r>
        <w:rPr/>
        <w:t>plains</w:t>
      </w:r>
      <w:r>
        <w:rPr>
          <w:spacing w:val="-3"/>
        </w:rPr>
        <w:t> </w:t>
      </w:r>
      <w:r>
        <w:rPr/>
        <w:t>(American</w:t>
      </w:r>
      <w:r>
        <w:rPr>
          <w:spacing w:val="-3"/>
        </w:rPr>
        <w:t> </w:t>
      </w:r>
      <w:r>
        <w:rPr/>
        <w:t>Public</w:t>
      </w:r>
      <w:r>
        <w:rPr>
          <w:spacing w:val="-4"/>
        </w:rPr>
        <w:t> </w:t>
      </w:r>
      <w:r>
        <w:rPr/>
        <w:t>Health</w:t>
      </w:r>
      <w:r>
        <w:rPr>
          <w:spacing w:val="-3"/>
        </w:rPr>
        <w:t> </w:t>
      </w:r>
      <w:r>
        <w:rPr/>
        <w:t>Association,</w:t>
      </w:r>
      <w:r>
        <w:rPr>
          <w:spacing w:val="-3"/>
        </w:rPr>
        <w:t> </w:t>
      </w:r>
      <w:r>
        <w:rPr/>
        <w:t>1916). The</w:t>
      </w:r>
      <w:r>
        <w:rPr>
          <w:spacing w:val="-5"/>
        </w:rPr>
        <w:t> </w:t>
      </w:r>
      <w:r>
        <w:rPr/>
        <w:t>luvisols</w:t>
      </w:r>
      <w:r>
        <w:rPr>
          <w:spacing w:val="-3"/>
        </w:rPr>
        <w:t> </w:t>
      </w:r>
      <w:r>
        <w:rPr/>
        <w:t>are</w:t>
      </w:r>
      <w:r>
        <w:rPr>
          <w:spacing w:val="-5"/>
        </w:rPr>
        <w:t> </w:t>
      </w:r>
      <w:r>
        <w:rPr/>
        <w:t>made from downwash from the hills and that they develop on those foot plains, interfluves is associated</w:t>
      </w:r>
      <w:r>
        <w:rPr>
          <w:spacing w:val="-2"/>
        </w:rPr>
        <w:t> </w:t>
      </w:r>
      <w:r>
        <w:rPr/>
        <w:t>with</w:t>
      </w:r>
      <w:r>
        <w:rPr>
          <w:spacing w:val="-2"/>
        </w:rPr>
        <w:t> </w:t>
      </w:r>
      <w:r>
        <w:rPr/>
        <w:t>the</w:t>
      </w:r>
      <w:r>
        <w:rPr>
          <w:spacing w:val="-1"/>
        </w:rPr>
        <w:t> </w:t>
      </w:r>
      <w:r>
        <w:rPr/>
        <w:t>soil</w:t>
      </w:r>
      <w:r>
        <w:rPr>
          <w:spacing w:val="-1"/>
        </w:rPr>
        <w:t> </w:t>
      </w:r>
      <w:r>
        <w:rPr/>
        <w:t>which</w:t>
      </w:r>
      <w:r>
        <w:rPr>
          <w:spacing w:val="-2"/>
        </w:rPr>
        <w:t> </w:t>
      </w:r>
      <w:r>
        <w:rPr/>
        <w:t>can be</w:t>
      </w:r>
      <w:r>
        <w:rPr>
          <w:spacing w:val="-1"/>
        </w:rPr>
        <w:t> </w:t>
      </w:r>
      <w:r>
        <w:rPr/>
        <w:t>an</w:t>
      </w:r>
      <w:r>
        <w:rPr>
          <w:spacing w:val="-2"/>
        </w:rPr>
        <w:t> </w:t>
      </w:r>
      <w:r>
        <w:rPr/>
        <w:t>aspect</w:t>
      </w:r>
      <w:r>
        <w:rPr>
          <w:spacing w:val="-1"/>
        </w:rPr>
        <w:t> </w:t>
      </w:r>
      <w:r>
        <w:rPr/>
        <w:t>of</w:t>
      </w:r>
      <w:r>
        <w:rPr>
          <w:spacing w:val="-2"/>
        </w:rPr>
        <w:t> </w:t>
      </w:r>
      <w:r>
        <w:rPr/>
        <w:t>the</w:t>
      </w:r>
      <w:r>
        <w:rPr>
          <w:spacing w:val="-4"/>
        </w:rPr>
        <w:t> </w:t>
      </w:r>
      <w:r>
        <w:rPr/>
        <w:t>landscape</w:t>
      </w:r>
      <w:r>
        <w:rPr>
          <w:spacing w:val="-1"/>
        </w:rPr>
        <w:t> </w:t>
      </w:r>
      <w:r>
        <w:rPr/>
        <w:t>which</w:t>
      </w:r>
      <w:r>
        <w:rPr>
          <w:spacing w:val="-2"/>
        </w:rPr>
        <w:t> </w:t>
      </w:r>
      <w:r>
        <w:rPr/>
        <w:t>can</w:t>
      </w:r>
      <w:r>
        <w:rPr>
          <w:spacing w:val="-2"/>
        </w:rPr>
        <w:t> </w:t>
      </w:r>
      <w:r>
        <w:rPr/>
        <w:t>be</w:t>
      </w:r>
      <w:r>
        <w:rPr>
          <w:spacing w:val="-3"/>
        </w:rPr>
        <w:t> </w:t>
      </w:r>
      <w:r>
        <w:rPr/>
        <w:t>constantly been eroded by means of sheet-wash and streams from the hills. The individual of this soil kind varies as among top, middle and decrease slopes (MaxLock, 1980).</w:t>
      </w:r>
    </w:p>
    <w:p>
      <w:pPr>
        <w:pStyle w:val="BodyText"/>
        <w:spacing w:line="480" w:lineRule="auto" w:before="237"/>
        <w:ind w:left="305" w:right="518"/>
      </w:pPr>
      <w:r>
        <w:rPr/>
        <w:t>Though Bida lies near the northern boundary of Nigeria’s southern guinea savanna, the major</w:t>
      </w:r>
      <w:r>
        <w:rPr>
          <w:spacing w:val="27"/>
        </w:rPr>
        <w:t> </w:t>
      </w:r>
      <w:r>
        <w:rPr/>
        <w:t>types</w:t>
      </w:r>
      <w:r>
        <w:rPr>
          <w:spacing w:val="30"/>
        </w:rPr>
        <w:t> </w:t>
      </w:r>
      <w:r>
        <w:rPr/>
        <w:t>of</w:t>
      </w:r>
      <w:r>
        <w:rPr>
          <w:spacing w:val="32"/>
        </w:rPr>
        <w:t> </w:t>
      </w:r>
      <w:r>
        <w:rPr/>
        <w:t>vegetation</w:t>
      </w:r>
      <w:r>
        <w:rPr>
          <w:spacing w:val="30"/>
        </w:rPr>
        <w:t> </w:t>
      </w:r>
      <w:r>
        <w:rPr/>
        <w:t>are</w:t>
      </w:r>
      <w:r>
        <w:rPr>
          <w:spacing w:val="30"/>
        </w:rPr>
        <w:t> </w:t>
      </w:r>
      <w:r>
        <w:rPr/>
        <w:t>forest</w:t>
      </w:r>
      <w:r>
        <w:rPr>
          <w:spacing w:val="31"/>
        </w:rPr>
        <w:t> </w:t>
      </w:r>
      <w:r>
        <w:rPr/>
        <w:t>and</w:t>
      </w:r>
      <w:r>
        <w:rPr>
          <w:spacing w:val="32"/>
        </w:rPr>
        <w:t> </w:t>
      </w:r>
      <w:r>
        <w:rPr/>
        <w:t>savanna</w:t>
      </w:r>
      <w:r>
        <w:rPr>
          <w:spacing w:val="31"/>
        </w:rPr>
        <w:t> </w:t>
      </w:r>
      <w:r>
        <w:rPr/>
        <w:t>(Asaolu,</w:t>
      </w:r>
      <w:r>
        <w:rPr>
          <w:spacing w:val="31"/>
        </w:rPr>
        <w:t> </w:t>
      </w:r>
      <w:r>
        <w:rPr/>
        <w:t>2002).</w:t>
      </w:r>
      <w:r>
        <w:rPr>
          <w:spacing w:val="36"/>
        </w:rPr>
        <w:t> </w:t>
      </w:r>
      <w:r>
        <w:rPr/>
        <w:t>Riparian</w:t>
      </w:r>
      <w:r>
        <w:rPr>
          <w:spacing w:val="30"/>
        </w:rPr>
        <w:t> </w:t>
      </w:r>
      <w:r>
        <w:rPr>
          <w:spacing w:val="-2"/>
        </w:rPr>
        <w:t>vegetation</w:t>
      </w:r>
    </w:p>
    <w:p>
      <w:pPr>
        <w:spacing w:after="0" w:line="480" w:lineRule="auto"/>
        <w:sectPr>
          <w:pgSz w:w="11910" w:h="16840"/>
          <w:pgMar w:header="0" w:footer="1022" w:top="1320" w:bottom="1220" w:left="1680" w:right="900"/>
        </w:sectPr>
      </w:pPr>
    </w:p>
    <w:p>
      <w:pPr>
        <w:pStyle w:val="BodyText"/>
        <w:spacing w:line="480" w:lineRule="auto" w:before="72"/>
        <w:ind w:left="305" w:right="516"/>
      </w:pPr>
      <w:r>
        <w:rPr/>
        <w:t>complex</w:t>
      </w:r>
      <w:r>
        <w:rPr>
          <w:spacing w:val="-14"/>
        </w:rPr>
        <w:t> </w:t>
      </w:r>
      <w:r>
        <w:rPr/>
        <w:t>is</w:t>
      </w:r>
      <w:r>
        <w:rPr>
          <w:spacing w:val="-14"/>
        </w:rPr>
        <w:t> </w:t>
      </w:r>
      <w:r>
        <w:rPr/>
        <w:t>the</w:t>
      </w:r>
      <w:r>
        <w:rPr>
          <w:spacing w:val="-15"/>
        </w:rPr>
        <w:t> </w:t>
      </w:r>
      <w:r>
        <w:rPr/>
        <w:t>type</w:t>
      </w:r>
      <w:r>
        <w:rPr>
          <w:spacing w:val="-15"/>
        </w:rPr>
        <w:t> </w:t>
      </w:r>
      <w:r>
        <w:rPr/>
        <w:t>of</w:t>
      </w:r>
      <w:r>
        <w:rPr>
          <w:spacing w:val="-14"/>
        </w:rPr>
        <w:t> </w:t>
      </w:r>
      <w:r>
        <w:rPr/>
        <w:t>forest</w:t>
      </w:r>
      <w:r>
        <w:rPr>
          <w:spacing w:val="-14"/>
        </w:rPr>
        <w:t> </w:t>
      </w:r>
      <w:r>
        <w:rPr/>
        <w:t>found</w:t>
      </w:r>
      <w:r>
        <w:rPr>
          <w:spacing w:val="-15"/>
        </w:rPr>
        <w:t> </w:t>
      </w:r>
      <w:r>
        <w:rPr/>
        <w:t>in</w:t>
      </w:r>
      <w:r>
        <w:rPr>
          <w:spacing w:val="-14"/>
        </w:rPr>
        <w:t> </w:t>
      </w:r>
      <w:r>
        <w:rPr/>
        <w:t>Bida</w:t>
      </w:r>
      <w:r>
        <w:rPr>
          <w:spacing w:val="-15"/>
        </w:rPr>
        <w:t> </w:t>
      </w:r>
      <w:r>
        <w:rPr/>
        <w:t>and</w:t>
      </w:r>
      <w:r>
        <w:rPr>
          <w:spacing w:val="-14"/>
        </w:rPr>
        <w:t> </w:t>
      </w:r>
      <w:r>
        <w:rPr/>
        <w:t>it</w:t>
      </w:r>
      <w:r>
        <w:rPr>
          <w:spacing w:val="-14"/>
        </w:rPr>
        <w:t> </w:t>
      </w:r>
      <w:r>
        <w:rPr/>
        <w:t>consists</w:t>
      </w:r>
      <w:r>
        <w:rPr>
          <w:spacing w:val="-14"/>
        </w:rPr>
        <w:t> </w:t>
      </w:r>
      <w:r>
        <w:rPr/>
        <w:t>of</w:t>
      </w:r>
      <w:r>
        <w:rPr>
          <w:spacing w:val="-15"/>
        </w:rPr>
        <w:t> </w:t>
      </w:r>
      <w:r>
        <w:rPr/>
        <w:t>a</w:t>
      </w:r>
      <w:r>
        <w:rPr>
          <w:spacing w:val="-15"/>
        </w:rPr>
        <w:t> </w:t>
      </w:r>
      <w:r>
        <w:rPr/>
        <w:t>complex</w:t>
      </w:r>
      <w:r>
        <w:rPr>
          <w:spacing w:val="-13"/>
        </w:rPr>
        <w:t> </w:t>
      </w:r>
      <w:r>
        <w:rPr/>
        <w:t>of</w:t>
      </w:r>
      <w:r>
        <w:rPr>
          <w:spacing w:val="-15"/>
        </w:rPr>
        <w:t> </w:t>
      </w:r>
      <w:r>
        <w:rPr/>
        <w:t>varying</w:t>
      </w:r>
      <w:r>
        <w:rPr>
          <w:spacing w:val="-15"/>
        </w:rPr>
        <w:t> </w:t>
      </w:r>
      <w:r>
        <w:rPr/>
        <w:t>floristic composition and physiognomy. Consequently, there</w:t>
      </w:r>
      <w:r>
        <w:rPr>
          <w:spacing w:val="-2"/>
        </w:rPr>
        <w:t> </w:t>
      </w:r>
      <w:r>
        <w:rPr/>
        <w:t>are</w:t>
      </w:r>
      <w:r>
        <w:rPr>
          <w:spacing w:val="-2"/>
        </w:rPr>
        <w:t> </w:t>
      </w:r>
      <w:r>
        <w:rPr/>
        <w:t>units in the</w:t>
      </w:r>
      <w:r>
        <w:rPr>
          <w:spacing w:val="-1"/>
        </w:rPr>
        <w:t> </w:t>
      </w:r>
      <w:r>
        <w:rPr/>
        <w:t>complex that can be characterized as high forest, while others are no more than woodland and thickets (MaxLock, 1980).</w:t>
      </w:r>
    </w:p>
    <w:p>
      <w:pPr>
        <w:pStyle w:val="BodyText"/>
        <w:spacing w:line="480" w:lineRule="auto" w:before="240"/>
        <w:ind w:left="305" w:right="513"/>
      </w:pPr>
      <w:r>
        <w:rPr/>
        <w:t>The Riparian high forest that is similar in physiognomy to the rain forest is sometimes continuous, has the following oil palm tree (Elaes guineesis), Afzelia Africana and Terminally</w:t>
      </w:r>
      <w:r>
        <w:rPr>
          <w:spacing w:val="-10"/>
        </w:rPr>
        <w:t> </w:t>
      </w:r>
      <w:r>
        <w:rPr/>
        <w:t>laxiflora</w:t>
      </w:r>
      <w:r>
        <w:rPr>
          <w:spacing w:val="-9"/>
        </w:rPr>
        <w:t> </w:t>
      </w:r>
      <w:r>
        <w:rPr/>
        <w:t>found</w:t>
      </w:r>
      <w:r>
        <w:rPr>
          <w:spacing w:val="-7"/>
        </w:rPr>
        <w:t> </w:t>
      </w:r>
      <w:r>
        <w:rPr/>
        <w:t>within</w:t>
      </w:r>
      <w:r>
        <w:rPr>
          <w:spacing w:val="-7"/>
        </w:rPr>
        <w:t> </w:t>
      </w:r>
      <w:r>
        <w:rPr/>
        <w:t>it.</w:t>
      </w:r>
      <w:r>
        <w:rPr>
          <w:spacing w:val="-7"/>
        </w:rPr>
        <w:t> </w:t>
      </w:r>
      <w:r>
        <w:rPr/>
        <w:t>On</w:t>
      </w:r>
      <w:r>
        <w:rPr>
          <w:spacing w:val="-5"/>
        </w:rPr>
        <w:t> </w:t>
      </w:r>
      <w:r>
        <w:rPr/>
        <w:t>the</w:t>
      </w:r>
      <w:r>
        <w:rPr>
          <w:spacing w:val="-6"/>
        </w:rPr>
        <w:t> </w:t>
      </w:r>
      <w:r>
        <w:rPr/>
        <w:t>other</w:t>
      </w:r>
      <w:r>
        <w:rPr>
          <w:spacing w:val="-4"/>
        </w:rPr>
        <w:t> </w:t>
      </w:r>
      <w:r>
        <w:rPr/>
        <w:t>hand,</w:t>
      </w:r>
      <w:r>
        <w:rPr>
          <w:spacing w:val="-7"/>
        </w:rPr>
        <w:t> </w:t>
      </w:r>
      <w:r>
        <w:rPr/>
        <w:t>the</w:t>
      </w:r>
      <w:r>
        <w:rPr>
          <w:spacing w:val="-8"/>
        </w:rPr>
        <w:t> </w:t>
      </w:r>
      <w:r>
        <w:rPr/>
        <w:t>Riparian</w:t>
      </w:r>
      <w:r>
        <w:rPr>
          <w:spacing w:val="-5"/>
        </w:rPr>
        <w:t> </w:t>
      </w:r>
      <w:r>
        <w:rPr/>
        <w:t>complex</w:t>
      </w:r>
      <w:r>
        <w:rPr>
          <w:spacing w:val="-5"/>
        </w:rPr>
        <w:t> </w:t>
      </w:r>
      <w:r>
        <w:rPr/>
        <w:t>that</w:t>
      </w:r>
      <w:r>
        <w:rPr>
          <w:spacing w:val="-7"/>
        </w:rPr>
        <w:t> </w:t>
      </w:r>
      <w:r>
        <w:rPr/>
        <w:t>can</w:t>
      </w:r>
      <w:r>
        <w:rPr>
          <w:spacing w:val="-7"/>
        </w:rPr>
        <w:t> </w:t>
      </w:r>
      <w:r>
        <w:rPr/>
        <w:t>be described</w:t>
      </w:r>
      <w:r>
        <w:rPr>
          <w:spacing w:val="-10"/>
        </w:rPr>
        <w:t> </w:t>
      </w:r>
      <w:r>
        <w:rPr/>
        <w:t>as</w:t>
      </w:r>
      <w:r>
        <w:rPr>
          <w:spacing w:val="-12"/>
        </w:rPr>
        <w:t> </w:t>
      </w:r>
      <w:r>
        <w:rPr/>
        <w:t>thickets</w:t>
      </w:r>
      <w:r>
        <w:rPr>
          <w:spacing w:val="-11"/>
        </w:rPr>
        <w:t> </w:t>
      </w:r>
      <w:r>
        <w:rPr/>
        <w:t>and</w:t>
      </w:r>
      <w:r>
        <w:rPr>
          <w:spacing w:val="-10"/>
        </w:rPr>
        <w:t> </w:t>
      </w:r>
      <w:r>
        <w:rPr/>
        <w:t>woodlands</w:t>
      </w:r>
      <w:r>
        <w:rPr>
          <w:spacing w:val="-12"/>
        </w:rPr>
        <w:t> </w:t>
      </w:r>
      <w:r>
        <w:rPr/>
        <w:t>are</w:t>
      </w:r>
      <w:r>
        <w:rPr>
          <w:spacing w:val="-13"/>
        </w:rPr>
        <w:t> </w:t>
      </w:r>
      <w:r>
        <w:rPr/>
        <w:t>relatively</w:t>
      </w:r>
      <w:r>
        <w:rPr>
          <w:spacing w:val="-14"/>
        </w:rPr>
        <w:t> </w:t>
      </w:r>
      <w:r>
        <w:rPr/>
        <w:t>of</w:t>
      </w:r>
      <w:r>
        <w:rPr>
          <w:spacing w:val="-13"/>
        </w:rPr>
        <w:t> </w:t>
      </w:r>
      <w:r>
        <w:rPr/>
        <w:t>lows</w:t>
      </w:r>
      <w:r>
        <w:rPr>
          <w:spacing w:val="-12"/>
        </w:rPr>
        <w:t> </w:t>
      </w:r>
      <w:r>
        <w:rPr/>
        <w:t>stature.</w:t>
      </w:r>
      <w:r>
        <w:rPr>
          <w:spacing w:val="-10"/>
        </w:rPr>
        <w:t> </w:t>
      </w:r>
      <w:r>
        <w:rPr/>
        <w:t>Furthermore,</w:t>
      </w:r>
      <w:r>
        <w:rPr>
          <w:spacing w:val="-12"/>
        </w:rPr>
        <w:t> </w:t>
      </w:r>
      <w:r>
        <w:rPr/>
        <w:t>a</w:t>
      </w:r>
      <w:r>
        <w:rPr>
          <w:spacing w:val="-11"/>
        </w:rPr>
        <w:t> </w:t>
      </w:r>
      <w:r>
        <w:rPr/>
        <w:t>few</w:t>
      </w:r>
      <w:r>
        <w:rPr>
          <w:spacing w:val="-13"/>
        </w:rPr>
        <w:t> </w:t>
      </w:r>
      <w:r>
        <w:rPr/>
        <w:t>tall elements may</w:t>
      </w:r>
      <w:r>
        <w:rPr>
          <w:spacing w:val="-3"/>
        </w:rPr>
        <w:t> </w:t>
      </w:r>
      <w:r>
        <w:rPr/>
        <w:t>be found as emergent, with high trees and contious vegetal cover form by the forest or woodlands. Examples of the more frequent species in this variant of the Riparian vegetation are Mitrgyna inermis, Alchnea cordifolia, Allophyllus Africana, Anogeissus leiocarpus and Borassue aethiopium (MaxLock, 1980).</w:t>
      </w:r>
    </w:p>
    <w:p>
      <w:pPr>
        <w:pStyle w:val="BodyText"/>
        <w:spacing w:line="480" w:lineRule="auto" w:before="241"/>
        <w:ind w:left="305" w:right="513"/>
      </w:pPr>
      <w:r>
        <w:rPr/>
        <w:t>Savanna</w:t>
      </w:r>
      <w:r>
        <w:rPr>
          <w:spacing w:val="-6"/>
        </w:rPr>
        <w:t> </w:t>
      </w:r>
      <w:r>
        <w:rPr/>
        <w:t>woodlands</w:t>
      </w:r>
      <w:r>
        <w:rPr>
          <w:spacing w:val="-5"/>
        </w:rPr>
        <w:t> </w:t>
      </w:r>
      <w:r>
        <w:rPr/>
        <w:t>are</w:t>
      </w:r>
      <w:r>
        <w:rPr>
          <w:spacing w:val="-6"/>
        </w:rPr>
        <w:t> </w:t>
      </w:r>
      <w:r>
        <w:rPr/>
        <w:t>another</w:t>
      </w:r>
      <w:r>
        <w:rPr>
          <w:spacing w:val="-6"/>
        </w:rPr>
        <w:t> </w:t>
      </w:r>
      <w:r>
        <w:rPr/>
        <w:t>type</w:t>
      </w:r>
      <w:r>
        <w:rPr>
          <w:spacing w:val="-6"/>
        </w:rPr>
        <w:t> </w:t>
      </w:r>
      <w:r>
        <w:rPr/>
        <w:t>of</w:t>
      </w:r>
      <w:r>
        <w:rPr>
          <w:spacing w:val="-6"/>
        </w:rPr>
        <w:t> </w:t>
      </w:r>
      <w:r>
        <w:rPr/>
        <w:t>vegetation</w:t>
      </w:r>
      <w:r>
        <w:rPr>
          <w:spacing w:val="-4"/>
        </w:rPr>
        <w:t> </w:t>
      </w:r>
      <w:r>
        <w:rPr/>
        <w:t>found</w:t>
      </w:r>
      <w:r>
        <w:rPr>
          <w:spacing w:val="-5"/>
        </w:rPr>
        <w:t> </w:t>
      </w:r>
      <w:r>
        <w:rPr/>
        <w:t>around</w:t>
      </w:r>
      <w:r>
        <w:rPr>
          <w:spacing w:val="-6"/>
        </w:rPr>
        <w:t> </w:t>
      </w:r>
      <w:r>
        <w:rPr/>
        <w:t>Bida.</w:t>
      </w:r>
      <w:r>
        <w:rPr>
          <w:spacing w:val="-5"/>
        </w:rPr>
        <w:t> </w:t>
      </w:r>
      <w:r>
        <w:rPr/>
        <w:t>They</w:t>
      </w:r>
      <w:r>
        <w:rPr>
          <w:spacing w:val="-7"/>
        </w:rPr>
        <w:t> </w:t>
      </w:r>
      <w:r>
        <w:rPr/>
        <w:t>are</w:t>
      </w:r>
      <w:r>
        <w:rPr>
          <w:spacing w:val="-7"/>
        </w:rPr>
        <w:t> </w:t>
      </w:r>
      <w:r>
        <w:rPr/>
        <w:t>the</w:t>
      </w:r>
      <w:r>
        <w:rPr>
          <w:spacing w:val="-5"/>
        </w:rPr>
        <w:t> </w:t>
      </w:r>
      <w:r>
        <w:rPr/>
        <w:t>most luxuriant</w:t>
      </w:r>
      <w:r>
        <w:rPr>
          <w:spacing w:val="-4"/>
        </w:rPr>
        <w:t> </w:t>
      </w:r>
      <w:r>
        <w:rPr/>
        <w:t>and</w:t>
      </w:r>
      <w:r>
        <w:rPr>
          <w:spacing w:val="-5"/>
        </w:rPr>
        <w:t> </w:t>
      </w:r>
      <w:r>
        <w:rPr/>
        <w:t>are</w:t>
      </w:r>
      <w:r>
        <w:rPr>
          <w:spacing w:val="-4"/>
        </w:rPr>
        <w:t> </w:t>
      </w:r>
      <w:r>
        <w:rPr/>
        <w:t>fire</w:t>
      </w:r>
      <w:r>
        <w:rPr>
          <w:spacing w:val="-4"/>
        </w:rPr>
        <w:t> </w:t>
      </w:r>
      <w:r>
        <w:rPr/>
        <w:t>tolerant.</w:t>
      </w:r>
      <w:r>
        <w:rPr>
          <w:spacing w:val="-4"/>
        </w:rPr>
        <w:t> </w:t>
      </w:r>
      <w:r>
        <w:rPr/>
        <w:t>They</w:t>
      </w:r>
      <w:r>
        <w:rPr>
          <w:spacing w:val="-10"/>
        </w:rPr>
        <w:t> </w:t>
      </w:r>
      <w:r>
        <w:rPr/>
        <w:t>include</w:t>
      </w:r>
      <w:r>
        <w:rPr>
          <w:spacing w:val="-2"/>
        </w:rPr>
        <w:t> </w:t>
      </w:r>
      <w:r>
        <w:rPr/>
        <w:t>ground</w:t>
      </w:r>
      <w:r>
        <w:rPr>
          <w:spacing w:val="-5"/>
        </w:rPr>
        <w:t> </w:t>
      </w:r>
      <w:r>
        <w:rPr/>
        <w:t>vegetation</w:t>
      </w:r>
      <w:r>
        <w:rPr>
          <w:spacing w:val="-4"/>
        </w:rPr>
        <w:t> </w:t>
      </w:r>
      <w:r>
        <w:rPr/>
        <w:t>dominated</w:t>
      </w:r>
      <w:r>
        <w:rPr>
          <w:spacing w:val="-3"/>
        </w:rPr>
        <w:t> </w:t>
      </w:r>
      <w:r>
        <w:rPr/>
        <w:t>by</w:t>
      </w:r>
      <w:r>
        <w:rPr>
          <w:spacing w:val="-7"/>
        </w:rPr>
        <w:t> </w:t>
      </w:r>
      <w:r>
        <w:rPr/>
        <w:t>grasses</w:t>
      </w:r>
      <w:r>
        <w:rPr>
          <w:spacing w:val="-2"/>
        </w:rPr>
        <w:t> </w:t>
      </w:r>
      <w:r>
        <w:rPr/>
        <w:t>and also a continuous canopy, the trunk becomes more prominent and a large number of shrubs however exist between the trunks and also grasses are dominant on the floor in herb layer in which other herbs are important. (Bansal </w:t>
      </w:r>
      <w:r>
        <w:rPr>
          <w:i/>
        </w:rPr>
        <w:t>et al </w:t>
      </w:r>
      <w:r>
        <w:rPr/>
        <w:t>1999). Common species in the</w:t>
      </w:r>
      <w:r>
        <w:rPr>
          <w:spacing w:val="-7"/>
        </w:rPr>
        <w:t> </w:t>
      </w:r>
      <w:r>
        <w:rPr/>
        <w:t>savanna</w:t>
      </w:r>
      <w:r>
        <w:rPr>
          <w:spacing w:val="-8"/>
        </w:rPr>
        <w:t> </w:t>
      </w:r>
      <w:r>
        <w:rPr/>
        <w:t>woodland</w:t>
      </w:r>
      <w:r>
        <w:rPr>
          <w:spacing w:val="-5"/>
        </w:rPr>
        <w:t> </w:t>
      </w:r>
      <w:r>
        <w:rPr/>
        <w:t>include</w:t>
      </w:r>
      <w:r>
        <w:rPr>
          <w:spacing w:val="-8"/>
        </w:rPr>
        <w:t> </w:t>
      </w:r>
      <w:r>
        <w:rPr/>
        <w:t>Afzelia</w:t>
      </w:r>
      <w:r>
        <w:rPr>
          <w:spacing w:val="-5"/>
        </w:rPr>
        <w:t> </w:t>
      </w:r>
      <w:r>
        <w:rPr/>
        <w:t>Africana,</w:t>
      </w:r>
      <w:r>
        <w:rPr>
          <w:spacing w:val="-2"/>
        </w:rPr>
        <w:t> </w:t>
      </w:r>
      <w:r>
        <w:rPr/>
        <w:t>Anogeissus</w:t>
      </w:r>
      <w:r>
        <w:rPr>
          <w:spacing w:val="-7"/>
        </w:rPr>
        <w:t> </w:t>
      </w:r>
      <w:r>
        <w:rPr/>
        <w:t>leiocarpus,</w:t>
      </w:r>
      <w:r>
        <w:rPr>
          <w:spacing w:val="-7"/>
        </w:rPr>
        <w:t> </w:t>
      </w:r>
      <w:r>
        <w:rPr/>
        <w:t>Bulyrospermum paradoxium, Danieiia Oliveri, Khyya senegalensis (Mohagany), Prosopis Africana etc. (MaxLock, 1980).</w:t>
      </w:r>
    </w:p>
    <w:p>
      <w:pPr>
        <w:pStyle w:val="Heading1"/>
        <w:numPr>
          <w:ilvl w:val="2"/>
          <w:numId w:val="1"/>
        </w:numPr>
        <w:tabs>
          <w:tab w:pos="1024" w:val="left" w:leader="none"/>
        </w:tabs>
        <w:spacing w:line="240" w:lineRule="auto" w:before="246" w:after="0"/>
        <w:ind w:left="1024" w:right="0" w:hanging="719"/>
        <w:jc w:val="both"/>
      </w:pPr>
      <w:r>
        <w:rPr/>
        <w:t>Land</w:t>
      </w:r>
      <w:r>
        <w:rPr>
          <w:spacing w:val="-1"/>
        </w:rPr>
        <w:t> </w:t>
      </w:r>
      <w:r>
        <w:rPr/>
        <w:t>Use</w:t>
      </w:r>
      <w:r>
        <w:rPr>
          <w:spacing w:val="-3"/>
        </w:rPr>
        <w:t> </w:t>
      </w:r>
      <w:r>
        <w:rPr/>
        <w:t>and</w:t>
      </w:r>
      <w:r>
        <w:rPr>
          <w:spacing w:val="-1"/>
        </w:rPr>
        <w:t> </w:t>
      </w:r>
      <w:r>
        <w:rPr/>
        <w:t>Human</w:t>
      </w:r>
      <w:r>
        <w:rPr>
          <w:spacing w:val="-1"/>
        </w:rPr>
        <w:t> </w:t>
      </w:r>
      <w:r>
        <w:rPr>
          <w:spacing w:val="-2"/>
        </w:rPr>
        <w:t>Activities</w:t>
      </w:r>
    </w:p>
    <w:p>
      <w:pPr>
        <w:pStyle w:val="BodyText"/>
        <w:spacing w:before="195"/>
        <w:jc w:val="left"/>
        <w:rPr>
          <w:b/>
        </w:rPr>
      </w:pPr>
    </w:p>
    <w:p>
      <w:pPr>
        <w:pStyle w:val="BodyText"/>
        <w:spacing w:line="480" w:lineRule="auto"/>
        <w:ind w:left="305" w:right="515"/>
      </w:pPr>
      <w:r>
        <w:rPr/>
        <w:t>Bida structure consist of various components such as traditional city wall, physical land use</w:t>
      </w:r>
      <w:r>
        <w:rPr>
          <w:spacing w:val="-9"/>
        </w:rPr>
        <w:t> </w:t>
      </w:r>
      <w:r>
        <w:rPr/>
        <w:t>pattern,</w:t>
      </w:r>
      <w:r>
        <w:rPr>
          <w:spacing w:val="-9"/>
        </w:rPr>
        <w:t> </w:t>
      </w:r>
      <w:r>
        <w:rPr/>
        <w:t>housing,</w:t>
      </w:r>
      <w:r>
        <w:rPr>
          <w:spacing w:val="-6"/>
        </w:rPr>
        <w:t> </w:t>
      </w:r>
      <w:r>
        <w:rPr/>
        <w:t>and</w:t>
      </w:r>
      <w:r>
        <w:rPr>
          <w:spacing w:val="-6"/>
        </w:rPr>
        <w:t> </w:t>
      </w:r>
      <w:r>
        <w:rPr/>
        <w:t>other</w:t>
      </w:r>
      <w:r>
        <w:rPr>
          <w:spacing w:val="-9"/>
        </w:rPr>
        <w:t> </w:t>
      </w:r>
      <w:r>
        <w:rPr/>
        <w:t>human</w:t>
      </w:r>
      <w:r>
        <w:rPr>
          <w:spacing w:val="-9"/>
        </w:rPr>
        <w:t> </w:t>
      </w:r>
      <w:r>
        <w:rPr/>
        <w:t>activities</w:t>
      </w:r>
      <w:r>
        <w:rPr>
          <w:spacing w:val="-6"/>
        </w:rPr>
        <w:t> </w:t>
      </w:r>
      <w:r>
        <w:rPr/>
        <w:t>(Ndaguye,</w:t>
      </w:r>
      <w:r>
        <w:rPr>
          <w:spacing w:val="-8"/>
        </w:rPr>
        <w:t> </w:t>
      </w:r>
      <w:r>
        <w:rPr/>
        <w:t>1982).</w:t>
      </w:r>
      <w:r>
        <w:rPr>
          <w:spacing w:val="-6"/>
        </w:rPr>
        <w:t> </w:t>
      </w:r>
      <w:r>
        <w:rPr/>
        <w:t>Majority</w:t>
      </w:r>
      <w:r>
        <w:rPr>
          <w:spacing w:val="-11"/>
        </w:rPr>
        <w:t> </w:t>
      </w:r>
      <w:r>
        <w:rPr/>
        <w:t>of</w:t>
      </w:r>
      <w:r>
        <w:rPr>
          <w:spacing w:val="-9"/>
        </w:rPr>
        <w:t> </w:t>
      </w:r>
      <w:r>
        <w:rPr/>
        <w:t>residential areas</w:t>
      </w:r>
      <w:r>
        <w:rPr>
          <w:spacing w:val="-2"/>
        </w:rPr>
        <w:t> </w:t>
      </w:r>
      <w:r>
        <w:rPr/>
        <w:t>in</w:t>
      </w:r>
      <w:r>
        <w:rPr>
          <w:spacing w:val="-1"/>
        </w:rPr>
        <w:t> </w:t>
      </w:r>
      <w:r>
        <w:rPr/>
        <w:t>the</w:t>
      </w:r>
      <w:r>
        <w:rPr>
          <w:spacing w:val="-2"/>
        </w:rPr>
        <w:t> </w:t>
      </w:r>
      <w:r>
        <w:rPr/>
        <w:t>traditional</w:t>
      </w:r>
      <w:r>
        <w:rPr>
          <w:spacing w:val="-1"/>
        </w:rPr>
        <w:t> </w:t>
      </w:r>
      <w:r>
        <w:rPr/>
        <w:t>core</w:t>
      </w:r>
      <w:r>
        <w:rPr>
          <w:spacing w:val="-3"/>
        </w:rPr>
        <w:t> </w:t>
      </w:r>
      <w:r>
        <w:rPr/>
        <w:t>parts</w:t>
      </w:r>
      <w:r>
        <w:rPr>
          <w:spacing w:val="-1"/>
        </w:rPr>
        <w:t> </w:t>
      </w:r>
      <w:r>
        <w:rPr/>
        <w:t>of</w:t>
      </w:r>
      <w:r>
        <w:rPr>
          <w:spacing w:val="-2"/>
        </w:rPr>
        <w:t> </w:t>
      </w:r>
      <w:r>
        <w:rPr/>
        <w:t>the</w:t>
      </w:r>
      <w:r>
        <w:rPr>
          <w:spacing w:val="-2"/>
        </w:rPr>
        <w:t> </w:t>
      </w:r>
      <w:r>
        <w:rPr/>
        <w:t>town</w:t>
      </w:r>
      <w:r>
        <w:rPr>
          <w:spacing w:val="-1"/>
        </w:rPr>
        <w:t> </w:t>
      </w:r>
      <w:r>
        <w:rPr/>
        <w:t>are</w:t>
      </w:r>
      <w:r>
        <w:rPr>
          <w:spacing w:val="-1"/>
        </w:rPr>
        <w:t> </w:t>
      </w:r>
      <w:r>
        <w:rPr/>
        <w:t>based</w:t>
      </w:r>
      <w:r>
        <w:rPr>
          <w:spacing w:val="-1"/>
        </w:rPr>
        <w:t> </w:t>
      </w:r>
      <w:r>
        <w:rPr/>
        <w:t>on</w:t>
      </w:r>
      <w:r>
        <w:rPr>
          <w:spacing w:val="-1"/>
        </w:rPr>
        <w:t> </w:t>
      </w:r>
      <w:r>
        <w:rPr/>
        <w:t>occupational,</w:t>
      </w:r>
      <w:r>
        <w:rPr>
          <w:spacing w:val="-1"/>
        </w:rPr>
        <w:t> </w:t>
      </w:r>
      <w:r>
        <w:rPr/>
        <w:t>kinship,</w:t>
      </w:r>
      <w:r>
        <w:rPr>
          <w:spacing w:val="-1"/>
        </w:rPr>
        <w:t> </w:t>
      </w:r>
      <w:r>
        <w:rPr>
          <w:spacing w:val="-2"/>
        </w:rPr>
        <w:t>cultural</w:t>
      </w:r>
    </w:p>
    <w:p>
      <w:pPr>
        <w:spacing w:after="0" w:line="480" w:lineRule="auto"/>
        <w:sectPr>
          <w:pgSz w:w="11910" w:h="16840"/>
          <w:pgMar w:header="0" w:footer="1022" w:top="1320" w:bottom="1220" w:left="1680" w:right="900"/>
        </w:sectPr>
      </w:pPr>
    </w:p>
    <w:p>
      <w:pPr>
        <w:pStyle w:val="BodyText"/>
        <w:spacing w:line="480" w:lineRule="auto" w:before="72"/>
        <w:ind w:left="305" w:right="525"/>
      </w:pPr>
      <w:r>
        <w:rPr/>
        <w:t>and ethnic structures to enhance either the continuity of a trade, be a protector or be protected (Ndaguye, 1982)</w:t>
      </w:r>
    </w:p>
    <w:p>
      <w:pPr>
        <w:pStyle w:val="BodyText"/>
        <w:spacing w:line="480" w:lineRule="auto" w:before="240"/>
        <w:ind w:left="305" w:right="511"/>
      </w:pPr>
      <w:r>
        <w:rPr/>
        <w:t>The built-up area of Bida as of 2014 was over 3.150 hectares (Niger State Ministry of Lands and Housing, 2018). Almost the entire traditional part of the town is high density in terms of human population and housing development. The annexing areas are also becoming excessive in density, where new layout are not strictly followed. The urban expansion</w:t>
      </w:r>
      <w:r>
        <w:rPr>
          <w:spacing w:val="-4"/>
        </w:rPr>
        <w:t> </w:t>
      </w:r>
      <w:r>
        <w:rPr/>
        <w:t>(outside</w:t>
      </w:r>
      <w:r>
        <w:rPr>
          <w:spacing w:val="-5"/>
        </w:rPr>
        <w:t> </w:t>
      </w:r>
      <w:r>
        <w:rPr/>
        <w:t>the</w:t>
      </w:r>
      <w:r>
        <w:rPr>
          <w:spacing w:val="-5"/>
        </w:rPr>
        <w:t> </w:t>
      </w:r>
      <w:r>
        <w:rPr/>
        <w:t>city</w:t>
      </w:r>
      <w:r>
        <w:rPr>
          <w:spacing w:val="-7"/>
        </w:rPr>
        <w:t> </w:t>
      </w:r>
      <w:r>
        <w:rPr/>
        <w:t>gate)</w:t>
      </w:r>
      <w:r>
        <w:rPr>
          <w:spacing w:val="-3"/>
        </w:rPr>
        <w:t> </w:t>
      </w:r>
      <w:r>
        <w:rPr/>
        <w:t>which</w:t>
      </w:r>
      <w:r>
        <w:rPr>
          <w:spacing w:val="-4"/>
        </w:rPr>
        <w:t> </w:t>
      </w:r>
      <w:r>
        <w:rPr/>
        <w:t>is</w:t>
      </w:r>
      <w:r>
        <w:rPr>
          <w:spacing w:val="-4"/>
        </w:rPr>
        <w:t> </w:t>
      </w:r>
      <w:r>
        <w:rPr/>
        <w:t>usually</w:t>
      </w:r>
      <w:r>
        <w:rPr>
          <w:spacing w:val="-7"/>
        </w:rPr>
        <w:t> </w:t>
      </w:r>
      <w:r>
        <w:rPr/>
        <w:t>a</w:t>
      </w:r>
      <w:r>
        <w:rPr>
          <w:spacing w:val="-3"/>
        </w:rPr>
        <w:t> </w:t>
      </w:r>
      <w:r>
        <w:rPr/>
        <w:t>low</w:t>
      </w:r>
      <w:r>
        <w:rPr>
          <w:spacing w:val="-5"/>
        </w:rPr>
        <w:t> </w:t>
      </w:r>
      <w:r>
        <w:rPr/>
        <w:t>development</w:t>
      </w:r>
      <w:r>
        <w:rPr>
          <w:spacing w:val="-1"/>
        </w:rPr>
        <w:t> </w:t>
      </w:r>
      <w:r>
        <w:rPr/>
        <w:t>region</w:t>
      </w:r>
      <w:r>
        <w:rPr>
          <w:spacing w:val="-2"/>
        </w:rPr>
        <w:t> </w:t>
      </w:r>
      <w:r>
        <w:rPr/>
        <w:t>is</w:t>
      </w:r>
      <w:r>
        <w:rPr>
          <w:spacing w:val="-4"/>
        </w:rPr>
        <w:t> </w:t>
      </w:r>
      <w:r>
        <w:rPr/>
        <w:t>becoming highly</w:t>
      </w:r>
      <w:r>
        <w:rPr>
          <w:spacing w:val="-12"/>
        </w:rPr>
        <w:t> </w:t>
      </w:r>
      <w:r>
        <w:rPr/>
        <w:t>developed</w:t>
      </w:r>
      <w:r>
        <w:rPr>
          <w:spacing w:val="-8"/>
        </w:rPr>
        <w:t> </w:t>
      </w:r>
      <w:r>
        <w:rPr/>
        <w:t>with</w:t>
      </w:r>
      <w:r>
        <w:rPr>
          <w:spacing w:val="-7"/>
        </w:rPr>
        <w:t> </w:t>
      </w:r>
      <w:r>
        <w:rPr/>
        <w:t>number</w:t>
      </w:r>
      <w:r>
        <w:rPr>
          <w:spacing w:val="-8"/>
        </w:rPr>
        <w:t> </w:t>
      </w:r>
      <w:r>
        <w:rPr/>
        <w:t>people</w:t>
      </w:r>
      <w:r>
        <w:rPr>
          <w:spacing w:val="-8"/>
        </w:rPr>
        <w:t> </w:t>
      </w:r>
      <w:r>
        <w:rPr/>
        <w:t>migrating</w:t>
      </w:r>
      <w:r>
        <w:rPr>
          <w:spacing w:val="-10"/>
        </w:rPr>
        <w:t> </w:t>
      </w:r>
      <w:r>
        <w:rPr/>
        <w:t>to</w:t>
      </w:r>
      <w:r>
        <w:rPr>
          <w:spacing w:val="-5"/>
        </w:rPr>
        <w:t> </w:t>
      </w:r>
      <w:r>
        <w:rPr/>
        <w:t>town</w:t>
      </w:r>
      <w:r>
        <w:rPr>
          <w:spacing w:val="-7"/>
        </w:rPr>
        <w:t> </w:t>
      </w:r>
      <w:r>
        <w:rPr/>
        <w:t>and</w:t>
      </w:r>
      <w:r>
        <w:rPr>
          <w:spacing w:val="-7"/>
        </w:rPr>
        <w:t> </w:t>
      </w:r>
      <w:r>
        <w:rPr/>
        <w:t>increase</w:t>
      </w:r>
      <w:r>
        <w:rPr>
          <w:spacing w:val="-6"/>
        </w:rPr>
        <w:t> </w:t>
      </w:r>
      <w:r>
        <w:rPr/>
        <w:t>in</w:t>
      </w:r>
      <w:r>
        <w:rPr>
          <w:spacing w:val="-7"/>
        </w:rPr>
        <w:t> </w:t>
      </w:r>
      <w:r>
        <w:rPr/>
        <w:t>human</w:t>
      </w:r>
      <w:r>
        <w:rPr>
          <w:spacing w:val="-8"/>
        </w:rPr>
        <w:t> </w:t>
      </w:r>
      <w:r>
        <w:rPr/>
        <w:t>activities in the town.</w:t>
      </w:r>
    </w:p>
    <w:p>
      <w:pPr>
        <w:spacing w:after="0" w:line="480" w:lineRule="auto"/>
        <w:sectPr>
          <w:pgSz w:w="11910" w:h="16840"/>
          <w:pgMar w:header="0" w:footer="1022" w:top="1320" w:bottom="1220" w:left="1680" w:right="900"/>
        </w:sectPr>
      </w:pPr>
    </w:p>
    <w:p>
      <w:pPr>
        <w:spacing w:before="76"/>
        <w:ind w:left="292" w:right="505" w:firstLine="0"/>
        <w:jc w:val="center"/>
        <w:rPr>
          <w:b/>
          <w:sz w:val="24"/>
        </w:rPr>
      </w:pPr>
      <w:r>
        <w:rPr>
          <w:b/>
          <w:sz w:val="24"/>
        </w:rPr>
        <w:t>CHAPTER</w:t>
      </w:r>
      <w:r>
        <w:rPr>
          <w:b/>
          <w:spacing w:val="-4"/>
          <w:sz w:val="24"/>
        </w:rPr>
        <w:t> </w:t>
      </w:r>
      <w:r>
        <w:rPr>
          <w:b/>
          <w:spacing w:val="-5"/>
          <w:sz w:val="24"/>
        </w:rPr>
        <w:t>TWO</w:t>
      </w:r>
    </w:p>
    <w:p>
      <w:pPr>
        <w:pStyle w:val="BodyText"/>
        <w:spacing w:before="241"/>
        <w:jc w:val="left"/>
        <w:rPr>
          <w:b/>
        </w:rPr>
      </w:pPr>
    </w:p>
    <w:p>
      <w:pPr>
        <w:pStyle w:val="ListParagraph"/>
        <w:numPr>
          <w:ilvl w:val="1"/>
          <w:numId w:val="5"/>
        </w:numPr>
        <w:tabs>
          <w:tab w:pos="3185" w:val="left" w:leader="none"/>
        </w:tabs>
        <w:spacing w:line="240" w:lineRule="auto" w:before="0" w:after="0"/>
        <w:ind w:left="3185" w:right="0" w:hanging="2880"/>
        <w:jc w:val="left"/>
        <w:rPr>
          <w:b/>
          <w:sz w:val="24"/>
        </w:rPr>
      </w:pPr>
      <w:r>
        <w:rPr>
          <w:b/>
          <w:sz w:val="24"/>
        </w:rPr>
        <w:t>LITERATURE</w:t>
      </w:r>
      <w:r>
        <w:rPr>
          <w:b/>
          <w:spacing w:val="-2"/>
          <w:sz w:val="24"/>
        </w:rPr>
        <w:t> REVIEW</w:t>
      </w:r>
    </w:p>
    <w:p>
      <w:pPr>
        <w:pStyle w:val="BodyText"/>
        <w:spacing w:before="242"/>
        <w:jc w:val="left"/>
        <w:rPr>
          <w:b/>
        </w:rPr>
      </w:pPr>
    </w:p>
    <w:p>
      <w:pPr>
        <w:pStyle w:val="Heading1"/>
        <w:numPr>
          <w:ilvl w:val="1"/>
          <w:numId w:val="5"/>
        </w:numPr>
        <w:tabs>
          <w:tab w:pos="1025" w:val="left" w:leader="none"/>
        </w:tabs>
        <w:spacing w:line="240" w:lineRule="auto" w:before="0" w:after="0"/>
        <w:ind w:left="1025" w:right="0" w:hanging="720"/>
        <w:jc w:val="left"/>
      </w:pPr>
      <w:r>
        <w:rPr/>
        <w:t>Theoretical</w:t>
      </w:r>
      <w:r>
        <w:rPr>
          <w:spacing w:val="-1"/>
        </w:rPr>
        <w:t> </w:t>
      </w:r>
      <w:r>
        <w:rPr>
          <w:spacing w:val="-2"/>
        </w:rPr>
        <w:t>Framework</w:t>
      </w:r>
    </w:p>
    <w:p>
      <w:pPr>
        <w:pStyle w:val="BodyText"/>
        <w:spacing w:before="199"/>
        <w:jc w:val="left"/>
        <w:rPr>
          <w:b/>
        </w:rPr>
      </w:pPr>
    </w:p>
    <w:p>
      <w:pPr>
        <w:pStyle w:val="ListParagraph"/>
        <w:numPr>
          <w:ilvl w:val="2"/>
          <w:numId w:val="5"/>
        </w:numPr>
        <w:tabs>
          <w:tab w:pos="1025" w:val="left" w:leader="none"/>
        </w:tabs>
        <w:spacing w:line="240" w:lineRule="auto" w:before="1" w:after="0"/>
        <w:ind w:left="1025" w:right="0" w:hanging="720"/>
        <w:jc w:val="left"/>
        <w:rPr>
          <w:b/>
          <w:sz w:val="24"/>
        </w:rPr>
      </w:pPr>
      <w:r>
        <w:rPr>
          <w:b/>
          <w:sz w:val="24"/>
        </w:rPr>
        <w:t>Monocentric model</w:t>
      </w:r>
      <w:r>
        <w:rPr>
          <w:b/>
          <w:spacing w:val="-2"/>
          <w:sz w:val="24"/>
        </w:rPr>
        <w:t> </w:t>
      </w:r>
      <w:r>
        <w:rPr>
          <w:b/>
          <w:sz w:val="24"/>
        </w:rPr>
        <w:t>of</w:t>
      </w:r>
      <w:r>
        <w:rPr>
          <w:b/>
          <w:spacing w:val="-1"/>
          <w:sz w:val="24"/>
        </w:rPr>
        <w:t> </w:t>
      </w:r>
      <w:r>
        <w:rPr>
          <w:b/>
          <w:spacing w:val="-2"/>
          <w:sz w:val="24"/>
        </w:rPr>
        <w:t>Alonso</w:t>
      </w:r>
    </w:p>
    <w:p>
      <w:pPr>
        <w:pStyle w:val="BodyText"/>
        <w:spacing w:before="191"/>
        <w:jc w:val="left"/>
        <w:rPr>
          <w:b/>
        </w:rPr>
      </w:pPr>
    </w:p>
    <w:p>
      <w:pPr>
        <w:pStyle w:val="BodyText"/>
        <w:spacing w:line="480" w:lineRule="auto" w:before="1"/>
        <w:ind w:left="305" w:right="512"/>
      </w:pPr>
      <w:r>
        <w:rPr/>
        <w:t>Monocentric</w:t>
      </w:r>
      <w:r>
        <w:rPr>
          <w:spacing w:val="-7"/>
        </w:rPr>
        <w:t> </w:t>
      </w:r>
      <w:r>
        <w:rPr/>
        <w:t>model</w:t>
      </w:r>
      <w:r>
        <w:rPr>
          <w:spacing w:val="-7"/>
        </w:rPr>
        <w:t> </w:t>
      </w:r>
      <w:r>
        <w:rPr/>
        <w:t>have</w:t>
      </w:r>
      <w:r>
        <w:rPr>
          <w:spacing w:val="-8"/>
        </w:rPr>
        <w:t> </w:t>
      </w:r>
      <w:r>
        <w:rPr/>
        <w:t>it</w:t>
      </w:r>
      <w:r>
        <w:rPr>
          <w:spacing w:val="-7"/>
        </w:rPr>
        <w:t> </w:t>
      </w:r>
      <w:r>
        <w:rPr/>
        <w:t>root</w:t>
      </w:r>
      <w:r>
        <w:rPr>
          <w:spacing w:val="-7"/>
        </w:rPr>
        <w:t> </w:t>
      </w:r>
      <w:r>
        <w:rPr/>
        <w:t>from</w:t>
      </w:r>
      <w:r>
        <w:rPr>
          <w:spacing w:val="-6"/>
        </w:rPr>
        <w:t> </w:t>
      </w:r>
      <w:r>
        <w:rPr/>
        <w:t>Von</w:t>
      </w:r>
      <w:r>
        <w:rPr>
          <w:spacing w:val="-8"/>
        </w:rPr>
        <w:t> </w:t>
      </w:r>
      <w:r>
        <w:rPr/>
        <w:t>Thünen</w:t>
      </w:r>
      <w:r>
        <w:rPr>
          <w:spacing w:val="-7"/>
        </w:rPr>
        <w:t> </w:t>
      </w:r>
      <w:r>
        <w:rPr/>
        <w:t>'s</w:t>
      </w:r>
      <w:r>
        <w:rPr>
          <w:spacing w:val="-7"/>
        </w:rPr>
        <w:t> </w:t>
      </w:r>
      <w:r>
        <w:rPr/>
        <w:t>study</w:t>
      </w:r>
      <w:r>
        <w:rPr>
          <w:spacing w:val="-14"/>
        </w:rPr>
        <w:t> </w:t>
      </w:r>
      <w:r>
        <w:rPr/>
        <w:t>on</w:t>
      </w:r>
      <w:r>
        <w:rPr>
          <w:spacing w:val="-5"/>
        </w:rPr>
        <w:t> </w:t>
      </w:r>
      <w:r>
        <w:rPr/>
        <w:t>agricultural</w:t>
      </w:r>
      <w:r>
        <w:rPr>
          <w:spacing w:val="-7"/>
        </w:rPr>
        <w:t> </w:t>
      </w:r>
      <w:r>
        <w:rPr/>
        <w:t>land</w:t>
      </w:r>
      <w:r>
        <w:rPr>
          <w:spacing w:val="-7"/>
        </w:rPr>
        <w:t> </w:t>
      </w:r>
      <w:r>
        <w:rPr/>
        <w:t>use</w:t>
      </w:r>
      <w:r>
        <w:rPr>
          <w:spacing w:val="-7"/>
        </w:rPr>
        <w:t> </w:t>
      </w:r>
      <w:r>
        <w:rPr/>
        <w:t>which became the centrepiece of Alonso's (1964) models of urban economics, particularly the residential location and the urban housing markets (Waddell, 2000). Transition from agriculture to urban environments, absolute and differential concepts received proper modifications. Alonso adapted and considered the Von Thünen model to an urban environment (Fujita, 1989). The</w:t>
      </w:r>
      <w:r>
        <w:rPr>
          <w:spacing w:val="40"/>
        </w:rPr>
        <w:t> </w:t>
      </w:r>
      <w:r>
        <w:rPr/>
        <w:t>input of Alonso in the model brought about specific urban application, disparaging the notion that limit it to transport costs as an expression of impedance of space and preference for more central locations which is known as Bid Rent (Fujita, 2010). Similarly, Alonso’s assumption include competition among various economic activities, which are spatially distributed in the urban area based on their availability to pay rent, as locational determinant and choices and consequential value distributions (Manganelli &amp; Murgante, 2017).</w:t>
      </w:r>
    </w:p>
    <w:p>
      <w:pPr>
        <w:pStyle w:val="BodyText"/>
        <w:spacing w:line="480" w:lineRule="auto" w:before="241"/>
        <w:ind w:left="305" w:right="512"/>
      </w:pPr>
      <w:r>
        <w:rPr/>
        <w:t>Alonso took an exceptional position that is similar to preceding pioneers of urban economist and it is one of the fundamentals of his model (Ahlfeldt, 2011). Decreasing housing</w:t>
      </w:r>
      <w:r>
        <w:rPr>
          <w:spacing w:val="-4"/>
        </w:rPr>
        <w:t> </w:t>
      </w:r>
      <w:r>
        <w:rPr/>
        <w:t>rent</w:t>
      </w:r>
      <w:r>
        <w:rPr>
          <w:spacing w:val="-1"/>
        </w:rPr>
        <w:t> </w:t>
      </w:r>
      <w:r>
        <w:rPr/>
        <w:t>and</w:t>
      </w:r>
      <w:r>
        <w:rPr>
          <w:spacing w:val="-1"/>
        </w:rPr>
        <w:t> </w:t>
      </w:r>
      <w:r>
        <w:rPr/>
        <w:t>density</w:t>
      </w:r>
      <w:r>
        <w:rPr>
          <w:spacing w:val="-4"/>
        </w:rPr>
        <w:t> </w:t>
      </w:r>
      <w:r>
        <w:rPr/>
        <w:t>gradients</w:t>
      </w:r>
      <w:r>
        <w:rPr>
          <w:spacing w:val="-1"/>
        </w:rPr>
        <w:t> </w:t>
      </w:r>
      <w:r>
        <w:rPr/>
        <w:t>are</w:t>
      </w:r>
      <w:r>
        <w:rPr>
          <w:spacing w:val="-3"/>
        </w:rPr>
        <w:t> </w:t>
      </w:r>
      <w:r>
        <w:rPr/>
        <w:t>a</w:t>
      </w:r>
      <w:r>
        <w:rPr>
          <w:spacing w:val="-2"/>
        </w:rPr>
        <w:t> </w:t>
      </w:r>
      <w:r>
        <w:rPr/>
        <w:t>feature</w:t>
      </w:r>
      <w:r>
        <w:rPr>
          <w:spacing w:val="-3"/>
        </w:rPr>
        <w:t> </w:t>
      </w:r>
      <w:r>
        <w:rPr/>
        <w:t>of these</w:t>
      </w:r>
      <w:r>
        <w:rPr>
          <w:spacing w:val="-3"/>
        </w:rPr>
        <w:t> </w:t>
      </w:r>
      <w:r>
        <w:rPr/>
        <w:t>monocentric</w:t>
      </w:r>
      <w:r>
        <w:rPr>
          <w:spacing w:val="-2"/>
        </w:rPr>
        <w:t> </w:t>
      </w:r>
      <w:r>
        <w:rPr/>
        <w:t>models –</w:t>
      </w:r>
      <w:r>
        <w:rPr>
          <w:spacing w:val="-1"/>
        </w:rPr>
        <w:t> </w:t>
      </w:r>
      <w:r>
        <w:rPr/>
        <w:t>i.e.,</w:t>
      </w:r>
      <w:r>
        <w:rPr>
          <w:spacing w:val="-2"/>
        </w:rPr>
        <w:t> </w:t>
      </w:r>
      <w:r>
        <w:rPr/>
        <w:t>rents and housing density fall as distance to the CBD increases (Magliocca </w:t>
      </w:r>
      <w:r>
        <w:rPr>
          <w:i/>
        </w:rPr>
        <w:t>et al.</w:t>
      </w:r>
      <w:r>
        <w:rPr/>
        <w:t>, 2011). The model was later extended by Muth and Mills where housing was added to the model (Gwamna </w:t>
      </w:r>
      <w:r>
        <w:rPr>
          <w:i/>
        </w:rPr>
        <w:t>et al.</w:t>
      </w:r>
      <w:r>
        <w:rPr/>
        <w:t>, 2015). In the extension, households’ utility</w:t>
      </w:r>
      <w:r>
        <w:rPr>
          <w:spacing w:val="-3"/>
        </w:rPr>
        <w:t> </w:t>
      </w:r>
      <w:r>
        <w:rPr/>
        <w:t>is not directly derived from the</w:t>
      </w:r>
      <w:r>
        <w:rPr>
          <w:spacing w:val="3"/>
        </w:rPr>
        <w:t> </w:t>
      </w:r>
      <w:r>
        <w:rPr/>
        <w:t>land;</w:t>
      </w:r>
      <w:r>
        <w:rPr>
          <w:spacing w:val="4"/>
        </w:rPr>
        <w:t> </w:t>
      </w:r>
      <w:r>
        <w:rPr/>
        <w:t>rather,</w:t>
      </w:r>
      <w:r>
        <w:rPr>
          <w:spacing w:val="3"/>
        </w:rPr>
        <w:t> </w:t>
      </w:r>
      <w:r>
        <w:rPr/>
        <w:t>their</w:t>
      </w:r>
      <w:r>
        <w:rPr>
          <w:spacing w:val="3"/>
        </w:rPr>
        <w:t> </w:t>
      </w:r>
      <w:r>
        <w:rPr/>
        <w:t>utility</w:t>
      </w:r>
      <w:r>
        <w:rPr>
          <w:spacing w:val="-4"/>
        </w:rPr>
        <w:t> </w:t>
      </w:r>
      <w:r>
        <w:rPr/>
        <w:t>is</w:t>
      </w:r>
      <w:r>
        <w:rPr>
          <w:spacing w:val="5"/>
        </w:rPr>
        <w:t> </w:t>
      </w:r>
      <w:r>
        <w:rPr/>
        <w:t>derived</w:t>
      </w:r>
      <w:r>
        <w:rPr>
          <w:spacing w:val="3"/>
        </w:rPr>
        <w:t> </w:t>
      </w:r>
      <w:r>
        <w:rPr/>
        <w:t>from</w:t>
      </w:r>
      <w:r>
        <w:rPr>
          <w:spacing w:val="4"/>
        </w:rPr>
        <w:t> </w:t>
      </w:r>
      <w:r>
        <w:rPr/>
        <w:t>housing,</w:t>
      </w:r>
      <w:r>
        <w:rPr>
          <w:spacing w:val="3"/>
        </w:rPr>
        <w:t> </w:t>
      </w:r>
      <w:r>
        <w:rPr/>
        <w:t>where</w:t>
      </w:r>
      <w:r>
        <w:rPr>
          <w:spacing w:val="2"/>
        </w:rPr>
        <w:t> </w:t>
      </w:r>
      <w:r>
        <w:rPr/>
        <w:t>housing</w:t>
      </w:r>
      <w:r>
        <w:rPr>
          <w:spacing w:val="1"/>
        </w:rPr>
        <w:t> </w:t>
      </w:r>
      <w:r>
        <w:rPr/>
        <w:t>is</w:t>
      </w:r>
      <w:r>
        <w:rPr>
          <w:spacing w:val="5"/>
        </w:rPr>
        <w:t> </w:t>
      </w:r>
      <w:r>
        <w:rPr/>
        <w:t>a</w:t>
      </w:r>
      <w:r>
        <w:rPr>
          <w:spacing w:val="2"/>
        </w:rPr>
        <w:t> </w:t>
      </w:r>
      <w:r>
        <w:rPr/>
        <w:t>product</w:t>
      </w:r>
      <w:r>
        <w:rPr>
          <w:spacing w:val="5"/>
        </w:rPr>
        <w:t> </w:t>
      </w:r>
      <w:r>
        <w:rPr/>
        <w:t>of</w:t>
      </w:r>
      <w:r>
        <w:rPr>
          <w:spacing w:val="3"/>
        </w:rPr>
        <w:t> </w:t>
      </w:r>
      <w:r>
        <w:rPr>
          <w:spacing w:val="-4"/>
        </w:rPr>
        <w:t>both</w:t>
      </w:r>
    </w:p>
    <w:p>
      <w:pPr>
        <w:spacing w:after="0" w:line="480" w:lineRule="auto"/>
        <w:sectPr>
          <w:pgSz w:w="11910" w:h="16840"/>
          <w:pgMar w:header="0" w:footer="1022" w:top="1320" w:bottom="1220" w:left="1680" w:right="900"/>
        </w:sectPr>
      </w:pPr>
    </w:p>
    <w:p>
      <w:pPr>
        <w:pStyle w:val="BodyText"/>
        <w:spacing w:line="480" w:lineRule="auto" w:before="72"/>
        <w:ind w:left="305" w:right="515"/>
      </w:pPr>
      <w:r>
        <w:rPr/>
        <w:t>land</w:t>
      </w:r>
      <w:r>
        <w:rPr>
          <w:spacing w:val="-4"/>
        </w:rPr>
        <w:t> </w:t>
      </w:r>
      <w:r>
        <w:rPr/>
        <w:t>and</w:t>
      </w:r>
      <w:r>
        <w:rPr>
          <w:spacing w:val="-4"/>
        </w:rPr>
        <w:t> </w:t>
      </w:r>
      <w:r>
        <w:rPr/>
        <w:t>capital.</w:t>
      </w:r>
      <w:r>
        <w:rPr>
          <w:spacing w:val="-4"/>
        </w:rPr>
        <w:t> </w:t>
      </w:r>
      <w:r>
        <w:rPr/>
        <w:t>Although</w:t>
      </w:r>
      <w:r>
        <w:rPr>
          <w:spacing w:val="-4"/>
        </w:rPr>
        <w:t> </w:t>
      </w:r>
      <w:r>
        <w:rPr/>
        <w:t>Muth</w:t>
      </w:r>
      <w:r>
        <w:rPr>
          <w:spacing w:val="-4"/>
        </w:rPr>
        <w:t> </w:t>
      </w:r>
      <w:r>
        <w:rPr/>
        <w:t>and</w:t>
      </w:r>
      <w:r>
        <w:rPr>
          <w:spacing w:val="-4"/>
        </w:rPr>
        <w:t> </w:t>
      </w:r>
      <w:r>
        <w:rPr/>
        <w:t>Mills</w:t>
      </w:r>
      <w:r>
        <w:rPr>
          <w:spacing w:val="-5"/>
        </w:rPr>
        <w:t> </w:t>
      </w:r>
      <w:r>
        <w:rPr/>
        <w:t>had</w:t>
      </w:r>
      <w:r>
        <w:rPr>
          <w:spacing w:val="-4"/>
        </w:rPr>
        <w:t> </w:t>
      </w:r>
      <w:r>
        <w:rPr/>
        <w:t>separates</w:t>
      </w:r>
      <w:r>
        <w:rPr>
          <w:spacing w:val="-4"/>
        </w:rPr>
        <w:t> </w:t>
      </w:r>
      <w:r>
        <w:rPr/>
        <w:t>works,</w:t>
      </w:r>
      <w:r>
        <w:rPr>
          <w:spacing w:val="-4"/>
        </w:rPr>
        <w:t> </w:t>
      </w:r>
      <w:r>
        <w:rPr/>
        <w:t>Monocentric</w:t>
      </w:r>
      <w:r>
        <w:rPr>
          <w:spacing w:val="-5"/>
        </w:rPr>
        <w:t> </w:t>
      </w:r>
      <w:r>
        <w:rPr/>
        <w:t>city</w:t>
      </w:r>
      <w:r>
        <w:rPr>
          <w:spacing w:val="-11"/>
        </w:rPr>
        <w:t> </w:t>
      </w:r>
      <w:r>
        <w:rPr/>
        <w:t>model of this version is referred to as the “Muth-Mills” model. In this version of the model, house prices, land rents, building heights, and population density all declined with distance from the CBD (Gwamna </w:t>
      </w:r>
      <w:r>
        <w:rPr>
          <w:i/>
        </w:rPr>
        <w:t>et al</w:t>
      </w:r>
      <w:r>
        <w:rPr/>
        <w:t>., 2015).</w:t>
      </w:r>
    </w:p>
    <w:p>
      <w:pPr>
        <w:pStyle w:val="BodyText"/>
        <w:spacing w:line="480" w:lineRule="auto" w:before="240"/>
        <w:ind w:left="305" w:right="513"/>
      </w:pPr>
      <w:r>
        <w:rPr/>
        <w:t>Combining</w:t>
      </w:r>
      <w:r>
        <w:rPr>
          <w:spacing w:val="-4"/>
        </w:rPr>
        <w:t> </w:t>
      </w:r>
      <w:r>
        <w:rPr/>
        <w:t>Alonso’s</w:t>
      </w:r>
      <w:r>
        <w:rPr>
          <w:spacing w:val="-2"/>
        </w:rPr>
        <w:t> </w:t>
      </w:r>
      <w:r>
        <w:rPr/>
        <w:t>model</w:t>
      </w:r>
      <w:r>
        <w:rPr>
          <w:spacing w:val="-2"/>
        </w:rPr>
        <w:t> </w:t>
      </w:r>
      <w:r>
        <w:rPr/>
        <w:t>and</w:t>
      </w:r>
      <w:r>
        <w:rPr>
          <w:spacing w:val="-3"/>
        </w:rPr>
        <w:t> </w:t>
      </w:r>
      <w:r>
        <w:rPr/>
        <w:t>‘Muth-Mills’</w:t>
      </w:r>
      <w:r>
        <w:rPr>
          <w:spacing w:val="-3"/>
        </w:rPr>
        <w:t> </w:t>
      </w:r>
      <w:r>
        <w:rPr/>
        <w:t>extension,</w:t>
      </w:r>
      <w:r>
        <w:rPr>
          <w:spacing w:val="-3"/>
        </w:rPr>
        <w:t> </w:t>
      </w:r>
      <w:r>
        <w:rPr/>
        <w:t>the</w:t>
      </w:r>
      <w:r>
        <w:rPr>
          <w:spacing w:val="-3"/>
        </w:rPr>
        <w:t> </w:t>
      </w:r>
      <w:r>
        <w:rPr/>
        <w:t>monocentric</w:t>
      </w:r>
      <w:r>
        <w:rPr>
          <w:spacing w:val="-4"/>
        </w:rPr>
        <w:t> </w:t>
      </w:r>
      <w:r>
        <w:rPr/>
        <w:t>model</w:t>
      </w:r>
      <w:r>
        <w:rPr>
          <w:spacing w:val="-3"/>
        </w:rPr>
        <w:t> </w:t>
      </w:r>
      <w:r>
        <w:rPr/>
        <w:t>suggest that moving towards the CBD, land for housing is more expensive, this encourages housing developers to build more apartments per unit of land in order to economise the space used, that is by developing high rise buildings small apartments, as the building height increases the cost of additional meters (Kulish </w:t>
      </w:r>
      <w:r>
        <w:rPr>
          <w:i/>
        </w:rPr>
        <w:t>et al.</w:t>
      </w:r>
      <w:r>
        <w:rPr/>
        <w:t>, 2012). Then the choice of households would be either to reside in better location, but more expensive and smaller apartment or in a far distant, but less expensive and bigger apartment towards the urban fringe (Kulish </w:t>
      </w:r>
      <w:r>
        <w:rPr>
          <w:i/>
        </w:rPr>
        <w:t>et al</w:t>
      </w:r>
      <w:r>
        <w:rPr/>
        <w:t>., 2012). According to the model, the urban form is characterised by taller buildings and higher density near the CBD and lower building height and lower density on the fringe and that total size of the urban area will simultaneously determine by the transportation cost, population size and the land value in different uses, such as agriculture (Kulish </w:t>
      </w:r>
      <w:r>
        <w:rPr>
          <w:i/>
        </w:rPr>
        <w:t>et al</w:t>
      </w:r>
      <w:r>
        <w:rPr/>
        <w:t>., 2012).</w:t>
      </w:r>
    </w:p>
    <w:p>
      <w:pPr>
        <w:pStyle w:val="BodyText"/>
        <w:spacing w:line="480" w:lineRule="auto" w:before="242"/>
        <w:ind w:left="305" w:right="512"/>
      </w:pPr>
      <w:r>
        <w:rPr/>
        <w:t>The limitations of the monocentric concept that predicts that land and house prices; population</w:t>
      </w:r>
      <w:r>
        <w:rPr>
          <w:spacing w:val="-5"/>
        </w:rPr>
        <w:t> </w:t>
      </w:r>
      <w:r>
        <w:rPr/>
        <w:t>and</w:t>
      </w:r>
      <w:r>
        <w:rPr>
          <w:spacing w:val="-6"/>
        </w:rPr>
        <w:t> </w:t>
      </w:r>
      <w:r>
        <w:rPr/>
        <w:t>employment</w:t>
      </w:r>
      <w:r>
        <w:rPr>
          <w:spacing w:val="-5"/>
        </w:rPr>
        <w:t> </w:t>
      </w:r>
      <w:r>
        <w:rPr/>
        <w:t>densities</w:t>
      </w:r>
      <w:r>
        <w:rPr>
          <w:spacing w:val="-6"/>
        </w:rPr>
        <w:t> </w:t>
      </w:r>
      <w:r>
        <w:rPr/>
        <w:t>diminish</w:t>
      </w:r>
      <w:r>
        <w:rPr>
          <w:spacing w:val="-6"/>
        </w:rPr>
        <w:t> </w:t>
      </w:r>
      <w:r>
        <w:rPr/>
        <w:t>with</w:t>
      </w:r>
      <w:r>
        <w:rPr>
          <w:spacing w:val="-5"/>
        </w:rPr>
        <w:t> </w:t>
      </w:r>
      <w:r>
        <w:rPr/>
        <w:t>distance</w:t>
      </w:r>
      <w:r>
        <w:rPr>
          <w:spacing w:val="-7"/>
        </w:rPr>
        <w:t> </w:t>
      </w:r>
      <w:r>
        <w:rPr/>
        <w:t>to</w:t>
      </w:r>
      <w:r>
        <w:rPr>
          <w:spacing w:val="-5"/>
        </w:rPr>
        <w:t> </w:t>
      </w:r>
      <w:r>
        <w:rPr/>
        <w:t>an</w:t>
      </w:r>
      <w:r>
        <w:rPr>
          <w:spacing w:val="-4"/>
        </w:rPr>
        <w:t> </w:t>
      </w:r>
      <w:r>
        <w:rPr/>
        <w:t>exogenous</w:t>
      </w:r>
      <w:r>
        <w:rPr>
          <w:spacing w:val="-6"/>
        </w:rPr>
        <w:t> </w:t>
      </w:r>
      <w:r>
        <w:rPr/>
        <w:t>urban</w:t>
      </w:r>
      <w:r>
        <w:rPr>
          <w:spacing w:val="-6"/>
        </w:rPr>
        <w:t> </w:t>
      </w:r>
      <w:r>
        <w:rPr/>
        <w:t>core are well known and have attracted large criticism (Ahlfeldt, 2011; Kulish </w:t>
      </w:r>
      <w:r>
        <w:rPr>
          <w:i/>
        </w:rPr>
        <w:t>et al</w:t>
      </w:r>
      <w:r>
        <w:rPr/>
        <w:t>., 2012). </w:t>
      </w:r>
      <w:r>
        <w:rPr>
          <w:color w:val="111111"/>
        </w:rPr>
        <w:t>The</w:t>
      </w:r>
      <w:r>
        <w:rPr>
          <w:color w:val="111111"/>
          <w:spacing w:val="-15"/>
        </w:rPr>
        <w:t> </w:t>
      </w:r>
      <w:r>
        <w:rPr>
          <w:color w:val="111111"/>
        </w:rPr>
        <w:t>monocentric</w:t>
      </w:r>
      <w:r>
        <w:rPr>
          <w:color w:val="111111"/>
          <w:spacing w:val="-14"/>
        </w:rPr>
        <w:t> </w:t>
      </w:r>
      <w:r>
        <w:rPr>
          <w:color w:val="111111"/>
        </w:rPr>
        <w:t>model</w:t>
      </w:r>
      <w:r>
        <w:rPr>
          <w:color w:val="111111"/>
          <w:spacing w:val="-14"/>
        </w:rPr>
        <w:t> </w:t>
      </w:r>
      <w:r>
        <w:rPr>
          <w:color w:val="111111"/>
        </w:rPr>
        <w:t>excludes</w:t>
      </w:r>
      <w:r>
        <w:rPr>
          <w:color w:val="111111"/>
          <w:spacing w:val="-14"/>
        </w:rPr>
        <w:t> </w:t>
      </w:r>
      <w:r>
        <w:rPr>
          <w:color w:val="111111"/>
        </w:rPr>
        <w:t>non-transportation</w:t>
      </w:r>
      <w:r>
        <w:rPr>
          <w:color w:val="111111"/>
          <w:spacing w:val="-14"/>
        </w:rPr>
        <w:t> </w:t>
      </w:r>
      <w:r>
        <w:rPr>
          <w:color w:val="111111"/>
        </w:rPr>
        <w:t>elements,</w:t>
      </w:r>
      <w:r>
        <w:rPr>
          <w:color w:val="111111"/>
          <w:spacing w:val="-14"/>
        </w:rPr>
        <w:t> </w:t>
      </w:r>
      <w:r>
        <w:rPr>
          <w:color w:val="111111"/>
        </w:rPr>
        <w:t>which</w:t>
      </w:r>
      <w:r>
        <w:rPr>
          <w:color w:val="111111"/>
          <w:spacing w:val="-14"/>
        </w:rPr>
        <w:t> </w:t>
      </w:r>
      <w:r>
        <w:rPr>
          <w:color w:val="111111"/>
        </w:rPr>
        <w:t>include</w:t>
      </w:r>
      <w:r>
        <w:rPr>
          <w:color w:val="111111"/>
          <w:spacing w:val="-15"/>
        </w:rPr>
        <w:t> </w:t>
      </w:r>
      <w:r>
        <w:rPr>
          <w:color w:val="111111"/>
        </w:rPr>
        <w:t>instances</w:t>
      </w:r>
      <w:r>
        <w:rPr>
          <w:color w:val="111111"/>
          <w:spacing w:val="-13"/>
        </w:rPr>
        <w:t> </w:t>
      </w:r>
      <w:r>
        <w:rPr>
          <w:color w:val="111111"/>
        </w:rPr>
        <w:t>in which humans prefer a choice of residential location not primarily considering the commuting</w:t>
      </w:r>
      <w:r>
        <w:rPr>
          <w:color w:val="111111"/>
          <w:spacing w:val="-11"/>
        </w:rPr>
        <w:t> </w:t>
      </w:r>
      <w:r>
        <w:rPr>
          <w:color w:val="111111"/>
        </w:rPr>
        <w:t>cost</w:t>
      </w:r>
      <w:r>
        <w:rPr>
          <w:color w:val="111111"/>
          <w:spacing w:val="-6"/>
        </w:rPr>
        <w:t> </w:t>
      </w:r>
      <w:r>
        <w:rPr>
          <w:color w:val="111111"/>
        </w:rPr>
        <w:t>minimisation</w:t>
      </w:r>
      <w:r>
        <w:rPr>
          <w:color w:val="111111"/>
          <w:spacing w:val="-8"/>
        </w:rPr>
        <w:t> </w:t>
      </w:r>
      <w:r>
        <w:rPr>
          <w:color w:val="111111"/>
        </w:rPr>
        <w:t>to</w:t>
      </w:r>
      <w:r>
        <w:rPr>
          <w:color w:val="111111"/>
          <w:spacing w:val="-8"/>
        </w:rPr>
        <w:t> </w:t>
      </w:r>
      <w:r>
        <w:rPr>
          <w:color w:val="111111"/>
        </w:rPr>
        <w:t>their</w:t>
      </w:r>
      <w:r>
        <w:rPr>
          <w:color w:val="111111"/>
          <w:spacing w:val="-9"/>
        </w:rPr>
        <w:t> </w:t>
      </w:r>
      <w:r>
        <w:rPr>
          <w:color w:val="111111"/>
        </w:rPr>
        <w:t>work</w:t>
      </w:r>
      <w:r>
        <w:rPr>
          <w:color w:val="111111"/>
          <w:spacing w:val="-8"/>
        </w:rPr>
        <w:t> </w:t>
      </w:r>
      <w:r>
        <w:rPr>
          <w:color w:val="111111"/>
        </w:rPr>
        <w:t>place.</w:t>
      </w:r>
      <w:r>
        <w:rPr>
          <w:color w:val="111111"/>
          <w:spacing w:val="-6"/>
        </w:rPr>
        <w:t> </w:t>
      </w:r>
      <w:r>
        <w:rPr>
          <w:color w:val="111111"/>
        </w:rPr>
        <w:t>Besides,</w:t>
      </w:r>
      <w:r>
        <w:rPr>
          <w:color w:val="111111"/>
          <w:spacing w:val="-6"/>
        </w:rPr>
        <w:t> </w:t>
      </w:r>
      <w:r>
        <w:rPr>
          <w:color w:val="111111"/>
        </w:rPr>
        <w:t>as</w:t>
      </w:r>
      <w:r>
        <w:rPr>
          <w:color w:val="111111"/>
          <w:spacing w:val="-8"/>
        </w:rPr>
        <w:t> </w:t>
      </w:r>
      <w:r>
        <w:rPr>
          <w:color w:val="111111"/>
        </w:rPr>
        <w:t>the</w:t>
      </w:r>
      <w:r>
        <w:rPr>
          <w:color w:val="111111"/>
          <w:spacing w:val="-9"/>
        </w:rPr>
        <w:t> </w:t>
      </w:r>
      <w:r>
        <w:rPr>
          <w:color w:val="111111"/>
        </w:rPr>
        <w:t>central</w:t>
      </w:r>
      <w:r>
        <w:rPr>
          <w:color w:val="111111"/>
          <w:spacing w:val="-8"/>
        </w:rPr>
        <w:t> </w:t>
      </w:r>
      <w:r>
        <w:rPr>
          <w:color w:val="111111"/>
        </w:rPr>
        <w:t>areas</w:t>
      </w:r>
      <w:r>
        <w:rPr>
          <w:color w:val="111111"/>
          <w:spacing w:val="-8"/>
        </w:rPr>
        <w:t> </w:t>
      </w:r>
      <w:r>
        <w:rPr>
          <w:color w:val="111111"/>
        </w:rPr>
        <w:t>of</w:t>
      </w:r>
      <w:r>
        <w:rPr>
          <w:color w:val="111111"/>
          <w:spacing w:val="-9"/>
        </w:rPr>
        <w:t> </w:t>
      </w:r>
      <w:r>
        <w:rPr>
          <w:color w:val="111111"/>
        </w:rPr>
        <w:t>the</w:t>
      </w:r>
      <w:r>
        <w:rPr>
          <w:color w:val="111111"/>
          <w:spacing w:val="-6"/>
        </w:rPr>
        <w:t> </w:t>
      </w:r>
      <w:r>
        <w:rPr>
          <w:color w:val="111111"/>
        </w:rPr>
        <w:t>city is under restructuring, and employment centres exists in the suburb, several researches proved</w:t>
      </w:r>
      <w:r>
        <w:rPr>
          <w:color w:val="111111"/>
          <w:spacing w:val="-8"/>
        </w:rPr>
        <w:t> </w:t>
      </w:r>
      <w:r>
        <w:rPr>
          <w:color w:val="111111"/>
        </w:rPr>
        <w:t>that</w:t>
      </w:r>
      <w:r>
        <w:rPr>
          <w:color w:val="111111"/>
          <w:spacing w:val="-6"/>
        </w:rPr>
        <w:t> </w:t>
      </w:r>
      <w:r>
        <w:rPr>
          <w:color w:val="111111"/>
        </w:rPr>
        <w:t>the</w:t>
      </w:r>
      <w:r>
        <w:rPr>
          <w:color w:val="111111"/>
          <w:spacing w:val="-7"/>
        </w:rPr>
        <w:t> </w:t>
      </w:r>
      <w:r>
        <w:rPr>
          <w:color w:val="111111"/>
        </w:rPr>
        <w:t>distance</w:t>
      </w:r>
      <w:r>
        <w:rPr>
          <w:color w:val="111111"/>
          <w:spacing w:val="-7"/>
        </w:rPr>
        <w:t> </w:t>
      </w:r>
      <w:r>
        <w:rPr>
          <w:color w:val="111111"/>
        </w:rPr>
        <w:t>to</w:t>
      </w:r>
      <w:r>
        <w:rPr>
          <w:color w:val="111111"/>
          <w:spacing w:val="-6"/>
        </w:rPr>
        <w:t> </w:t>
      </w:r>
      <w:r>
        <w:rPr>
          <w:color w:val="111111"/>
        </w:rPr>
        <w:t>the</w:t>
      </w:r>
      <w:r>
        <w:rPr>
          <w:color w:val="111111"/>
          <w:spacing w:val="-7"/>
        </w:rPr>
        <w:t> </w:t>
      </w:r>
      <w:r>
        <w:rPr>
          <w:color w:val="111111"/>
        </w:rPr>
        <w:t>CBD</w:t>
      </w:r>
      <w:r>
        <w:rPr>
          <w:color w:val="111111"/>
          <w:spacing w:val="-7"/>
        </w:rPr>
        <w:t> </w:t>
      </w:r>
      <w:r>
        <w:rPr>
          <w:color w:val="111111"/>
        </w:rPr>
        <w:t>will</w:t>
      </w:r>
      <w:r>
        <w:rPr>
          <w:color w:val="111111"/>
          <w:spacing w:val="-5"/>
        </w:rPr>
        <w:t> </w:t>
      </w:r>
      <w:r>
        <w:rPr>
          <w:color w:val="111111"/>
        </w:rPr>
        <w:t>have</w:t>
      </w:r>
      <w:r>
        <w:rPr>
          <w:color w:val="111111"/>
          <w:spacing w:val="-7"/>
        </w:rPr>
        <w:t> </w:t>
      </w:r>
      <w:r>
        <w:rPr>
          <w:color w:val="111111"/>
        </w:rPr>
        <w:t>less</w:t>
      </w:r>
      <w:r>
        <w:rPr>
          <w:color w:val="111111"/>
          <w:spacing w:val="-4"/>
        </w:rPr>
        <w:t> </w:t>
      </w:r>
      <w:r>
        <w:rPr>
          <w:color w:val="111111"/>
        </w:rPr>
        <w:t>effect</w:t>
      </w:r>
      <w:r>
        <w:rPr>
          <w:color w:val="111111"/>
          <w:spacing w:val="-6"/>
        </w:rPr>
        <w:t> </w:t>
      </w:r>
      <w:r>
        <w:rPr>
          <w:color w:val="111111"/>
        </w:rPr>
        <w:t>and</w:t>
      </w:r>
      <w:r>
        <w:rPr>
          <w:color w:val="111111"/>
          <w:spacing w:val="-3"/>
        </w:rPr>
        <w:t> </w:t>
      </w:r>
      <w:r>
        <w:rPr>
          <w:color w:val="111111"/>
        </w:rPr>
        <w:t>will</w:t>
      </w:r>
      <w:r>
        <w:rPr>
          <w:color w:val="111111"/>
          <w:spacing w:val="-6"/>
        </w:rPr>
        <w:t> </w:t>
      </w:r>
      <w:r>
        <w:rPr>
          <w:color w:val="111111"/>
        </w:rPr>
        <w:t>become</w:t>
      </w:r>
      <w:r>
        <w:rPr>
          <w:color w:val="111111"/>
          <w:spacing w:val="-7"/>
        </w:rPr>
        <w:t> </w:t>
      </w:r>
      <w:r>
        <w:rPr>
          <w:color w:val="111111"/>
        </w:rPr>
        <w:t>insignificant</w:t>
      </w:r>
      <w:r>
        <w:rPr>
          <w:color w:val="111111"/>
          <w:spacing w:val="-5"/>
        </w:rPr>
        <w:t> or</w:t>
      </w:r>
    </w:p>
    <w:p>
      <w:pPr>
        <w:pStyle w:val="BodyText"/>
        <w:spacing w:line="274" w:lineRule="exact"/>
        <w:ind w:left="305"/>
      </w:pPr>
      <w:r>
        <w:rPr>
          <w:color w:val="111111"/>
        </w:rPr>
        <w:t>and</w:t>
      </w:r>
      <w:r>
        <w:rPr>
          <w:color w:val="111111"/>
          <w:spacing w:val="53"/>
        </w:rPr>
        <w:t> </w:t>
      </w:r>
      <w:r>
        <w:rPr>
          <w:color w:val="111111"/>
        </w:rPr>
        <w:t>irrelevant</w:t>
      </w:r>
      <w:r>
        <w:rPr>
          <w:color w:val="111111"/>
          <w:spacing w:val="56"/>
        </w:rPr>
        <w:t> </w:t>
      </w:r>
      <w:r>
        <w:rPr/>
        <w:t>(Xiao,</w:t>
      </w:r>
      <w:r>
        <w:rPr>
          <w:spacing w:val="53"/>
        </w:rPr>
        <w:t> </w:t>
      </w:r>
      <w:r>
        <w:rPr/>
        <w:t>2017b).</w:t>
      </w:r>
      <w:r>
        <w:rPr>
          <w:spacing w:val="55"/>
        </w:rPr>
        <w:t> </w:t>
      </w:r>
      <w:r>
        <w:rPr/>
        <w:t>However,</w:t>
      </w:r>
      <w:r>
        <w:rPr>
          <w:spacing w:val="53"/>
        </w:rPr>
        <w:t> </w:t>
      </w:r>
      <w:r>
        <w:rPr/>
        <w:t>the</w:t>
      </w:r>
      <w:r>
        <w:rPr>
          <w:spacing w:val="54"/>
        </w:rPr>
        <w:t> </w:t>
      </w:r>
      <w:r>
        <w:rPr/>
        <w:t>model</w:t>
      </w:r>
      <w:r>
        <w:rPr>
          <w:spacing w:val="56"/>
        </w:rPr>
        <w:t> </w:t>
      </w:r>
      <w:r>
        <w:rPr/>
        <w:t>cannot</w:t>
      </w:r>
      <w:r>
        <w:rPr>
          <w:spacing w:val="56"/>
        </w:rPr>
        <w:t> </w:t>
      </w:r>
      <w:r>
        <w:rPr/>
        <w:t>be</w:t>
      </w:r>
      <w:r>
        <w:rPr>
          <w:spacing w:val="53"/>
        </w:rPr>
        <w:t> </w:t>
      </w:r>
      <w:r>
        <w:rPr/>
        <w:t>completely</w:t>
      </w:r>
      <w:r>
        <w:rPr>
          <w:spacing w:val="50"/>
        </w:rPr>
        <w:t> </w:t>
      </w:r>
      <w:r>
        <w:rPr/>
        <w:t>ruled</w:t>
      </w:r>
      <w:r>
        <w:rPr>
          <w:spacing w:val="54"/>
        </w:rPr>
        <w:t> </w:t>
      </w:r>
      <w:r>
        <w:rPr>
          <w:spacing w:val="-4"/>
        </w:rPr>
        <w:t>out,</w:t>
      </w:r>
    </w:p>
    <w:p>
      <w:pPr>
        <w:spacing w:after="0" w:line="274" w:lineRule="exact"/>
        <w:sectPr>
          <w:pgSz w:w="11910" w:h="16840"/>
          <w:pgMar w:header="0" w:footer="1022" w:top="1320" w:bottom="1220" w:left="1680" w:right="900"/>
        </w:sectPr>
      </w:pPr>
    </w:p>
    <w:p>
      <w:pPr>
        <w:pStyle w:val="BodyText"/>
        <w:spacing w:line="480" w:lineRule="auto" w:before="72"/>
        <w:ind w:left="305" w:right="512"/>
      </w:pPr>
      <w:r>
        <w:rPr/>
        <w:t>because</w:t>
      </w:r>
      <w:r>
        <w:rPr>
          <w:spacing w:val="-11"/>
        </w:rPr>
        <w:t> </w:t>
      </w:r>
      <w:r>
        <w:rPr/>
        <w:t>it</w:t>
      </w:r>
      <w:r>
        <w:rPr>
          <w:spacing w:val="-11"/>
        </w:rPr>
        <w:t> </w:t>
      </w:r>
      <w:r>
        <w:rPr/>
        <w:t>is</w:t>
      </w:r>
      <w:r>
        <w:rPr>
          <w:spacing w:val="-11"/>
        </w:rPr>
        <w:t> </w:t>
      </w:r>
      <w:r>
        <w:rPr/>
        <w:t>still</w:t>
      </w:r>
      <w:r>
        <w:rPr>
          <w:spacing w:val="-11"/>
        </w:rPr>
        <w:t> </w:t>
      </w:r>
      <w:r>
        <w:rPr/>
        <w:t>applicable</w:t>
      </w:r>
      <w:r>
        <w:rPr>
          <w:spacing w:val="-10"/>
        </w:rPr>
        <w:t> </w:t>
      </w:r>
      <w:r>
        <w:rPr/>
        <w:t>to</w:t>
      </w:r>
      <w:r>
        <w:rPr>
          <w:spacing w:val="-12"/>
        </w:rPr>
        <w:t> </w:t>
      </w:r>
      <w:r>
        <w:rPr/>
        <w:t>some</w:t>
      </w:r>
      <w:r>
        <w:rPr>
          <w:spacing w:val="-9"/>
        </w:rPr>
        <w:t> </w:t>
      </w:r>
      <w:r>
        <w:rPr/>
        <w:t>extents</w:t>
      </w:r>
      <w:r>
        <w:rPr>
          <w:spacing w:val="-12"/>
        </w:rPr>
        <w:t> </w:t>
      </w:r>
      <w:r>
        <w:rPr/>
        <w:t>in</w:t>
      </w:r>
      <w:r>
        <w:rPr>
          <w:spacing w:val="-12"/>
        </w:rPr>
        <w:t> </w:t>
      </w:r>
      <w:r>
        <w:rPr/>
        <w:t>most</w:t>
      </w:r>
      <w:r>
        <w:rPr>
          <w:spacing w:val="-11"/>
        </w:rPr>
        <w:t> </w:t>
      </w:r>
      <w:r>
        <w:rPr/>
        <w:t>urban</w:t>
      </w:r>
      <w:r>
        <w:rPr>
          <w:spacing w:val="-12"/>
        </w:rPr>
        <w:t> </w:t>
      </w:r>
      <w:r>
        <w:rPr/>
        <w:t>studies</w:t>
      </w:r>
      <w:r>
        <w:rPr>
          <w:spacing w:val="-10"/>
        </w:rPr>
        <w:t> </w:t>
      </w:r>
      <w:r>
        <w:rPr/>
        <w:t>such</w:t>
      </w:r>
      <w:r>
        <w:rPr>
          <w:spacing w:val="-10"/>
        </w:rPr>
        <w:t> </w:t>
      </w:r>
      <w:r>
        <w:rPr/>
        <w:t>as</w:t>
      </w:r>
      <w:r>
        <w:rPr>
          <w:spacing w:val="-10"/>
        </w:rPr>
        <w:t> </w:t>
      </w:r>
      <w:r>
        <w:rPr/>
        <w:t>housing</w:t>
      </w:r>
      <w:r>
        <w:rPr>
          <w:spacing w:val="-14"/>
        </w:rPr>
        <w:t> </w:t>
      </w:r>
      <w:r>
        <w:rPr/>
        <w:t>density and population density. This is due the centralised structure of most urban forms of the developing countries.</w:t>
      </w:r>
    </w:p>
    <w:p>
      <w:pPr>
        <w:pStyle w:val="Heading1"/>
        <w:numPr>
          <w:ilvl w:val="2"/>
          <w:numId w:val="5"/>
        </w:numPr>
        <w:tabs>
          <w:tab w:pos="1024" w:val="left" w:leader="none"/>
        </w:tabs>
        <w:spacing w:line="240" w:lineRule="auto" w:before="247" w:after="0"/>
        <w:ind w:left="1024" w:right="0" w:hanging="719"/>
        <w:jc w:val="both"/>
      </w:pPr>
      <w:r>
        <w:rPr/>
        <w:t>Hedonic</w:t>
      </w:r>
      <w:r>
        <w:rPr>
          <w:spacing w:val="-1"/>
        </w:rPr>
        <w:t> </w:t>
      </w:r>
      <w:r>
        <w:rPr>
          <w:spacing w:val="-4"/>
        </w:rPr>
        <w:t>model</w:t>
      </w:r>
    </w:p>
    <w:p>
      <w:pPr>
        <w:pStyle w:val="BodyText"/>
        <w:spacing w:before="192"/>
        <w:jc w:val="left"/>
        <w:rPr>
          <w:b/>
        </w:rPr>
      </w:pPr>
    </w:p>
    <w:p>
      <w:pPr>
        <w:pStyle w:val="BodyText"/>
        <w:spacing w:line="480" w:lineRule="auto"/>
        <w:ind w:left="305" w:right="512"/>
      </w:pPr>
      <w:r>
        <w:rPr/>
        <w:t>The word ‘hedonic’ comes from the Greek word for ‘pleasure-giving’, and was chosen because it suggests the idea that consumers value goods for the pleasure or utility that distinct attributes of the goods give them (Pirounakis, 2013). The theoretical foundation of hedonic price modelling can be traced far back as Waugh (1928), where he used it to analyse</w:t>
      </w:r>
      <w:r>
        <w:rPr>
          <w:spacing w:val="-5"/>
        </w:rPr>
        <w:t> </w:t>
      </w:r>
      <w:r>
        <w:rPr/>
        <w:t>agricultural</w:t>
      </w:r>
      <w:r>
        <w:rPr>
          <w:spacing w:val="-4"/>
        </w:rPr>
        <w:t> </w:t>
      </w:r>
      <w:r>
        <w:rPr/>
        <w:t>market</w:t>
      </w:r>
      <w:r>
        <w:rPr>
          <w:spacing w:val="-1"/>
        </w:rPr>
        <w:t> </w:t>
      </w:r>
      <w:r>
        <w:rPr/>
        <w:t>(Baranzini</w:t>
      </w:r>
      <w:r>
        <w:rPr>
          <w:spacing w:val="-2"/>
        </w:rPr>
        <w:t> </w:t>
      </w:r>
      <w:r>
        <w:rPr>
          <w:i/>
        </w:rPr>
        <w:t>et</w:t>
      </w:r>
      <w:r>
        <w:rPr>
          <w:i/>
          <w:spacing w:val="-4"/>
        </w:rPr>
        <w:t> </w:t>
      </w:r>
      <w:r>
        <w:rPr>
          <w:i/>
        </w:rPr>
        <w:t>al.</w:t>
      </w:r>
      <w:r>
        <w:rPr/>
        <w:t>,</w:t>
      </w:r>
      <w:r>
        <w:rPr>
          <w:spacing w:val="-4"/>
        </w:rPr>
        <w:t> </w:t>
      </w:r>
      <w:r>
        <w:rPr/>
        <w:t>2008).</w:t>
      </w:r>
      <w:r>
        <w:rPr>
          <w:spacing w:val="-2"/>
        </w:rPr>
        <w:t> </w:t>
      </w:r>
      <w:r>
        <w:rPr/>
        <w:t>Lancaster</w:t>
      </w:r>
      <w:r>
        <w:rPr>
          <w:spacing w:val="-4"/>
        </w:rPr>
        <w:t> </w:t>
      </w:r>
      <w:r>
        <w:rPr/>
        <w:t>(1966)</w:t>
      </w:r>
      <w:r>
        <w:rPr>
          <w:spacing w:val="-5"/>
        </w:rPr>
        <w:t> </w:t>
      </w:r>
      <w:r>
        <w:rPr/>
        <w:t>further</w:t>
      </w:r>
      <w:r>
        <w:rPr>
          <w:spacing w:val="-4"/>
        </w:rPr>
        <w:t> </w:t>
      </w:r>
      <w:r>
        <w:rPr/>
        <w:t>extend</w:t>
      </w:r>
      <w:r>
        <w:rPr>
          <w:spacing w:val="-4"/>
        </w:rPr>
        <w:t> </w:t>
      </w:r>
      <w:r>
        <w:rPr/>
        <w:t>it</w:t>
      </w:r>
      <w:r>
        <w:rPr>
          <w:spacing w:val="-4"/>
        </w:rPr>
        <w:t> </w:t>
      </w:r>
      <w:r>
        <w:rPr/>
        <w:t>to the</w:t>
      </w:r>
      <w:r>
        <w:rPr>
          <w:spacing w:val="-15"/>
        </w:rPr>
        <w:t> </w:t>
      </w:r>
      <w:r>
        <w:rPr/>
        <w:t>theory</w:t>
      </w:r>
      <w:r>
        <w:rPr>
          <w:spacing w:val="-15"/>
        </w:rPr>
        <w:t> </w:t>
      </w:r>
      <w:r>
        <w:rPr/>
        <w:t>of</w:t>
      </w:r>
      <w:r>
        <w:rPr>
          <w:spacing w:val="-15"/>
        </w:rPr>
        <w:t> </w:t>
      </w:r>
      <w:r>
        <w:rPr/>
        <w:t>consumer’s</w:t>
      </w:r>
      <w:r>
        <w:rPr>
          <w:spacing w:val="-15"/>
        </w:rPr>
        <w:t> </w:t>
      </w:r>
      <w:r>
        <w:rPr/>
        <w:t>demand</w:t>
      </w:r>
      <w:r>
        <w:rPr>
          <w:spacing w:val="-15"/>
        </w:rPr>
        <w:t> </w:t>
      </w:r>
      <w:r>
        <w:rPr/>
        <w:t>(Xiao,</w:t>
      </w:r>
      <w:r>
        <w:rPr>
          <w:spacing w:val="-15"/>
        </w:rPr>
        <w:t> </w:t>
      </w:r>
      <w:r>
        <w:rPr/>
        <w:t>2017a).</w:t>
      </w:r>
      <w:r>
        <w:rPr>
          <w:spacing w:val="-15"/>
        </w:rPr>
        <w:t> </w:t>
      </w:r>
      <w:r>
        <w:rPr/>
        <w:t>Although,</w:t>
      </w:r>
      <w:r>
        <w:rPr>
          <w:spacing w:val="-15"/>
        </w:rPr>
        <w:t> </w:t>
      </w:r>
      <w:r>
        <w:rPr/>
        <w:t>Lancaster</w:t>
      </w:r>
      <w:r>
        <w:rPr>
          <w:spacing w:val="-15"/>
        </w:rPr>
        <w:t> </w:t>
      </w:r>
      <w:r>
        <w:rPr/>
        <w:t>is</w:t>
      </w:r>
      <w:r>
        <w:rPr>
          <w:spacing w:val="-15"/>
        </w:rPr>
        <w:t> </w:t>
      </w:r>
      <w:r>
        <w:rPr/>
        <w:t>consider</w:t>
      </w:r>
      <w:r>
        <w:rPr>
          <w:spacing w:val="-15"/>
        </w:rPr>
        <w:t> </w:t>
      </w:r>
      <w:r>
        <w:rPr/>
        <w:t>by</w:t>
      </w:r>
      <w:r>
        <w:rPr>
          <w:spacing w:val="-15"/>
        </w:rPr>
        <w:t> </w:t>
      </w:r>
      <w:r>
        <w:rPr/>
        <w:t>many researchers to be the founder of the hedonic model. He argued that individual characteristics</w:t>
      </w:r>
      <w:r>
        <w:rPr>
          <w:spacing w:val="-4"/>
        </w:rPr>
        <w:t> </w:t>
      </w:r>
      <w:r>
        <w:rPr/>
        <w:t>of</w:t>
      </w:r>
      <w:r>
        <w:rPr>
          <w:spacing w:val="-4"/>
        </w:rPr>
        <w:t> </w:t>
      </w:r>
      <w:r>
        <w:rPr/>
        <w:t>a</w:t>
      </w:r>
      <w:r>
        <w:rPr>
          <w:spacing w:val="-4"/>
        </w:rPr>
        <w:t> </w:t>
      </w:r>
      <w:r>
        <w:rPr/>
        <w:t>good</w:t>
      </w:r>
      <w:r>
        <w:rPr>
          <w:spacing w:val="-4"/>
        </w:rPr>
        <w:t> </w:t>
      </w:r>
      <w:r>
        <w:rPr/>
        <w:t>creates</w:t>
      </w:r>
      <w:r>
        <w:rPr>
          <w:spacing w:val="-4"/>
        </w:rPr>
        <w:t> </w:t>
      </w:r>
      <w:r>
        <w:rPr/>
        <w:t>utility,</w:t>
      </w:r>
      <w:r>
        <w:rPr>
          <w:spacing w:val="-4"/>
        </w:rPr>
        <w:t> </w:t>
      </w:r>
      <w:r>
        <w:rPr/>
        <w:t>not</w:t>
      </w:r>
      <w:r>
        <w:rPr>
          <w:spacing w:val="-4"/>
        </w:rPr>
        <w:t> </w:t>
      </w:r>
      <w:r>
        <w:rPr/>
        <w:t>the</w:t>
      </w:r>
      <w:r>
        <w:rPr>
          <w:spacing w:val="-4"/>
        </w:rPr>
        <w:t> </w:t>
      </w:r>
      <w:r>
        <w:rPr/>
        <w:t>good</w:t>
      </w:r>
      <w:r>
        <w:rPr>
          <w:spacing w:val="-4"/>
        </w:rPr>
        <w:t> </w:t>
      </w:r>
      <w:r>
        <w:rPr/>
        <w:t>itself (Helbich</w:t>
      </w:r>
      <w:r>
        <w:rPr>
          <w:spacing w:val="-4"/>
        </w:rPr>
        <w:t> </w:t>
      </w:r>
      <w:r>
        <w:rPr>
          <w:i/>
        </w:rPr>
        <w:t>et</w:t>
      </w:r>
      <w:r>
        <w:rPr>
          <w:i/>
          <w:spacing w:val="-4"/>
        </w:rPr>
        <w:t> </w:t>
      </w:r>
      <w:r>
        <w:rPr>
          <w:i/>
        </w:rPr>
        <w:t>al.</w:t>
      </w:r>
      <w:r>
        <w:rPr/>
        <w:t>,</w:t>
      </w:r>
      <w:r>
        <w:rPr>
          <w:spacing w:val="-4"/>
        </w:rPr>
        <w:t> </w:t>
      </w:r>
      <w:r>
        <w:rPr/>
        <w:t>2014).</w:t>
      </w:r>
      <w:r>
        <w:rPr>
          <w:spacing w:val="-4"/>
        </w:rPr>
        <w:t> </w:t>
      </w:r>
      <w:r>
        <w:rPr>
          <w:color w:val="111111"/>
        </w:rPr>
        <w:t>That</w:t>
      </w:r>
      <w:r>
        <w:rPr>
          <w:color w:val="111111"/>
          <w:spacing w:val="-4"/>
        </w:rPr>
        <w:t> </w:t>
      </w:r>
      <w:r>
        <w:rPr>
          <w:color w:val="111111"/>
        </w:rPr>
        <w:t>is, number</w:t>
      </w:r>
      <w:r>
        <w:rPr>
          <w:color w:val="111111"/>
          <w:spacing w:val="-9"/>
        </w:rPr>
        <w:t> </w:t>
      </w:r>
      <w:r>
        <w:rPr>
          <w:color w:val="111111"/>
        </w:rPr>
        <w:t>of</w:t>
      </w:r>
      <w:r>
        <w:rPr>
          <w:color w:val="111111"/>
          <w:spacing w:val="-9"/>
        </w:rPr>
        <w:t> </w:t>
      </w:r>
      <w:r>
        <w:rPr>
          <w:color w:val="111111"/>
        </w:rPr>
        <w:t>features</w:t>
      </w:r>
      <w:r>
        <w:rPr>
          <w:color w:val="111111"/>
          <w:spacing w:val="-8"/>
        </w:rPr>
        <w:t> </w:t>
      </w:r>
      <w:r>
        <w:rPr>
          <w:color w:val="111111"/>
        </w:rPr>
        <w:t>including</w:t>
      </w:r>
      <w:r>
        <w:rPr>
          <w:color w:val="111111"/>
          <w:spacing w:val="-10"/>
        </w:rPr>
        <w:t> </w:t>
      </w:r>
      <w:r>
        <w:rPr>
          <w:color w:val="111111"/>
        </w:rPr>
        <w:t>the</w:t>
      </w:r>
      <w:r>
        <w:rPr>
          <w:color w:val="111111"/>
          <w:spacing w:val="-9"/>
        </w:rPr>
        <w:t> </w:t>
      </w:r>
      <w:r>
        <w:rPr>
          <w:color w:val="111111"/>
        </w:rPr>
        <w:t>feature</w:t>
      </w:r>
      <w:r>
        <w:rPr>
          <w:color w:val="111111"/>
          <w:spacing w:val="-9"/>
        </w:rPr>
        <w:t> </w:t>
      </w:r>
      <w:r>
        <w:rPr>
          <w:color w:val="111111"/>
        </w:rPr>
        <w:t>per</w:t>
      </w:r>
      <w:r>
        <w:rPr>
          <w:color w:val="111111"/>
          <w:spacing w:val="-9"/>
        </w:rPr>
        <w:t> </w:t>
      </w:r>
      <w:r>
        <w:rPr>
          <w:color w:val="111111"/>
        </w:rPr>
        <w:t>unit</w:t>
      </w:r>
      <w:r>
        <w:rPr>
          <w:color w:val="111111"/>
          <w:spacing w:val="-8"/>
        </w:rPr>
        <w:t> </w:t>
      </w:r>
      <w:r>
        <w:rPr>
          <w:color w:val="111111"/>
        </w:rPr>
        <w:t>cost,</w:t>
      </w:r>
      <w:r>
        <w:rPr>
          <w:color w:val="111111"/>
          <w:spacing w:val="-5"/>
        </w:rPr>
        <w:t> </w:t>
      </w:r>
      <w:r>
        <w:rPr/>
        <w:t>determines</w:t>
      </w:r>
      <w:r>
        <w:rPr>
          <w:spacing w:val="-8"/>
        </w:rPr>
        <w:t> </w:t>
      </w:r>
      <w:r>
        <w:rPr/>
        <w:t>consumers’</w:t>
      </w:r>
      <w:r>
        <w:rPr>
          <w:spacing w:val="-9"/>
        </w:rPr>
        <w:t> </w:t>
      </w:r>
      <w:r>
        <w:rPr/>
        <w:t>purchasing decision (Xiao, 2017a). For instance, choice of a computer by people, depends on the processing speed, memory capacity, screen resolution, quality of casing and aesthetic look, and so on.</w:t>
      </w:r>
    </w:p>
    <w:p>
      <w:pPr>
        <w:pStyle w:val="BodyText"/>
        <w:spacing w:line="480" w:lineRule="auto" w:before="242"/>
        <w:ind w:left="305" w:right="511"/>
      </w:pPr>
      <w:r>
        <w:rPr/>
        <w:t>Although</w:t>
      </w:r>
      <w:r>
        <w:rPr>
          <w:spacing w:val="-3"/>
        </w:rPr>
        <w:t> </w:t>
      </w:r>
      <w:r>
        <w:rPr/>
        <w:t>Waugh</w:t>
      </w:r>
      <w:r>
        <w:rPr>
          <w:spacing w:val="-3"/>
        </w:rPr>
        <w:t> </w:t>
      </w:r>
      <w:r>
        <w:rPr/>
        <w:t>and</w:t>
      </w:r>
      <w:r>
        <w:rPr>
          <w:spacing w:val="-1"/>
        </w:rPr>
        <w:t> </w:t>
      </w:r>
      <w:r>
        <w:rPr/>
        <w:t>Lancaster</w:t>
      </w:r>
      <w:r>
        <w:rPr>
          <w:spacing w:val="-4"/>
        </w:rPr>
        <w:t> </w:t>
      </w:r>
      <w:r>
        <w:rPr/>
        <w:t>were</w:t>
      </w:r>
      <w:r>
        <w:rPr>
          <w:spacing w:val="-5"/>
        </w:rPr>
        <w:t> </w:t>
      </w:r>
      <w:r>
        <w:rPr/>
        <w:t>the</w:t>
      </w:r>
      <w:r>
        <w:rPr>
          <w:spacing w:val="-2"/>
        </w:rPr>
        <w:t> </w:t>
      </w:r>
      <w:r>
        <w:rPr/>
        <w:t>pioneers</w:t>
      </w:r>
      <w:r>
        <w:rPr>
          <w:spacing w:val="-2"/>
        </w:rPr>
        <w:t> </w:t>
      </w:r>
      <w:r>
        <w:rPr/>
        <w:t>of</w:t>
      </w:r>
      <w:r>
        <w:rPr>
          <w:spacing w:val="-3"/>
        </w:rPr>
        <w:t> </w:t>
      </w:r>
      <w:r>
        <w:rPr/>
        <w:t>the</w:t>
      </w:r>
      <w:r>
        <w:rPr>
          <w:spacing w:val="-5"/>
        </w:rPr>
        <w:t> </w:t>
      </w:r>
      <w:r>
        <w:rPr/>
        <w:t>hedonic</w:t>
      </w:r>
      <w:r>
        <w:rPr>
          <w:spacing w:val="-3"/>
        </w:rPr>
        <w:t> </w:t>
      </w:r>
      <w:r>
        <w:rPr/>
        <w:t>utility,</w:t>
      </w:r>
      <w:r>
        <w:rPr>
          <w:spacing w:val="-3"/>
        </w:rPr>
        <w:t> </w:t>
      </w:r>
      <w:r>
        <w:rPr/>
        <w:t>they</w:t>
      </w:r>
      <w:r>
        <w:rPr>
          <w:spacing w:val="-8"/>
        </w:rPr>
        <w:t> </w:t>
      </w:r>
      <w:r>
        <w:rPr/>
        <w:t>were</w:t>
      </w:r>
      <w:r>
        <w:rPr>
          <w:spacing w:val="-5"/>
        </w:rPr>
        <w:t> </w:t>
      </w:r>
      <w:r>
        <w:rPr/>
        <w:t>silent about pricing models (Baranzini </w:t>
      </w:r>
      <w:r>
        <w:rPr>
          <w:i/>
        </w:rPr>
        <w:t>et al</w:t>
      </w:r>
      <w:r>
        <w:rPr/>
        <w:t>., 2008; Xiao, 2017a). It was Rosen (1974) in his seminal work that first present a theory</w:t>
      </w:r>
      <w:r>
        <w:rPr>
          <w:spacing w:val="-3"/>
        </w:rPr>
        <w:t> </w:t>
      </w:r>
      <w:r>
        <w:rPr/>
        <w:t>of hedonic pricing (Baranzini </w:t>
      </w:r>
      <w:r>
        <w:rPr>
          <w:i/>
        </w:rPr>
        <w:t>et al</w:t>
      </w:r>
      <w:r>
        <w:rPr/>
        <w:t>.,</w:t>
      </w:r>
      <w:r>
        <w:rPr>
          <w:spacing w:val="-1"/>
        </w:rPr>
        <w:t> </w:t>
      </w:r>
      <w:r>
        <w:rPr/>
        <w:t>2008; Xiao, 2017a).</w:t>
      </w:r>
      <w:r>
        <w:rPr>
          <w:spacing w:val="-6"/>
        </w:rPr>
        <w:t> </w:t>
      </w:r>
      <w:r>
        <w:rPr/>
        <w:t>In</w:t>
      </w:r>
      <w:r>
        <w:rPr>
          <w:spacing w:val="-6"/>
        </w:rPr>
        <w:t> </w:t>
      </w:r>
      <w:r>
        <w:rPr/>
        <w:t>his</w:t>
      </w:r>
      <w:r>
        <w:rPr>
          <w:spacing w:val="-8"/>
        </w:rPr>
        <w:t> </w:t>
      </w:r>
      <w:r>
        <w:rPr/>
        <w:t>argument,</w:t>
      </w:r>
      <w:r>
        <w:rPr>
          <w:spacing w:val="-2"/>
        </w:rPr>
        <w:t> </w:t>
      </w:r>
      <w:r>
        <w:rPr/>
        <w:t>Rosen</w:t>
      </w:r>
      <w:r>
        <w:rPr>
          <w:spacing w:val="-8"/>
        </w:rPr>
        <w:t> </w:t>
      </w:r>
      <w:r>
        <w:rPr/>
        <w:t>opined</w:t>
      </w:r>
      <w:r>
        <w:rPr>
          <w:spacing w:val="-9"/>
        </w:rPr>
        <w:t> </w:t>
      </w:r>
      <w:r>
        <w:rPr/>
        <w:t>that</w:t>
      </w:r>
      <w:r>
        <w:rPr>
          <w:spacing w:val="-7"/>
        </w:rPr>
        <w:t> </w:t>
      </w:r>
      <w:r>
        <w:rPr/>
        <w:t>characteristics</w:t>
      </w:r>
      <w:r>
        <w:rPr>
          <w:spacing w:val="-9"/>
        </w:rPr>
        <w:t> </w:t>
      </w:r>
      <w:r>
        <w:rPr/>
        <w:t>of</w:t>
      </w:r>
      <w:r>
        <w:rPr>
          <w:spacing w:val="-9"/>
        </w:rPr>
        <w:t> </w:t>
      </w:r>
      <w:r>
        <w:rPr/>
        <w:t>an</w:t>
      </w:r>
      <w:r>
        <w:rPr>
          <w:spacing w:val="-6"/>
        </w:rPr>
        <w:t> </w:t>
      </w:r>
      <w:r>
        <w:rPr/>
        <w:t>item</w:t>
      </w:r>
      <w:r>
        <w:rPr>
          <w:spacing w:val="-8"/>
        </w:rPr>
        <w:t> </w:t>
      </w:r>
      <w:r>
        <w:rPr/>
        <w:t>determine</w:t>
      </w:r>
      <w:r>
        <w:rPr>
          <w:spacing w:val="-9"/>
        </w:rPr>
        <w:t> </w:t>
      </w:r>
      <w:r>
        <w:rPr/>
        <w:t>its</w:t>
      </w:r>
      <w:r>
        <w:rPr>
          <w:spacing w:val="-8"/>
        </w:rPr>
        <w:t> </w:t>
      </w:r>
      <w:r>
        <w:rPr/>
        <w:t>value. That is, the sum of price of each homogeneous attributes determines the total price an item, and unique implicit price is attached to each attribute in an equilibrium market (Xiao, 2017a). On this regard, each item’s composite unit price is determined by the characteristics</w:t>
      </w:r>
      <w:r>
        <w:rPr>
          <w:spacing w:val="39"/>
        </w:rPr>
        <w:t> </w:t>
      </w:r>
      <w:r>
        <w:rPr/>
        <w:t>uniquely</w:t>
      </w:r>
      <w:r>
        <w:rPr>
          <w:spacing w:val="42"/>
        </w:rPr>
        <w:t> </w:t>
      </w:r>
      <w:r>
        <w:rPr/>
        <w:t>contributed</w:t>
      </w:r>
      <w:r>
        <w:rPr>
          <w:spacing w:val="45"/>
        </w:rPr>
        <w:t> </w:t>
      </w:r>
      <w:r>
        <w:rPr/>
        <w:t>(Clauw,</w:t>
      </w:r>
      <w:r>
        <w:rPr>
          <w:spacing w:val="45"/>
        </w:rPr>
        <w:t> </w:t>
      </w:r>
      <w:r>
        <w:rPr/>
        <w:t>2007).</w:t>
      </w:r>
      <w:r>
        <w:rPr>
          <w:spacing w:val="42"/>
        </w:rPr>
        <w:t> </w:t>
      </w:r>
      <w:r>
        <w:rPr/>
        <w:t>However,</w:t>
      </w:r>
      <w:r>
        <w:rPr>
          <w:spacing w:val="44"/>
        </w:rPr>
        <w:t> </w:t>
      </w:r>
      <w:r>
        <w:rPr/>
        <w:t>hedonic</w:t>
      </w:r>
      <w:r>
        <w:rPr>
          <w:spacing w:val="46"/>
        </w:rPr>
        <w:t> </w:t>
      </w:r>
      <w:r>
        <w:rPr/>
        <w:t>model</w:t>
      </w:r>
      <w:r>
        <w:rPr>
          <w:spacing w:val="43"/>
        </w:rPr>
        <w:t> </w:t>
      </w:r>
      <w:r>
        <w:rPr>
          <w:spacing w:val="-2"/>
        </w:rPr>
        <w:t>require</w:t>
      </w:r>
    </w:p>
    <w:p>
      <w:pPr>
        <w:spacing w:after="0" w:line="480" w:lineRule="auto"/>
        <w:sectPr>
          <w:pgSz w:w="11910" w:h="16840"/>
          <w:pgMar w:header="0" w:footer="1022" w:top="1320" w:bottom="1220" w:left="1680" w:right="900"/>
        </w:sectPr>
      </w:pPr>
    </w:p>
    <w:p>
      <w:pPr>
        <w:pStyle w:val="BodyText"/>
        <w:spacing w:line="480" w:lineRule="auto" w:before="72"/>
        <w:ind w:left="305" w:right="521"/>
      </w:pPr>
      <w:r>
        <w:rPr/>
        <w:t>well-functioning markets for goods or services, with buyers and sellers who are well informed about the attributes of the goods and service and willing pay (Clauw, 2007).</w:t>
      </w:r>
    </w:p>
    <w:p>
      <w:pPr>
        <w:pStyle w:val="BodyText"/>
        <w:spacing w:line="480" w:lineRule="auto" w:before="240"/>
        <w:ind w:left="305" w:right="519"/>
      </w:pPr>
      <w:r>
        <w:rPr/>
        <w:t>Recently, the hedonic price modelling has undergone substantial improvement in the direction of capturing spatial dependence and heterogeneity. The model then extends by allowing spatial analysis such as spatial autocorrelation (Kauko, 2003).</w:t>
      </w:r>
    </w:p>
    <w:p>
      <w:pPr>
        <w:pStyle w:val="Heading1"/>
        <w:numPr>
          <w:ilvl w:val="3"/>
          <w:numId w:val="5"/>
        </w:numPr>
        <w:tabs>
          <w:tab w:pos="1024" w:val="left" w:leader="none"/>
        </w:tabs>
        <w:spacing w:line="240" w:lineRule="auto" w:before="247" w:after="0"/>
        <w:ind w:left="1024" w:right="0" w:hanging="719"/>
        <w:jc w:val="both"/>
      </w:pPr>
      <w:r>
        <w:rPr/>
        <w:t>Theoretical</w:t>
      </w:r>
      <w:r>
        <w:rPr>
          <w:spacing w:val="-1"/>
        </w:rPr>
        <w:t> </w:t>
      </w:r>
      <w:r>
        <w:rPr/>
        <w:t>basis</w:t>
      </w:r>
      <w:r>
        <w:rPr>
          <w:spacing w:val="-2"/>
        </w:rPr>
        <w:t> </w:t>
      </w:r>
      <w:r>
        <w:rPr/>
        <w:t>of</w:t>
      </w:r>
      <w:r>
        <w:rPr>
          <w:spacing w:val="-1"/>
        </w:rPr>
        <w:t> </w:t>
      </w:r>
      <w:r>
        <w:rPr/>
        <w:t>hedonic</w:t>
      </w:r>
      <w:r>
        <w:rPr>
          <w:spacing w:val="-1"/>
        </w:rPr>
        <w:t> </w:t>
      </w:r>
      <w:r>
        <w:rPr>
          <w:spacing w:val="-4"/>
        </w:rPr>
        <w:t>model</w:t>
      </w:r>
    </w:p>
    <w:p>
      <w:pPr>
        <w:pStyle w:val="BodyText"/>
        <w:spacing w:before="193"/>
        <w:jc w:val="left"/>
        <w:rPr>
          <w:b/>
        </w:rPr>
      </w:pPr>
    </w:p>
    <w:p>
      <w:pPr>
        <w:pStyle w:val="BodyText"/>
        <w:spacing w:line="480" w:lineRule="auto"/>
        <w:ind w:left="305" w:right="511"/>
      </w:pPr>
      <w:r>
        <w:rPr/>
        <w:t>The hedonic technique is frequently applied to assess how housing prices have been affected by the housing and neighbourhood characteristics (Goodman &amp; Thibodeau, 1995). House is regarded as an heterogeneous good in the hedonic price model (Seo, 2008). The equation of the hedonic model is in a way that housing expenditures can be disintegrated</w:t>
      </w:r>
      <w:r>
        <w:rPr>
          <w:spacing w:val="-15"/>
        </w:rPr>
        <w:t> </w:t>
      </w:r>
      <w:r>
        <w:rPr/>
        <w:t>into</w:t>
      </w:r>
      <w:r>
        <w:rPr>
          <w:spacing w:val="-15"/>
        </w:rPr>
        <w:t> </w:t>
      </w:r>
      <w:r>
        <w:rPr/>
        <w:t>measurable</w:t>
      </w:r>
      <w:r>
        <w:rPr>
          <w:spacing w:val="-15"/>
        </w:rPr>
        <w:t> </w:t>
      </w:r>
      <w:r>
        <w:rPr/>
        <w:t>quantities</w:t>
      </w:r>
      <w:r>
        <w:rPr>
          <w:spacing w:val="-15"/>
        </w:rPr>
        <w:t> </w:t>
      </w:r>
      <w:r>
        <w:rPr/>
        <w:t>and</w:t>
      </w:r>
      <w:r>
        <w:rPr>
          <w:spacing w:val="-15"/>
        </w:rPr>
        <w:t> </w:t>
      </w:r>
      <w:r>
        <w:rPr/>
        <w:t>prices,</w:t>
      </w:r>
      <w:r>
        <w:rPr>
          <w:spacing w:val="-15"/>
        </w:rPr>
        <w:t> </w:t>
      </w:r>
      <w:r>
        <w:rPr/>
        <w:t>in</w:t>
      </w:r>
      <w:r>
        <w:rPr>
          <w:spacing w:val="-15"/>
        </w:rPr>
        <w:t> </w:t>
      </w:r>
      <w:r>
        <w:rPr/>
        <w:t>a</w:t>
      </w:r>
      <w:r>
        <w:rPr>
          <w:spacing w:val="-15"/>
        </w:rPr>
        <w:t> </w:t>
      </w:r>
      <w:r>
        <w:rPr/>
        <w:t>way</w:t>
      </w:r>
      <w:r>
        <w:rPr>
          <w:spacing w:val="-15"/>
        </w:rPr>
        <w:t> </w:t>
      </w:r>
      <w:r>
        <w:rPr/>
        <w:t>that</w:t>
      </w:r>
      <w:r>
        <w:rPr>
          <w:spacing w:val="-15"/>
        </w:rPr>
        <w:t> </w:t>
      </w:r>
      <w:r>
        <w:rPr/>
        <w:t>rents</w:t>
      </w:r>
      <w:r>
        <w:rPr>
          <w:spacing w:val="-15"/>
        </w:rPr>
        <w:t> </w:t>
      </w:r>
      <w:r>
        <w:rPr/>
        <w:t>for</w:t>
      </w:r>
      <w:r>
        <w:rPr>
          <w:spacing w:val="-15"/>
        </w:rPr>
        <w:t> </w:t>
      </w:r>
      <w:r>
        <w:rPr/>
        <w:t>identical</w:t>
      </w:r>
      <w:r>
        <w:rPr>
          <w:spacing w:val="-15"/>
        </w:rPr>
        <w:t> </w:t>
      </w:r>
      <w:r>
        <w:rPr/>
        <w:t>houses or different houses in different geographical locations can be forecast and compared. In other</w:t>
      </w:r>
      <w:r>
        <w:rPr>
          <w:spacing w:val="-9"/>
        </w:rPr>
        <w:t> </w:t>
      </w:r>
      <w:r>
        <w:rPr/>
        <w:t>words,</w:t>
      </w:r>
      <w:r>
        <w:rPr>
          <w:spacing w:val="-8"/>
        </w:rPr>
        <w:t> </w:t>
      </w:r>
      <w:r>
        <w:rPr/>
        <w:t>a</w:t>
      </w:r>
      <w:r>
        <w:rPr>
          <w:spacing w:val="-9"/>
        </w:rPr>
        <w:t> </w:t>
      </w:r>
      <w:r>
        <w:rPr/>
        <w:t>hedonic</w:t>
      </w:r>
      <w:r>
        <w:rPr>
          <w:spacing w:val="-9"/>
        </w:rPr>
        <w:t> </w:t>
      </w:r>
      <w:r>
        <w:rPr/>
        <w:t>equation</w:t>
      </w:r>
      <w:r>
        <w:rPr>
          <w:spacing w:val="-8"/>
        </w:rPr>
        <w:t> </w:t>
      </w:r>
      <w:r>
        <w:rPr/>
        <w:t>is</w:t>
      </w:r>
      <w:r>
        <w:rPr>
          <w:spacing w:val="-8"/>
        </w:rPr>
        <w:t> </w:t>
      </w:r>
      <w:r>
        <w:rPr/>
        <w:t>a</w:t>
      </w:r>
      <w:r>
        <w:rPr>
          <w:spacing w:val="-9"/>
        </w:rPr>
        <w:t> </w:t>
      </w:r>
      <w:r>
        <w:rPr/>
        <w:t>regression</w:t>
      </w:r>
      <w:r>
        <w:rPr>
          <w:spacing w:val="-7"/>
        </w:rPr>
        <w:t> </w:t>
      </w:r>
      <w:r>
        <w:rPr/>
        <w:t>rents</w:t>
      </w:r>
      <w:r>
        <w:rPr>
          <w:spacing w:val="-8"/>
        </w:rPr>
        <w:t> </w:t>
      </w:r>
      <w:r>
        <w:rPr/>
        <w:t>or</w:t>
      </w:r>
      <w:r>
        <w:rPr>
          <w:spacing w:val="-9"/>
        </w:rPr>
        <w:t> </w:t>
      </w:r>
      <w:r>
        <w:rPr/>
        <w:t>values</w:t>
      </w:r>
      <w:r>
        <w:rPr>
          <w:spacing w:val="-8"/>
        </w:rPr>
        <w:t> </w:t>
      </w:r>
      <w:r>
        <w:rPr/>
        <w:t>on</w:t>
      </w:r>
      <w:r>
        <w:rPr>
          <w:spacing w:val="-8"/>
        </w:rPr>
        <w:t> </w:t>
      </w:r>
      <w:r>
        <w:rPr/>
        <w:t>housing</w:t>
      </w:r>
      <w:r>
        <w:rPr>
          <w:spacing w:val="-11"/>
        </w:rPr>
        <w:t> </w:t>
      </w:r>
      <w:r>
        <w:rPr/>
        <w:t>characteristics. The independent variables signifies the specific characteristics of the house, and the coefficients</w:t>
      </w:r>
      <w:r>
        <w:rPr>
          <w:spacing w:val="-3"/>
        </w:rPr>
        <w:t> </w:t>
      </w:r>
      <w:r>
        <w:rPr/>
        <w:t>of</w:t>
      </w:r>
      <w:r>
        <w:rPr>
          <w:spacing w:val="-3"/>
        </w:rPr>
        <w:t> </w:t>
      </w:r>
      <w:r>
        <w:rPr/>
        <w:t>the</w:t>
      </w:r>
      <w:r>
        <w:rPr>
          <w:spacing w:val="-4"/>
        </w:rPr>
        <w:t> </w:t>
      </w:r>
      <w:r>
        <w:rPr/>
        <w:t>regression</w:t>
      </w:r>
      <w:r>
        <w:rPr>
          <w:spacing w:val="-3"/>
        </w:rPr>
        <w:t> </w:t>
      </w:r>
      <w:r>
        <w:rPr/>
        <w:t>model</w:t>
      </w:r>
      <w:r>
        <w:rPr>
          <w:spacing w:val="-3"/>
        </w:rPr>
        <w:t> </w:t>
      </w:r>
      <w:r>
        <w:rPr/>
        <w:t>may</w:t>
      </w:r>
      <w:r>
        <w:rPr>
          <w:spacing w:val="-8"/>
        </w:rPr>
        <w:t> </w:t>
      </w:r>
      <w:r>
        <w:rPr/>
        <w:t>be</w:t>
      </w:r>
      <w:r>
        <w:rPr>
          <w:spacing w:val="-4"/>
        </w:rPr>
        <w:t> </w:t>
      </w:r>
      <w:r>
        <w:rPr/>
        <w:t>transformed</w:t>
      </w:r>
      <w:r>
        <w:rPr>
          <w:spacing w:val="-3"/>
        </w:rPr>
        <w:t> </w:t>
      </w:r>
      <w:r>
        <w:rPr/>
        <w:t>into</w:t>
      </w:r>
      <w:r>
        <w:rPr>
          <w:spacing w:val="-3"/>
        </w:rPr>
        <w:t> </w:t>
      </w:r>
      <w:r>
        <w:rPr/>
        <w:t>the</w:t>
      </w:r>
      <w:r>
        <w:rPr>
          <w:spacing w:val="-3"/>
        </w:rPr>
        <w:t> </w:t>
      </w:r>
      <w:r>
        <w:rPr/>
        <w:t>implicit price</w:t>
      </w:r>
      <w:r>
        <w:rPr>
          <w:spacing w:val="-4"/>
        </w:rPr>
        <w:t> </w:t>
      </w:r>
      <w:r>
        <w:rPr/>
        <w:t>estimates of these characteristics (Malpezzi, 2002).</w:t>
      </w:r>
    </w:p>
    <w:p>
      <w:pPr>
        <w:pStyle w:val="BodyText"/>
        <w:spacing w:line="480" w:lineRule="auto" w:before="244"/>
        <w:ind w:left="305" w:right="515"/>
      </w:pPr>
      <w:r>
        <w:rPr/>
        <w:t>Helbich </w:t>
      </w:r>
      <w:r>
        <w:rPr>
          <w:i/>
        </w:rPr>
        <w:t>et al</w:t>
      </w:r>
      <w:r>
        <w:rPr/>
        <w:t>. (2014) argued that a hedonic price function </w:t>
      </w:r>
      <w:r>
        <w:rPr>
          <w:rFonts w:ascii="Cambria Math" w:eastAsia="Cambria Math"/>
        </w:rPr>
        <w:t>𝑓 </w:t>
      </w:r>
      <w:r>
        <w:rPr/>
        <w:t>describes the functional relationship</w:t>
      </w:r>
      <w:r>
        <w:rPr>
          <w:spacing w:val="62"/>
          <w:w w:val="150"/>
        </w:rPr>
        <w:t> </w:t>
      </w:r>
      <w:r>
        <w:rPr/>
        <w:t>between</w:t>
      </w:r>
      <w:r>
        <w:rPr>
          <w:spacing w:val="64"/>
          <w:w w:val="150"/>
        </w:rPr>
        <w:t> </w:t>
      </w:r>
      <w:r>
        <w:rPr/>
        <w:t>the</w:t>
      </w:r>
      <w:r>
        <w:rPr>
          <w:spacing w:val="61"/>
          <w:w w:val="150"/>
        </w:rPr>
        <w:t> </w:t>
      </w:r>
      <w:r>
        <w:rPr/>
        <w:t>housing</w:t>
      </w:r>
      <w:r>
        <w:rPr>
          <w:spacing w:val="59"/>
          <w:w w:val="150"/>
        </w:rPr>
        <w:t> </w:t>
      </w:r>
      <w:r>
        <w:rPr/>
        <w:t>price</w:t>
      </w:r>
      <w:r>
        <w:rPr>
          <w:spacing w:val="65"/>
          <w:w w:val="150"/>
        </w:rPr>
        <w:t> </w:t>
      </w:r>
      <w:r>
        <w:rPr>
          <w:rFonts w:ascii="Cambria Math" w:eastAsia="Cambria Math"/>
        </w:rPr>
        <w:t>𝑃</w:t>
      </w:r>
      <w:r>
        <w:rPr>
          <w:rFonts w:ascii="Cambria Math" w:eastAsia="Cambria Math"/>
          <w:spacing w:val="74"/>
          <w:w w:val="150"/>
        </w:rPr>
        <w:t> </w:t>
      </w:r>
      <w:r>
        <w:rPr/>
        <w:t>and</w:t>
      </w:r>
      <w:r>
        <w:rPr>
          <w:spacing w:val="63"/>
          <w:w w:val="150"/>
        </w:rPr>
        <w:t> </w:t>
      </w:r>
      <w:r>
        <w:rPr/>
        <w:t>associated</w:t>
      </w:r>
      <w:r>
        <w:rPr>
          <w:spacing w:val="61"/>
          <w:w w:val="150"/>
        </w:rPr>
        <w:t> </w:t>
      </w:r>
      <w:r>
        <w:rPr/>
        <w:t>physical</w:t>
      </w:r>
      <w:r>
        <w:rPr>
          <w:spacing w:val="65"/>
          <w:w w:val="150"/>
        </w:rPr>
        <w:t> </w:t>
      </w:r>
      <w:r>
        <w:rPr>
          <w:spacing w:val="-2"/>
        </w:rPr>
        <w:t>characteristics</w:t>
      </w:r>
    </w:p>
    <w:p>
      <w:pPr>
        <w:pStyle w:val="BodyText"/>
        <w:spacing w:line="144" w:lineRule="exact" w:before="18"/>
        <w:ind w:left="305"/>
      </w:pPr>
      <w:r>
        <w:rPr>
          <w:rFonts w:ascii="Cambria Math" w:hAnsi="Cambria Math" w:eastAsia="Cambria Math"/>
        </w:rPr>
        <w:t>𝑥</w:t>
      </w:r>
      <w:r>
        <w:rPr>
          <w:rFonts w:ascii="Cambria Math" w:hAnsi="Cambria Math" w:eastAsia="Cambria Math"/>
          <w:vertAlign w:val="superscript"/>
        </w:rPr>
        <w:t>𝑝</w:t>
      </w:r>
      <w:r>
        <w:rPr>
          <w:rFonts w:ascii="Cambria Math" w:hAnsi="Cambria Math" w:eastAsia="Cambria Math"/>
          <w:vertAlign w:val="baseline"/>
        </w:rPr>
        <w:t>,</w:t>
      </w:r>
      <w:r>
        <w:rPr>
          <w:rFonts w:ascii="Cambria Math" w:hAnsi="Cambria Math" w:eastAsia="Cambria Math"/>
          <w:spacing w:val="-10"/>
          <w:vertAlign w:val="baseline"/>
        </w:rPr>
        <w:t> </w:t>
      </w:r>
      <w:r>
        <w:rPr>
          <w:rFonts w:ascii="Cambria Math" w:hAnsi="Cambria Math" w:eastAsia="Cambria Math"/>
          <w:vertAlign w:val="baseline"/>
        </w:rPr>
        <w:t>.</w:t>
      </w:r>
      <w:r>
        <w:rPr>
          <w:rFonts w:ascii="Cambria Math" w:hAnsi="Cambria Math" w:eastAsia="Cambria Math"/>
          <w:spacing w:val="-6"/>
          <w:vertAlign w:val="baseline"/>
        </w:rPr>
        <w:t> </w:t>
      </w:r>
      <w:r>
        <w:rPr>
          <w:rFonts w:ascii="Cambria Math" w:hAnsi="Cambria Math" w:eastAsia="Cambria Math"/>
          <w:vertAlign w:val="baseline"/>
        </w:rPr>
        <w:t>..</w:t>
      </w:r>
      <w:r>
        <w:rPr>
          <w:rFonts w:ascii="Cambria Math" w:hAnsi="Cambria Math" w:eastAsia="Cambria Math"/>
          <w:spacing w:val="60"/>
          <w:w w:val="150"/>
          <w:vertAlign w:val="baseline"/>
        </w:rPr>
        <w:t> </w:t>
      </w:r>
      <w:r>
        <w:rPr>
          <w:rFonts w:ascii="Cambria Math" w:hAnsi="Cambria Math" w:eastAsia="Cambria Math"/>
          <w:vertAlign w:val="baseline"/>
        </w:rPr>
        <w:t>,</w:t>
      </w:r>
      <w:r>
        <w:rPr>
          <w:rFonts w:ascii="Cambria Math" w:hAnsi="Cambria Math" w:eastAsia="Cambria Math"/>
          <w:spacing w:val="-6"/>
          <w:vertAlign w:val="baseline"/>
        </w:rPr>
        <w:t> </w:t>
      </w:r>
      <w:r>
        <w:rPr>
          <w:rFonts w:ascii="Cambria Math" w:hAnsi="Cambria Math" w:eastAsia="Cambria Math"/>
          <w:vertAlign w:val="baseline"/>
        </w:rPr>
        <w:t>𝑥</w:t>
      </w:r>
      <w:r>
        <w:rPr>
          <w:rFonts w:ascii="Cambria Math" w:hAnsi="Cambria Math" w:eastAsia="Cambria Math"/>
          <w:vertAlign w:val="superscript"/>
        </w:rPr>
        <w:t>𝑝</w:t>
      </w:r>
      <w:r>
        <w:rPr>
          <w:rFonts w:ascii="Cambria Math" w:hAnsi="Cambria Math" w:eastAsia="Cambria Math"/>
          <w:spacing w:val="62"/>
          <w:vertAlign w:val="baseline"/>
        </w:rPr>
        <w:t> </w:t>
      </w:r>
      <w:r>
        <w:rPr>
          <w:vertAlign w:val="baseline"/>
        </w:rPr>
        <w:t>as</w:t>
      </w:r>
      <w:r>
        <w:rPr>
          <w:spacing w:val="41"/>
          <w:vertAlign w:val="baseline"/>
        </w:rPr>
        <w:t> </w:t>
      </w:r>
      <w:r>
        <w:rPr>
          <w:vertAlign w:val="baseline"/>
        </w:rPr>
        <w:t>well</w:t>
      </w:r>
      <w:r>
        <w:rPr>
          <w:spacing w:val="42"/>
          <w:vertAlign w:val="baseline"/>
        </w:rPr>
        <w:t> </w:t>
      </w:r>
      <w:r>
        <w:rPr>
          <w:vertAlign w:val="baseline"/>
        </w:rPr>
        <w:t>as</w:t>
      </w:r>
      <w:r>
        <w:rPr>
          <w:spacing w:val="41"/>
          <w:vertAlign w:val="baseline"/>
        </w:rPr>
        <w:t> </w:t>
      </w:r>
      <w:r>
        <w:rPr>
          <w:vertAlign w:val="baseline"/>
        </w:rPr>
        <w:t>neighborhood</w:t>
      </w:r>
      <w:r>
        <w:rPr>
          <w:spacing w:val="41"/>
          <w:vertAlign w:val="baseline"/>
        </w:rPr>
        <w:t> </w:t>
      </w:r>
      <w:r>
        <w:rPr>
          <w:vertAlign w:val="baseline"/>
        </w:rPr>
        <w:t>characteristics</w:t>
      </w:r>
      <w:r>
        <w:rPr>
          <w:spacing w:val="62"/>
          <w:vertAlign w:val="baseline"/>
        </w:rPr>
        <w:t> </w:t>
      </w:r>
      <w:r>
        <w:rPr>
          <w:rFonts w:ascii="Cambria Math" w:hAnsi="Cambria Math" w:eastAsia="Cambria Math"/>
          <w:vertAlign w:val="baseline"/>
        </w:rPr>
        <w:t>𝑥</w:t>
      </w:r>
      <w:r>
        <w:rPr>
          <w:rFonts w:ascii="Cambria Math" w:hAnsi="Cambria Math" w:eastAsia="Cambria Math"/>
          <w:vertAlign w:val="superscript"/>
        </w:rPr>
        <w:t>𝑛</w:t>
      </w:r>
      <w:r>
        <w:rPr>
          <w:rFonts w:ascii="Cambria Math" w:hAnsi="Cambria Math" w:eastAsia="Cambria Math"/>
          <w:vertAlign w:val="baseline"/>
        </w:rPr>
        <w:t>,</w:t>
      </w:r>
      <w:r>
        <w:rPr>
          <w:rFonts w:ascii="Cambria Math" w:hAnsi="Cambria Math" w:eastAsia="Cambria Math"/>
          <w:spacing w:val="-9"/>
          <w:vertAlign w:val="baseline"/>
        </w:rPr>
        <w:t> </w:t>
      </w:r>
      <w:r>
        <w:rPr>
          <w:rFonts w:ascii="Cambria Math" w:hAnsi="Cambria Math" w:eastAsia="Cambria Math"/>
          <w:vertAlign w:val="baseline"/>
        </w:rPr>
        <w:t>…</w:t>
      </w:r>
      <w:r>
        <w:rPr>
          <w:rFonts w:ascii="Cambria Math" w:hAnsi="Cambria Math" w:eastAsia="Cambria Math"/>
          <w:spacing w:val="-7"/>
          <w:vertAlign w:val="baseline"/>
        </w:rPr>
        <w:t> </w:t>
      </w:r>
      <w:r>
        <w:rPr>
          <w:rFonts w:ascii="Cambria Math" w:hAnsi="Cambria Math" w:eastAsia="Cambria Math"/>
          <w:vertAlign w:val="baseline"/>
        </w:rPr>
        <w:t>,</w:t>
      </w:r>
      <w:r>
        <w:rPr>
          <w:rFonts w:ascii="Cambria Math" w:hAnsi="Cambria Math" w:eastAsia="Cambria Math"/>
          <w:spacing w:val="-10"/>
          <w:vertAlign w:val="baseline"/>
        </w:rPr>
        <w:t> </w:t>
      </w:r>
      <w:r>
        <w:rPr>
          <w:rFonts w:ascii="Cambria Math" w:hAnsi="Cambria Math" w:eastAsia="Cambria Math"/>
          <w:vertAlign w:val="baseline"/>
        </w:rPr>
        <w:t>𝑥</w:t>
      </w:r>
      <w:r>
        <w:rPr>
          <w:rFonts w:ascii="Cambria Math" w:hAnsi="Cambria Math" w:eastAsia="Cambria Math"/>
          <w:vertAlign w:val="superscript"/>
        </w:rPr>
        <w:t>𝑛</w:t>
      </w:r>
      <w:r>
        <w:rPr>
          <w:rFonts w:ascii="Cambria Math" w:hAnsi="Cambria Math" w:eastAsia="Cambria Math"/>
          <w:spacing w:val="-1"/>
          <w:vertAlign w:val="baseline"/>
        </w:rPr>
        <w:t> </w:t>
      </w:r>
      <w:r>
        <w:rPr>
          <w:vertAlign w:val="baseline"/>
        </w:rPr>
        <w:t>.</w:t>
      </w:r>
      <w:r>
        <w:rPr>
          <w:spacing w:val="42"/>
          <w:vertAlign w:val="baseline"/>
        </w:rPr>
        <w:t> </w:t>
      </w:r>
      <w:r>
        <w:rPr>
          <w:vertAlign w:val="baseline"/>
        </w:rPr>
        <w:t>The</w:t>
      </w:r>
      <w:r>
        <w:rPr>
          <w:spacing w:val="42"/>
          <w:vertAlign w:val="baseline"/>
        </w:rPr>
        <w:t> </w:t>
      </w:r>
      <w:r>
        <w:rPr>
          <w:vertAlign w:val="baseline"/>
        </w:rPr>
        <w:t>former</w:t>
      </w:r>
      <w:r>
        <w:rPr>
          <w:spacing w:val="40"/>
          <w:vertAlign w:val="baseline"/>
        </w:rPr>
        <w:t> </w:t>
      </w:r>
      <w:r>
        <w:rPr>
          <w:vertAlign w:val="baseline"/>
        </w:rPr>
        <w:t>depicts</w:t>
      </w:r>
      <w:r>
        <w:rPr>
          <w:spacing w:val="41"/>
          <w:vertAlign w:val="baseline"/>
        </w:rPr>
        <w:t> </w:t>
      </w:r>
      <w:r>
        <w:rPr>
          <w:spacing w:val="-5"/>
          <w:vertAlign w:val="baseline"/>
        </w:rPr>
        <w:t>the</w:t>
      </w:r>
    </w:p>
    <w:p>
      <w:pPr>
        <w:tabs>
          <w:tab w:pos="1202" w:val="left" w:leader="none"/>
          <w:tab w:pos="5542" w:val="left" w:leader="none"/>
          <w:tab w:pos="6210" w:val="left" w:leader="none"/>
        </w:tabs>
        <w:spacing w:line="190" w:lineRule="exact" w:before="0"/>
        <w:ind w:left="425" w:right="0" w:firstLine="0"/>
        <w:jc w:val="left"/>
        <w:rPr>
          <w:rFonts w:ascii="Cambria Math" w:eastAsia="Cambria Math"/>
          <w:sz w:val="17"/>
        </w:rPr>
      </w:pPr>
      <w:r>
        <w:rPr>
          <w:rFonts w:ascii="Cambria Math" w:eastAsia="Cambria Math"/>
          <w:spacing w:val="-10"/>
          <w:w w:val="110"/>
          <w:sz w:val="17"/>
        </w:rPr>
        <w:t>1</w:t>
      </w:r>
      <w:r>
        <w:rPr>
          <w:rFonts w:ascii="Cambria Math" w:eastAsia="Cambria Math"/>
          <w:sz w:val="17"/>
        </w:rPr>
        <w:tab/>
      </w:r>
      <w:r>
        <w:rPr>
          <w:rFonts w:ascii="Cambria Math" w:eastAsia="Cambria Math"/>
          <w:spacing w:val="-10"/>
          <w:w w:val="110"/>
          <w:position w:val="1"/>
          <w:sz w:val="17"/>
        </w:rPr>
        <w:t>𝑛</w:t>
      </w:r>
      <w:r>
        <w:rPr>
          <w:rFonts w:ascii="Cambria Math" w:eastAsia="Cambria Math"/>
          <w:position w:val="1"/>
          <w:sz w:val="17"/>
        </w:rPr>
        <w:tab/>
      </w:r>
      <w:r>
        <w:rPr>
          <w:rFonts w:ascii="Cambria Math" w:eastAsia="Cambria Math"/>
          <w:spacing w:val="-12"/>
          <w:w w:val="110"/>
          <w:position w:val="1"/>
          <w:sz w:val="17"/>
        </w:rPr>
        <w:t>1</w:t>
      </w:r>
      <w:r>
        <w:rPr>
          <w:rFonts w:ascii="Cambria Math" w:eastAsia="Cambria Math"/>
          <w:position w:val="1"/>
          <w:sz w:val="17"/>
        </w:rPr>
        <w:tab/>
      </w:r>
      <w:r>
        <w:rPr>
          <w:rFonts w:ascii="Cambria Math" w:eastAsia="Cambria Math"/>
          <w:spacing w:val="-10"/>
          <w:w w:val="110"/>
          <w:position w:val="2"/>
          <w:sz w:val="17"/>
        </w:rPr>
        <w:t>𝑚</w:t>
      </w:r>
    </w:p>
    <w:p>
      <w:pPr>
        <w:pStyle w:val="BodyText"/>
        <w:spacing w:line="482" w:lineRule="auto" w:before="237"/>
        <w:ind w:left="305" w:right="390"/>
        <w:jc w:val="left"/>
      </w:pPr>
      <w:r>
        <w:rPr/>
        <w:t>fabric</w:t>
      </w:r>
      <w:r>
        <w:rPr>
          <w:spacing w:val="-5"/>
        </w:rPr>
        <w:t> </w:t>
      </w:r>
      <w:r>
        <w:rPr/>
        <w:t>of</w:t>
      </w:r>
      <w:r>
        <w:rPr>
          <w:spacing w:val="-3"/>
        </w:rPr>
        <w:t> </w:t>
      </w:r>
      <w:r>
        <w:rPr/>
        <w:t>the</w:t>
      </w:r>
      <w:r>
        <w:rPr>
          <w:spacing w:val="-5"/>
        </w:rPr>
        <w:t> </w:t>
      </w:r>
      <w:r>
        <w:rPr/>
        <w:t>housing</w:t>
      </w:r>
      <w:r>
        <w:rPr>
          <w:spacing w:val="-6"/>
        </w:rPr>
        <w:t> </w:t>
      </w:r>
      <w:r>
        <w:rPr/>
        <w:t>(e.g.,</w:t>
      </w:r>
      <w:r>
        <w:rPr>
          <w:spacing w:val="-3"/>
        </w:rPr>
        <w:t> </w:t>
      </w:r>
      <w:r>
        <w:rPr/>
        <w:t>type</w:t>
      </w:r>
      <w:r>
        <w:rPr>
          <w:spacing w:val="-4"/>
        </w:rPr>
        <w:t> </w:t>
      </w:r>
      <w:r>
        <w:rPr/>
        <w:t>of</w:t>
      </w:r>
      <w:r>
        <w:rPr>
          <w:spacing w:val="-3"/>
        </w:rPr>
        <w:t> </w:t>
      </w:r>
      <w:r>
        <w:rPr/>
        <w:t>roof);</w:t>
      </w:r>
      <w:r>
        <w:rPr>
          <w:spacing w:val="-1"/>
        </w:rPr>
        <w:t> </w:t>
      </w:r>
      <w:r>
        <w:rPr/>
        <w:t>the</w:t>
      </w:r>
      <w:r>
        <w:rPr>
          <w:spacing w:val="-3"/>
        </w:rPr>
        <w:t> </w:t>
      </w:r>
      <w:r>
        <w:rPr/>
        <w:t>latter</w:t>
      </w:r>
      <w:r>
        <w:rPr>
          <w:spacing w:val="-2"/>
        </w:rPr>
        <w:t> </w:t>
      </w:r>
      <w:r>
        <w:rPr/>
        <w:t>defines</w:t>
      </w:r>
      <w:r>
        <w:rPr>
          <w:spacing w:val="-3"/>
        </w:rPr>
        <w:t> </w:t>
      </w:r>
      <w:r>
        <w:rPr/>
        <w:t>the</w:t>
      </w:r>
      <w:r>
        <w:rPr>
          <w:spacing w:val="-3"/>
        </w:rPr>
        <w:t> </w:t>
      </w:r>
      <w:r>
        <w:rPr/>
        <w:t>housing</w:t>
      </w:r>
      <w:r>
        <w:rPr>
          <w:spacing w:val="-5"/>
        </w:rPr>
        <w:t> </w:t>
      </w:r>
      <w:r>
        <w:rPr/>
        <w:t>surroundings</w:t>
      </w:r>
      <w:r>
        <w:rPr>
          <w:spacing w:val="-3"/>
        </w:rPr>
        <w:t> </w:t>
      </w:r>
      <w:r>
        <w:rPr/>
        <w:t>(e.g. accessibility).</w:t>
      </w:r>
      <w:r>
        <w:rPr>
          <w:spacing w:val="-2"/>
        </w:rPr>
        <w:t> </w:t>
      </w:r>
      <w:r>
        <w:rPr/>
        <w:t>Where:</w:t>
      </w:r>
      <w:r>
        <w:rPr>
          <w:spacing w:val="-1"/>
        </w:rPr>
        <w:t> </w:t>
      </w:r>
      <w:r>
        <w:rPr>
          <w:rFonts w:ascii="Cambria Math" w:eastAsia="Cambria Math"/>
        </w:rPr>
        <w:t>𝑓</w:t>
      </w:r>
      <w:r>
        <w:rPr>
          <w:rFonts w:ascii="Cambria Math" w:eastAsia="Cambria Math"/>
          <w:spacing w:val="-1"/>
        </w:rPr>
        <w:t> </w:t>
      </w:r>
      <w:r>
        <w:rPr/>
        <w:t>=</w:t>
      </w:r>
      <w:r>
        <w:rPr>
          <w:spacing w:val="-2"/>
        </w:rPr>
        <w:t> </w:t>
      </w:r>
      <w:r>
        <w:rPr/>
        <w:t>Hedonic</w:t>
      </w:r>
      <w:r>
        <w:rPr>
          <w:spacing w:val="-1"/>
        </w:rPr>
        <w:t> </w:t>
      </w:r>
      <w:r>
        <w:rPr/>
        <w:t>price</w:t>
      </w:r>
      <w:r>
        <w:rPr>
          <w:spacing w:val="-3"/>
        </w:rPr>
        <w:t> </w:t>
      </w:r>
      <w:r>
        <w:rPr/>
        <w:t>function,</w:t>
      </w:r>
      <w:r>
        <w:rPr>
          <w:spacing w:val="-1"/>
        </w:rPr>
        <w:t> </w:t>
      </w:r>
      <w:r>
        <w:rPr>
          <w:rFonts w:ascii="Cambria Math" w:eastAsia="Cambria Math"/>
        </w:rPr>
        <w:t>𝑃</w:t>
      </w:r>
      <w:r>
        <w:rPr>
          <w:rFonts w:ascii="Cambria Math" w:eastAsia="Cambria Math"/>
          <w:spacing w:val="-2"/>
        </w:rPr>
        <w:t> </w:t>
      </w:r>
      <w:r>
        <w:rPr/>
        <w:t>=</w:t>
      </w:r>
      <w:r>
        <w:rPr>
          <w:spacing w:val="-2"/>
        </w:rPr>
        <w:t> </w:t>
      </w:r>
      <w:r>
        <w:rPr/>
        <w:t>Housing</w:t>
      </w:r>
      <w:r>
        <w:rPr>
          <w:spacing w:val="-4"/>
        </w:rPr>
        <w:t> </w:t>
      </w:r>
      <w:r>
        <w:rPr/>
        <w:t>price,</w:t>
      </w:r>
      <w:r>
        <w:rPr>
          <w:spacing w:val="-1"/>
        </w:rPr>
        <w:t> </w:t>
      </w:r>
      <w:r>
        <w:rPr>
          <w:rFonts w:ascii="Cambria Math" w:eastAsia="Cambria Math"/>
        </w:rPr>
        <w:t>𝑥</w:t>
      </w:r>
      <w:r>
        <w:rPr>
          <w:rFonts w:ascii="Cambria Math" w:eastAsia="Cambria Math"/>
          <w:spacing w:val="12"/>
        </w:rPr>
        <w:t> </w:t>
      </w:r>
      <w:r>
        <w:rPr/>
        <w:t>=</w:t>
      </w:r>
      <w:r>
        <w:rPr>
          <w:spacing w:val="-1"/>
        </w:rPr>
        <w:t> </w:t>
      </w:r>
      <w:r>
        <w:rPr>
          <w:spacing w:val="-2"/>
        </w:rPr>
        <w:t>Characteristic,</w:t>
      </w:r>
    </w:p>
    <w:p>
      <w:pPr>
        <w:pStyle w:val="BodyText"/>
        <w:spacing w:line="278" w:lineRule="exact"/>
        <w:ind w:left="305"/>
        <w:jc w:val="left"/>
      </w:pPr>
      <w:r>
        <w:rPr>
          <w:rFonts w:ascii="Cambria Math" w:eastAsia="Cambria Math"/>
        </w:rPr>
        <w:t>𝑝</w:t>
      </w:r>
      <w:r>
        <w:rPr>
          <w:rFonts w:ascii="Cambria Math" w:eastAsia="Cambria Math"/>
          <w:spacing w:val="9"/>
        </w:rPr>
        <w:t> </w:t>
      </w:r>
      <w:r>
        <w:rPr/>
        <w:t>=</w:t>
      </w:r>
      <w:r>
        <w:rPr>
          <w:spacing w:val="-2"/>
        </w:rPr>
        <w:t> </w:t>
      </w:r>
      <w:r>
        <w:rPr/>
        <w:t>Physical</w:t>
      </w:r>
      <w:r>
        <w:rPr>
          <w:spacing w:val="1"/>
        </w:rPr>
        <w:t> </w:t>
      </w:r>
      <w:r>
        <w:rPr/>
        <w:t>and</w:t>
      </w:r>
      <w:r>
        <w:rPr>
          <w:spacing w:val="1"/>
        </w:rPr>
        <w:t> </w:t>
      </w:r>
      <w:r>
        <w:rPr>
          <w:rFonts w:ascii="Cambria Math" w:eastAsia="Cambria Math"/>
        </w:rPr>
        <w:t>𝑛</w:t>
      </w:r>
      <w:r>
        <w:rPr>
          <w:rFonts w:ascii="Cambria Math" w:eastAsia="Cambria Math"/>
          <w:spacing w:val="10"/>
        </w:rPr>
        <w:t> </w:t>
      </w:r>
      <w:r>
        <w:rPr/>
        <w:t>=</w:t>
      </w:r>
      <w:r>
        <w:rPr>
          <w:spacing w:val="-1"/>
        </w:rPr>
        <w:t> </w:t>
      </w:r>
      <w:r>
        <w:rPr>
          <w:spacing w:val="-2"/>
        </w:rPr>
        <w:t>Neighbourhood</w:t>
      </w:r>
    </w:p>
    <w:p>
      <w:pPr>
        <w:spacing w:after="0" w:line="278" w:lineRule="exact"/>
        <w:jc w:val="left"/>
        <w:sectPr>
          <w:pgSz w:w="11910" w:h="16840"/>
          <w:pgMar w:header="0" w:footer="1022" w:top="1320" w:bottom="1220" w:left="1680" w:right="900"/>
        </w:sectPr>
      </w:pPr>
    </w:p>
    <w:p>
      <w:pPr>
        <w:pStyle w:val="Heading1"/>
        <w:numPr>
          <w:ilvl w:val="3"/>
          <w:numId w:val="5"/>
        </w:numPr>
        <w:tabs>
          <w:tab w:pos="1024" w:val="left" w:leader="none"/>
        </w:tabs>
        <w:spacing w:line="240" w:lineRule="auto" w:before="79" w:after="0"/>
        <w:ind w:left="1024" w:right="0" w:hanging="719"/>
        <w:jc w:val="left"/>
      </w:pPr>
      <w:r>
        <w:rPr/>
        <w:t>Hedonic</w:t>
      </w:r>
      <w:r>
        <w:rPr>
          <w:spacing w:val="-2"/>
        </w:rPr>
        <w:t> </w:t>
      </w:r>
      <w:r>
        <w:rPr/>
        <w:t>price</w:t>
      </w:r>
      <w:r>
        <w:rPr>
          <w:spacing w:val="-4"/>
        </w:rPr>
        <w:t> </w:t>
      </w:r>
      <w:r>
        <w:rPr/>
        <w:t>model</w:t>
      </w:r>
      <w:r>
        <w:rPr>
          <w:spacing w:val="1"/>
        </w:rPr>
        <w:t> </w:t>
      </w:r>
      <w:r>
        <w:rPr>
          <w:spacing w:val="-2"/>
        </w:rPr>
        <w:t>criticism</w:t>
      </w:r>
    </w:p>
    <w:p>
      <w:pPr>
        <w:pStyle w:val="BodyText"/>
        <w:spacing w:before="192"/>
        <w:jc w:val="left"/>
        <w:rPr>
          <w:b/>
        </w:rPr>
      </w:pPr>
    </w:p>
    <w:p>
      <w:pPr>
        <w:pStyle w:val="BodyText"/>
        <w:spacing w:line="480" w:lineRule="auto"/>
        <w:ind w:left="305" w:right="514"/>
      </w:pPr>
      <w:r>
        <w:rPr/>
        <w:t>Hedonic house price models has traditionally been problematic an criticised by earlier studies (Hu </w:t>
      </w:r>
      <w:r>
        <w:rPr>
          <w:i/>
        </w:rPr>
        <w:t>et al</w:t>
      </w:r>
      <w:r>
        <w:rPr/>
        <w:t>., 2013; Limsombunc </w:t>
      </w:r>
      <w:r>
        <w:rPr>
          <w:i/>
        </w:rPr>
        <w:t>et al.</w:t>
      </w:r>
      <w:r>
        <w:rPr/>
        <w:t>, 2004; Xiao </w:t>
      </w:r>
      <w:r>
        <w:rPr>
          <w:i/>
        </w:rPr>
        <w:t>et al.</w:t>
      </w:r>
      <w:r>
        <w:rPr/>
        <w:t>, 2016). Hedonic price models have problem of estimation (Meese &amp; Wallace, 1991). Hedonic house price criticism</w:t>
      </w:r>
      <w:r>
        <w:rPr>
          <w:spacing w:val="-8"/>
        </w:rPr>
        <w:t> </w:t>
      </w:r>
      <w:r>
        <w:rPr/>
        <w:t>include</w:t>
      </w:r>
      <w:r>
        <w:rPr>
          <w:spacing w:val="-9"/>
        </w:rPr>
        <w:t> </w:t>
      </w:r>
      <w:r>
        <w:rPr/>
        <w:t>its</w:t>
      </w:r>
      <w:r>
        <w:rPr>
          <w:spacing w:val="-8"/>
        </w:rPr>
        <w:t> </w:t>
      </w:r>
      <w:r>
        <w:rPr/>
        <w:t>lack</w:t>
      </w:r>
      <w:r>
        <w:rPr>
          <w:spacing w:val="-11"/>
        </w:rPr>
        <w:t> </w:t>
      </w:r>
      <w:r>
        <w:rPr/>
        <w:t>of</w:t>
      </w:r>
      <w:r>
        <w:rPr>
          <w:spacing w:val="-9"/>
        </w:rPr>
        <w:t> </w:t>
      </w:r>
      <w:r>
        <w:rPr/>
        <w:t>specificity</w:t>
      </w:r>
      <w:r>
        <w:rPr>
          <w:spacing w:val="-15"/>
        </w:rPr>
        <w:t> </w:t>
      </w:r>
      <w:r>
        <w:rPr/>
        <w:t>on</w:t>
      </w:r>
      <w:r>
        <w:rPr>
          <w:spacing w:val="-8"/>
        </w:rPr>
        <w:t> </w:t>
      </w:r>
      <w:r>
        <w:rPr/>
        <w:t>the</w:t>
      </w:r>
      <w:r>
        <w:rPr>
          <w:spacing w:val="-9"/>
        </w:rPr>
        <w:t> </w:t>
      </w:r>
      <w:r>
        <w:rPr/>
        <w:t>number</w:t>
      </w:r>
      <w:r>
        <w:rPr>
          <w:spacing w:val="-9"/>
        </w:rPr>
        <w:t> </w:t>
      </w:r>
      <w:r>
        <w:rPr/>
        <w:t>of</w:t>
      </w:r>
      <w:r>
        <w:rPr>
          <w:spacing w:val="-9"/>
        </w:rPr>
        <w:t> </w:t>
      </w:r>
      <w:r>
        <w:rPr/>
        <w:t>characteristic</w:t>
      </w:r>
      <w:r>
        <w:rPr>
          <w:spacing w:val="-9"/>
        </w:rPr>
        <w:t> </w:t>
      </w:r>
      <w:r>
        <w:rPr/>
        <w:t>features</w:t>
      </w:r>
      <w:r>
        <w:rPr>
          <w:spacing w:val="-3"/>
        </w:rPr>
        <w:t> </w:t>
      </w:r>
      <w:r>
        <w:rPr/>
        <w:t>(Oladunni </w:t>
      </w:r>
      <w:r>
        <w:rPr>
          <w:i/>
        </w:rPr>
        <w:t>et al.</w:t>
      </w:r>
      <w:r>
        <w:rPr/>
        <w:t>, 2017). The model assumed observed equilibrium prices. However, in the housing market where adjustment cost can be large, the notion of observed prices being equilibrium becomes unrealistic (Sopranzetti, 2015).</w:t>
      </w:r>
    </w:p>
    <w:p>
      <w:pPr>
        <w:pStyle w:val="BodyText"/>
        <w:spacing w:line="480" w:lineRule="auto" w:before="241"/>
        <w:ind w:left="305" w:right="511"/>
      </w:pPr>
      <w:r>
        <w:rPr/>
        <w:t>Xiao (2017a) opined that hedonic function brought about a marginal price that does not measure individual household with willingness to pay for certain characteristics of a housing unit. Relatively, it can be said to be the valuation of an outcome of the demand and supply interactions in the whole housing market. Also, that the underlying demand factors for the specific household are revealed by the hedonic equation. For example, in a situation where households have similar homogenous socioeconomic and income characteristics and the supply</w:t>
      </w:r>
      <w:r>
        <w:rPr>
          <w:spacing w:val="-5"/>
        </w:rPr>
        <w:t> </w:t>
      </w:r>
      <w:r>
        <w:rPr/>
        <w:t>differs, marginal willingness to pay</w:t>
      </w:r>
      <w:r>
        <w:rPr>
          <w:spacing w:val="-4"/>
        </w:rPr>
        <w:t> </w:t>
      </w:r>
      <w:r>
        <w:rPr/>
        <w:t>will be the coefficient of</w:t>
      </w:r>
      <w:r>
        <w:rPr>
          <w:spacing w:val="-15"/>
        </w:rPr>
        <w:t> </w:t>
      </w:r>
      <w:r>
        <w:rPr/>
        <w:t>the</w:t>
      </w:r>
      <w:r>
        <w:rPr>
          <w:spacing w:val="-15"/>
        </w:rPr>
        <w:t> </w:t>
      </w:r>
      <w:r>
        <w:rPr/>
        <w:t>hedonic</w:t>
      </w:r>
      <w:r>
        <w:rPr>
          <w:spacing w:val="-15"/>
        </w:rPr>
        <w:t> </w:t>
      </w:r>
      <w:r>
        <w:rPr/>
        <w:t>model</w:t>
      </w:r>
      <w:r>
        <w:rPr>
          <w:spacing w:val="-15"/>
        </w:rPr>
        <w:t> </w:t>
      </w:r>
      <w:r>
        <w:rPr/>
        <w:t>(Xiao,</w:t>
      </w:r>
      <w:r>
        <w:rPr>
          <w:spacing w:val="-15"/>
        </w:rPr>
        <w:t> </w:t>
      </w:r>
      <w:r>
        <w:rPr/>
        <w:t>2012).</w:t>
      </w:r>
      <w:r>
        <w:rPr>
          <w:spacing w:val="-15"/>
        </w:rPr>
        <w:t> </w:t>
      </w:r>
      <w:r>
        <w:rPr>
          <w:color w:val="111111"/>
        </w:rPr>
        <w:t>Xiao</w:t>
      </w:r>
      <w:r>
        <w:rPr>
          <w:color w:val="111111"/>
          <w:spacing w:val="-15"/>
        </w:rPr>
        <w:t> </w:t>
      </w:r>
      <w:r>
        <w:rPr>
          <w:color w:val="111111"/>
        </w:rPr>
        <w:t>continued</w:t>
      </w:r>
      <w:r>
        <w:rPr>
          <w:color w:val="111111"/>
          <w:spacing w:val="-15"/>
        </w:rPr>
        <w:t> </w:t>
      </w:r>
      <w:r>
        <w:rPr>
          <w:color w:val="111111"/>
        </w:rPr>
        <w:t>with</w:t>
      </w:r>
      <w:r>
        <w:rPr>
          <w:color w:val="111111"/>
          <w:spacing w:val="-15"/>
        </w:rPr>
        <w:t> </w:t>
      </w:r>
      <w:r>
        <w:rPr>
          <w:color w:val="111111"/>
        </w:rPr>
        <w:t>his</w:t>
      </w:r>
      <w:r>
        <w:rPr>
          <w:color w:val="111111"/>
          <w:spacing w:val="-15"/>
        </w:rPr>
        <w:t> </w:t>
      </w:r>
      <w:r>
        <w:rPr>
          <w:color w:val="111111"/>
        </w:rPr>
        <w:t>argument</w:t>
      </w:r>
      <w:r>
        <w:rPr>
          <w:color w:val="111111"/>
          <w:spacing w:val="-15"/>
        </w:rPr>
        <w:t> </w:t>
      </w:r>
      <w:r>
        <w:rPr>
          <w:color w:val="111111"/>
        </w:rPr>
        <w:t>that</w:t>
      </w:r>
      <w:r>
        <w:rPr>
          <w:color w:val="111111"/>
          <w:spacing w:val="-15"/>
        </w:rPr>
        <w:t> </w:t>
      </w:r>
      <w:r>
        <w:rPr>
          <w:color w:val="111111"/>
        </w:rPr>
        <w:t>housing</w:t>
      </w:r>
      <w:r>
        <w:rPr>
          <w:color w:val="111111"/>
          <w:spacing w:val="-15"/>
        </w:rPr>
        <w:t> </w:t>
      </w:r>
      <w:r>
        <w:rPr>
          <w:color w:val="111111"/>
        </w:rPr>
        <w:t>market can be referred to as a stock-flow model in which the function form is the flow, but the price is determine by housing stock only at all time, yet </w:t>
      </w:r>
      <w:r>
        <w:rPr/>
        <w:t>this is another problem with the hedonic</w:t>
      </w:r>
      <w:r>
        <w:rPr>
          <w:spacing w:val="-3"/>
        </w:rPr>
        <w:t> </w:t>
      </w:r>
      <w:r>
        <w:rPr/>
        <w:t>model.</w:t>
      </w:r>
      <w:r>
        <w:rPr>
          <w:spacing w:val="-3"/>
        </w:rPr>
        <w:t> </w:t>
      </w:r>
      <w:r>
        <w:rPr/>
        <w:t>Since</w:t>
      </w:r>
      <w:r>
        <w:rPr>
          <w:spacing w:val="-4"/>
        </w:rPr>
        <w:t> </w:t>
      </w:r>
      <w:r>
        <w:rPr/>
        <w:t>the</w:t>
      </w:r>
      <w:r>
        <w:rPr>
          <w:spacing w:val="-2"/>
        </w:rPr>
        <w:t> </w:t>
      </w:r>
      <w:r>
        <w:rPr/>
        <w:t>hedonic</w:t>
      </w:r>
      <w:r>
        <w:rPr>
          <w:spacing w:val="-3"/>
        </w:rPr>
        <w:t> </w:t>
      </w:r>
      <w:r>
        <w:rPr/>
        <w:t>model</w:t>
      </w:r>
      <w:r>
        <w:rPr>
          <w:spacing w:val="-3"/>
        </w:rPr>
        <w:t> </w:t>
      </w:r>
      <w:r>
        <w:rPr/>
        <w:t>is</w:t>
      </w:r>
      <w:r>
        <w:rPr>
          <w:spacing w:val="-3"/>
        </w:rPr>
        <w:t> </w:t>
      </w:r>
      <w:r>
        <w:rPr/>
        <w:t>based</w:t>
      </w:r>
      <w:r>
        <w:rPr>
          <w:spacing w:val="-1"/>
        </w:rPr>
        <w:t> </w:t>
      </w:r>
      <w:r>
        <w:rPr/>
        <w:t>on</w:t>
      </w:r>
      <w:r>
        <w:rPr>
          <w:spacing w:val="-3"/>
        </w:rPr>
        <w:t> </w:t>
      </w:r>
      <w:r>
        <w:rPr/>
        <w:t>the</w:t>
      </w:r>
      <w:r>
        <w:rPr>
          <w:spacing w:val="-3"/>
        </w:rPr>
        <w:t> </w:t>
      </w:r>
      <w:r>
        <w:rPr/>
        <w:t>regression</w:t>
      </w:r>
      <w:r>
        <w:rPr>
          <w:spacing w:val="-3"/>
        </w:rPr>
        <w:t> </w:t>
      </w:r>
      <w:r>
        <w:rPr/>
        <w:t>model, it</w:t>
      </w:r>
      <w:r>
        <w:rPr>
          <w:spacing w:val="-3"/>
        </w:rPr>
        <w:t> </w:t>
      </w:r>
      <w:r>
        <w:rPr/>
        <w:t>leads</w:t>
      </w:r>
      <w:r>
        <w:rPr>
          <w:spacing w:val="-3"/>
        </w:rPr>
        <w:t> </w:t>
      </w:r>
      <w:r>
        <w:rPr/>
        <w:t>to</w:t>
      </w:r>
      <w:r>
        <w:rPr>
          <w:spacing w:val="-2"/>
        </w:rPr>
        <w:t> </w:t>
      </w:r>
      <w:r>
        <w:rPr/>
        <w:t>the estimation bias, such as specification of function, spatial autocorrelation, spatial heterogeneity, multicollinearity, housing quality change, and heteroscedasticity (Xiao, </w:t>
      </w:r>
      <w:r>
        <w:rPr>
          <w:spacing w:val="-2"/>
        </w:rPr>
        <w:t>2017a).</w:t>
      </w:r>
    </w:p>
    <w:p>
      <w:pPr>
        <w:pStyle w:val="BodyText"/>
        <w:spacing w:line="480" w:lineRule="auto" w:before="242"/>
        <w:ind w:left="305" w:right="515"/>
      </w:pPr>
      <w:r>
        <w:rPr/>
        <w:t>Spatial autocorrelation is one</w:t>
      </w:r>
      <w:r>
        <w:rPr>
          <w:spacing w:val="-1"/>
        </w:rPr>
        <w:t> </w:t>
      </w:r>
      <w:r>
        <w:rPr/>
        <w:t>of</w:t>
      </w:r>
      <w:r>
        <w:rPr>
          <w:spacing w:val="-1"/>
        </w:rPr>
        <w:t> </w:t>
      </w:r>
      <w:r>
        <w:rPr/>
        <w:t>the important issues related</w:t>
      </w:r>
      <w:r>
        <w:rPr>
          <w:spacing w:val="-1"/>
        </w:rPr>
        <w:t> </w:t>
      </w:r>
      <w:r>
        <w:rPr/>
        <w:t>to observed data</w:t>
      </w:r>
      <w:r>
        <w:rPr>
          <w:spacing w:val="-1"/>
        </w:rPr>
        <w:t> </w:t>
      </w:r>
      <w:r>
        <w:rPr/>
        <w:t>in hedonic modelling.</w:t>
      </w:r>
      <w:r>
        <w:rPr>
          <w:spacing w:val="6"/>
        </w:rPr>
        <w:t> </w:t>
      </w:r>
      <w:r>
        <w:rPr/>
        <w:t>This</w:t>
      </w:r>
      <w:r>
        <w:rPr>
          <w:spacing w:val="9"/>
        </w:rPr>
        <w:t> </w:t>
      </w:r>
      <w:r>
        <w:rPr/>
        <w:t>is</w:t>
      </w:r>
      <w:r>
        <w:rPr>
          <w:spacing w:val="9"/>
        </w:rPr>
        <w:t> </w:t>
      </w:r>
      <w:r>
        <w:rPr/>
        <w:t>because</w:t>
      </w:r>
      <w:r>
        <w:rPr>
          <w:spacing w:val="8"/>
        </w:rPr>
        <w:t> </w:t>
      </w:r>
      <w:r>
        <w:rPr/>
        <w:t>housing</w:t>
      </w:r>
      <w:r>
        <w:rPr>
          <w:spacing w:val="6"/>
        </w:rPr>
        <w:t> </w:t>
      </w:r>
      <w:r>
        <w:rPr/>
        <w:t>prices</w:t>
      </w:r>
      <w:r>
        <w:rPr>
          <w:spacing w:val="11"/>
        </w:rPr>
        <w:t> </w:t>
      </w:r>
      <w:r>
        <w:rPr/>
        <w:t>are</w:t>
      </w:r>
      <w:r>
        <w:rPr>
          <w:spacing w:val="7"/>
        </w:rPr>
        <w:t> </w:t>
      </w:r>
      <w:r>
        <w:rPr/>
        <w:t>usually</w:t>
      </w:r>
      <w:r>
        <w:rPr>
          <w:spacing w:val="4"/>
        </w:rPr>
        <w:t> </w:t>
      </w:r>
      <w:r>
        <w:rPr/>
        <w:t>spatially</w:t>
      </w:r>
      <w:r>
        <w:rPr>
          <w:spacing w:val="4"/>
        </w:rPr>
        <w:t> </w:t>
      </w:r>
      <w:r>
        <w:rPr/>
        <w:t>autocorrelated,</w:t>
      </w:r>
      <w:r>
        <w:rPr>
          <w:spacing w:val="7"/>
        </w:rPr>
        <w:t> </w:t>
      </w:r>
      <w:r>
        <w:rPr/>
        <w:t>in</w:t>
      </w:r>
      <w:r>
        <w:rPr>
          <w:spacing w:val="9"/>
        </w:rPr>
        <w:t> </w:t>
      </w:r>
      <w:r>
        <w:rPr/>
        <w:t>such</w:t>
      </w:r>
      <w:r>
        <w:rPr>
          <w:spacing w:val="9"/>
        </w:rPr>
        <w:t> </w:t>
      </w:r>
      <w:r>
        <w:rPr>
          <w:spacing w:val="-10"/>
        </w:rPr>
        <w:t>a</w:t>
      </w:r>
    </w:p>
    <w:p>
      <w:pPr>
        <w:spacing w:after="0" w:line="480" w:lineRule="auto"/>
        <w:sectPr>
          <w:pgSz w:w="11910" w:h="16840"/>
          <w:pgMar w:header="0" w:footer="1022" w:top="1320" w:bottom="1220" w:left="1680" w:right="900"/>
        </w:sectPr>
      </w:pPr>
    </w:p>
    <w:p>
      <w:pPr>
        <w:pStyle w:val="BodyText"/>
        <w:spacing w:line="480" w:lineRule="auto" w:before="72"/>
        <w:ind w:left="305" w:right="515"/>
      </w:pPr>
      <w:r>
        <w:rPr/>
        <w:t>way</w:t>
      </w:r>
      <w:r>
        <w:rPr>
          <w:spacing w:val="-15"/>
        </w:rPr>
        <w:t> </w:t>
      </w:r>
      <w:r>
        <w:rPr/>
        <w:t>that</w:t>
      </w:r>
      <w:r>
        <w:rPr>
          <w:spacing w:val="-15"/>
        </w:rPr>
        <w:t> </w:t>
      </w:r>
      <w:r>
        <w:rPr/>
        <w:t>majority</w:t>
      </w:r>
      <w:r>
        <w:rPr>
          <w:spacing w:val="-15"/>
        </w:rPr>
        <w:t> </w:t>
      </w:r>
      <w:r>
        <w:rPr/>
        <w:t>of</w:t>
      </w:r>
      <w:r>
        <w:rPr>
          <w:spacing w:val="-12"/>
        </w:rPr>
        <w:t> </w:t>
      </w:r>
      <w:r>
        <w:rPr/>
        <w:t>the</w:t>
      </w:r>
      <w:r>
        <w:rPr>
          <w:spacing w:val="-13"/>
        </w:rPr>
        <w:t> </w:t>
      </w:r>
      <w:r>
        <w:rPr/>
        <w:t>houses</w:t>
      </w:r>
      <w:r>
        <w:rPr>
          <w:spacing w:val="-12"/>
        </w:rPr>
        <w:t> </w:t>
      </w:r>
      <w:r>
        <w:rPr/>
        <w:t>in</w:t>
      </w:r>
      <w:r>
        <w:rPr>
          <w:spacing w:val="-12"/>
        </w:rPr>
        <w:t> </w:t>
      </w:r>
      <w:r>
        <w:rPr/>
        <w:t>some</w:t>
      </w:r>
      <w:r>
        <w:rPr>
          <w:spacing w:val="-10"/>
        </w:rPr>
        <w:t> </w:t>
      </w:r>
      <w:r>
        <w:rPr/>
        <w:t>neighborhoods</w:t>
      </w:r>
      <w:r>
        <w:rPr>
          <w:spacing w:val="-11"/>
        </w:rPr>
        <w:t> </w:t>
      </w:r>
      <w:r>
        <w:rPr/>
        <w:t>were</w:t>
      </w:r>
      <w:r>
        <w:rPr>
          <w:spacing w:val="-11"/>
        </w:rPr>
        <w:t> </w:t>
      </w:r>
      <w:r>
        <w:rPr/>
        <w:t>constructed</w:t>
      </w:r>
      <w:r>
        <w:rPr>
          <w:spacing w:val="-10"/>
        </w:rPr>
        <w:t> </w:t>
      </w:r>
      <w:r>
        <w:rPr/>
        <w:t>at</w:t>
      </w:r>
      <w:r>
        <w:rPr>
          <w:spacing w:val="-12"/>
        </w:rPr>
        <w:t> </w:t>
      </w:r>
      <w:r>
        <w:rPr/>
        <w:t>the</w:t>
      </w:r>
      <w:r>
        <w:rPr>
          <w:spacing w:val="-13"/>
        </w:rPr>
        <w:t> </w:t>
      </w:r>
      <w:r>
        <w:rPr/>
        <w:t>same</w:t>
      </w:r>
      <w:r>
        <w:rPr>
          <w:spacing w:val="-13"/>
        </w:rPr>
        <w:t> </w:t>
      </w:r>
      <w:r>
        <w:rPr/>
        <w:t>time with</w:t>
      </w:r>
      <w:r>
        <w:rPr>
          <w:spacing w:val="-15"/>
        </w:rPr>
        <w:t> </w:t>
      </w:r>
      <w:r>
        <w:rPr/>
        <w:t>the</w:t>
      </w:r>
      <w:r>
        <w:rPr>
          <w:spacing w:val="-15"/>
        </w:rPr>
        <w:t> </w:t>
      </w:r>
      <w:r>
        <w:rPr/>
        <w:t>same</w:t>
      </w:r>
      <w:r>
        <w:rPr>
          <w:spacing w:val="-15"/>
        </w:rPr>
        <w:t> </w:t>
      </w:r>
      <w:r>
        <w:rPr/>
        <w:t>structural</w:t>
      </w:r>
      <w:r>
        <w:rPr>
          <w:spacing w:val="-15"/>
        </w:rPr>
        <w:t> </w:t>
      </w:r>
      <w:r>
        <w:rPr/>
        <w:t>characteristics</w:t>
      </w:r>
      <w:r>
        <w:rPr>
          <w:spacing w:val="-15"/>
        </w:rPr>
        <w:t> </w:t>
      </w:r>
      <w:r>
        <w:rPr/>
        <w:t>such</w:t>
      </w:r>
      <w:r>
        <w:rPr>
          <w:spacing w:val="-15"/>
        </w:rPr>
        <w:t> </w:t>
      </w:r>
      <w:r>
        <w:rPr/>
        <w:t>as</w:t>
      </w:r>
      <w:r>
        <w:rPr>
          <w:spacing w:val="-15"/>
        </w:rPr>
        <w:t> </w:t>
      </w:r>
      <w:r>
        <w:rPr/>
        <w:t>apartment</w:t>
      </w:r>
      <w:r>
        <w:rPr>
          <w:spacing w:val="-15"/>
        </w:rPr>
        <w:t> </w:t>
      </w:r>
      <w:r>
        <w:rPr/>
        <w:t>size,</w:t>
      </w:r>
      <w:r>
        <w:rPr>
          <w:spacing w:val="-15"/>
        </w:rPr>
        <w:t> </w:t>
      </w:r>
      <w:r>
        <w:rPr/>
        <w:t>interior</w:t>
      </w:r>
      <w:r>
        <w:rPr>
          <w:spacing w:val="-15"/>
        </w:rPr>
        <w:t> </w:t>
      </w:r>
      <w:r>
        <w:rPr/>
        <w:t>and</w:t>
      </w:r>
      <w:r>
        <w:rPr>
          <w:spacing w:val="-15"/>
        </w:rPr>
        <w:t> </w:t>
      </w:r>
      <w:r>
        <w:rPr/>
        <w:t>exterior</w:t>
      </w:r>
      <w:r>
        <w:rPr>
          <w:spacing w:val="-15"/>
        </w:rPr>
        <w:t> </w:t>
      </w:r>
      <w:r>
        <w:rPr/>
        <w:t>design features, year</w:t>
      </w:r>
      <w:r>
        <w:rPr>
          <w:spacing w:val="-6"/>
        </w:rPr>
        <w:t> </w:t>
      </w:r>
      <w:r>
        <w:rPr/>
        <w:t>built,</w:t>
      </w:r>
      <w:r>
        <w:rPr>
          <w:spacing w:val="-1"/>
        </w:rPr>
        <w:t> </w:t>
      </w:r>
      <w:r>
        <w:rPr/>
        <w:t>and</w:t>
      </w:r>
      <w:r>
        <w:rPr>
          <w:spacing w:val="-5"/>
        </w:rPr>
        <w:t> </w:t>
      </w:r>
      <w:r>
        <w:rPr/>
        <w:t>so</w:t>
      </w:r>
      <w:r>
        <w:rPr>
          <w:spacing w:val="-5"/>
        </w:rPr>
        <w:t> </w:t>
      </w:r>
      <w:r>
        <w:rPr/>
        <w:t>on.</w:t>
      </w:r>
      <w:r>
        <w:rPr>
          <w:spacing w:val="-5"/>
        </w:rPr>
        <w:t> </w:t>
      </w:r>
      <w:r>
        <w:rPr/>
        <w:t>Also,</w:t>
      </w:r>
      <w:r>
        <w:rPr>
          <w:spacing w:val="-5"/>
        </w:rPr>
        <w:t> </w:t>
      </w:r>
      <w:r>
        <w:rPr/>
        <w:t>prices</w:t>
      </w:r>
      <w:r>
        <w:rPr>
          <w:spacing w:val="-5"/>
        </w:rPr>
        <w:t> </w:t>
      </w:r>
      <w:r>
        <w:rPr/>
        <w:t>of</w:t>
      </w:r>
      <w:r>
        <w:rPr>
          <w:spacing w:val="-6"/>
        </w:rPr>
        <w:t> </w:t>
      </w:r>
      <w:r>
        <w:rPr/>
        <w:t>housing</w:t>
      </w:r>
      <w:r>
        <w:rPr>
          <w:spacing w:val="-4"/>
        </w:rPr>
        <w:t> </w:t>
      </w:r>
      <w:r>
        <w:rPr/>
        <w:t>are</w:t>
      </w:r>
      <w:r>
        <w:rPr>
          <w:spacing w:val="-4"/>
        </w:rPr>
        <w:t> </w:t>
      </w:r>
      <w:r>
        <w:rPr/>
        <w:t>spatially</w:t>
      </w:r>
      <w:r>
        <w:rPr>
          <w:spacing w:val="-10"/>
        </w:rPr>
        <w:t> </w:t>
      </w:r>
      <w:r>
        <w:rPr/>
        <w:t>autocorrelated,</w:t>
      </w:r>
      <w:r>
        <w:rPr>
          <w:spacing w:val="-5"/>
        </w:rPr>
        <w:t> </w:t>
      </w:r>
      <w:r>
        <w:rPr/>
        <w:t>this</w:t>
      </w:r>
      <w:r>
        <w:rPr>
          <w:spacing w:val="-5"/>
        </w:rPr>
        <w:t> </w:t>
      </w:r>
      <w:r>
        <w:rPr/>
        <w:t>is because</w:t>
      </w:r>
      <w:r>
        <w:rPr>
          <w:spacing w:val="-12"/>
        </w:rPr>
        <w:t> </w:t>
      </w:r>
      <w:r>
        <w:rPr/>
        <w:t>they</w:t>
      </w:r>
      <w:r>
        <w:rPr>
          <w:spacing w:val="-14"/>
        </w:rPr>
        <w:t> </w:t>
      </w:r>
      <w:r>
        <w:rPr/>
        <w:t>share</w:t>
      </w:r>
      <w:r>
        <w:rPr>
          <w:spacing w:val="-11"/>
        </w:rPr>
        <w:t> </w:t>
      </w:r>
      <w:r>
        <w:rPr/>
        <w:t>the</w:t>
      </w:r>
      <w:r>
        <w:rPr>
          <w:spacing w:val="-10"/>
        </w:rPr>
        <w:t> </w:t>
      </w:r>
      <w:r>
        <w:rPr/>
        <w:t>same</w:t>
      </w:r>
      <w:r>
        <w:rPr>
          <w:spacing w:val="-10"/>
        </w:rPr>
        <w:t> </w:t>
      </w:r>
      <w:r>
        <w:rPr/>
        <w:t>neighbourhood</w:t>
      </w:r>
      <w:r>
        <w:rPr>
          <w:spacing w:val="-10"/>
        </w:rPr>
        <w:t> </w:t>
      </w:r>
      <w:r>
        <w:rPr/>
        <w:t>amenities</w:t>
      </w:r>
      <w:r>
        <w:rPr>
          <w:spacing w:val="-10"/>
        </w:rPr>
        <w:t> </w:t>
      </w:r>
      <w:r>
        <w:rPr/>
        <w:t>like</w:t>
      </w:r>
      <w:r>
        <w:rPr>
          <w:spacing w:val="-11"/>
        </w:rPr>
        <w:t> </w:t>
      </w:r>
      <w:r>
        <w:rPr/>
        <w:t>proximity</w:t>
      </w:r>
      <w:r>
        <w:rPr>
          <w:spacing w:val="-15"/>
        </w:rPr>
        <w:t> </w:t>
      </w:r>
      <w:r>
        <w:rPr/>
        <w:t>to</w:t>
      </w:r>
      <w:r>
        <w:rPr>
          <w:spacing w:val="-10"/>
        </w:rPr>
        <w:t> </w:t>
      </w:r>
      <w:r>
        <w:rPr/>
        <w:t>schools,</w:t>
      </w:r>
      <w:r>
        <w:rPr>
          <w:spacing w:val="-10"/>
        </w:rPr>
        <w:t> </w:t>
      </w:r>
      <w:r>
        <w:rPr/>
        <w:t>markets, public transportation, and so on. Since the parameters for house price are commonly estimated using ordinary least squares procedure – where independent observations are assumed</w:t>
      </w:r>
      <w:r>
        <w:rPr>
          <w:spacing w:val="-3"/>
        </w:rPr>
        <w:t> </w:t>
      </w:r>
      <w:r>
        <w:rPr/>
        <w:t>from</w:t>
      </w:r>
      <w:r>
        <w:rPr>
          <w:spacing w:val="-1"/>
        </w:rPr>
        <w:t> </w:t>
      </w:r>
      <w:r>
        <w:rPr/>
        <w:t>residuals</w:t>
      </w:r>
      <w:r>
        <w:rPr>
          <w:spacing w:val="-3"/>
        </w:rPr>
        <w:t> </w:t>
      </w:r>
      <w:r>
        <w:rPr/>
        <w:t>that</w:t>
      </w:r>
      <w:r>
        <w:rPr>
          <w:spacing w:val="-3"/>
        </w:rPr>
        <w:t> </w:t>
      </w:r>
      <w:r>
        <w:rPr/>
        <w:t>are</w:t>
      </w:r>
      <w:r>
        <w:rPr>
          <w:spacing w:val="-4"/>
        </w:rPr>
        <w:t> </w:t>
      </w:r>
      <w:r>
        <w:rPr/>
        <w:t>autocorrelated</w:t>
      </w:r>
      <w:r>
        <w:rPr>
          <w:spacing w:val="-3"/>
        </w:rPr>
        <w:t> </w:t>
      </w:r>
      <w:r>
        <w:rPr/>
        <w:t>–</w:t>
      </w:r>
      <w:r>
        <w:rPr>
          <w:spacing w:val="-3"/>
        </w:rPr>
        <w:t> </w:t>
      </w:r>
      <w:r>
        <w:rPr/>
        <w:t>the</w:t>
      </w:r>
      <w:r>
        <w:rPr>
          <w:spacing w:val="-4"/>
        </w:rPr>
        <w:t> </w:t>
      </w:r>
      <w:r>
        <w:rPr/>
        <w:t>parameters</w:t>
      </w:r>
      <w:r>
        <w:rPr>
          <w:spacing w:val="-2"/>
        </w:rPr>
        <w:t> </w:t>
      </w:r>
      <w:r>
        <w:rPr/>
        <w:t>estimates</w:t>
      </w:r>
      <w:r>
        <w:rPr>
          <w:spacing w:val="-3"/>
        </w:rPr>
        <w:t> </w:t>
      </w:r>
      <w:r>
        <w:rPr/>
        <w:t>resulting</w:t>
      </w:r>
      <w:r>
        <w:rPr>
          <w:spacing w:val="-5"/>
        </w:rPr>
        <w:t> </w:t>
      </w:r>
      <w:r>
        <w:rPr/>
        <w:t>from these</w:t>
      </w:r>
      <w:r>
        <w:rPr>
          <w:spacing w:val="-9"/>
        </w:rPr>
        <w:t> </w:t>
      </w:r>
      <w:r>
        <w:rPr/>
        <w:t>usually</w:t>
      </w:r>
      <w:r>
        <w:rPr>
          <w:spacing w:val="-12"/>
        </w:rPr>
        <w:t> </w:t>
      </w:r>
      <w:r>
        <w:rPr/>
        <w:t>produce</w:t>
      </w:r>
      <w:r>
        <w:rPr>
          <w:spacing w:val="-7"/>
        </w:rPr>
        <w:t> </w:t>
      </w:r>
      <w:r>
        <w:rPr/>
        <w:t>confidence</w:t>
      </w:r>
      <w:r>
        <w:rPr>
          <w:spacing w:val="-7"/>
        </w:rPr>
        <w:t> </w:t>
      </w:r>
      <w:r>
        <w:rPr/>
        <w:t>intervals</w:t>
      </w:r>
      <w:r>
        <w:rPr>
          <w:spacing w:val="-8"/>
        </w:rPr>
        <w:t> </w:t>
      </w:r>
      <w:r>
        <w:rPr/>
        <w:t>that</w:t>
      </w:r>
      <w:r>
        <w:rPr>
          <w:spacing w:val="-6"/>
        </w:rPr>
        <w:t> </w:t>
      </w:r>
      <w:r>
        <w:rPr/>
        <w:t>are</w:t>
      </w:r>
      <w:r>
        <w:rPr>
          <w:spacing w:val="-9"/>
        </w:rPr>
        <w:t> </w:t>
      </w:r>
      <w:r>
        <w:rPr/>
        <w:t>incorrect</w:t>
      </w:r>
      <w:r>
        <w:rPr>
          <w:spacing w:val="-5"/>
        </w:rPr>
        <w:t> </w:t>
      </w:r>
      <w:r>
        <w:rPr/>
        <w:t>for</w:t>
      </w:r>
      <w:r>
        <w:rPr>
          <w:spacing w:val="-10"/>
        </w:rPr>
        <w:t> </w:t>
      </w:r>
      <w:r>
        <w:rPr/>
        <w:t>the</w:t>
      </w:r>
      <w:r>
        <w:rPr>
          <w:spacing w:val="-7"/>
        </w:rPr>
        <w:t> </w:t>
      </w:r>
      <w:r>
        <w:rPr/>
        <w:t>parameters</w:t>
      </w:r>
      <w:r>
        <w:rPr>
          <w:spacing w:val="-8"/>
        </w:rPr>
        <w:t> </w:t>
      </w:r>
      <w:r>
        <w:rPr/>
        <w:t>estimated and for the values predicted (Bajat </w:t>
      </w:r>
      <w:r>
        <w:rPr>
          <w:i/>
        </w:rPr>
        <w:t>et al.</w:t>
      </w:r>
      <w:r>
        <w:rPr/>
        <w:t>, 2018).</w:t>
      </w:r>
    </w:p>
    <w:p>
      <w:pPr>
        <w:pStyle w:val="BodyText"/>
        <w:spacing w:line="480" w:lineRule="auto" w:before="241"/>
        <w:ind w:left="305" w:right="517"/>
      </w:pPr>
      <w:r>
        <w:rPr/>
        <w:t>Hedonic house price model completely ignored consumer’s passion and preference in terms of personal value attached type of house which popularly known as sentimental value in the field of property valuation. However, despite several criticism of hedonic house</w:t>
      </w:r>
      <w:r>
        <w:rPr>
          <w:spacing w:val="-4"/>
        </w:rPr>
        <w:t> </w:t>
      </w:r>
      <w:r>
        <w:rPr/>
        <w:t>price</w:t>
      </w:r>
      <w:r>
        <w:rPr>
          <w:spacing w:val="-4"/>
        </w:rPr>
        <w:t> </w:t>
      </w:r>
      <w:r>
        <w:rPr/>
        <w:t>model,</w:t>
      </w:r>
      <w:r>
        <w:rPr>
          <w:spacing w:val="-3"/>
        </w:rPr>
        <w:t> </w:t>
      </w:r>
      <w:r>
        <w:rPr/>
        <w:t>it</w:t>
      </w:r>
      <w:r>
        <w:rPr>
          <w:spacing w:val="-3"/>
        </w:rPr>
        <w:t> </w:t>
      </w:r>
      <w:r>
        <w:rPr/>
        <w:t>is</w:t>
      </w:r>
      <w:r>
        <w:rPr>
          <w:spacing w:val="-5"/>
        </w:rPr>
        <w:t> </w:t>
      </w:r>
      <w:r>
        <w:rPr/>
        <w:t>among</w:t>
      </w:r>
      <w:r>
        <w:rPr>
          <w:spacing w:val="-5"/>
        </w:rPr>
        <w:t> </w:t>
      </w:r>
      <w:r>
        <w:rPr/>
        <w:t>the</w:t>
      </w:r>
      <w:r>
        <w:rPr>
          <w:spacing w:val="-3"/>
        </w:rPr>
        <w:t> </w:t>
      </w:r>
      <w:r>
        <w:rPr/>
        <w:t>reliable</w:t>
      </w:r>
      <w:r>
        <w:rPr>
          <w:spacing w:val="-3"/>
        </w:rPr>
        <w:t> </w:t>
      </w:r>
      <w:r>
        <w:rPr/>
        <w:t>conventional</w:t>
      </w:r>
      <w:r>
        <w:rPr>
          <w:spacing w:val="-3"/>
        </w:rPr>
        <w:t> </w:t>
      </w:r>
      <w:r>
        <w:rPr/>
        <w:t>methods</w:t>
      </w:r>
      <w:r>
        <w:rPr>
          <w:spacing w:val="-3"/>
        </w:rPr>
        <w:t> </w:t>
      </w:r>
      <w:r>
        <w:rPr/>
        <w:t>that</w:t>
      </w:r>
      <w:r>
        <w:rPr>
          <w:spacing w:val="-6"/>
        </w:rPr>
        <w:t> </w:t>
      </w:r>
      <w:r>
        <w:rPr/>
        <w:t>are</w:t>
      </w:r>
      <w:r>
        <w:rPr>
          <w:spacing w:val="-5"/>
        </w:rPr>
        <w:t> </w:t>
      </w:r>
      <w:r>
        <w:rPr/>
        <w:t>largely</w:t>
      </w:r>
      <w:r>
        <w:rPr>
          <w:spacing w:val="-8"/>
        </w:rPr>
        <w:t> </w:t>
      </w:r>
      <w:r>
        <w:rPr/>
        <w:t>applied in housing value estimation and analysis.</w:t>
      </w:r>
    </w:p>
    <w:p>
      <w:pPr>
        <w:pStyle w:val="Heading1"/>
        <w:numPr>
          <w:ilvl w:val="2"/>
          <w:numId w:val="5"/>
        </w:numPr>
        <w:tabs>
          <w:tab w:pos="1024" w:val="left" w:leader="none"/>
        </w:tabs>
        <w:spacing w:line="240" w:lineRule="auto" w:before="248" w:after="0"/>
        <w:ind w:left="1024" w:right="0" w:hanging="719"/>
        <w:jc w:val="both"/>
      </w:pPr>
      <w:r>
        <w:rPr/>
        <w:t>Spatial interpolation </w:t>
      </w:r>
      <w:r>
        <w:rPr>
          <w:spacing w:val="-2"/>
        </w:rPr>
        <w:t>model</w:t>
      </w:r>
    </w:p>
    <w:p>
      <w:pPr>
        <w:pStyle w:val="BodyText"/>
        <w:spacing w:before="192"/>
        <w:jc w:val="left"/>
        <w:rPr>
          <w:b/>
        </w:rPr>
      </w:pPr>
    </w:p>
    <w:p>
      <w:pPr>
        <w:pStyle w:val="BodyText"/>
        <w:spacing w:line="480" w:lineRule="auto"/>
        <w:ind w:left="305" w:right="512"/>
      </w:pPr>
      <w:r>
        <w:rPr/>
        <w:t>Spatial interpolation said to be a phenomenon in which an observed value in a location depends on the neighbouring locational values. Evidence have shown that values of property exhibit a systematic pattern in their spatial distribution (Diao, 2015). Spatial autocorrelation is seen as a cross-sectional dependence where covariation structure between different location observations is a function of spatial ordering. The relative positioning</w:t>
      </w:r>
      <w:r>
        <w:rPr>
          <w:spacing w:val="-11"/>
        </w:rPr>
        <w:t> </w:t>
      </w:r>
      <w:r>
        <w:rPr/>
        <w:t>is</w:t>
      </w:r>
      <w:r>
        <w:rPr>
          <w:spacing w:val="-9"/>
        </w:rPr>
        <w:t> </w:t>
      </w:r>
      <w:r>
        <w:rPr/>
        <w:t>what</w:t>
      </w:r>
      <w:r>
        <w:rPr>
          <w:spacing w:val="-9"/>
        </w:rPr>
        <w:t> </w:t>
      </w:r>
      <w:r>
        <w:rPr/>
        <w:t>the</w:t>
      </w:r>
      <w:r>
        <w:rPr>
          <w:spacing w:val="-10"/>
        </w:rPr>
        <w:t> </w:t>
      </w:r>
      <w:r>
        <w:rPr/>
        <w:t>ordering</w:t>
      </w:r>
      <w:r>
        <w:rPr>
          <w:spacing w:val="-12"/>
        </w:rPr>
        <w:t> </w:t>
      </w:r>
      <w:r>
        <w:rPr/>
        <w:t>is</w:t>
      </w:r>
      <w:r>
        <w:rPr>
          <w:spacing w:val="-9"/>
        </w:rPr>
        <w:t> </w:t>
      </w:r>
      <w:r>
        <w:rPr/>
        <w:t>related</w:t>
      </w:r>
      <w:r>
        <w:rPr>
          <w:spacing w:val="-10"/>
        </w:rPr>
        <w:t> </w:t>
      </w:r>
      <w:r>
        <w:rPr/>
        <w:t>to,</w:t>
      </w:r>
      <w:r>
        <w:rPr>
          <w:spacing w:val="-9"/>
        </w:rPr>
        <w:t> </w:t>
      </w:r>
      <w:r>
        <w:rPr/>
        <w:t>spatial</w:t>
      </w:r>
      <w:r>
        <w:rPr>
          <w:spacing w:val="-9"/>
        </w:rPr>
        <w:t> </w:t>
      </w:r>
      <w:r>
        <w:rPr/>
        <w:t>observations</w:t>
      </w:r>
      <w:r>
        <w:rPr>
          <w:spacing w:val="-9"/>
        </w:rPr>
        <w:t> </w:t>
      </w:r>
      <w:r>
        <w:rPr/>
        <w:t>in</w:t>
      </w:r>
      <w:r>
        <w:rPr>
          <w:spacing w:val="-9"/>
        </w:rPr>
        <w:t> </w:t>
      </w:r>
      <w:r>
        <w:rPr/>
        <w:t>terms</w:t>
      </w:r>
      <w:r>
        <w:rPr>
          <w:spacing w:val="-9"/>
        </w:rPr>
        <w:t> </w:t>
      </w:r>
      <w:r>
        <w:rPr/>
        <w:t>of</w:t>
      </w:r>
      <w:r>
        <w:rPr>
          <w:spacing w:val="-8"/>
        </w:rPr>
        <w:t> </w:t>
      </w:r>
      <w:r>
        <w:rPr/>
        <w:t>distance</w:t>
      </w:r>
      <w:r>
        <w:rPr>
          <w:spacing w:val="-11"/>
        </w:rPr>
        <w:t> </w:t>
      </w:r>
      <w:r>
        <w:rPr/>
        <w:t>and arrangement</w:t>
      </w:r>
      <w:r>
        <w:rPr>
          <w:spacing w:val="-12"/>
        </w:rPr>
        <w:t> </w:t>
      </w:r>
      <w:r>
        <w:rPr/>
        <w:t>on</w:t>
      </w:r>
      <w:r>
        <w:rPr>
          <w:spacing w:val="-12"/>
        </w:rPr>
        <w:t> </w:t>
      </w:r>
      <w:r>
        <w:rPr/>
        <w:t>the</w:t>
      </w:r>
      <w:r>
        <w:rPr>
          <w:spacing w:val="-10"/>
        </w:rPr>
        <w:t> </w:t>
      </w:r>
      <w:r>
        <w:rPr/>
        <w:t>space,</w:t>
      </w:r>
      <w:r>
        <w:rPr>
          <w:spacing w:val="-12"/>
        </w:rPr>
        <w:t> </w:t>
      </w:r>
      <w:r>
        <w:rPr/>
        <w:t>or</w:t>
      </w:r>
      <w:r>
        <w:rPr>
          <w:spacing w:val="-13"/>
        </w:rPr>
        <w:t> </w:t>
      </w:r>
      <w:r>
        <w:rPr/>
        <w:t>in</w:t>
      </w:r>
      <w:r>
        <w:rPr>
          <w:spacing w:val="-9"/>
        </w:rPr>
        <w:t> </w:t>
      </w:r>
      <w:r>
        <w:rPr/>
        <w:t>general,</w:t>
      </w:r>
      <w:r>
        <w:rPr>
          <w:spacing w:val="-12"/>
        </w:rPr>
        <w:t> </w:t>
      </w:r>
      <w:r>
        <w:rPr/>
        <w:t>in</w:t>
      </w:r>
      <w:r>
        <w:rPr>
          <w:spacing w:val="-12"/>
        </w:rPr>
        <w:t> </w:t>
      </w:r>
      <w:r>
        <w:rPr/>
        <w:t>social</w:t>
      </w:r>
      <w:r>
        <w:rPr>
          <w:spacing w:val="-12"/>
        </w:rPr>
        <w:t> </w:t>
      </w:r>
      <w:r>
        <w:rPr/>
        <w:t>network</w:t>
      </w:r>
      <w:r>
        <w:rPr>
          <w:spacing w:val="-13"/>
        </w:rPr>
        <w:t> </w:t>
      </w:r>
      <w:r>
        <w:rPr/>
        <w:t>space.</w:t>
      </w:r>
      <w:r>
        <w:rPr>
          <w:spacing w:val="-10"/>
        </w:rPr>
        <w:t> </w:t>
      </w:r>
      <w:r>
        <w:rPr/>
        <w:t>Dependence</w:t>
      </w:r>
      <w:r>
        <w:rPr>
          <w:spacing w:val="-13"/>
        </w:rPr>
        <w:t> </w:t>
      </w:r>
      <w:r>
        <w:rPr/>
        <w:t>in</w:t>
      </w:r>
      <w:r>
        <w:rPr>
          <w:spacing w:val="-12"/>
        </w:rPr>
        <w:t> </w:t>
      </w:r>
      <w:r>
        <w:rPr/>
        <w:t>this</w:t>
      </w:r>
      <w:r>
        <w:rPr>
          <w:spacing w:val="-12"/>
        </w:rPr>
        <w:t> </w:t>
      </w:r>
      <w:r>
        <w:rPr/>
        <w:t>form varies from dependence of time series and both are two-dimensional and also multidirectional.</w:t>
      </w:r>
      <w:r>
        <w:rPr>
          <w:spacing w:val="-7"/>
        </w:rPr>
        <w:t> </w:t>
      </w:r>
      <w:r>
        <w:rPr/>
        <w:t>It</w:t>
      </w:r>
      <w:r>
        <w:rPr>
          <w:spacing w:val="-6"/>
        </w:rPr>
        <w:t> </w:t>
      </w:r>
      <w:r>
        <w:rPr/>
        <w:t>can</w:t>
      </w:r>
      <w:r>
        <w:rPr>
          <w:spacing w:val="-9"/>
        </w:rPr>
        <w:t> </w:t>
      </w:r>
      <w:r>
        <w:rPr/>
        <w:t>then</w:t>
      </w:r>
      <w:r>
        <w:rPr>
          <w:spacing w:val="-9"/>
        </w:rPr>
        <w:t> </w:t>
      </w:r>
      <w:r>
        <w:rPr/>
        <w:t>be</w:t>
      </w:r>
      <w:r>
        <w:rPr>
          <w:spacing w:val="-9"/>
        </w:rPr>
        <w:t> </w:t>
      </w:r>
      <w:r>
        <w:rPr/>
        <w:t>said</w:t>
      </w:r>
      <w:r>
        <w:rPr>
          <w:spacing w:val="-8"/>
        </w:rPr>
        <w:t> </w:t>
      </w:r>
      <w:r>
        <w:rPr/>
        <w:t>it</w:t>
      </w:r>
      <w:r>
        <w:rPr>
          <w:spacing w:val="-8"/>
        </w:rPr>
        <w:t> </w:t>
      </w:r>
      <w:r>
        <w:rPr/>
        <w:t>is</w:t>
      </w:r>
      <w:r>
        <w:rPr>
          <w:spacing w:val="-8"/>
        </w:rPr>
        <w:t> </w:t>
      </w:r>
      <w:r>
        <w:rPr/>
        <w:t>an</w:t>
      </w:r>
      <w:r>
        <w:rPr>
          <w:spacing w:val="-9"/>
        </w:rPr>
        <w:t> </w:t>
      </w:r>
      <w:r>
        <w:rPr/>
        <w:t>observations</w:t>
      </w:r>
      <w:r>
        <w:rPr>
          <w:spacing w:val="-7"/>
        </w:rPr>
        <w:t> </w:t>
      </w:r>
      <w:r>
        <w:rPr/>
        <w:t>of</w:t>
      </w:r>
      <w:r>
        <w:rPr>
          <w:spacing w:val="-9"/>
        </w:rPr>
        <w:t> </w:t>
      </w:r>
      <w:r>
        <w:rPr/>
        <w:t>a</w:t>
      </w:r>
      <w:r>
        <w:rPr>
          <w:spacing w:val="-7"/>
        </w:rPr>
        <w:t> </w:t>
      </w:r>
      <w:r>
        <w:rPr/>
        <w:t>simultaneous</w:t>
      </w:r>
      <w:r>
        <w:rPr>
          <w:spacing w:val="-8"/>
        </w:rPr>
        <w:t> </w:t>
      </w:r>
      <w:r>
        <w:rPr/>
        <w:t>feedback,</w:t>
      </w:r>
      <w:r>
        <w:rPr>
          <w:spacing w:val="-5"/>
        </w:rPr>
        <w:t> </w:t>
      </w:r>
      <w:r>
        <w:rPr>
          <w:spacing w:val="-4"/>
        </w:rPr>
        <w:t>with</w:t>
      </w:r>
    </w:p>
    <w:p>
      <w:pPr>
        <w:spacing w:after="0" w:line="480" w:lineRule="auto"/>
        <w:sectPr>
          <w:pgSz w:w="11910" w:h="16840"/>
          <w:pgMar w:header="0" w:footer="1022" w:top="1320" w:bottom="1220" w:left="1680" w:right="900"/>
        </w:sectPr>
      </w:pPr>
    </w:p>
    <w:p>
      <w:pPr>
        <w:pStyle w:val="BodyText"/>
        <w:spacing w:line="480" w:lineRule="auto" w:before="72"/>
        <w:ind w:left="305" w:right="520"/>
      </w:pPr>
      <w:r>
        <w:rPr/>
        <w:t>specialized techniques application requirement that cannot be refer to time series extension methods to two dimensions (Mills, 2011).</w:t>
      </w:r>
    </w:p>
    <w:p>
      <w:pPr>
        <w:pStyle w:val="BodyText"/>
        <w:spacing w:line="480" w:lineRule="auto" w:before="240"/>
        <w:ind w:left="305" w:right="512"/>
      </w:pPr>
      <w:r>
        <w:rPr/>
        <w:t>In Kriging the spatial interpolation is based on spatial variables, considering that a variable vary continuously in space. Currently Kriging is often used in the implementation of Geographic Information Systems (GIS), where computer systems is able to produce, manage and analyze the spatial data associating one or more alphanumeric</w:t>
      </w:r>
      <w:r>
        <w:rPr>
          <w:spacing w:val="-4"/>
        </w:rPr>
        <w:t> </w:t>
      </w:r>
      <w:r>
        <w:rPr/>
        <w:t>descriptions</w:t>
      </w:r>
      <w:r>
        <w:rPr>
          <w:spacing w:val="-4"/>
        </w:rPr>
        <w:t> </w:t>
      </w:r>
      <w:r>
        <w:rPr/>
        <w:t>to</w:t>
      </w:r>
      <w:r>
        <w:rPr>
          <w:spacing w:val="-4"/>
        </w:rPr>
        <w:t> </w:t>
      </w:r>
      <w:r>
        <w:rPr/>
        <w:t>each</w:t>
      </w:r>
      <w:r>
        <w:rPr>
          <w:spacing w:val="-2"/>
        </w:rPr>
        <w:t> </w:t>
      </w:r>
      <w:r>
        <w:rPr/>
        <w:t>geographical</w:t>
      </w:r>
      <w:r>
        <w:rPr>
          <w:spacing w:val="-4"/>
        </w:rPr>
        <w:t> </w:t>
      </w:r>
      <w:r>
        <w:rPr/>
        <w:t>element</w:t>
      </w:r>
      <w:r>
        <w:rPr>
          <w:spacing w:val="-2"/>
        </w:rPr>
        <w:t> </w:t>
      </w:r>
      <w:r>
        <w:rPr/>
        <w:t>(Antoniucci</w:t>
      </w:r>
      <w:r>
        <w:rPr>
          <w:spacing w:val="-4"/>
        </w:rPr>
        <w:t> </w:t>
      </w:r>
      <w:r>
        <w:rPr/>
        <w:t>&amp;</w:t>
      </w:r>
      <w:r>
        <w:rPr>
          <w:spacing w:val="-4"/>
        </w:rPr>
        <w:t> </w:t>
      </w:r>
      <w:r>
        <w:rPr/>
        <w:t>Marella,</w:t>
      </w:r>
      <w:r>
        <w:rPr>
          <w:spacing w:val="-4"/>
        </w:rPr>
        <w:t> </w:t>
      </w:r>
      <w:r>
        <w:rPr/>
        <w:t>2017a). In particular, the determination of interpolation areas can currently be done through the use</w:t>
      </w:r>
      <w:r>
        <w:rPr>
          <w:spacing w:val="-16"/>
        </w:rPr>
        <w:t> </w:t>
      </w:r>
      <w:r>
        <w:rPr/>
        <w:t>of</w:t>
      </w:r>
      <w:r>
        <w:rPr>
          <w:spacing w:val="-14"/>
        </w:rPr>
        <w:t> </w:t>
      </w:r>
      <w:r>
        <w:rPr/>
        <w:t>exponential,</w:t>
      </w:r>
      <w:r>
        <w:rPr>
          <w:spacing w:val="-13"/>
        </w:rPr>
        <w:t> </w:t>
      </w:r>
      <w:r>
        <w:rPr/>
        <w:t>gaussian,</w:t>
      </w:r>
      <w:r>
        <w:rPr>
          <w:spacing w:val="-13"/>
        </w:rPr>
        <w:t> </w:t>
      </w:r>
      <w:r>
        <w:rPr/>
        <w:t>linear,</w:t>
      </w:r>
      <w:r>
        <w:rPr>
          <w:spacing w:val="-12"/>
        </w:rPr>
        <w:t> </w:t>
      </w:r>
      <w:r>
        <w:rPr/>
        <w:t>rational</w:t>
      </w:r>
      <w:r>
        <w:rPr>
          <w:spacing w:val="-13"/>
        </w:rPr>
        <w:t> </w:t>
      </w:r>
      <w:r>
        <w:rPr/>
        <w:t>or</w:t>
      </w:r>
      <w:r>
        <w:rPr>
          <w:spacing w:val="-13"/>
        </w:rPr>
        <w:t> </w:t>
      </w:r>
      <w:r>
        <w:rPr/>
        <w:t>spherical</w:t>
      </w:r>
      <w:r>
        <w:rPr>
          <w:spacing w:val="-13"/>
        </w:rPr>
        <w:t> </w:t>
      </w:r>
      <w:r>
        <w:rPr/>
        <w:t>functions</w:t>
      </w:r>
      <w:r>
        <w:rPr>
          <w:spacing w:val="-9"/>
        </w:rPr>
        <w:t> </w:t>
      </w:r>
      <w:r>
        <w:rPr/>
        <w:t>(De</w:t>
      </w:r>
      <w:r>
        <w:rPr>
          <w:spacing w:val="-14"/>
        </w:rPr>
        <w:t> </w:t>
      </w:r>
      <w:r>
        <w:rPr/>
        <w:t>Paola</w:t>
      </w:r>
      <w:r>
        <w:rPr>
          <w:spacing w:val="-14"/>
        </w:rPr>
        <w:t> </w:t>
      </w:r>
      <w:r>
        <w:rPr>
          <w:i/>
        </w:rPr>
        <w:t>et</w:t>
      </w:r>
      <w:r>
        <w:rPr>
          <w:i/>
          <w:spacing w:val="-13"/>
        </w:rPr>
        <w:t> </w:t>
      </w:r>
      <w:r>
        <w:rPr>
          <w:i/>
        </w:rPr>
        <w:t>al</w:t>
      </w:r>
      <w:r>
        <w:rPr/>
        <w:t>.,</w:t>
      </w:r>
      <w:r>
        <w:rPr>
          <w:spacing w:val="-12"/>
        </w:rPr>
        <w:t> </w:t>
      </w:r>
      <w:r>
        <w:rPr>
          <w:spacing w:val="-2"/>
        </w:rPr>
        <w:t>2019).</w:t>
      </w:r>
    </w:p>
    <w:p>
      <w:pPr>
        <w:pStyle w:val="BodyText"/>
        <w:spacing w:line="480" w:lineRule="auto" w:before="241"/>
        <w:ind w:left="305" w:right="511"/>
      </w:pPr>
      <w:r>
        <w:rPr/>
        <w:t>Autocorrelation structure modelling has two common applied methods. Modelling the process</w:t>
      </w:r>
      <w:r>
        <w:rPr>
          <w:spacing w:val="-7"/>
        </w:rPr>
        <w:t> </w:t>
      </w:r>
      <w:r>
        <w:rPr/>
        <w:t>itself</w:t>
      </w:r>
      <w:r>
        <w:rPr>
          <w:spacing w:val="-8"/>
        </w:rPr>
        <w:t> </w:t>
      </w:r>
      <w:r>
        <w:rPr/>
        <w:t>is</w:t>
      </w:r>
      <w:r>
        <w:rPr>
          <w:spacing w:val="-7"/>
        </w:rPr>
        <w:t> </w:t>
      </w:r>
      <w:r>
        <w:rPr/>
        <w:t>the</w:t>
      </w:r>
      <w:r>
        <w:rPr>
          <w:spacing w:val="-8"/>
        </w:rPr>
        <w:t> </w:t>
      </w:r>
      <w:r>
        <w:rPr/>
        <w:t>first.</w:t>
      </w:r>
      <w:r>
        <w:rPr>
          <w:spacing w:val="-7"/>
        </w:rPr>
        <w:t> </w:t>
      </w:r>
      <w:r>
        <w:rPr/>
        <w:t>Geographers</w:t>
      </w:r>
      <w:r>
        <w:rPr>
          <w:spacing w:val="-8"/>
        </w:rPr>
        <w:t> </w:t>
      </w:r>
      <w:r>
        <w:rPr/>
        <w:t>work</w:t>
      </w:r>
      <w:r>
        <w:rPr>
          <w:spacing w:val="-8"/>
        </w:rPr>
        <w:t> </w:t>
      </w:r>
      <w:r>
        <w:rPr/>
        <w:t>is</w:t>
      </w:r>
      <w:r>
        <w:rPr>
          <w:spacing w:val="-7"/>
        </w:rPr>
        <w:t> </w:t>
      </w:r>
      <w:r>
        <w:rPr/>
        <w:t>what</w:t>
      </w:r>
      <w:r>
        <w:rPr>
          <w:spacing w:val="-7"/>
        </w:rPr>
        <w:t> </w:t>
      </w:r>
      <w:r>
        <w:rPr/>
        <w:t>this</w:t>
      </w:r>
      <w:r>
        <w:rPr>
          <w:spacing w:val="-7"/>
        </w:rPr>
        <w:t> </w:t>
      </w:r>
      <w:r>
        <w:rPr/>
        <w:t>approach</w:t>
      </w:r>
      <w:r>
        <w:rPr>
          <w:spacing w:val="-7"/>
        </w:rPr>
        <w:t> </w:t>
      </w:r>
      <w:r>
        <w:rPr/>
        <w:t>relied</w:t>
      </w:r>
      <w:r>
        <w:rPr>
          <w:spacing w:val="-7"/>
        </w:rPr>
        <w:t> </w:t>
      </w:r>
      <w:r>
        <w:rPr/>
        <w:t>on</w:t>
      </w:r>
      <w:r>
        <w:rPr>
          <w:spacing w:val="-5"/>
        </w:rPr>
        <w:t> </w:t>
      </w:r>
      <w:r>
        <w:rPr/>
        <w:t>and</w:t>
      </w:r>
      <w:r>
        <w:rPr>
          <w:spacing w:val="-7"/>
        </w:rPr>
        <w:t> </w:t>
      </w:r>
      <w:r>
        <w:rPr/>
        <w:t>the</w:t>
      </w:r>
      <w:r>
        <w:rPr>
          <w:spacing w:val="-8"/>
        </w:rPr>
        <w:t> </w:t>
      </w:r>
      <w:r>
        <w:rPr/>
        <w:t>use</w:t>
      </w:r>
      <w:r>
        <w:rPr>
          <w:spacing w:val="-8"/>
        </w:rPr>
        <w:t> </w:t>
      </w:r>
      <w:r>
        <w:rPr/>
        <w:t>of a</w:t>
      </w:r>
      <w:r>
        <w:rPr>
          <w:spacing w:val="-5"/>
        </w:rPr>
        <w:t> </w:t>
      </w:r>
      <w:r>
        <w:rPr/>
        <w:t>weight</w:t>
      </w:r>
      <w:r>
        <w:rPr>
          <w:spacing w:val="-4"/>
        </w:rPr>
        <w:t> </w:t>
      </w:r>
      <w:r>
        <w:rPr/>
        <w:t>matrix</w:t>
      </w:r>
      <w:r>
        <w:rPr>
          <w:spacing w:val="-2"/>
        </w:rPr>
        <w:t> </w:t>
      </w:r>
      <w:r>
        <w:rPr/>
        <w:t>is</w:t>
      </w:r>
      <w:r>
        <w:rPr>
          <w:spacing w:val="-4"/>
        </w:rPr>
        <w:t> </w:t>
      </w:r>
      <w:r>
        <w:rPr/>
        <w:t>required.</w:t>
      </w:r>
      <w:r>
        <w:rPr>
          <w:spacing w:val="-2"/>
        </w:rPr>
        <w:t> </w:t>
      </w:r>
      <w:r>
        <w:rPr/>
        <w:t>In</w:t>
      </w:r>
      <w:r>
        <w:rPr>
          <w:spacing w:val="-4"/>
        </w:rPr>
        <w:t> </w:t>
      </w:r>
      <w:r>
        <w:rPr/>
        <w:t>the</w:t>
      </w:r>
      <w:r>
        <w:rPr>
          <w:spacing w:val="-4"/>
        </w:rPr>
        <w:t> </w:t>
      </w:r>
      <w:r>
        <w:rPr/>
        <w:t>housing</w:t>
      </w:r>
      <w:r>
        <w:rPr>
          <w:spacing w:val="-5"/>
        </w:rPr>
        <w:t> </w:t>
      </w:r>
      <w:r>
        <w:rPr/>
        <w:t>market</w:t>
      </w:r>
      <w:r>
        <w:rPr>
          <w:spacing w:val="-2"/>
        </w:rPr>
        <w:t> </w:t>
      </w:r>
      <w:r>
        <w:rPr/>
        <w:t>literature,</w:t>
      </w:r>
      <w:r>
        <w:rPr>
          <w:spacing w:val="-4"/>
        </w:rPr>
        <w:t> </w:t>
      </w:r>
      <w:r>
        <w:rPr/>
        <w:t>this</w:t>
      </w:r>
      <w:r>
        <w:rPr>
          <w:spacing w:val="-4"/>
        </w:rPr>
        <w:t> </w:t>
      </w:r>
      <w:r>
        <w:rPr/>
        <w:t>approach</w:t>
      </w:r>
      <w:r>
        <w:rPr>
          <w:spacing w:val="-4"/>
        </w:rPr>
        <w:t> </w:t>
      </w:r>
      <w:r>
        <w:rPr/>
        <w:t>is</w:t>
      </w:r>
      <w:r>
        <w:rPr>
          <w:spacing w:val="-2"/>
        </w:rPr>
        <w:t> </w:t>
      </w:r>
      <w:r>
        <w:rPr/>
        <w:t>perhaps</w:t>
      </w:r>
      <w:r>
        <w:rPr>
          <w:spacing w:val="-4"/>
        </w:rPr>
        <w:t> </w:t>
      </w:r>
      <w:r>
        <w:rPr/>
        <w:t>the more common of the two. The second method directly</w:t>
      </w:r>
      <w:r>
        <w:rPr>
          <w:spacing w:val="-3"/>
        </w:rPr>
        <w:t> </w:t>
      </w:r>
      <w:r>
        <w:rPr/>
        <w:t>model the error terms covariance matrix. The work of geologists is what this method is based on and wide application in the literature of housing market (Dubin, 1998).</w:t>
      </w:r>
    </w:p>
    <w:p>
      <w:pPr>
        <w:pStyle w:val="BodyText"/>
        <w:spacing w:line="480" w:lineRule="auto" w:before="241"/>
        <w:ind w:left="305" w:right="517"/>
      </w:pPr>
      <w:r>
        <w:rPr/>
        <w:t>Spatial autocorrelation model for housing market analysis is based on hedonic model (Chao Wu </w:t>
      </w:r>
      <w:r>
        <w:rPr>
          <w:i/>
        </w:rPr>
        <w:t>et al.</w:t>
      </w:r>
      <w:r>
        <w:rPr/>
        <w:t>, 2018). Basu &amp; Thibodeau (1998) developed spatial autocorrelation model in the residuals for housing market.</w:t>
      </w:r>
    </w:p>
    <w:p>
      <w:pPr>
        <w:pStyle w:val="Heading1"/>
        <w:numPr>
          <w:ilvl w:val="2"/>
          <w:numId w:val="5"/>
        </w:numPr>
        <w:tabs>
          <w:tab w:pos="1024" w:val="left" w:leader="none"/>
        </w:tabs>
        <w:spacing w:line="240" w:lineRule="auto" w:before="245" w:after="0"/>
        <w:ind w:left="1024" w:right="0" w:hanging="719"/>
        <w:jc w:val="both"/>
      </w:pPr>
      <w:r>
        <w:rPr/>
        <w:t>Machine</w:t>
      </w:r>
      <w:r>
        <w:rPr>
          <w:spacing w:val="-1"/>
        </w:rPr>
        <w:t> </w:t>
      </w:r>
      <w:r>
        <w:rPr>
          <w:spacing w:val="-2"/>
        </w:rPr>
        <w:t>learning</w:t>
      </w:r>
    </w:p>
    <w:p>
      <w:pPr>
        <w:pStyle w:val="BodyText"/>
        <w:spacing w:before="195"/>
        <w:jc w:val="left"/>
        <w:rPr>
          <w:b/>
        </w:rPr>
      </w:pPr>
    </w:p>
    <w:p>
      <w:pPr>
        <w:pStyle w:val="BodyText"/>
        <w:spacing w:line="480" w:lineRule="auto"/>
        <w:ind w:left="305" w:right="515"/>
      </w:pPr>
      <w:r>
        <w:rPr/>
        <w:t>Machine Learning (ML) is a component of Artificial Intelligent (AI). The major aspect of</w:t>
      </w:r>
      <w:r>
        <w:rPr>
          <w:spacing w:val="-8"/>
        </w:rPr>
        <w:t> </w:t>
      </w:r>
      <w:r>
        <w:rPr/>
        <w:t>ML</w:t>
      </w:r>
      <w:r>
        <w:rPr>
          <w:spacing w:val="-12"/>
        </w:rPr>
        <w:t> </w:t>
      </w:r>
      <w:r>
        <w:rPr/>
        <w:t>is</w:t>
      </w:r>
      <w:r>
        <w:rPr>
          <w:spacing w:val="-7"/>
        </w:rPr>
        <w:t> </w:t>
      </w:r>
      <w:r>
        <w:rPr/>
        <w:t>Deep</w:t>
      </w:r>
      <w:r>
        <w:rPr>
          <w:spacing w:val="-5"/>
        </w:rPr>
        <w:t> </w:t>
      </w:r>
      <w:r>
        <w:rPr/>
        <w:t>Learning</w:t>
      </w:r>
      <w:r>
        <w:rPr>
          <w:spacing w:val="-7"/>
        </w:rPr>
        <w:t> </w:t>
      </w:r>
      <w:r>
        <w:rPr/>
        <w:t>widely</w:t>
      </w:r>
      <w:r>
        <w:rPr>
          <w:spacing w:val="-12"/>
        </w:rPr>
        <w:t> </w:t>
      </w:r>
      <w:r>
        <w:rPr/>
        <w:t>used</w:t>
      </w:r>
      <w:r>
        <w:rPr>
          <w:spacing w:val="-7"/>
        </w:rPr>
        <w:t> </w:t>
      </w:r>
      <w:r>
        <w:rPr/>
        <w:t>in</w:t>
      </w:r>
      <w:r>
        <w:rPr>
          <w:spacing w:val="-7"/>
        </w:rPr>
        <w:t> </w:t>
      </w:r>
      <w:r>
        <w:rPr/>
        <w:t>last</w:t>
      </w:r>
      <w:r>
        <w:rPr>
          <w:spacing w:val="-7"/>
        </w:rPr>
        <w:t> </w:t>
      </w:r>
      <w:r>
        <w:rPr/>
        <w:t>decades</w:t>
      </w:r>
      <w:r>
        <w:rPr>
          <w:spacing w:val="-4"/>
        </w:rPr>
        <w:t> </w:t>
      </w:r>
      <w:r>
        <w:rPr/>
        <w:t>Deep</w:t>
      </w:r>
      <w:r>
        <w:rPr>
          <w:spacing w:val="-5"/>
        </w:rPr>
        <w:t> </w:t>
      </w:r>
      <w:r>
        <w:rPr/>
        <w:t>Learning</w:t>
      </w:r>
      <w:r>
        <w:rPr>
          <w:spacing w:val="-6"/>
        </w:rPr>
        <w:t> </w:t>
      </w:r>
      <w:r>
        <w:rPr/>
        <w:t>(DL)</w:t>
      </w:r>
      <w:r>
        <w:rPr>
          <w:spacing w:val="-8"/>
        </w:rPr>
        <w:t> </w:t>
      </w:r>
      <w:r>
        <w:rPr/>
        <w:t>or</w:t>
      </w:r>
      <w:r>
        <w:rPr>
          <w:spacing w:val="-8"/>
        </w:rPr>
        <w:t> </w:t>
      </w:r>
      <w:r>
        <w:rPr/>
        <w:t>Deep</w:t>
      </w:r>
      <w:r>
        <w:rPr>
          <w:spacing w:val="-7"/>
        </w:rPr>
        <w:t> </w:t>
      </w:r>
      <w:r>
        <w:rPr/>
        <w:t>Neural Network refers to Artificial Neural Networks (ANN) with multi layers (Albawi </w:t>
      </w:r>
      <w:r>
        <w:rPr>
          <w:i/>
        </w:rPr>
        <w:t>et al.</w:t>
      </w:r>
      <w:r>
        <w:rPr/>
        <w:t>, 2017).</w:t>
      </w:r>
      <w:r>
        <w:rPr>
          <w:spacing w:val="-7"/>
        </w:rPr>
        <w:t> </w:t>
      </w:r>
      <w:r>
        <w:rPr/>
        <w:t>In</w:t>
      </w:r>
      <w:r>
        <w:rPr>
          <w:spacing w:val="-6"/>
        </w:rPr>
        <w:t> </w:t>
      </w:r>
      <w:r>
        <w:rPr/>
        <w:t>the</w:t>
      </w:r>
      <w:r>
        <w:rPr>
          <w:spacing w:val="-4"/>
        </w:rPr>
        <w:t> </w:t>
      </w:r>
      <w:r>
        <w:rPr/>
        <w:t>recent</w:t>
      </w:r>
      <w:r>
        <w:rPr>
          <w:spacing w:val="-6"/>
        </w:rPr>
        <w:t> </w:t>
      </w:r>
      <w:r>
        <w:rPr/>
        <w:t>decades,</w:t>
      </w:r>
      <w:r>
        <w:rPr>
          <w:spacing w:val="-7"/>
        </w:rPr>
        <w:t> </w:t>
      </w:r>
      <w:r>
        <w:rPr/>
        <w:t>it</w:t>
      </w:r>
      <w:r>
        <w:rPr>
          <w:spacing w:val="-6"/>
        </w:rPr>
        <w:t> </w:t>
      </w:r>
      <w:r>
        <w:rPr/>
        <w:t>is</w:t>
      </w:r>
      <w:r>
        <w:rPr>
          <w:spacing w:val="-6"/>
        </w:rPr>
        <w:t> </w:t>
      </w:r>
      <w:r>
        <w:rPr/>
        <w:t>considered</w:t>
      </w:r>
      <w:r>
        <w:rPr>
          <w:spacing w:val="-6"/>
        </w:rPr>
        <w:t> </w:t>
      </w:r>
      <w:r>
        <w:rPr/>
        <w:t>among</w:t>
      </w:r>
      <w:r>
        <w:rPr>
          <w:spacing w:val="-8"/>
        </w:rPr>
        <w:t> </w:t>
      </w:r>
      <w:r>
        <w:rPr/>
        <w:t>the</w:t>
      </w:r>
      <w:r>
        <w:rPr>
          <w:spacing w:val="-8"/>
        </w:rPr>
        <w:t> </w:t>
      </w:r>
      <w:r>
        <w:rPr/>
        <w:t>most</w:t>
      </w:r>
      <w:r>
        <w:rPr>
          <w:spacing w:val="-5"/>
        </w:rPr>
        <w:t> </w:t>
      </w:r>
      <w:r>
        <w:rPr/>
        <w:t>powerful</w:t>
      </w:r>
      <w:r>
        <w:rPr>
          <w:spacing w:val="-6"/>
        </w:rPr>
        <w:t> </w:t>
      </w:r>
      <w:r>
        <w:rPr/>
        <w:t>tools,</w:t>
      </w:r>
      <w:r>
        <w:rPr>
          <w:spacing w:val="-6"/>
        </w:rPr>
        <w:t> </w:t>
      </w:r>
      <w:r>
        <w:rPr/>
        <w:t>and</w:t>
      </w:r>
      <w:r>
        <w:rPr>
          <w:spacing w:val="-6"/>
        </w:rPr>
        <w:t> </w:t>
      </w:r>
      <w:r>
        <w:rPr>
          <w:spacing w:val="-2"/>
        </w:rPr>
        <w:t>became</w:t>
      </w:r>
    </w:p>
    <w:p>
      <w:pPr>
        <w:spacing w:after="0" w:line="480" w:lineRule="auto"/>
        <w:sectPr>
          <w:pgSz w:w="11910" w:h="16840"/>
          <w:pgMar w:header="0" w:footer="1022" w:top="1320" w:bottom="1220" w:left="1680" w:right="900"/>
        </w:sectPr>
      </w:pPr>
    </w:p>
    <w:p>
      <w:pPr>
        <w:pStyle w:val="BodyText"/>
        <w:spacing w:line="480" w:lineRule="auto" w:before="72"/>
        <w:ind w:left="305" w:right="514"/>
      </w:pPr>
      <w:r>
        <w:rPr/>
        <w:t>popular in the previous researches because of it capabilities of handling large amount of data. Deeper hidden layers interest recently becoming to outshine the classical methods performance</w:t>
      </w:r>
      <w:r>
        <w:rPr>
          <w:spacing w:val="-15"/>
        </w:rPr>
        <w:t> </w:t>
      </w:r>
      <w:r>
        <w:rPr/>
        <w:t>in</w:t>
      </w:r>
      <w:r>
        <w:rPr>
          <w:spacing w:val="-12"/>
        </w:rPr>
        <w:t> </w:t>
      </w:r>
      <w:r>
        <w:rPr/>
        <w:t>various</w:t>
      </w:r>
      <w:r>
        <w:rPr>
          <w:spacing w:val="-12"/>
        </w:rPr>
        <w:t> </w:t>
      </w:r>
      <w:r>
        <w:rPr/>
        <w:t>endeavours;</w:t>
      </w:r>
      <w:r>
        <w:rPr>
          <w:spacing w:val="-12"/>
        </w:rPr>
        <w:t> </w:t>
      </w:r>
      <w:r>
        <w:rPr/>
        <w:t>particularly</w:t>
      </w:r>
      <w:r>
        <w:rPr>
          <w:spacing w:val="-15"/>
        </w:rPr>
        <w:t> </w:t>
      </w:r>
      <w:r>
        <w:rPr/>
        <w:t>in</w:t>
      </w:r>
      <w:r>
        <w:rPr>
          <w:spacing w:val="-12"/>
        </w:rPr>
        <w:t> </w:t>
      </w:r>
      <w:r>
        <w:rPr/>
        <w:t>recognising</w:t>
      </w:r>
      <w:r>
        <w:rPr>
          <w:spacing w:val="-14"/>
        </w:rPr>
        <w:t> </w:t>
      </w:r>
      <w:r>
        <w:rPr/>
        <w:t>pattern.</w:t>
      </w:r>
      <w:r>
        <w:rPr>
          <w:spacing w:val="-13"/>
        </w:rPr>
        <w:t> </w:t>
      </w:r>
      <w:r>
        <w:rPr/>
        <w:t>One</w:t>
      </w:r>
      <w:r>
        <w:rPr>
          <w:spacing w:val="-11"/>
        </w:rPr>
        <w:t> </w:t>
      </w:r>
      <w:r>
        <w:rPr/>
        <w:t>of</w:t>
      </w:r>
      <w:r>
        <w:rPr>
          <w:spacing w:val="-13"/>
        </w:rPr>
        <w:t> </w:t>
      </w:r>
      <w:r>
        <w:rPr/>
        <w:t>the</w:t>
      </w:r>
      <w:r>
        <w:rPr>
          <w:spacing w:val="-13"/>
        </w:rPr>
        <w:t> </w:t>
      </w:r>
      <w:r>
        <w:rPr/>
        <w:t>widely used deep neural networks is the Artificial Neural Network (Albawi </w:t>
      </w:r>
      <w:r>
        <w:rPr>
          <w:i/>
        </w:rPr>
        <w:t>et al</w:t>
      </w:r>
      <w:r>
        <w:rPr/>
        <w:t>., 2017).</w:t>
      </w:r>
    </w:p>
    <w:p>
      <w:pPr>
        <w:pStyle w:val="Heading1"/>
        <w:numPr>
          <w:ilvl w:val="3"/>
          <w:numId w:val="5"/>
        </w:numPr>
        <w:tabs>
          <w:tab w:pos="1024" w:val="left" w:leader="none"/>
        </w:tabs>
        <w:spacing w:line="240" w:lineRule="auto" w:before="247" w:after="0"/>
        <w:ind w:left="1024" w:right="0" w:hanging="719"/>
        <w:jc w:val="both"/>
      </w:pPr>
      <w:r>
        <w:rPr/>
        <w:t>Artificial</w:t>
      </w:r>
      <w:r>
        <w:rPr>
          <w:spacing w:val="-2"/>
        </w:rPr>
        <w:t> </w:t>
      </w:r>
      <w:r>
        <w:rPr/>
        <w:t>neural</w:t>
      </w:r>
      <w:r>
        <w:rPr>
          <w:spacing w:val="-2"/>
        </w:rPr>
        <w:t> </w:t>
      </w:r>
      <w:r>
        <w:rPr/>
        <w:t>network</w:t>
      </w:r>
      <w:r>
        <w:rPr>
          <w:spacing w:val="-2"/>
        </w:rPr>
        <w:t> </w:t>
      </w:r>
      <w:r>
        <w:rPr>
          <w:spacing w:val="-4"/>
        </w:rPr>
        <w:t>model</w:t>
      </w:r>
    </w:p>
    <w:p>
      <w:pPr>
        <w:pStyle w:val="BodyText"/>
        <w:spacing w:before="192"/>
        <w:jc w:val="left"/>
        <w:rPr>
          <w:b/>
        </w:rPr>
      </w:pPr>
    </w:p>
    <w:p>
      <w:pPr>
        <w:pStyle w:val="BodyText"/>
        <w:spacing w:line="480" w:lineRule="auto"/>
        <w:ind w:left="305" w:right="514"/>
      </w:pPr>
      <w:r>
        <w:rPr/>
        <w:t>Artificial Neural Network (ANN) is an artificial intelligence model originally designed to</w:t>
      </w:r>
      <w:r>
        <w:rPr>
          <w:spacing w:val="-1"/>
        </w:rPr>
        <w:t> </w:t>
      </w:r>
      <w:r>
        <w:rPr/>
        <w:t>replicate</w:t>
      </w:r>
      <w:r>
        <w:rPr>
          <w:spacing w:val="-2"/>
        </w:rPr>
        <w:t> </w:t>
      </w:r>
      <w:r>
        <w:rPr/>
        <w:t>the human</w:t>
      </w:r>
      <w:r>
        <w:rPr>
          <w:spacing w:val="-2"/>
        </w:rPr>
        <w:t> </w:t>
      </w:r>
      <w:r>
        <w:rPr/>
        <w:t>brain’s</w:t>
      </w:r>
      <w:r>
        <w:rPr>
          <w:spacing w:val="-1"/>
        </w:rPr>
        <w:t> </w:t>
      </w:r>
      <w:r>
        <w:rPr/>
        <w:t>learning</w:t>
      </w:r>
      <w:r>
        <w:rPr>
          <w:spacing w:val="-4"/>
        </w:rPr>
        <w:t> </w:t>
      </w:r>
      <w:r>
        <w:rPr/>
        <w:t>process (Limsombunc</w:t>
      </w:r>
      <w:r>
        <w:rPr>
          <w:spacing w:val="-1"/>
        </w:rPr>
        <w:t> </w:t>
      </w:r>
      <w:r>
        <w:rPr>
          <w:i/>
        </w:rPr>
        <w:t>et</w:t>
      </w:r>
      <w:r>
        <w:rPr>
          <w:i/>
          <w:spacing w:val="-1"/>
        </w:rPr>
        <w:t> </w:t>
      </w:r>
      <w:r>
        <w:rPr>
          <w:i/>
        </w:rPr>
        <w:t>al</w:t>
      </w:r>
      <w:r>
        <w:rPr/>
        <w:t>.,</w:t>
      </w:r>
      <w:r>
        <w:rPr>
          <w:spacing w:val="-1"/>
        </w:rPr>
        <w:t> </w:t>
      </w:r>
      <w:r>
        <w:rPr/>
        <w:t>2004;</w:t>
      </w:r>
      <w:r>
        <w:rPr>
          <w:spacing w:val="-1"/>
        </w:rPr>
        <w:t> </w:t>
      </w:r>
      <w:r>
        <w:rPr/>
        <w:t>Kauko,</w:t>
      </w:r>
      <w:r>
        <w:rPr>
          <w:spacing w:val="-1"/>
        </w:rPr>
        <w:t> </w:t>
      </w:r>
      <w:r>
        <w:rPr/>
        <w:t>2003; Khalafallah, 2008). The model consists of three main layers: input data layer, hidden layer(s) (commonly referred as “black box”), and output layer. Neural network is an interconnected network of artificial neurons with a rule to adjust the strength or weight of</w:t>
      </w:r>
      <w:r>
        <w:rPr>
          <w:spacing w:val="-15"/>
        </w:rPr>
        <w:t> </w:t>
      </w:r>
      <w:r>
        <w:rPr/>
        <w:t>the</w:t>
      </w:r>
      <w:r>
        <w:rPr>
          <w:spacing w:val="-15"/>
        </w:rPr>
        <w:t> </w:t>
      </w:r>
      <w:r>
        <w:rPr/>
        <w:t>connections</w:t>
      </w:r>
      <w:r>
        <w:rPr>
          <w:spacing w:val="-15"/>
        </w:rPr>
        <w:t> </w:t>
      </w:r>
      <w:r>
        <w:rPr/>
        <w:t>between</w:t>
      </w:r>
      <w:r>
        <w:rPr>
          <w:spacing w:val="-15"/>
        </w:rPr>
        <w:t> </w:t>
      </w:r>
      <w:r>
        <w:rPr/>
        <w:t>the</w:t>
      </w:r>
      <w:r>
        <w:rPr>
          <w:spacing w:val="-15"/>
        </w:rPr>
        <w:t> </w:t>
      </w:r>
      <w:r>
        <w:rPr/>
        <w:t>units</w:t>
      </w:r>
      <w:r>
        <w:rPr>
          <w:spacing w:val="-15"/>
        </w:rPr>
        <w:t> </w:t>
      </w:r>
      <w:r>
        <w:rPr/>
        <w:t>in</w:t>
      </w:r>
      <w:r>
        <w:rPr>
          <w:spacing w:val="-15"/>
        </w:rPr>
        <w:t> </w:t>
      </w:r>
      <w:r>
        <w:rPr/>
        <w:t>response</w:t>
      </w:r>
      <w:r>
        <w:rPr>
          <w:spacing w:val="-15"/>
        </w:rPr>
        <w:t> </w:t>
      </w:r>
      <w:r>
        <w:rPr/>
        <w:t>to</w:t>
      </w:r>
      <w:r>
        <w:rPr>
          <w:spacing w:val="-15"/>
        </w:rPr>
        <w:t> </w:t>
      </w:r>
      <w:r>
        <w:rPr/>
        <w:t>externally</w:t>
      </w:r>
      <w:r>
        <w:rPr>
          <w:spacing w:val="-15"/>
        </w:rPr>
        <w:t> </w:t>
      </w:r>
      <w:r>
        <w:rPr/>
        <w:t>supplied</w:t>
      </w:r>
      <w:r>
        <w:rPr>
          <w:spacing w:val="-15"/>
        </w:rPr>
        <w:t> </w:t>
      </w:r>
      <w:r>
        <w:rPr/>
        <w:t>data</w:t>
      </w:r>
      <w:r>
        <w:rPr>
          <w:spacing w:val="-15"/>
        </w:rPr>
        <w:t> </w:t>
      </w:r>
      <w:r>
        <w:rPr/>
        <w:t>(Limsombunc </w:t>
      </w:r>
      <w:r>
        <w:rPr>
          <w:i/>
        </w:rPr>
        <w:t>et al</w:t>
      </w:r>
      <w:r>
        <w:rPr/>
        <w:t>., 2004).</w:t>
      </w:r>
    </w:p>
    <w:p>
      <w:pPr>
        <w:pStyle w:val="BodyText"/>
        <w:spacing w:line="480" w:lineRule="auto" w:before="242"/>
        <w:ind w:left="305" w:right="517"/>
      </w:pPr>
      <w:r>
        <w:rPr>
          <w:color w:val="111111"/>
        </w:rPr>
        <w:t>The basic structural elements of a neural network are called neurons or nodes, where weights</w:t>
      </w:r>
      <w:r>
        <w:rPr>
          <w:color w:val="111111"/>
          <w:spacing w:val="-1"/>
        </w:rPr>
        <w:t> </w:t>
      </w:r>
      <w:r>
        <w:rPr>
          <w:color w:val="111111"/>
        </w:rPr>
        <w:t>determine</w:t>
      </w:r>
      <w:r>
        <w:rPr>
          <w:color w:val="111111"/>
          <w:spacing w:val="-2"/>
        </w:rPr>
        <w:t> </w:t>
      </w:r>
      <w:r>
        <w:rPr>
          <w:color w:val="111111"/>
        </w:rPr>
        <w:t>the connections.</w:t>
      </w:r>
      <w:r>
        <w:rPr>
          <w:color w:val="111111"/>
          <w:spacing w:val="-1"/>
        </w:rPr>
        <w:t> </w:t>
      </w:r>
      <w:r>
        <w:rPr>
          <w:color w:val="111111"/>
        </w:rPr>
        <w:t>Although,</w:t>
      </w:r>
      <w:r>
        <w:rPr>
          <w:color w:val="111111"/>
          <w:spacing w:val="-1"/>
        </w:rPr>
        <w:t> </w:t>
      </w:r>
      <w:r>
        <w:rPr>
          <w:color w:val="111111"/>
        </w:rPr>
        <w:t>numerical</w:t>
      </w:r>
      <w:r>
        <w:rPr>
          <w:color w:val="111111"/>
          <w:spacing w:val="-1"/>
        </w:rPr>
        <w:t> </w:t>
      </w:r>
      <w:r>
        <w:rPr>
          <w:color w:val="111111"/>
        </w:rPr>
        <w:t>signal</w:t>
      </w:r>
      <w:r>
        <w:rPr>
          <w:color w:val="111111"/>
          <w:spacing w:val="-1"/>
        </w:rPr>
        <w:t> </w:t>
      </w:r>
      <w:r>
        <w:rPr>
          <w:color w:val="111111"/>
        </w:rPr>
        <w:t>coming</w:t>
      </w:r>
      <w:r>
        <w:rPr>
          <w:color w:val="111111"/>
          <w:spacing w:val="-4"/>
        </w:rPr>
        <w:t> </w:t>
      </w:r>
      <w:r>
        <w:rPr>
          <w:color w:val="111111"/>
        </w:rPr>
        <w:t>from</w:t>
      </w:r>
      <w:r>
        <w:rPr>
          <w:color w:val="111111"/>
          <w:spacing w:val="-1"/>
        </w:rPr>
        <w:t> </w:t>
      </w:r>
      <w:r>
        <w:rPr>
          <w:color w:val="111111"/>
        </w:rPr>
        <w:t>outside</w:t>
      </w:r>
      <w:r>
        <w:rPr>
          <w:color w:val="111111"/>
          <w:spacing w:val="-2"/>
        </w:rPr>
        <w:t> </w:t>
      </w:r>
      <w:r>
        <w:rPr>
          <w:color w:val="111111"/>
        </w:rPr>
        <w:t>the network are process by the neurons in a way that the input and output information are connected. This form of connection is known as the ‘intelligence of the network’</w:t>
      </w:r>
      <w:r>
        <w:rPr/>
        <w:t>. The various types of</w:t>
      </w:r>
      <w:r>
        <w:rPr>
          <w:spacing w:val="-1"/>
        </w:rPr>
        <w:t> </w:t>
      </w:r>
      <w:r>
        <w:rPr/>
        <w:t>networks can be classified according</w:t>
      </w:r>
      <w:r>
        <w:rPr>
          <w:spacing w:val="-2"/>
        </w:rPr>
        <w:t> </w:t>
      </w:r>
      <w:r>
        <w:rPr/>
        <w:t>to their</w:t>
      </w:r>
      <w:r>
        <w:rPr>
          <w:spacing w:val="-1"/>
        </w:rPr>
        <w:t> </w:t>
      </w:r>
      <w:r>
        <w:rPr/>
        <w:t>network architecture (feed forward, feedback, or competitive) and the nature of the learning process (supervised or unsupervised) (Kauko, 2003).</w:t>
      </w:r>
    </w:p>
    <w:p>
      <w:pPr>
        <w:pStyle w:val="BodyText"/>
        <w:spacing w:line="480" w:lineRule="auto" w:before="241"/>
        <w:ind w:left="305" w:right="513"/>
      </w:pPr>
      <w:r>
        <w:rPr/>
        <w:t>Fundamental to the practical application of ANN models is the concept of ‘universal approximation’ (Selim, 2009). ANNs are algorithms network based on mathematical principles designed to mimic human behaviour in the neural system in decision making that have ability of generalisation (Khalafallah, 2008). ANNs outputs are based on the training</w:t>
      </w:r>
      <w:r>
        <w:rPr>
          <w:spacing w:val="1"/>
        </w:rPr>
        <w:t> </w:t>
      </w:r>
      <w:r>
        <w:rPr/>
        <w:t>of</w:t>
      </w:r>
      <w:r>
        <w:rPr>
          <w:spacing w:val="5"/>
        </w:rPr>
        <w:t> </w:t>
      </w:r>
      <w:r>
        <w:rPr/>
        <w:t>the</w:t>
      </w:r>
      <w:r>
        <w:rPr>
          <w:spacing w:val="5"/>
        </w:rPr>
        <w:t> </w:t>
      </w:r>
      <w:r>
        <w:rPr/>
        <w:t>inputs</w:t>
      </w:r>
      <w:r>
        <w:rPr>
          <w:spacing w:val="6"/>
        </w:rPr>
        <w:t> </w:t>
      </w:r>
      <w:r>
        <w:rPr/>
        <w:t>given.</w:t>
      </w:r>
      <w:r>
        <w:rPr>
          <w:spacing w:val="5"/>
        </w:rPr>
        <w:t> </w:t>
      </w:r>
      <w:r>
        <w:rPr/>
        <w:t>ANNs</w:t>
      </w:r>
      <w:r>
        <w:rPr>
          <w:spacing w:val="5"/>
        </w:rPr>
        <w:t> </w:t>
      </w:r>
      <w:r>
        <w:rPr/>
        <w:t>are</w:t>
      </w:r>
      <w:r>
        <w:rPr>
          <w:spacing w:val="4"/>
        </w:rPr>
        <w:t> </w:t>
      </w:r>
      <w:r>
        <w:rPr/>
        <w:t>extensively</w:t>
      </w:r>
      <w:r>
        <w:rPr>
          <w:spacing w:val="8"/>
        </w:rPr>
        <w:t> </w:t>
      </w:r>
      <w:r>
        <w:rPr/>
        <w:t>used</w:t>
      </w:r>
      <w:r>
        <w:rPr>
          <w:spacing w:val="5"/>
        </w:rPr>
        <w:t> </w:t>
      </w:r>
      <w:r>
        <w:rPr/>
        <w:t>as</w:t>
      </w:r>
      <w:r>
        <w:rPr>
          <w:spacing w:val="6"/>
        </w:rPr>
        <w:t> </w:t>
      </w:r>
      <w:r>
        <w:rPr/>
        <w:t>powerful</w:t>
      </w:r>
      <w:r>
        <w:rPr>
          <w:spacing w:val="6"/>
        </w:rPr>
        <w:t> </w:t>
      </w:r>
      <w:r>
        <w:rPr/>
        <w:t>tools</w:t>
      </w:r>
      <w:r>
        <w:rPr>
          <w:spacing w:val="5"/>
        </w:rPr>
        <w:t> </w:t>
      </w:r>
      <w:r>
        <w:rPr/>
        <w:t>for</w:t>
      </w:r>
      <w:r>
        <w:rPr>
          <w:spacing w:val="5"/>
        </w:rPr>
        <w:t> </w:t>
      </w:r>
      <w:r>
        <w:rPr>
          <w:spacing w:val="-2"/>
        </w:rPr>
        <w:t>predicting</w:t>
      </w:r>
    </w:p>
    <w:p>
      <w:pPr>
        <w:spacing w:after="0" w:line="480" w:lineRule="auto"/>
        <w:sectPr>
          <w:pgSz w:w="11910" w:h="16840"/>
          <w:pgMar w:header="0" w:footer="1022" w:top="1320" w:bottom="1220" w:left="1680" w:right="900"/>
        </w:sectPr>
      </w:pPr>
    </w:p>
    <w:p>
      <w:pPr>
        <w:pStyle w:val="BodyText"/>
        <w:spacing w:line="480" w:lineRule="auto" w:before="72"/>
        <w:ind w:left="305" w:right="513"/>
      </w:pPr>
      <w:r>
        <w:rPr/>
        <w:t>and</w:t>
      </w:r>
      <w:r>
        <w:rPr>
          <w:spacing w:val="-8"/>
        </w:rPr>
        <w:t> </w:t>
      </w:r>
      <w:r>
        <w:rPr/>
        <w:t>estimating</w:t>
      </w:r>
      <w:r>
        <w:rPr>
          <w:spacing w:val="-8"/>
        </w:rPr>
        <w:t> </w:t>
      </w:r>
      <w:r>
        <w:rPr/>
        <w:t>a</w:t>
      </w:r>
      <w:r>
        <w:rPr>
          <w:spacing w:val="-7"/>
        </w:rPr>
        <w:t> </w:t>
      </w:r>
      <w:r>
        <w:rPr/>
        <w:t>conventional</w:t>
      </w:r>
      <w:r>
        <w:rPr>
          <w:spacing w:val="-8"/>
        </w:rPr>
        <w:t> </w:t>
      </w:r>
      <w:r>
        <w:rPr/>
        <w:t>research</w:t>
      </w:r>
      <w:r>
        <w:rPr>
          <w:spacing w:val="-6"/>
        </w:rPr>
        <w:t> </w:t>
      </w:r>
      <w:r>
        <w:rPr/>
        <w:t>(Khalafallah,</w:t>
      </w:r>
      <w:r>
        <w:rPr>
          <w:spacing w:val="-8"/>
        </w:rPr>
        <w:t> </w:t>
      </w:r>
      <w:r>
        <w:rPr/>
        <w:t>2008).</w:t>
      </w:r>
      <w:r>
        <w:rPr>
          <w:spacing w:val="-8"/>
        </w:rPr>
        <w:t> </w:t>
      </w:r>
      <w:r>
        <w:rPr/>
        <w:t>The</w:t>
      </w:r>
      <w:r>
        <w:rPr>
          <w:spacing w:val="-7"/>
        </w:rPr>
        <w:t> </w:t>
      </w:r>
      <w:r>
        <w:rPr/>
        <w:t>most</w:t>
      </w:r>
      <w:r>
        <w:rPr>
          <w:spacing w:val="-7"/>
        </w:rPr>
        <w:t> </w:t>
      </w:r>
      <w:r>
        <w:rPr/>
        <w:t>commonly</w:t>
      </w:r>
      <w:r>
        <w:rPr>
          <w:spacing w:val="-12"/>
        </w:rPr>
        <w:t> </w:t>
      </w:r>
      <w:r>
        <w:rPr/>
        <w:t>applied ANN structure is the feed forward network (Selim, 2009). James and Carol (2000) provided a feed forward neural network model structure as presented in Figure 2.1.</w:t>
      </w:r>
    </w:p>
    <w:p>
      <w:pPr>
        <w:pStyle w:val="BodyText"/>
        <w:spacing w:before="7"/>
        <w:jc w:val="left"/>
        <w:rPr>
          <w:sz w:val="20"/>
        </w:rPr>
      </w:pPr>
      <w:r>
        <w:rPr/>
        <mc:AlternateContent>
          <mc:Choice Requires="wps">
            <w:drawing>
              <wp:anchor distT="0" distB="0" distL="0" distR="0" allowOverlap="1" layoutInCell="1" locked="0" behindDoc="1" simplePos="0" relativeHeight="487588864">
                <wp:simplePos x="0" y="0"/>
                <wp:positionH relativeFrom="page">
                  <wp:posOffset>2170176</wp:posOffset>
                </wp:positionH>
                <wp:positionV relativeFrom="paragraph">
                  <wp:posOffset>166713</wp:posOffset>
                </wp:positionV>
                <wp:extent cx="3580129" cy="4200525"/>
                <wp:effectExtent l="0" t="0" r="0" b="0"/>
                <wp:wrapTopAndBottom/>
                <wp:docPr id="5" name="Group 5" descr="C:\Users\RAMATU S. MOHAMMED\Desktop\ANN.PNG"/>
                <wp:cNvGraphicFramePr>
                  <a:graphicFrameLocks/>
                </wp:cNvGraphicFramePr>
                <a:graphic>
                  <a:graphicData uri="http://schemas.microsoft.com/office/word/2010/wordprocessingGroup">
                    <wpg:wgp>
                      <wpg:cNvPr id="5" name="Group 5" descr="C:\Users\RAMATU S. MOHAMMED\Desktop\ANN.PNG"/>
                      <wpg:cNvGrpSpPr/>
                      <wpg:grpSpPr>
                        <a:xfrm>
                          <a:off x="0" y="0"/>
                          <a:ext cx="3580129" cy="4200525"/>
                          <a:chExt cx="3580129" cy="4200525"/>
                        </a:xfrm>
                      </wpg:grpSpPr>
                      <pic:pic>
                        <pic:nvPicPr>
                          <pic:cNvPr id="6" name="Image 6" descr="C:\Users\RAMATU S. MOHAMMED\Desktop\ANN.PNG"/>
                          <pic:cNvPicPr/>
                        </pic:nvPicPr>
                        <pic:blipFill>
                          <a:blip r:embed="rId12" cstate="print"/>
                          <a:stretch>
                            <a:fillRect/>
                          </a:stretch>
                        </pic:blipFill>
                        <pic:spPr>
                          <a:xfrm>
                            <a:off x="9144" y="9143"/>
                            <a:ext cx="3561588" cy="4181856"/>
                          </a:xfrm>
                          <a:prstGeom prst="rect">
                            <a:avLst/>
                          </a:prstGeom>
                        </pic:spPr>
                      </pic:pic>
                      <wps:wsp>
                        <wps:cNvPr id="7" name="Graphic 7"/>
                        <wps:cNvSpPr/>
                        <wps:spPr>
                          <a:xfrm>
                            <a:off x="4572" y="4572"/>
                            <a:ext cx="3571240" cy="4191000"/>
                          </a:xfrm>
                          <a:custGeom>
                            <a:avLst/>
                            <a:gdLst/>
                            <a:ahLst/>
                            <a:cxnLst/>
                            <a:rect l="l" t="t" r="r" b="b"/>
                            <a:pathLst>
                              <a:path w="3571240" h="4191000">
                                <a:moveTo>
                                  <a:pt x="0" y="4191000"/>
                                </a:moveTo>
                                <a:lnTo>
                                  <a:pt x="3570732" y="4191000"/>
                                </a:lnTo>
                                <a:lnTo>
                                  <a:pt x="3570732" y="0"/>
                                </a:lnTo>
                                <a:lnTo>
                                  <a:pt x="0" y="0"/>
                                </a:lnTo>
                                <a:lnTo>
                                  <a:pt x="0" y="4191000"/>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70.880005pt;margin-top:13.127031pt;width:281.9pt;height:330.75pt;mso-position-horizontal-relative:page;mso-position-vertical-relative:paragraph;z-index:-15727616;mso-wrap-distance-left:0;mso-wrap-distance-right:0" id="docshapegroup2" coordorigin="3418,263" coordsize="5638,6615" alt="C:\Users\RAMATU S. MOHAMMED\Desktop\ANN.PNG">
                <v:shape style="position:absolute;left:3432;top:276;width:5609;height:6586" type="#_x0000_t75" id="docshape3" alt="C:\Users\RAMATU S. MOHAMMED\Desktop\ANN.PNG" stroked="false">
                  <v:imagedata r:id="rId12" o:title=""/>
                </v:shape>
                <v:rect style="position:absolute;left:3424;top:269;width:5624;height:6600" id="docshape4" filled="false" stroked="true" strokeweight=".72pt" strokecolor="#000000">
                  <v:stroke dashstyle="solid"/>
                </v:rect>
                <w10:wrap type="topAndBottom"/>
              </v:group>
            </w:pict>
          </mc:Fallback>
        </mc:AlternateContent>
      </w:r>
    </w:p>
    <w:p>
      <w:pPr>
        <w:spacing w:line="235" w:lineRule="auto" w:before="34"/>
        <w:ind w:left="1582" w:right="513" w:hanging="1038"/>
        <w:jc w:val="left"/>
        <w:rPr>
          <w:sz w:val="24"/>
        </w:rPr>
      </w:pPr>
      <w:r>
        <w:rPr>
          <w:b/>
          <w:sz w:val="24"/>
        </w:rPr>
        <w:t>Figure</w:t>
      </w:r>
      <w:r>
        <w:rPr>
          <w:b/>
          <w:spacing w:val="-5"/>
          <w:sz w:val="24"/>
        </w:rPr>
        <w:t> </w:t>
      </w:r>
      <w:r>
        <w:rPr>
          <w:b/>
          <w:sz w:val="24"/>
        </w:rPr>
        <w:t>2.1:</w:t>
      </w:r>
      <w:r>
        <w:rPr>
          <w:b/>
          <w:spacing w:val="-2"/>
          <w:sz w:val="24"/>
        </w:rPr>
        <w:t> </w:t>
      </w:r>
      <w:r>
        <w:rPr>
          <w:b/>
          <w:sz w:val="24"/>
        </w:rPr>
        <w:t>Feed</w:t>
      </w:r>
      <w:r>
        <w:rPr>
          <w:b/>
          <w:spacing w:val="-1"/>
          <w:sz w:val="24"/>
        </w:rPr>
        <w:t> </w:t>
      </w:r>
      <w:r>
        <w:rPr>
          <w:b/>
          <w:sz w:val="24"/>
        </w:rPr>
        <w:t>Forward</w:t>
      </w:r>
      <w:r>
        <w:rPr>
          <w:b/>
          <w:spacing w:val="-4"/>
          <w:sz w:val="24"/>
        </w:rPr>
        <w:t> </w:t>
      </w:r>
      <w:r>
        <w:rPr>
          <w:b/>
          <w:sz w:val="24"/>
        </w:rPr>
        <w:t>Neural</w:t>
      </w:r>
      <w:r>
        <w:rPr>
          <w:b/>
          <w:spacing w:val="-4"/>
          <w:sz w:val="24"/>
        </w:rPr>
        <w:t> </w:t>
      </w:r>
      <w:r>
        <w:rPr>
          <w:b/>
          <w:sz w:val="24"/>
        </w:rPr>
        <w:t>Network</w:t>
      </w:r>
      <w:r>
        <w:rPr>
          <w:b/>
          <w:spacing w:val="-4"/>
          <w:sz w:val="24"/>
        </w:rPr>
        <w:t> </w:t>
      </w:r>
      <w:r>
        <w:rPr>
          <w:b/>
          <w:sz w:val="24"/>
        </w:rPr>
        <w:t>Structure</w:t>
      </w:r>
      <w:r>
        <w:rPr>
          <w:b/>
          <w:spacing w:val="-2"/>
          <w:sz w:val="24"/>
        </w:rPr>
        <w:t> </w:t>
      </w:r>
      <w:r>
        <w:rPr>
          <w:b/>
          <w:sz w:val="24"/>
        </w:rPr>
        <w:t>with</w:t>
      </w:r>
      <w:r>
        <w:rPr>
          <w:b/>
          <w:spacing w:val="-4"/>
          <w:sz w:val="24"/>
        </w:rPr>
        <w:t> </w:t>
      </w:r>
      <w:r>
        <w:rPr>
          <w:b/>
          <w:sz w:val="24"/>
        </w:rPr>
        <w:t>Two</w:t>
      </w:r>
      <w:r>
        <w:rPr>
          <w:b/>
          <w:spacing w:val="-7"/>
          <w:sz w:val="24"/>
        </w:rPr>
        <w:t> </w:t>
      </w:r>
      <w:r>
        <w:rPr>
          <w:b/>
          <w:sz w:val="24"/>
        </w:rPr>
        <w:t>Hidden</w:t>
      </w:r>
      <w:r>
        <w:rPr>
          <w:b/>
          <w:spacing w:val="-4"/>
          <w:sz w:val="24"/>
        </w:rPr>
        <w:t> </w:t>
      </w:r>
      <w:r>
        <w:rPr>
          <w:b/>
          <w:sz w:val="24"/>
        </w:rPr>
        <w:t>Layers Source: </w:t>
      </w:r>
      <w:r>
        <w:rPr>
          <w:sz w:val="24"/>
        </w:rPr>
        <w:t>James and Carol (2000) in Limsombunc </w:t>
      </w:r>
      <w:r>
        <w:rPr>
          <w:i/>
          <w:sz w:val="24"/>
        </w:rPr>
        <w:t>et al</w:t>
      </w:r>
      <w:r>
        <w:rPr>
          <w:sz w:val="24"/>
        </w:rPr>
        <w:t>. (2004)</w:t>
      </w:r>
    </w:p>
    <w:p>
      <w:pPr>
        <w:pStyle w:val="BodyText"/>
        <w:spacing w:before="241"/>
        <w:jc w:val="left"/>
      </w:pPr>
    </w:p>
    <w:p>
      <w:pPr>
        <w:pStyle w:val="BodyText"/>
        <w:spacing w:line="480" w:lineRule="auto"/>
        <w:ind w:left="305" w:right="513"/>
      </w:pPr>
      <w:r>
        <w:rPr/>
        <w:t>There</w:t>
      </w:r>
      <w:r>
        <w:rPr>
          <w:spacing w:val="-12"/>
        </w:rPr>
        <w:t> </w:t>
      </w:r>
      <w:r>
        <w:rPr/>
        <w:t>is</w:t>
      </w:r>
      <w:r>
        <w:rPr>
          <w:spacing w:val="-11"/>
        </w:rPr>
        <w:t> </w:t>
      </w:r>
      <w:r>
        <w:rPr/>
        <w:t>a</w:t>
      </w:r>
      <w:r>
        <w:rPr>
          <w:spacing w:val="-11"/>
        </w:rPr>
        <w:t> </w:t>
      </w:r>
      <w:r>
        <w:rPr/>
        <w:t>set</w:t>
      </w:r>
      <w:r>
        <w:rPr>
          <w:spacing w:val="-12"/>
        </w:rPr>
        <w:t> </w:t>
      </w:r>
      <w:r>
        <w:rPr/>
        <w:t>of</w:t>
      </w:r>
      <w:r>
        <w:rPr>
          <w:spacing w:val="-11"/>
        </w:rPr>
        <w:t> </w:t>
      </w:r>
      <w:r>
        <w:rPr/>
        <w:t>input</w:t>
      </w:r>
      <w:r>
        <w:rPr>
          <w:spacing w:val="-11"/>
        </w:rPr>
        <w:t> </w:t>
      </w:r>
      <w:r>
        <w:rPr/>
        <w:t>connections</w:t>
      </w:r>
      <w:r>
        <w:rPr>
          <w:spacing w:val="-12"/>
        </w:rPr>
        <w:t> </w:t>
      </w:r>
      <w:r>
        <w:rPr/>
        <w:t>from</w:t>
      </w:r>
      <w:r>
        <w:rPr>
          <w:spacing w:val="-9"/>
        </w:rPr>
        <w:t> </w:t>
      </w:r>
      <w:r>
        <w:rPr/>
        <w:t>each</w:t>
      </w:r>
      <w:r>
        <w:rPr>
          <w:spacing w:val="-10"/>
        </w:rPr>
        <w:t> </w:t>
      </w:r>
      <w:r>
        <w:rPr/>
        <w:t>artificial</w:t>
      </w:r>
      <w:r>
        <w:rPr>
          <w:spacing w:val="-12"/>
        </w:rPr>
        <w:t> </w:t>
      </w:r>
      <w:r>
        <w:rPr/>
        <w:t>neuron</w:t>
      </w:r>
      <w:r>
        <w:rPr>
          <w:spacing w:val="-11"/>
        </w:rPr>
        <w:t> </w:t>
      </w:r>
      <w:r>
        <w:rPr/>
        <w:t>(or</w:t>
      </w:r>
      <w:r>
        <w:rPr>
          <w:spacing w:val="-11"/>
        </w:rPr>
        <w:t> </w:t>
      </w:r>
      <w:r>
        <w:rPr/>
        <w:t>computational</w:t>
      </w:r>
      <w:r>
        <w:rPr>
          <w:spacing w:val="-12"/>
        </w:rPr>
        <w:t> </w:t>
      </w:r>
      <w:r>
        <w:rPr/>
        <w:t>unit)</w:t>
      </w:r>
      <w:r>
        <w:rPr>
          <w:spacing w:val="-13"/>
        </w:rPr>
        <w:t> </w:t>
      </w:r>
      <w:r>
        <w:rPr/>
        <w:t>that receive</w:t>
      </w:r>
      <w:r>
        <w:rPr>
          <w:spacing w:val="-1"/>
        </w:rPr>
        <w:t> </w:t>
      </w:r>
      <w:r>
        <w:rPr/>
        <w:t>signals from certain artificial neurons and a</w:t>
      </w:r>
      <w:r>
        <w:rPr>
          <w:spacing w:val="-1"/>
        </w:rPr>
        <w:t> </w:t>
      </w:r>
      <w:r>
        <w:rPr/>
        <w:t>bias adjustment, weights attached to input connection and bias adjustment, and sum of the weighted inputs are transform through the transfer function and bias to decide the value of the output from computational unit (Limsombunc </w:t>
      </w:r>
      <w:r>
        <w:rPr>
          <w:i/>
        </w:rPr>
        <w:t>et al</w:t>
      </w:r>
      <w:r>
        <w:rPr/>
        <w:t>., 2004).</w:t>
      </w:r>
    </w:p>
    <w:p>
      <w:pPr>
        <w:pStyle w:val="BodyText"/>
        <w:spacing w:line="480" w:lineRule="auto" w:before="241"/>
        <w:ind w:left="305" w:right="516"/>
      </w:pPr>
      <w:r>
        <w:rPr/>
        <w:t>Kauko (2003) argued that ANN results are strongly dependent on the data – nearly all necessary</w:t>
      </w:r>
      <w:r>
        <w:rPr>
          <w:spacing w:val="16"/>
        </w:rPr>
        <w:t> </w:t>
      </w:r>
      <w:r>
        <w:rPr/>
        <w:t>guidance</w:t>
      </w:r>
      <w:r>
        <w:rPr>
          <w:spacing w:val="20"/>
        </w:rPr>
        <w:t> </w:t>
      </w:r>
      <w:r>
        <w:rPr/>
        <w:t>for</w:t>
      </w:r>
      <w:r>
        <w:rPr>
          <w:spacing w:val="19"/>
        </w:rPr>
        <w:t> </w:t>
      </w:r>
      <w:r>
        <w:rPr/>
        <w:t>the</w:t>
      </w:r>
      <w:r>
        <w:rPr>
          <w:spacing w:val="20"/>
        </w:rPr>
        <w:t> </w:t>
      </w:r>
      <w:r>
        <w:rPr/>
        <w:t>analyses</w:t>
      </w:r>
      <w:r>
        <w:rPr>
          <w:spacing w:val="21"/>
        </w:rPr>
        <w:t> </w:t>
      </w:r>
      <w:r>
        <w:rPr/>
        <w:t>is</w:t>
      </w:r>
      <w:r>
        <w:rPr>
          <w:spacing w:val="22"/>
        </w:rPr>
        <w:t> </w:t>
      </w:r>
      <w:r>
        <w:rPr/>
        <w:t>obtained</w:t>
      </w:r>
      <w:r>
        <w:rPr>
          <w:spacing w:val="23"/>
        </w:rPr>
        <w:t> </w:t>
      </w:r>
      <w:r>
        <w:rPr/>
        <w:t>from</w:t>
      </w:r>
      <w:r>
        <w:rPr>
          <w:spacing w:val="21"/>
        </w:rPr>
        <w:t> </w:t>
      </w:r>
      <w:r>
        <w:rPr/>
        <w:t>the</w:t>
      </w:r>
      <w:r>
        <w:rPr>
          <w:spacing w:val="20"/>
        </w:rPr>
        <w:t> </w:t>
      </w:r>
      <w:r>
        <w:rPr/>
        <w:t>sample</w:t>
      </w:r>
      <w:r>
        <w:rPr>
          <w:spacing w:val="20"/>
        </w:rPr>
        <w:t> </w:t>
      </w:r>
      <w:r>
        <w:rPr/>
        <w:t>we</w:t>
      </w:r>
      <w:r>
        <w:rPr>
          <w:spacing w:val="19"/>
        </w:rPr>
        <w:t> </w:t>
      </w:r>
      <w:r>
        <w:rPr/>
        <w:t>feed</w:t>
      </w:r>
      <w:r>
        <w:rPr>
          <w:spacing w:val="23"/>
        </w:rPr>
        <w:t> </w:t>
      </w:r>
      <w:r>
        <w:rPr/>
        <w:t>the</w:t>
      </w:r>
      <w:r>
        <w:rPr>
          <w:spacing w:val="21"/>
        </w:rPr>
        <w:t> </w:t>
      </w:r>
      <w:r>
        <w:rPr>
          <w:spacing w:val="-2"/>
        </w:rPr>
        <w:t>network.</w:t>
      </w:r>
    </w:p>
    <w:p>
      <w:pPr>
        <w:spacing w:after="0" w:line="480" w:lineRule="auto"/>
        <w:sectPr>
          <w:pgSz w:w="11910" w:h="16840"/>
          <w:pgMar w:header="0" w:footer="1022" w:top="1320" w:bottom="1220" w:left="1680" w:right="900"/>
        </w:sectPr>
      </w:pPr>
    </w:p>
    <w:p>
      <w:pPr>
        <w:pStyle w:val="BodyText"/>
        <w:spacing w:line="480" w:lineRule="auto" w:before="72"/>
        <w:ind w:left="305" w:right="516"/>
      </w:pPr>
      <w:r>
        <w:rPr/>
        <w:t>According</w:t>
      </w:r>
      <w:r>
        <w:rPr>
          <w:spacing w:val="-12"/>
        </w:rPr>
        <w:t> </w:t>
      </w:r>
      <w:r>
        <w:rPr/>
        <w:t>to</w:t>
      </w:r>
      <w:r>
        <w:rPr>
          <w:spacing w:val="-9"/>
        </w:rPr>
        <w:t> </w:t>
      </w:r>
      <w:r>
        <w:rPr/>
        <w:t>the</w:t>
      </w:r>
      <w:r>
        <w:rPr>
          <w:spacing w:val="-10"/>
        </w:rPr>
        <w:t> </w:t>
      </w:r>
      <w:r>
        <w:rPr/>
        <w:t>author,</w:t>
      </w:r>
      <w:r>
        <w:rPr>
          <w:spacing w:val="-10"/>
        </w:rPr>
        <w:t> </w:t>
      </w:r>
      <w:r>
        <w:rPr/>
        <w:t>‘neural</w:t>
      </w:r>
      <w:r>
        <w:rPr>
          <w:spacing w:val="-9"/>
        </w:rPr>
        <w:t> </w:t>
      </w:r>
      <w:r>
        <w:rPr/>
        <w:t>network</w:t>
      </w:r>
      <w:r>
        <w:rPr>
          <w:spacing w:val="-10"/>
        </w:rPr>
        <w:t> </w:t>
      </w:r>
      <w:r>
        <w:rPr/>
        <w:t>theory’</w:t>
      </w:r>
      <w:r>
        <w:rPr>
          <w:spacing w:val="-10"/>
        </w:rPr>
        <w:t> </w:t>
      </w:r>
      <w:r>
        <w:rPr/>
        <w:t>is</w:t>
      </w:r>
      <w:r>
        <w:rPr>
          <w:spacing w:val="-9"/>
        </w:rPr>
        <w:t> </w:t>
      </w:r>
      <w:r>
        <w:rPr/>
        <w:t>essentially</w:t>
      </w:r>
      <w:r>
        <w:rPr>
          <w:spacing w:val="-14"/>
        </w:rPr>
        <w:t> </w:t>
      </w:r>
      <w:r>
        <w:rPr/>
        <w:t>not</w:t>
      </w:r>
      <w:r>
        <w:rPr>
          <w:spacing w:val="-9"/>
        </w:rPr>
        <w:t> </w:t>
      </w:r>
      <w:r>
        <w:rPr/>
        <w:t>theory</w:t>
      </w:r>
      <w:r>
        <w:rPr>
          <w:spacing w:val="-14"/>
        </w:rPr>
        <w:t> </w:t>
      </w:r>
      <w:r>
        <w:rPr/>
        <w:t>at</w:t>
      </w:r>
      <w:r>
        <w:rPr>
          <w:spacing w:val="-9"/>
        </w:rPr>
        <w:t> </w:t>
      </w:r>
      <w:r>
        <w:rPr/>
        <w:t>all,</w:t>
      </w:r>
      <w:r>
        <w:rPr>
          <w:spacing w:val="-10"/>
        </w:rPr>
        <w:t> </w:t>
      </w:r>
      <w:r>
        <w:rPr/>
        <w:t>unless</w:t>
      </w:r>
      <w:r>
        <w:rPr>
          <w:spacing w:val="-10"/>
        </w:rPr>
        <w:t> </w:t>
      </w:r>
      <w:r>
        <w:rPr/>
        <w:t>we conceive</w:t>
      </w:r>
      <w:r>
        <w:rPr>
          <w:spacing w:val="-15"/>
        </w:rPr>
        <w:t> </w:t>
      </w:r>
      <w:r>
        <w:rPr/>
        <w:t>of</w:t>
      </w:r>
      <w:r>
        <w:rPr>
          <w:spacing w:val="-15"/>
        </w:rPr>
        <w:t> </w:t>
      </w:r>
      <w:r>
        <w:rPr/>
        <w:t>the</w:t>
      </w:r>
      <w:r>
        <w:rPr>
          <w:spacing w:val="-15"/>
        </w:rPr>
        <w:t> </w:t>
      </w:r>
      <w:r>
        <w:rPr/>
        <w:t>theory</w:t>
      </w:r>
      <w:r>
        <w:rPr>
          <w:spacing w:val="-15"/>
        </w:rPr>
        <w:t> </w:t>
      </w:r>
      <w:r>
        <w:rPr/>
        <w:t>in</w:t>
      </w:r>
      <w:r>
        <w:rPr>
          <w:spacing w:val="-15"/>
        </w:rPr>
        <w:t> </w:t>
      </w:r>
      <w:r>
        <w:rPr/>
        <w:t>a</w:t>
      </w:r>
      <w:r>
        <w:rPr>
          <w:spacing w:val="-15"/>
        </w:rPr>
        <w:t> </w:t>
      </w:r>
      <w:r>
        <w:rPr/>
        <w:t>highly</w:t>
      </w:r>
      <w:r>
        <w:rPr>
          <w:spacing w:val="-15"/>
        </w:rPr>
        <w:t> </w:t>
      </w:r>
      <w:r>
        <w:rPr/>
        <w:t>context-sensitive</w:t>
      </w:r>
      <w:r>
        <w:rPr>
          <w:spacing w:val="-15"/>
        </w:rPr>
        <w:t> </w:t>
      </w:r>
      <w:r>
        <w:rPr/>
        <w:t>and</w:t>
      </w:r>
      <w:r>
        <w:rPr>
          <w:spacing w:val="-15"/>
        </w:rPr>
        <w:t> </w:t>
      </w:r>
      <w:r>
        <w:rPr/>
        <w:t>open</w:t>
      </w:r>
      <w:r>
        <w:rPr>
          <w:spacing w:val="-15"/>
        </w:rPr>
        <w:t> </w:t>
      </w:r>
      <w:r>
        <w:rPr/>
        <w:t>sense,</w:t>
      </w:r>
      <w:r>
        <w:rPr>
          <w:spacing w:val="-15"/>
        </w:rPr>
        <w:t> </w:t>
      </w:r>
      <w:r>
        <w:rPr/>
        <w:t>which</w:t>
      </w:r>
      <w:r>
        <w:rPr>
          <w:spacing w:val="-15"/>
        </w:rPr>
        <w:t> </w:t>
      </w:r>
      <w:r>
        <w:rPr/>
        <w:t>means</w:t>
      </w:r>
      <w:r>
        <w:rPr>
          <w:spacing w:val="-15"/>
        </w:rPr>
        <w:t> </w:t>
      </w:r>
      <w:r>
        <w:rPr/>
        <w:t>working from</w:t>
      </w:r>
      <w:r>
        <w:rPr>
          <w:spacing w:val="-15"/>
        </w:rPr>
        <w:t> </w:t>
      </w:r>
      <w:r>
        <w:rPr/>
        <w:t>the</w:t>
      </w:r>
      <w:r>
        <w:rPr>
          <w:spacing w:val="-15"/>
        </w:rPr>
        <w:t> </w:t>
      </w:r>
      <w:r>
        <w:rPr/>
        <w:t>empirical</w:t>
      </w:r>
      <w:r>
        <w:rPr>
          <w:spacing w:val="-15"/>
        </w:rPr>
        <w:t> </w:t>
      </w:r>
      <w:r>
        <w:rPr/>
        <w:t>towards</w:t>
      </w:r>
      <w:r>
        <w:rPr>
          <w:spacing w:val="-15"/>
        </w:rPr>
        <w:t> </w:t>
      </w:r>
      <w:r>
        <w:rPr/>
        <w:t>a</w:t>
      </w:r>
      <w:r>
        <w:rPr>
          <w:spacing w:val="-15"/>
        </w:rPr>
        <w:t> </w:t>
      </w:r>
      <w:r>
        <w:rPr/>
        <w:t>generalisation.</w:t>
      </w:r>
      <w:r>
        <w:rPr>
          <w:spacing w:val="-15"/>
        </w:rPr>
        <w:t> </w:t>
      </w:r>
      <w:r>
        <w:rPr/>
        <w:t>Thus,</w:t>
      </w:r>
      <w:r>
        <w:rPr>
          <w:spacing w:val="-15"/>
        </w:rPr>
        <w:t> </w:t>
      </w:r>
      <w:r>
        <w:rPr/>
        <w:t>it</w:t>
      </w:r>
      <w:r>
        <w:rPr>
          <w:spacing w:val="-15"/>
        </w:rPr>
        <w:t> </w:t>
      </w:r>
      <w:r>
        <w:rPr/>
        <w:t>is</w:t>
      </w:r>
      <w:r>
        <w:rPr>
          <w:spacing w:val="-15"/>
        </w:rPr>
        <w:t> </w:t>
      </w:r>
      <w:r>
        <w:rPr/>
        <w:t>experience</w:t>
      </w:r>
      <w:r>
        <w:rPr>
          <w:spacing w:val="-15"/>
        </w:rPr>
        <w:t> </w:t>
      </w:r>
      <w:r>
        <w:rPr/>
        <w:t>that</w:t>
      </w:r>
      <w:r>
        <w:rPr>
          <w:spacing w:val="-15"/>
        </w:rPr>
        <w:t> </w:t>
      </w:r>
      <w:r>
        <w:rPr/>
        <w:t>gives</w:t>
      </w:r>
      <w:r>
        <w:rPr>
          <w:spacing w:val="-15"/>
        </w:rPr>
        <w:t> </w:t>
      </w:r>
      <w:r>
        <w:rPr/>
        <w:t>‘intelligence’ to the model (Kauko, 2003).</w:t>
      </w:r>
    </w:p>
    <w:p>
      <w:pPr>
        <w:pStyle w:val="Heading1"/>
        <w:numPr>
          <w:ilvl w:val="3"/>
          <w:numId w:val="5"/>
        </w:numPr>
        <w:tabs>
          <w:tab w:pos="1024" w:val="left" w:leader="none"/>
        </w:tabs>
        <w:spacing w:line="240" w:lineRule="auto" w:before="247" w:after="0"/>
        <w:ind w:left="1024" w:right="0" w:hanging="719"/>
        <w:jc w:val="both"/>
      </w:pPr>
      <w:r>
        <w:rPr/>
        <w:t>Neural</w:t>
      </w:r>
      <w:r>
        <w:rPr>
          <w:spacing w:val="-2"/>
        </w:rPr>
        <w:t> </w:t>
      </w:r>
      <w:r>
        <w:rPr/>
        <w:t>network</w:t>
      </w:r>
      <w:r>
        <w:rPr>
          <w:spacing w:val="-2"/>
        </w:rPr>
        <w:t> </w:t>
      </w:r>
      <w:r>
        <w:rPr/>
        <w:t>models</w:t>
      </w:r>
      <w:r>
        <w:rPr>
          <w:spacing w:val="2"/>
        </w:rPr>
        <w:t> </w:t>
      </w:r>
      <w:r>
        <w:rPr/>
        <w:t>for</w:t>
      </w:r>
      <w:r>
        <w:rPr>
          <w:spacing w:val="-3"/>
        </w:rPr>
        <w:t> </w:t>
      </w:r>
      <w:r>
        <w:rPr/>
        <w:t>housing</w:t>
      </w:r>
      <w:r>
        <w:rPr>
          <w:spacing w:val="-2"/>
        </w:rPr>
        <w:t> market</w:t>
      </w:r>
    </w:p>
    <w:p>
      <w:pPr>
        <w:pStyle w:val="BodyText"/>
        <w:spacing w:before="192"/>
        <w:jc w:val="left"/>
        <w:rPr>
          <w:b/>
        </w:rPr>
      </w:pPr>
    </w:p>
    <w:p>
      <w:pPr>
        <w:pStyle w:val="BodyText"/>
        <w:spacing w:line="480" w:lineRule="auto"/>
        <w:ind w:left="305" w:right="512"/>
      </w:pPr>
      <w:r>
        <w:rPr/>
        <w:t>In housing market studies, ANNs are potentially</w:t>
      </w:r>
      <w:r>
        <w:rPr>
          <w:spacing w:val="-2"/>
        </w:rPr>
        <w:t> </w:t>
      </w:r>
      <w:r>
        <w:rPr/>
        <w:t>seen as a replacement to the regression model (Selim, 2009). ANN application housing can be of different approach. For example, Li </w:t>
      </w:r>
      <w:r>
        <w:rPr>
          <w:i/>
        </w:rPr>
        <w:t>et al. </w:t>
      </w:r>
      <w:r>
        <w:rPr/>
        <w:t>(2014) developed a ANN model for identification of the real estate cycle</w:t>
      </w:r>
      <w:r>
        <w:rPr>
          <w:spacing w:val="-15"/>
        </w:rPr>
        <w:t> </w:t>
      </w:r>
      <w:r>
        <w:rPr/>
        <w:t>which</w:t>
      </w:r>
      <w:r>
        <w:rPr>
          <w:spacing w:val="-15"/>
        </w:rPr>
        <w:t> </w:t>
      </w:r>
      <w:r>
        <w:rPr/>
        <w:t>are</w:t>
      </w:r>
      <w:r>
        <w:rPr>
          <w:spacing w:val="-15"/>
        </w:rPr>
        <w:t> </w:t>
      </w:r>
      <w:r>
        <w:rPr/>
        <w:t>in</w:t>
      </w:r>
      <w:r>
        <w:rPr>
          <w:spacing w:val="-15"/>
        </w:rPr>
        <w:t> </w:t>
      </w:r>
      <w:r>
        <w:rPr/>
        <w:t>three</w:t>
      </w:r>
      <w:r>
        <w:rPr>
          <w:spacing w:val="-15"/>
        </w:rPr>
        <w:t> </w:t>
      </w:r>
      <w:r>
        <w:rPr/>
        <w:t>steps:</w:t>
      </w:r>
      <w:r>
        <w:rPr>
          <w:spacing w:val="-15"/>
        </w:rPr>
        <w:t> </w:t>
      </w:r>
      <w:r>
        <w:rPr/>
        <w:t>use</w:t>
      </w:r>
      <w:r>
        <w:rPr>
          <w:spacing w:val="-15"/>
        </w:rPr>
        <w:t> </w:t>
      </w:r>
      <w:r>
        <w:rPr/>
        <w:t>the</w:t>
      </w:r>
      <w:r>
        <w:rPr>
          <w:spacing w:val="-15"/>
        </w:rPr>
        <w:t> </w:t>
      </w:r>
      <w:r>
        <w:rPr/>
        <w:t>data</w:t>
      </w:r>
      <w:r>
        <w:rPr>
          <w:spacing w:val="-15"/>
        </w:rPr>
        <w:t> </w:t>
      </w:r>
      <w:r>
        <w:rPr/>
        <w:t>value</w:t>
      </w:r>
      <w:r>
        <w:rPr>
          <w:spacing w:val="-15"/>
        </w:rPr>
        <w:t> </w:t>
      </w:r>
      <w:r>
        <w:rPr/>
        <w:t>of</w:t>
      </w:r>
      <w:r>
        <w:rPr>
          <w:spacing w:val="-15"/>
        </w:rPr>
        <w:t> </w:t>
      </w:r>
      <w:r>
        <w:rPr/>
        <w:t>representative</w:t>
      </w:r>
      <w:r>
        <w:rPr>
          <w:spacing w:val="-15"/>
        </w:rPr>
        <w:t> </w:t>
      </w:r>
      <w:r>
        <w:rPr/>
        <w:t>indicators</w:t>
      </w:r>
      <w:r>
        <w:rPr>
          <w:spacing w:val="-15"/>
        </w:rPr>
        <w:t> </w:t>
      </w:r>
      <w:r>
        <w:rPr/>
        <w:t>for</w:t>
      </w:r>
      <w:r>
        <w:rPr>
          <w:spacing w:val="-15"/>
        </w:rPr>
        <w:t> </w:t>
      </w:r>
      <w:r>
        <w:rPr/>
        <w:t>real</w:t>
      </w:r>
      <w:r>
        <w:rPr>
          <w:spacing w:val="-15"/>
        </w:rPr>
        <w:t> </w:t>
      </w:r>
      <w:r>
        <w:rPr/>
        <w:t>estate cycles</w:t>
      </w:r>
      <w:r>
        <w:rPr>
          <w:spacing w:val="-11"/>
        </w:rPr>
        <w:t> </w:t>
      </w:r>
      <w:r>
        <w:rPr/>
        <w:t>as</w:t>
      </w:r>
      <w:r>
        <w:rPr>
          <w:spacing w:val="-12"/>
        </w:rPr>
        <w:t> </w:t>
      </w:r>
      <w:r>
        <w:rPr/>
        <w:t>the</w:t>
      </w:r>
      <w:r>
        <w:rPr>
          <w:spacing w:val="-10"/>
        </w:rPr>
        <w:t> </w:t>
      </w:r>
      <w:r>
        <w:rPr/>
        <w:t>input</w:t>
      </w:r>
      <w:r>
        <w:rPr>
          <w:spacing w:val="-11"/>
        </w:rPr>
        <w:t> </w:t>
      </w:r>
      <w:r>
        <w:rPr/>
        <w:t>of</w:t>
      </w:r>
      <w:r>
        <w:rPr>
          <w:spacing w:val="-13"/>
        </w:rPr>
        <w:t> </w:t>
      </w:r>
      <w:r>
        <w:rPr/>
        <w:t>the</w:t>
      </w:r>
      <w:r>
        <w:rPr>
          <w:spacing w:val="-8"/>
        </w:rPr>
        <w:t> </w:t>
      </w:r>
      <w:r>
        <w:rPr/>
        <w:t>ANN</w:t>
      </w:r>
      <w:r>
        <w:rPr>
          <w:spacing w:val="-13"/>
        </w:rPr>
        <w:t> </w:t>
      </w:r>
      <w:r>
        <w:rPr/>
        <w:t>model,</w:t>
      </w:r>
      <w:r>
        <w:rPr>
          <w:spacing w:val="-10"/>
        </w:rPr>
        <w:t> </w:t>
      </w:r>
      <w:r>
        <w:rPr/>
        <w:t>encode</w:t>
      </w:r>
      <w:r>
        <w:rPr>
          <w:spacing w:val="-13"/>
        </w:rPr>
        <w:t> </w:t>
      </w:r>
      <w:r>
        <w:rPr/>
        <w:t>the</w:t>
      </w:r>
      <w:r>
        <w:rPr>
          <w:spacing w:val="-10"/>
        </w:rPr>
        <w:t> </w:t>
      </w:r>
      <w:r>
        <w:rPr/>
        <w:t>terms</w:t>
      </w:r>
      <w:r>
        <w:rPr>
          <w:spacing w:val="-11"/>
        </w:rPr>
        <w:t> </w:t>
      </w:r>
      <w:r>
        <w:rPr/>
        <w:t>to</w:t>
      </w:r>
      <w:r>
        <w:rPr>
          <w:spacing w:val="-8"/>
        </w:rPr>
        <w:t> </w:t>
      </w:r>
      <w:r>
        <w:rPr/>
        <w:t>identify</w:t>
      </w:r>
      <w:r>
        <w:rPr>
          <w:spacing w:val="-15"/>
        </w:rPr>
        <w:t> </w:t>
      </w:r>
      <w:r>
        <w:rPr/>
        <w:t>the</w:t>
      </w:r>
      <w:r>
        <w:rPr>
          <w:spacing w:val="-13"/>
        </w:rPr>
        <w:t> </w:t>
      </w:r>
      <w:r>
        <w:rPr/>
        <w:t>phases</w:t>
      </w:r>
      <w:r>
        <w:rPr>
          <w:spacing w:val="-12"/>
        </w:rPr>
        <w:t> </w:t>
      </w:r>
      <w:r>
        <w:rPr/>
        <w:t>of</w:t>
      </w:r>
      <w:r>
        <w:rPr>
          <w:spacing w:val="-13"/>
        </w:rPr>
        <w:t> </w:t>
      </w:r>
      <w:r>
        <w:rPr/>
        <w:t>the</w:t>
      </w:r>
      <w:r>
        <w:rPr>
          <w:spacing w:val="-10"/>
        </w:rPr>
        <w:t> </w:t>
      </w:r>
      <w:r>
        <w:rPr/>
        <w:t>cycle as the output of the ANN, and the basic ANN framework is formed; summarize the development</w:t>
      </w:r>
      <w:r>
        <w:rPr>
          <w:spacing w:val="-9"/>
        </w:rPr>
        <w:t> </w:t>
      </w:r>
      <w:r>
        <w:rPr/>
        <w:t>phases</w:t>
      </w:r>
      <w:r>
        <w:rPr>
          <w:spacing w:val="-9"/>
        </w:rPr>
        <w:t> </w:t>
      </w:r>
      <w:r>
        <w:rPr/>
        <w:t>of</w:t>
      </w:r>
      <w:r>
        <w:rPr>
          <w:spacing w:val="-8"/>
        </w:rPr>
        <w:t> </w:t>
      </w:r>
      <w:r>
        <w:rPr/>
        <w:t>the</w:t>
      </w:r>
      <w:r>
        <w:rPr>
          <w:spacing w:val="-11"/>
        </w:rPr>
        <w:t> </w:t>
      </w:r>
      <w:r>
        <w:rPr/>
        <w:t>real</w:t>
      </w:r>
      <w:r>
        <w:rPr>
          <w:spacing w:val="-7"/>
        </w:rPr>
        <w:t> </w:t>
      </w:r>
      <w:r>
        <w:rPr/>
        <w:t>estate</w:t>
      </w:r>
      <w:r>
        <w:rPr>
          <w:spacing w:val="-10"/>
        </w:rPr>
        <w:t> </w:t>
      </w:r>
      <w:r>
        <w:rPr/>
        <w:t>market</w:t>
      </w:r>
      <w:r>
        <w:rPr>
          <w:spacing w:val="-7"/>
        </w:rPr>
        <w:t> </w:t>
      </w:r>
      <w:r>
        <w:rPr/>
        <w:t>with</w:t>
      </w:r>
      <w:r>
        <w:rPr>
          <w:spacing w:val="-9"/>
        </w:rPr>
        <w:t> </w:t>
      </w:r>
      <w:r>
        <w:rPr/>
        <w:t>reference</w:t>
      </w:r>
      <w:r>
        <w:rPr>
          <w:spacing w:val="-11"/>
        </w:rPr>
        <w:t> </w:t>
      </w:r>
      <w:r>
        <w:rPr/>
        <w:t>to</w:t>
      </w:r>
      <w:r>
        <w:rPr>
          <w:spacing w:val="-9"/>
        </w:rPr>
        <w:t> </w:t>
      </w:r>
      <w:r>
        <w:rPr/>
        <w:t>the</w:t>
      </w:r>
      <w:r>
        <w:rPr>
          <w:spacing w:val="-8"/>
        </w:rPr>
        <w:t> </w:t>
      </w:r>
      <w:r>
        <w:rPr/>
        <w:t>past</w:t>
      </w:r>
      <w:r>
        <w:rPr>
          <w:spacing w:val="-7"/>
        </w:rPr>
        <w:t> </w:t>
      </w:r>
      <w:r>
        <w:rPr/>
        <w:t>research,</w:t>
      </w:r>
      <w:r>
        <w:rPr>
          <w:spacing w:val="-7"/>
        </w:rPr>
        <w:t> </w:t>
      </w:r>
      <w:r>
        <w:rPr/>
        <w:t>generate training samples to train the ANN; when the ANN model is well-trained, the network extracts the characteristic relationships implicit in the sample, and these characteristic information is stored in the weighted vectors of the network; process the data of representative</w:t>
      </w:r>
      <w:r>
        <w:rPr>
          <w:spacing w:val="-9"/>
        </w:rPr>
        <w:t> </w:t>
      </w:r>
      <w:r>
        <w:rPr/>
        <w:t>indicators</w:t>
      </w:r>
      <w:r>
        <w:rPr>
          <w:spacing w:val="-6"/>
        </w:rPr>
        <w:t> </w:t>
      </w:r>
      <w:r>
        <w:rPr/>
        <w:t>based</w:t>
      </w:r>
      <w:r>
        <w:rPr>
          <w:spacing w:val="-8"/>
        </w:rPr>
        <w:t> </w:t>
      </w:r>
      <w:r>
        <w:rPr/>
        <w:t>on</w:t>
      </w:r>
      <w:r>
        <w:rPr>
          <w:spacing w:val="-8"/>
        </w:rPr>
        <w:t> </w:t>
      </w:r>
      <w:r>
        <w:rPr/>
        <w:t>the</w:t>
      </w:r>
      <w:r>
        <w:rPr>
          <w:spacing w:val="-9"/>
        </w:rPr>
        <w:t> </w:t>
      </w:r>
      <w:r>
        <w:rPr/>
        <w:t>trained</w:t>
      </w:r>
      <w:r>
        <w:rPr>
          <w:spacing w:val="-9"/>
        </w:rPr>
        <w:t> </w:t>
      </w:r>
      <w:r>
        <w:rPr/>
        <w:t>ANN,</w:t>
      </w:r>
      <w:r>
        <w:rPr>
          <w:spacing w:val="-9"/>
        </w:rPr>
        <w:t> </w:t>
      </w:r>
      <w:r>
        <w:rPr/>
        <w:t>output</w:t>
      </w:r>
      <w:r>
        <w:rPr>
          <w:spacing w:val="-8"/>
        </w:rPr>
        <w:t> </w:t>
      </w:r>
      <w:r>
        <w:rPr/>
        <w:t>the</w:t>
      </w:r>
      <w:r>
        <w:rPr>
          <w:spacing w:val="-9"/>
        </w:rPr>
        <w:t> </w:t>
      </w:r>
      <w:r>
        <w:rPr/>
        <w:t>codes</w:t>
      </w:r>
      <w:r>
        <w:rPr>
          <w:spacing w:val="-8"/>
        </w:rPr>
        <w:t> </w:t>
      </w:r>
      <w:r>
        <w:rPr/>
        <w:t>of</w:t>
      </w:r>
      <w:r>
        <w:rPr>
          <w:spacing w:val="-9"/>
        </w:rPr>
        <w:t> </w:t>
      </w:r>
      <w:r>
        <w:rPr/>
        <w:t>the</w:t>
      </w:r>
      <w:r>
        <w:rPr>
          <w:spacing w:val="-7"/>
        </w:rPr>
        <w:t> </w:t>
      </w:r>
      <w:r>
        <w:rPr/>
        <w:t>identification results in the</w:t>
      </w:r>
      <w:r>
        <w:rPr>
          <w:spacing w:val="-1"/>
        </w:rPr>
        <w:t> </w:t>
      </w:r>
      <w:r>
        <w:rPr/>
        <w:t>cycle, and the</w:t>
      </w:r>
      <w:r>
        <w:rPr>
          <w:spacing w:val="-1"/>
        </w:rPr>
        <w:t> </w:t>
      </w:r>
      <w:r>
        <w:rPr/>
        <w:t>codes correspond to the</w:t>
      </w:r>
      <w:r>
        <w:rPr>
          <w:spacing w:val="-1"/>
        </w:rPr>
        <w:t> </w:t>
      </w:r>
      <w:r>
        <w:rPr/>
        <w:t>descriptive</w:t>
      </w:r>
      <w:r>
        <w:rPr>
          <w:spacing w:val="-1"/>
        </w:rPr>
        <w:t> </w:t>
      </w:r>
      <w:r>
        <w:rPr/>
        <w:t>term of</w:t>
      </w:r>
      <w:r>
        <w:rPr>
          <w:spacing w:val="-1"/>
        </w:rPr>
        <w:t> </w:t>
      </w:r>
      <w:r>
        <w:rPr/>
        <w:t>the</w:t>
      </w:r>
      <w:r>
        <w:rPr>
          <w:spacing w:val="-1"/>
        </w:rPr>
        <w:t> </w:t>
      </w:r>
      <w:r>
        <w:rPr/>
        <w:t>phases in the </w:t>
      </w:r>
      <w:r>
        <w:rPr>
          <w:spacing w:val="-2"/>
        </w:rPr>
        <w:t>cycle.</w:t>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142"/>
        <w:jc w:val="left"/>
      </w:pPr>
    </w:p>
    <w:p>
      <w:pPr>
        <w:pStyle w:val="Heading1"/>
        <w:numPr>
          <w:ilvl w:val="1"/>
          <w:numId w:val="5"/>
        </w:numPr>
        <w:tabs>
          <w:tab w:pos="1024" w:val="left" w:leader="none"/>
        </w:tabs>
        <w:spacing w:line="240" w:lineRule="auto" w:before="0" w:after="0"/>
        <w:ind w:left="1024" w:right="0" w:hanging="719"/>
        <w:jc w:val="both"/>
      </w:pPr>
      <w:r>
        <w:rPr/>
        <w:t>Conceptual</w:t>
      </w:r>
      <w:r>
        <w:rPr>
          <w:spacing w:val="-1"/>
        </w:rPr>
        <w:t> </w:t>
      </w:r>
      <w:r>
        <w:rPr>
          <w:spacing w:val="-2"/>
        </w:rPr>
        <w:t>Clarification</w:t>
      </w:r>
    </w:p>
    <w:p>
      <w:pPr>
        <w:spacing w:after="0" w:line="240" w:lineRule="auto"/>
        <w:jc w:val="both"/>
        <w:sectPr>
          <w:pgSz w:w="11910" w:h="16840"/>
          <w:pgMar w:header="0" w:footer="1022" w:top="1320" w:bottom="1220" w:left="1680" w:right="900"/>
        </w:sectPr>
      </w:pPr>
    </w:p>
    <w:p>
      <w:pPr>
        <w:pStyle w:val="ListParagraph"/>
        <w:numPr>
          <w:ilvl w:val="2"/>
          <w:numId w:val="5"/>
        </w:numPr>
        <w:tabs>
          <w:tab w:pos="1025" w:val="left" w:leader="none"/>
        </w:tabs>
        <w:spacing w:line="240" w:lineRule="auto" w:before="79" w:after="0"/>
        <w:ind w:left="1025" w:right="0" w:hanging="720"/>
        <w:jc w:val="left"/>
        <w:rPr>
          <w:b/>
          <w:sz w:val="24"/>
        </w:rPr>
      </w:pPr>
      <w:r>
        <w:rPr>
          <w:b/>
          <w:sz w:val="24"/>
        </w:rPr>
        <w:t>Concept</w:t>
      </w:r>
      <w:r>
        <w:rPr>
          <w:b/>
          <w:spacing w:val="-2"/>
          <w:sz w:val="24"/>
        </w:rPr>
        <w:t> </w:t>
      </w:r>
      <w:r>
        <w:rPr>
          <w:b/>
          <w:sz w:val="24"/>
        </w:rPr>
        <w:t>of</w:t>
      </w:r>
      <w:r>
        <w:rPr>
          <w:b/>
          <w:spacing w:val="-1"/>
          <w:sz w:val="24"/>
        </w:rPr>
        <w:t> </w:t>
      </w:r>
      <w:r>
        <w:rPr>
          <w:b/>
          <w:sz w:val="24"/>
        </w:rPr>
        <w:t>housing</w:t>
      </w:r>
      <w:r>
        <w:rPr>
          <w:b/>
          <w:spacing w:val="-2"/>
          <w:sz w:val="24"/>
        </w:rPr>
        <w:t> </w:t>
      </w:r>
      <w:r>
        <w:rPr>
          <w:b/>
          <w:sz w:val="24"/>
        </w:rPr>
        <w:t>market</w:t>
      </w:r>
      <w:r>
        <w:rPr>
          <w:b/>
          <w:spacing w:val="-1"/>
          <w:sz w:val="24"/>
        </w:rPr>
        <w:t> </w:t>
      </w:r>
      <w:r>
        <w:rPr>
          <w:b/>
          <w:spacing w:val="-2"/>
          <w:sz w:val="24"/>
        </w:rPr>
        <w:t>mechanism</w:t>
      </w:r>
    </w:p>
    <w:p>
      <w:pPr>
        <w:pStyle w:val="BodyText"/>
        <w:spacing w:before="192"/>
        <w:jc w:val="left"/>
        <w:rPr>
          <w:b/>
        </w:rPr>
      </w:pPr>
    </w:p>
    <w:p>
      <w:pPr>
        <w:pStyle w:val="BodyText"/>
        <w:spacing w:line="480" w:lineRule="auto"/>
        <w:ind w:left="305" w:right="514"/>
      </w:pPr>
      <w:r>
        <w:rPr/>
        <w:t>The concept of market mechanism is first conceived by 13th-14th century Islamic theologian Ibn</w:t>
      </w:r>
      <w:r>
        <w:rPr>
          <w:spacing w:val="-3"/>
        </w:rPr>
        <w:t> </w:t>
      </w:r>
      <w:r>
        <w:rPr/>
        <w:t>Taymiyyah</w:t>
      </w:r>
      <w:r>
        <w:rPr>
          <w:spacing w:val="-1"/>
        </w:rPr>
        <w:t> </w:t>
      </w:r>
      <w:r>
        <w:rPr/>
        <w:t>(1962),</w:t>
      </w:r>
      <w:r>
        <w:rPr>
          <w:spacing w:val="-1"/>
        </w:rPr>
        <w:t> </w:t>
      </w:r>
      <w:r>
        <w:rPr/>
        <w:t>where</w:t>
      </w:r>
      <w:r>
        <w:rPr>
          <w:spacing w:val="-4"/>
        </w:rPr>
        <w:t> </w:t>
      </w:r>
      <w:r>
        <w:rPr/>
        <w:t>his</w:t>
      </w:r>
      <w:r>
        <w:rPr>
          <w:spacing w:val="-2"/>
        </w:rPr>
        <w:t> </w:t>
      </w:r>
      <w:r>
        <w:rPr/>
        <w:t>notion</w:t>
      </w:r>
      <w:r>
        <w:rPr>
          <w:spacing w:val="-3"/>
        </w:rPr>
        <w:t> </w:t>
      </w:r>
      <w:r>
        <w:rPr/>
        <w:t>was</w:t>
      </w:r>
      <w:r>
        <w:rPr>
          <w:spacing w:val="-1"/>
        </w:rPr>
        <w:t> </w:t>
      </w:r>
      <w:r>
        <w:rPr/>
        <w:t>clear</w:t>
      </w:r>
      <w:r>
        <w:rPr>
          <w:spacing w:val="-3"/>
        </w:rPr>
        <w:t> </w:t>
      </w:r>
      <w:r>
        <w:rPr/>
        <w:t>about</w:t>
      </w:r>
      <w:r>
        <w:rPr>
          <w:spacing w:val="-1"/>
        </w:rPr>
        <w:t> </w:t>
      </w:r>
      <w:r>
        <w:rPr/>
        <w:t>what</w:t>
      </w:r>
      <w:r>
        <w:rPr>
          <w:spacing w:val="-1"/>
        </w:rPr>
        <w:t> </w:t>
      </w:r>
      <w:r>
        <w:rPr/>
        <w:t>we</w:t>
      </w:r>
      <w:r>
        <w:rPr>
          <w:spacing w:val="-4"/>
        </w:rPr>
        <w:t> </w:t>
      </w:r>
      <w:r>
        <w:rPr/>
        <w:t>now</w:t>
      </w:r>
      <w:r>
        <w:rPr>
          <w:spacing w:val="-2"/>
        </w:rPr>
        <w:t> </w:t>
      </w:r>
      <w:r>
        <w:rPr/>
        <w:t>called the forces of demand and supply which determine the prices in a free market (Islahi, 1985). It was later in 14th century that another figure, African historiographer Ibn Khaldun in his </w:t>
      </w:r>
      <w:r>
        <w:rPr>
          <w:i/>
        </w:rPr>
        <w:t>Muqaddimah </w:t>
      </w:r>
      <w:r>
        <w:rPr/>
        <w:t>- An Introduction to History (Islahi, 1985). Although, Ibn Taymiyyah did not mention demand and supply categorically, but it is embedded in his writing which was argued by Islahi (1985) that it is clear that Ibn Taymiyyah meant demand and supply.</w:t>
      </w:r>
    </w:p>
    <w:p>
      <w:pPr>
        <w:pStyle w:val="BodyText"/>
        <w:spacing w:line="480" w:lineRule="auto" w:before="241"/>
        <w:ind w:left="305" w:right="514"/>
      </w:pPr>
      <w:r>
        <w:rPr/>
        <w:t>According to Islahi (1985), Ibn Taymiyyah is referring to what we now call shifts in demand and supply functions, though he did not state them as such. However, Ibn Khaldun</w:t>
      </w:r>
      <w:r>
        <w:rPr>
          <w:spacing w:val="-6"/>
        </w:rPr>
        <w:t> </w:t>
      </w:r>
      <w:r>
        <w:rPr/>
        <w:t>(1958)</w:t>
      </w:r>
      <w:r>
        <w:rPr>
          <w:spacing w:val="-7"/>
        </w:rPr>
        <w:t> </w:t>
      </w:r>
      <w:r>
        <w:rPr/>
        <w:t>mentioned</w:t>
      </w:r>
      <w:r>
        <w:rPr>
          <w:spacing w:val="-7"/>
        </w:rPr>
        <w:t> </w:t>
      </w:r>
      <w:r>
        <w:rPr/>
        <w:t>both</w:t>
      </w:r>
      <w:r>
        <w:rPr>
          <w:spacing w:val="-6"/>
        </w:rPr>
        <w:t> </w:t>
      </w:r>
      <w:r>
        <w:rPr/>
        <w:t>demand</w:t>
      </w:r>
      <w:r>
        <w:rPr>
          <w:spacing w:val="-7"/>
        </w:rPr>
        <w:t> </w:t>
      </w:r>
      <w:r>
        <w:rPr/>
        <w:t>and</w:t>
      </w:r>
      <w:r>
        <w:rPr>
          <w:spacing w:val="-7"/>
        </w:rPr>
        <w:t> </w:t>
      </w:r>
      <w:r>
        <w:rPr/>
        <w:t>supply</w:t>
      </w:r>
      <w:r>
        <w:rPr>
          <w:spacing w:val="-12"/>
        </w:rPr>
        <w:t> </w:t>
      </w:r>
      <w:r>
        <w:rPr/>
        <w:t>as</w:t>
      </w:r>
      <w:r>
        <w:rPr>
          <w:spacing w:val="-7"/>
        </w:rPr>
        <w:t> </w:t>
      </w:r>
      <w:r>
        <w:rPr/>
        <w:t>market</w:t>
      </w:r>
      <w:r>
        <w:rPr>
          <w:spacing w:val="-6"/>
        </w:rPr>
        <w:t> </w:t>
      </w:r>
      <w:r>
        <w:rPr/>
        <w:t>mechanism</w:t>
      </w:r>
      <w:r>
        <w:rPr>
          <w:spacing w:val="-4"/>
        </w:rPr>
        <w:t> </w:t>
      </w:r>
      <w:r>
        <w:rPr/>
        <w:t>(Ali,</w:t>
      </w:r>
      <w:r>
        <w:rPr>
          <w:spacing w:val="-6"/>
        </w:rPr>
        <w:t> </w:t>
      </w:r>
      <w:r>
        <w:rPr/>
        <w:t>2006).</w:t>
      </w:r>
      <w:r>
        <w:rPr>
          <w:spacing w:val="-4"/>
        </w:rPr>
        <w:t> </w:t>
      </w:r>
      <w:r>
        <w:rPr/>
        <w:t>It was later in mid-18th century that western scholars like Jean Bodin, Pufendort, Barbon, Petty and Locke, who used the analysis of demand and supply to explain changes in market price before Adam Smith (Islahi, 1985).</w:t>
      </w:r>
    </w:p>
    <w:p>
      <w:pPr>
        <w:pStyle w:val="BodyText"/>
        <w:spacing w:line="480" w:lineRule="auto" w:before="241"/>
        <w:ind w:left="305" w:right="511"/>
      </w:pPr>
      <w:r>
        <w:rPr/>
        <w:t>Market mechanism is the forces of demand and supply that brings changes in price of goods</w:t>
      </w:r>
      <w:r>
        <w:rPr>
          <w:spacing w:val="-15"/>
        </w:rPr>
        <w:t> </w:t>
      </w:r>
      <w:r>
        <w:rPr/>
        <w:t>and</w:t>
      </w:r>
      <w:r>
        <w:rPr>
          <w:spacing w:val="-15"/>
        </w:rPr>
        <w:t> </w:t>
      </w:r>
      <w:r>
        <w:rPr/>
        <w:t>services</w:t>
      </w:r>
      <w:r>
        <w:rPr>
          <w:spacing w:val="-15"/>
        </w:rPr>
        <w:t> </w:t>
      </w:r>
      <w:r>
        <w:rPr/>
        <w:t>in</w:t>
      </w:r>
      <w:r>
        <w:rPr>
          <w:spacing w:val="-15"/>
        </w:rPr>
        <w:t> </w:t>
      </w:r>
      <w:r>
        <w:rPr/>
        <w:t>an</w:t>
      </w:r>
      <w:r>
        <w:rPr>
          <w:spacing w:val="-15"/>
        </w:rPr>
        <w:t> </w:t>
      </w:r>
      <w:r>
        <w:rPr/>
        <w:t>ideal</w:t>
      </w:r>
      <w:r>
        <w:rPr>
          <w:spacing w:val="-15"/>
        </w:rPr>
        <w:t> </w:t>
      </w:r>
      <w:r>
        <w:rPr/>
        <w:t>market</w:t>
      </w:r>
      <w:r>
        <w:rPr>
          <w:spacing w:val="-15"/>
        </w:rPr>
        <w:t> </w:t>
      </w:r>
      <w:r>
        <w:rPr/>
        <w:t>(Kirman,</w:t>
      </w:r>
      <w:r>
        <w:rPr>
          <w:spacing w:val="-15"/>
        </w:rPr>
        <w:t> </w:t>
      </w:r>
      <w:r>
        <w:rPr/>
        <w:t>2011).</w:t>
      </w:r>
      <w:r>
        <w:rPr>
          <w:spacing w:val="-15"/>
        </w:rPr>
        <w:t> </w:t>
      </w:r>
      <w:r>
        <w:rPr/>
        <w:t>That</w:t>
      </w:r>
      <w:r>
        <w:rPr>
          <w:spacing w:val="-15"/>
        </w:rPr>
        <w:t> </w:t>
      </w:r>
      <w:r>
        <w:rPr/>
        <w:t>is</w:t>
      </w:r>
      <w:r>
        <w:rPr>
          <w:spacing w:val="-15"/>
        </w:rPr>
        <w:t> </w:t>
      </w:r>
      <w:r>
        <w:rPr/>
        <w:t>to</w:t>
      </w:r>
      <w:r>
        <w:rPr>
          <w:spacing w:val="-15"/>
        </w:rPr>
        <w:t> </w:t>
      </w:r>
      <w:r>
        <w:rPr/>
        <w:t>say,</w:t>
      </w:r>
      <w:r>
        <w:rPr>
          <w:spacing w:val="-15"/>
        </w:rPr>
        <w:t> </w:t>
      </w:r>
      <w:r>
        <w:rPr/>
        <w:t>price</w:t>
      </w:r>
      <w:r>
        <w:rPr>
          <w:spacing w:val="-15"/>
        </w:rPr>
        <w:t> </w:t>
      </w:r>
      <w:r>
        <w:rPr/>
        <w:t>of</w:t>
      </w:r>
      <w:r>
        <w:rPr>
          <w:spacing w:val="-15"/>
        </w:rPr>
        <w:t> </w:t>
      </w:r>
      <w:r>
        <w:rPr/>
        <w:t>a</w:t>
      </w:r>
      <w:r>
        <w:rPr>
          <w:spacing w:val="-15"/>
        </w:rPr>
        <w:t> </w:t>
      </w:r>
      <w:r>
        <w:rPr/>
        <w:t>commodity in every market is subjected to the forces of demand and supply considering market operating in a normal economic atmosphere.</w:t>
      </w:r>
    </w:p>
    <w:p>
      <w:pPr>
        <w:pStyle w:val="BodyText"/>
        <w:spacing w:line="480" w:lineRule="auto" w:before="241"/>
        <w:ind w:left="305" w:right="515"/>
      </w:pPr>
      <w:r>
        <w:rPr/>
        <w:t>Housing price is also determined by traditional economic market mechanism earlier explained (Saether, 2008). Housing market incorporates both the relationship between prices, demand and supply and the microeconomic and macroeconomic situation (Pirounakis, 2013). Housing market is a complex market where not only the supply and demand</w:t>
      </w:r>
      <w:r>
        <w:rPr>
          <w:spacing w:val="29"/>
        </w:rPr>
        <w:t> </w:t>
      </w:r>
      <w:r>
        <w:rPr/>
        <w:t>determines</w:t>
      </w:r>
      <w:r>
        <w:rPr>
          <w:spacing w:val="33"/>
        </w:rPr>
        <w:t> </w:t>
      </w:r>
      <w:r>
        <w:rPr/>
        <w:t>housing</w:t>
      </w:r>
      <w:r>
        <w:rPr>
          <w:spacing w:val="31"/>
        </w:rPr>
        <w:t> </w:t>
      </w:r>
      <w:r>
        <w:rPr/>
        <w:t>prices</w:t>
      </w:r>
      <w:r>
        <w:rPr>
          <w:spacing w:val="33"/>
        </w:rPr>
        <w:t> </w:t>
      </w:r>
      <w:r>
        <w:rPr/>
        <w:t>but</w:t>
      </w:r>
      <w:r>
        <w:rPr>
          <w:spacing w:val="33"/>
        </w:rPr>
        <w:t> </w:t>
      </w:r>
      <w:r>
        <w:rPr/>
        <w:t>other</w:t>
      </w:r>
      <w:r>
        <w:rPr>
          <w:spacing w:val="35"/>
        </w:rPr>
        <w:t> </w:t>
      </w:r>
      <w:r>
        <w:rPr/>
        <w:t>attribute</w:t>
      </w:r>
      <w:r>
        <w:rPr>
          <w:spacing w:val="32"/>
        </w:rPr>
        <w:t> </w:t>
      </w:r>
      <w:r>
        <w:rPr/>
        <w:t>features</w:t>
      </w:r>
      <w:r>
        <w:rPr>
          <w:spacing w:val="33"/>
        </w:rPr>
        <w:t> </w:t>
      </w:r>
      <w:r>
        <w:rPr/>
        <w:t>of</w:t>
      </w:r>
      <w:r>
        <w:rPr>
          <w:spacing w:val="32"/>
        </w:rPr>
        <w:t> </w:t>
      </w:r>
      <w:r>
        <w:rPr/>
        <w:t>the</w:t>
      </w:r>
      <w:r>
        <w:rPr>
          <w:spacing w:val="35"/>
        </w:rPr>
        <w:t> </w:t>
      </w:r>
      <w:r>
        <w:rPr/>
        <w:t>house</w:t>
      </w:r>
      <w:r>
        <w:rPr>
          <w:spacing w:val="32"/>
        </w:rPr>
        <w:t> </w:t>
      </w:r>
      <w:r>
        <w:rPr/>
        <w:t>as</w:t>
      </w:r>
      <w:r>
        <w:rPr>
          <w:spacing w:val="36"/>
        </w:rPr>
        <w:t> </w:t>
      </w:r>
      <w:r>
        <w:rPr>
          <w:spacing w:val="-2"/>
        </w:rPr>
        <w:t>earlier</w:t>
      </w:r>
    </w:p>
    <w:p>
      <w:pPr>
        <w:spacing w:after="0" w:line="480" w:lineRule="auto"/>
        <w:sectPr>
          <w:pgSz w:w="11910" w:h="16840"/>
          <w:pgMar w:header="0" w:footer="1022" w:top="1320" w:bottom="1220" w:left="1680" w:right="900"/>
        </w:sectPr>
      </w:pPr>
    </w:p>
    <w:p>
      <w:pPr>
        <w:pStyle w:val="BodyText"/>
        <w:spacing w:line="480" w:lineRule="auto" w:before="72"/>
        <w:ind w:left="305" w:right="516"/>
      </w:pPr>
      <w:r>
        <w:rPr/>
        <w:t>explained in the hedonic model. However, demand and supply for housing also has various determinants (Pirounakis, 2013) as in the market equilibrium thought.</w:t>
      </w:r>
    </w:p>
    <w:p>
      <w:pPr>
        <w:pStyle w:val="BodyText"/>
        <w:spacing w:line="480" w:lineRule="auto" w:before="240"/>
        <w:ind w:left="305" w:right="514"/>
      </w:pPr>
      <w:r>
        <w:rPr/>
        <w:t>In</w:t>
      </w:r>
      <w:r>
        <w:rPr>
          <w:spacing w:val="-13"/>
        </w:rPr>
        <w:t> </w:t>
      </w:r>
      <w:r>
        <w:rPr/>
        <w:t>the</w:t>
      </w:r>
      <w:r>
        <w:rPr>
          <w:spacing w:val="-14"/>
        </w:rPr>
        <w:t> </w:t>
      </w:r>
      <w:r>
        <w:rPr/>
        <w:t>neoclassical</w:t>
      </w:r>
      <w:r>
        <w:rPr>
          <w:spacing w:val="-13"/>
        </w:rPr>
        <w:t> </w:t>
      </w:r>
      <w:r>
        <w:rPr/>
        <w:t>economic</w:t>
      </w:r>
      <w:r>
        <w:rPr>
          <w:spacing w:val="-14"/>
        </w:rPr>
        <w:t> </w:t>
      </w:r>
      <w:r>
        <w:rPr/>
        <w:t>theory,</w:t>
      </w:r>
      <w:r>
        <w:rPr>
          <w:spacing w:val="-13"/>
        </w:rPr>
        <w:t> </w:t>
      </w:r>
      <w:r>
        <w:rPr/>
        <w:t>equilibrium</w:t>
      </w:r>
      <w:r>
        <w:rPr>
          <w:spacing w:val="-13"/>
        </w:rPr>
        <w:t> </w:t>
      </w:r>
      <w:r>
        <w:rPr/>
        <w:t>is</w:t>
      </w:r>
      <w:r>
        <w:rPr>
          <w:spacing w:val="-12"/>
        </w:rPr>
        <w:t> </w:t>
      </w:r>
      <w:r>
        <w:rPr/>
        <w:t>the</w:t>
      </w:r>
      <w:r>
        <w:rPr>
          <w:spacing w:val="-14"/>
        </w:rPr>
        <w:t> </w:t>
      </w:r>
      <w:r>
        <w:rPr/>
        <w:t>basic</w:t>
      </w:r>
      <w:r>
        <w:rPr>
          <w:spacing w:val="-13"/>
        </w:rPr>
        <w:t> </w:t>
      </w:r>
      <w:r>
        <w:rPr/>
        <w:t>issue</w:t>
      </w:r>
      <w:r>
        <w:rPr>
          <w:spacing w:val="-12"/>
        </w:rPr>
        <w:t> </w:t>
      </w:r>
      <w:r>
        <w:rPr/>
        <w:t>(Nanthakumaran</w:t>
      </w:r>
      <w:r>
        <w:rPr>
          <w:spacing w:val="-12"/>
        </w:rPr>
        <w:t> </w:t>
      </w:r>
      <w:r>
        <w:rPr>
          <w:i/>
        </w:rPr>
        <w:t>et</w:t>
      </w:r>
      <w:r>
        <w:rPr>
          <w:i/>
          <w:spacing w:val="-13"/>
        </w:rPr>
        <w:t> </w:t>
      </w:r>
      <w:r>
        <w:rPr>
          <w:i/>
        </w:rPr>
        <w:t>al.</w:t>
      </w:r>
      <w:r>
        <w:rPr/>
        <w:t>, 2000). That is the where demand and supply mechanism ends and through time, interactive system that determines economic changes are suggested. In the housing market macroeconomic research stock-flow model widely adopted with business cycles and forecasting motivation. In the stock-flow model adjustment, perfectly inelastic is assumed for short-term supply of stock or services. Price per unit of housing services is determined by the inelastic supply and demand of housing services. There is interaction between this price and alternative asset yield operating cost, and a risk premium to determine housing stock capital value per unit (Gurran &amp; Bramley, 2017).</w:t>
      </w:r>
    </w:p>
    <w:p>
      <w:pPr>
        <w:pStyle w:val="BodyText"/>
        <w:spacing w:line="480" w:lineRule="auto" w:before="241"/>
        <w:ind w:left="305" w:right="513"/>
      </w:pPr>
      <w:r>
        <w:rPr/>
        <w:t>As early as 13th and 14th century, Ibn Taymiyyah and Ibn Khaldun explain the determinants of rent (Ibn Taymiyyah, 1962; Ibn Khaldun, 1958). For example, Ibn Taymiyyah suggest that cities whose atmosphere is frequently unstable in terms of robbery</w:t>
      </w:r>
      <w:r>
        <w:rPr>
          <w:spacing w:val="-11"/>
        </w:rPr>
        <w:t> </w:t>
      </w:r>
      <w:r>
        <w:rPr/>
        <w:t>and</w:t>
      </w:r>
      <w:r>
        <w:rPr>
          <w:spacing w:val="-6"/>
        </w:rPr>
        <w:t> </w:t>
      </w:r>
      <w:r>
        <w:rPr/>
        <w:t>oppressors</w:t>
      </w:r>
      <w:r>
        <w:rPr>
          <w:spacing w:val="-6"/>
        </w:rPr>
        <w:t> </w:t>
      </w:r>
      <w:r>
        <w:rPr/>
        <w:t>attacks,</w:t>
      </w:r>
      <w:r>
        <w:rPr>
          <w:spacing w:val="-6"/>
        </w:rPr>
        <w:t> </w:t>
      </w:r>
      <w:r>
        <w:rPr/>
        <w:t>it</w:t>
      </w:r>
      <w:r>
        <w:rPr>
          <w:spacing w:val="-5"/>
        </w:rPr>
        <w:t> </w:t>
      </w:r>
      <w:r>
        <w:rPr/>
        <w:t>rental</w:t>
      </w:r>
      <w:r>
        <w:rPr>
          <w:spacing w:val="-6"/>
        </w:rPr>
        <w:t> </w:t>
      </w:r>
      <w:r>
        <w:rPr/>
        <w:t>value</w:t>
      </w:r>
      <w:r>
        <w:rPr>
          <w:spacing w:val="-4"/>
        </w:rPr>
        <w:t> </w:t>
      </w:r>
      <w:r>
        <w:rPr/>
        <w:t>of</w:t>
      </w:r>
      <w:r>
        <w:rPr>
          <w:spacing w:val="-7"/>
        </w:rPr>
        <w:t> </w:t>
      </w:r>
      <w:r>
        <w:rPr/>
        <w:t>land</w:t>
      </w:r>
      <w:r>
        <w:rPr>
          <w:spacing w:val="-6"/>
        </w:rPr>
        <w:t> </w:t>
      </w:r>
      <w:r>
        <w:rPr/>
        <w:t>will</w:t>
      </w:r>
      <w:r>
        <w:rPr>
          <w:spacing w:val="-5"/>
        </w:rPr>
        <w:t> </w:t>
      </w:r>
      <w:r>
        <w:rPr/>
        <w:t>differ</w:t>
      </w:r>
      <w:r>
        <w:rPr>
          <w:spacing w:val="-7"/>
        </w:rPr>
        <w:t> </w:t>
      </w:r>
      <w:r>
        <w:rPr/>
        <w:t>from</w:t>
      </w:r>
      <w:r>
        <w:rPr>
          <w:spacing w:val="-5"/>
        </w:rPr>
        <w:t> </w:t>
      </w:r>
      <w:r>
        <w:rPr/>
        <w:t>cities</w:t>
      </w:r>
      <w:r>
        <w:rPr>
          <w:spacing w:val="-6"/>
        </w:rPr>
        <w:t> </w:t>
      </w:r>
      <w:r>
        <w:rPr/>
        <w:t>without</w:t>
      </w:r>
      <w:r>
        <w:rPr>
          <w:spacing w:val="-5"/>
        </w:rPr>
        <w:t> </w:t>
      </w:r>
      <w:r>
        <w:rPr/>
        <w:t>such attacks (Islahi, 1985). In the same vein, Ibn Khaldun (1958) argued that When there is insecurity of life and property, and the city falls and is ruined. During that period, real estate possession is not encouraged and makes people unhappy, reason being that it has little</w:t>
      </w:r>
      <w:r>
        <w:rPr>
          <w:spacing w:val="-1"/>
        </w:rPr>
        <w:t> </w:t>
      </w:r>
      <w:r>
        <w:rPr/>
        <w:t>benefit in this</w:t>
      </w:r>
      <w:r>
        <w:rPr>
          <w:spacing w:val="-2"/>
        </w:rPr>
        <w:t> </w:t>
      </w:r>
      <w:r>
        <w:rPr/>
        <w:t>turmoil. There</w:t>
      </w:r>
      <w:r>
        <w:rPr>
          <w:spacing w:val="-2"/>
        </w:rPr>
        <w:t> </w:t>
      </w:r>
      <w:r>
        <w:rPr/>
        <w:t>is fall in the</w:t>
      </w:r>
      <w:r>
        <w:rPr>
          <w:spacing w:val="-1"/>
        </w:rPr>
        <w:t> </w:t>
      </w:r>
      <w:r>
        <w:rPr/>
        <w:t>value</w:t>
      </w:r>
      <w:r>
        <w:rPr>
          <w:spacing w:val="-1"/>
        </w:rPr>
        <w:t> </w:t>
      </w:r>
      <w:r>
        <w:rPr/>
        <w:t>of</w:t>
      </w:r>
      <w:r>
        <w:rPr>
          <w:spacing w:val="-1"/>
        </w:rPr>
        <w:t> </w:t>
      </w:r>
      <w:r>
        <w:rPr/>
        <w:t>real estate</w:t>
      </w:r>
      <w:r>
        <w:rPr>
          <w:spacing w:val="-1"/>
        </w:rPr>
        <w:t> </w:t>
      </w:r>
      <w:r>
        <w:rPr/>
        <w:t>and with low prices it can</w:t>
      </w:r>
      <w:r>
        <w:rPr>
          <w:spacing w:val="-6"/>
        </w:rPr>
        <w:t> </w:t>
      </w:r>
      <w:r>
        <w:rPr/>
        <w:t>be</w:t>
      </w:r>
      <w:r>
        <w:rPr>
          <w:spacing w:val="-6"/>
        </w:rPr>
        <w:t> </w:t>
      </w:r>
      <w:r>
        <w:rPr/>
        <w:t>acquire.</w:t>
      </w:r>
      <w:r>
        <w:rPr>
          <w:spacing w:val="-6"/>
        </w:rPr>
        <w:t> </w:t>
      </w:r>
      <w:r>
        <w:rPr/>
        <w:t>But</w:t>
      </w:r>
      <w:r>
        <w:rPr>
          <w:spacing w:val="-5"/>
        </w:rPr>
        <w:t> </w:t>
      </w:r>
      <w:r>
        <w:rPr/>
        <w:t>when</w:t>
      </w:r>
      <w:r>
        <w:rPr>
          <w:spacing w:val="-4"/>
        </w:rPr>
        <w:t> </w:t>
      </w:r>
      <w:r>
        <w:rPr/>
        <w:t>the</w:t>
      </w:r>
      <w:r>
        <w:rPr>
          <w:spacing w:val="-6"/>
        </w:rPr>
        <w:t> </w:t>
      </w:r>
      <w:r>
        <w:rPr/>
        <w:t>city’s</w:t>
      </w:r>
      <w:r>
        <w:rPr>
          <w:spacing w:val="-6"/>
        </w:rPr>
        <w:t> </w:t>
      </w:r>
      <w:r>
        <w:rPr/>
        <w:t>stability</w:t>
      </w:r>
      <w:r>
        <w:rPr>
          <w:spacing w:val="-12"/>
        </w:rPr>
        <w:t> </w:t>
      </w:r>
      <w:r>
        <w:rPr/>
        <w:t>is</w:t>
      </w:r>
      <w:r>
        <w:rPr>
          <w:spacing w:val="-5"/>
        </w:rPr>
        <w:t> </w:t>
      </w:r>
      <w:r>
        <w:rPr/>
        <w:t>regained</w:t>
      </w:r>
      <w:r>
        <w:rPr>
          <w:spacing w:val="-6"/>
        </w:rPr>
        <w:t> </w:t>
      </w:r>
      <w:r>
        <w:rPr/>
        <w:t>and</w:t>
      </w:r>
      <w:r>
        <w:rPr>
          <w:spacing w:val="-3"/>
        </w:rPr>
        <w:t> </w:t>
      </w:r>
      <w:r>
        <w:rPr/>
        <w:t>the</w:t>
      </w:r>
      <w:r>
        <w:rPr>
          <w:spacing w:val="-6"/>
        </w:rPr>
        <w:t> </w:t>
      </w:r>
      <w:r>
        <w:rPr/>
        <w:t>dynasty</w:t>
      </w:r>
      <w:r>
        <w:rPr>
          <w:spacing w:val="-10"/>
        </w:rPr>
        <w:t> </w:t>
      </w:r>
      <w:r>
        <w:rPr/>
        <w:t>flourishes,</w:t>
      </w:r>
      <w:r>
        <w:rPr>
          <w:spacing w:val="-4"/>
        </w:rPr>
        <w:t> </w:t>
      </w:r>
      <w:r>
        <w:rPr/>
        <w:t>and</w:t>
      </w:r>
      <w:r>
        <w:rPr>
          <w:spacing w:val="-6"/>
        </w:rPr>
        <w:t> </w:t>
      </w:r>
      <w:r>
        <w:rPr/>
        <w:t>it conditions are enhanced. The outcome is that real estate possession may make people happy, because real estate will be very useful. Values of real estate increases, and it becomes important. This is what is referred to as "fluctuation in the real estate market". The</w:t>
      </w:r>
      <w:r>
        <w:rPr>
          <w:spacing w:val="-2"/>
        </w:rPr>
        <w:t> </w:t>
      </w:r>
      <w:r>
        <w:rPr/>
        <w:t>city’s</w:t>
      </w:r>
      <w:r>
        <w:rPr>
          <w:spacing w:val="4"/>
        </w:rPr>
        <w:t> </w:t>
      </w:r>
      <w:r>
        <w:rPr/>
        <w:t>wealthiest</w:t>
      </w:r>
      <w:r>
        <w:rPr>
          <w:spacing w:val="1"/>
        </w:rPr>
        <w:t> </w:t>
      </w:r>
      <w:r>
        <w:rPr/>
        <w:t>men</w:t>
      </w:r>
      <w:r>
        <w:rPr>
          <w:spacing w:val="3"/>
        </w:rPr>
        <w:t> </w:t>
      </w:r>
      <w:r>
        <w:rPr/>
        <w:t>now</w:t>
      </w:r>
      <w:r>
        <w:rPr>
          <w:spacing w:val="1"/>
        </w:rPr>
        <w:t> </w:t>
      </w:r>
      <w:r>
        <w:rPr/>
        <w:t>turns</w:t>
      </w:r>
      <w:r>
        <w:rPr>
          <w:spacing w:val="1"/>
        </w:rPr>
        <w:t> </w:t>
      </w:r>
      <w:r>
        <w:rPr/>
        <w:t>to</w:t>
      </w:r>
      <w:r>
        <w:rPr>
          <w:spacing w:val="4"/>
        </w:rPr>
        <w:t> </w:t>
      </w:r>
      <w:r>
        <w:rPr/>
        <w:t>be</w:t>
      </w:r>
      <w:r>
        <w:rPr>
          <w:spacing w:val="3"/>
        </w:rPr>
        <w:t> </w:t>
      </w:r>
      <w:r>
        <w:rPr/>
        <w:t>real</w:t>
      </w:r>
      <w:r>
        <w:rPr>
          <w:spacing w:val="3"/>
        </w:rPr>
        <w:t> </w:t>
      </w:r>
      <w:r>
        <w:rPr/>
        <w:t>estate</w:t>
      </w:r>
      <w:r>
        <w:rPr>
          <w:spacing w:val="1"/>
        </w:rPr>
        <w:t> </w:t>
      </w:r>
      <w:r>
        <w:rPr/>
        <w:t>owners.</w:t>
      </w:r>
      <w:r>
        <w:rPr>
          <w:spacing w:val="2"/>
        </w:rPr>
        <w:t> </w:t>
      </w:r>
      <w:r>
        <w:rPr/>
        <w:t>This</w:t>
      </w:r>
      <w:r>
        <w:rPr>
          <w:spacing w:val="4"/>
        </w:rPr>
        <w:t> </w:t>
      </w:r>
      <w:r>
        <w:rPr/>
        <w:t>was</w:t>
      </w:r>
      <w:r>
        <w:rPr>
          <w:spacing w:val="5"/>
        </w:rPr>
        <w:t> </w:t>
      </w:r>
      <w:r>
        <w:rPr/>
        <w:t>recently</w:t>
      </w:r>
      <w:r>
        <w:rPr>
          <w:spacing w:val="-3"/>
        </w:rPr>
        <w:t> </w:t>
      </w:r>
      <w:r>
        <w:rPr>
          <w:spacing w:val="-2"/>
        </w:rPr>
        <w:t>justified</w:t>
      </w:r>
    </w:p>
    <w:p>
      <w:pPr>
        <w:pStyle w:val="BodyText"/>
        <w:spacing w:line="275" w:lineRule="exact"/>
        <w:ind w:left="305"/>
      </w:pPr>
      <w:r>
        <w:rPr/>
        <w:t>by</w:t>
      </w:r>
      <w:r>
        <w:rPr>
          <w:spacing w:val="-5"/>
        </w:rPr>
        <w:t> </w:t>
      </w:r>
      <w:r>
        <w:rPr/>
        <w:t>Aliyu</w:t>
      </w:r>
      <w:r>
        <w:rPr>
          <w:spacing w:val="2"/>
        </w:rPr>
        <w:t> </w:t>
      </w:r>
      <w:r>
        <w:rPr>
          <w:spacing w:val="-2"/>
        </w:rPr>
        <w:t>(2012).</w:t>
      </w:r>
    </w:p>
    <w:p>
      <w:pPr>
        <w:spacing w:after="0" w:line="275" w:lineRule="exact"/>
        <w:sectPr>
          <w:pgSz w:w="11910" w:h="16840"/>
          <w:pgMar w:header="0" w:footer="1022" w:top="1320" w:bottom="1220" w:left="1680" w:right="900"/>
        </w:sectPr>
      </w:pPr>
    </w:p>
    <w:p>
      <w:pPr>
        <w:pStyle w:val="BodyText"/>
        <w:spacing w:line="480" w:lineRule="auto" w:before="72"/>
        <w:ind w:left="305" w:right="513"/>
      </w:pPr>
      <w:r>
        <w:rPr/>
        <w:t>In</w:t>
      </w:r>
      <w:r>
        <w:rPr>
          <w:spacing w:val="-7"/>
        </w:rPr>
        <w:t> </w:t>
      </w:r>
      <w:r>
        <w:rPr/>
        <w:t>many</w:t>
      </w:r>
      <w:r>
        <w:rPr>
          <w:spacing w:val="-12"/>
        </w:rPr>
        <w:t> </w:t>
      </w:r>
      <w:r>
        <w:rPr/>
        <w:t>ways</w:t>
      </w:r>
      <w:r>
        <w:rPr>
          <w:spacing w:val="-7"/>
        </w:rPr>
        <w:t> </w:t>
      </w:r>
      <w:r>
        <w:rPr/>
        <w:t>housing</w:t>
      </w:r>
      <w:r>
        <w:rPr>
          <w:spacing w:val="-10"/>
        </w:rPr>
        <w:t> </w:t>
      </w:r>
      <w:r>
        <w:rPr/>
        <w:t>market</w:t>
      </w:r>
      <w:r>
        <w:rPr>
          <w:spacing w:val="-7"/>
        </w:rPr>
        <w:t> </w:t>
      </w:r>
      <w:r>
        <w:rPr/>
        <w:t>is</w:t>
      </w:r>
      <w:r>
        <w:rPr>
          <w:spacing w:val="-7"/>
        </w:rPr>
        <w:t> </w:t>
      </w:r>
      <w:r>
        <w:rPr/>
        <w:t>unique</w:t>
      </w:r>
      <w:r>
        <w:rPr>
          <w:spacing w:val="-8"/>
        </w:rPr>
        <w:t> </w:t>
      </w:r>
      <w:r>
        <w:rPr/>
        <w:t>and</w:t>
      </w:r>
      <w:r>
        <w:rPr>
          <w:spacing w:val="-7"/>
        </w:rPr>
        <w:t> </w:t>
      </w:r>
      <w:r>
        <w:rPr/>
        <w:t>different</w:t>
      </w:r>
      <w:r>
        <w:rPr>
          <w:spacing w:val="-7"/>
        </w:rPr>
        <w:t> </w:t>
      </w:r>
      <w:r>
        <w:rPr/>
        <w:t>from</w:t>
      </w:r>
      <w:r>
        <w:rPr>
          <w:spacing w:val="-7"/>
        </w:rPr>
        <w:t> </w:t>
      </w:r>
      <w:r>
        <w:rPr/>
        <w:t>other</w:t>
      </w:r>
      <w:r>
        <w:rPr>
          <w:spacing w:val="-8"/>
        </w:rPr>
        <w:t> </w:t>
      </w:r>
      <w:r>
        <w:rPr/>
        <w:t>commodity</w:t>
      </w:r>
      <w:r>
        <w:rPr>
          <w:spacing w:val="-10"/>
        </w:rPr>
        <w:t> </w:t>
      </w:r>
      <w:r>
        <w:rPr/>
        <w:t>market.</w:t>
      </w:r>
      <w:r>
        <w:rPr>
          <w:spacing w:val="-7"/>
        </w:rPr>
        <w:t> </w:t>
      </w:r>
      <w:r>
        <w:rPr/>
        <w:t>The nature of housing and type of transaction usually involved substantially impact on the housing market mechanism. This is because housing transaction deals with not only physical</w:t>
      </w:r>
      <w:r>
        <w:rPr>
          <w:spacing w:val="-5"/>
        </w:rPr>
        <w:t> </w:t>
      </w:r>
      <w:r>
        <w:rPr/>
        <w:t>nature</w:t>
      </w:r>
      <w:r>
        <w:rPr>
          <w:spacing w:val="-5"/>
        </w:rPr>
        <w:t> </w:t>
      </w:r>
      <w:r>
        <w:rPr/>
        <w:t>of</w:t>
      </w:r>
      <w:r>
        <w:rPr>
          <w:spacing w:val="-6"/>
        </w:rPr>
        <w:t> </w:t>
      </w:r>
      <w:r>
        <w:rPr/>
        <w:t>the</w:t>
      </w:r>
      <w:r>
        <w:rPr>
          <w:spacing w:val="-7"/>
        </w:rPr>
        <w:t> </w:t>
      </w:r>
      <w:r>
        <w:rPr/>
        <w:t>product</w:t>
      </w:r>
      <w:r>
        <w:rPr>
          <w:spacing w:val="-6"/>
        </w:rPr>
        <w:t> </w:t>
      </w:r>
      <w:r>
        <w:rPr/>
        <w:t>but</w:t>
      </w:r>
      <w:r>
        <w:rPr>
          <w:spacing w:val="-6"/>
        </w:rPr>
        <w:t> </w:t>
      </w:r>
      <w:r>
        <w:rPr/>
        <w:t>also</w:t>
      </w:r>
      <w:r>
        <w:rPr>
          <w:spacing w:val="-6"/>
        </w:rPr>
        <w:t> </w:t>
      </w:r>
      <w:r>
        <w:rPr/>
        <w:t>interest</w:t>
      </w:r>
      <w:r>
        <w:rPr>
          <w:spacing w:val="-6"/>
        </w:rPr>
        <w:t> </w:t>
      </w:r>
      <w:r>
        <w:rPr/>
        <w:t>and</w:t>
      </w:r>
      <w:r>
        <w:rPr>
          <w:spacing w:val="-4"/>
        </w:rPr>
        <w:t> </w:t>
      </w:r>
      <w:r>
        <w:rPr/>
        <w:t>right</w:t>
      </w:r>
      <w:r>
        <w:rPr>
          <w:spacing w:val="-6"/>
        </w:rPr>
        <w:t> </w:t>
      </w:r>
      <w:r>
        <w:rPr/>
        <w:t>in</w:t>
      </w:r>
      <w:r>
        <w:rPr>
          <w:spacing w:val="-6"/>
        </w:rPr>
        <w:t> </w:t>
      </w:r>
      <w:r>
        <w:rPr/>
        <w:t>it</w:t>
      </w:r>
      <w:r>
        <w:rPr>
          <w:spacing w:val="-1"/>
        </w:rPr>
        <w:t> </w:t>
      </w:r>
      <w:r>
        <w:rPr/>
        <w:t>(Agbola</w:t>
      </w:r>
      <w:r>
        <w:rPr>
          <w:spacing w:val="-4"/>
        </w:rPr>
        <w:t> </w:t>
      </w:r>
      <w:r>
        <w:rPr/>
        <w:t>&amp;</w:t>
      </w:r>
      <w:r>
        <w:rPr>
          <w:spacing w:val="-6"/>
        </w:rPr>
        <w:t> </w:t>
      </w:r>
      <w:r>
        <w:rPr/>
        <w:t>Adegoke,</w:t>
      </w:r>
      <w:r>
        <w:rPr>
          <w:spacing w:val="-4"/>
        </w:rPr>
        <w:t> </w:t>
      </w:r>
      <w:r>
        <w:rPr>
          <w:spacing w:val="-2"/>
        </w:rPr>
        <w:t>2007).</w:t>
      </w:r>
    </w:p>
    <w:p>
      <w:pPr>
        <w:pStyle w:val="Heading1"/>
        <w:numPr>
          <w:ilvl w:val="2"/>
          <w:numId w:val="5"/>
        </w:numPr>
        <w:tabs>
          <w:tab w:pos="1024" w:val="left" w:leader="none"/>
        </w:tabs>
        <w:spacing w:line="240" w:lineRule="auto" w:before="247" w:after="0"/>
        <w:ind w:left="1024" w:right="0" w:hanging="719"/>
        <w:jc w:val="both"/>
      </w:pPr>
      <w:r>
        <w:rPr/>
        <w:t>Concentrated</w:t>
      </w:r>
      <w:r>
        <w:rPr>
          <w:spacing w:val="-2"/>
        </w:rPr>
        <w:t> urbanisation</w:t>
      </w:r>
    </w:p>
    <w:p>
      <w:pPr>
        <w:pStyle w:val="BodyText"/>
        <w:spacing w:before="192"/>
        <w:jc w:val="left"/>
        <w:rPr>
          <w:b/>
        </w:rPr>
      </w:pPr>
    </w:p>
    <w:p>
      <w:pPr>
        <w:pStyle w:val="BodyText"/>
        <w:spacing w:line="480" w:lineRule="auto"/>
        <w:ind w:left="305" w:right="511"/>
      </w:pPr>
      <w:r>
        <w:rPr/>
        <w:t>It is an undeniable reality that at present, the world is urbanizing at a quick pace. The unsettling component of this rate is that it doesn't uniformly spread everywhere throughout the world. Sooner than 1950, concentrated urbanization symbolize world urbanization</w:t>
      </w:r>
      <w:r>
        <w:rPr>
          <w:spacing w:val="-8"/>
        </w:rPr>
        <w:t> </w:t>
      </w:r>
      <w:r>
        <w:rPr/>
        <w:t>picture</w:t>
      </w:r>
      <w:r>
        <w:rPr>
          <w:spacing w:val="-9"/>
        </w:rPr>
        <w:t> </w:t>
      </w:r>
      <w:r>
        <w:rPr/>
        <w:t>as</w:t>
      </w:r>
      <w:r>
        <w:rPr>
          <w:spacing w:val="-8"/>
        </w:rPr>
        <w:t> </w:t>
      </w:r>
      <w:r>
        <w:rPr/>
        <w:t>majority</w:t>
      </w:r>
      <w:r>
        <w:rPr>
          <w:spacing w:val="-13"/>
        </w:rPr>
        <w:t> </w:t>
      </w:r>
      <w:r>
        <w:rPr/>
        <w:t>of</w:t>
      </w:r>
      <w:r>
        <w:rPr>
          <w:spacing w:val="-9"/>
        </w:rPr>
        <w:t> </w:t>
      </w:r>
      <w:r>
        <w:rPr/>
        <w:t>urban</w:t>
      </w:r>
      <w:r>
        <w:rPr>
          <w:spacing w:val="-6"/>
        </w:rPr>
        <w:t> </w:t>
      </w:r>
      <w:r>
        <w:rPr/>
        <w:t>growth</w:t>
      </w:r>
      <w:r>
        <w:rPr>
          <w:spacing w:val="-8"/>
        </w:rPr>
        <w:t> </w:t>
      </w:r>
      <w:r>
        <w:rPr/>
        <w:t>occurred</w:t>
      </w:r>
      <w:r>
        <w:rPr>
          <w:spacing w:val="-8"/>
        </w:rPr>
        <w:t> </w:t>
      </w:r>
      <w:r>
        <w:rPr/>
        <w:t>in</w:t>
      </w:r>
      <w:r>
        <w:rPr>
          <w:spacing w:val="-8"/>
        </w:rPr>
        <w:t> </w:t>
      </w:r>
      <w:r>
        <w:rPr/>
        <w:t>developed</w:t>
      </w:r>
      <w:r>
        <w:rPr>
          <w:spacing w:val="-9"/>
        </w:rPr>
        <w:t> </w:t>
      </w:r>
      <w:r>
        <w:rPr/>
        <w:t>countries</w:t>
      </w:r>
      <w:r>
        <w:rPr>
          <w:spacing w:val="-8"/>
        </w:rPr>
        <w:t> </w:t>
      </w:r>
      <w:r>
        <w:rPr/>
        <w:t>but</w:t>
      </w:r>
      <w:r>
        <w:rPr>
          <w:spacing w:val="-8"/>
        </w:rPr>
        <w:t> </w:t>
      </w:r>
      <w:r>
        <w:rPr/>
        <w:t>this have been shifted to the developing countries towards the 21</w:t>
      </w:r>
      <w:r>
        <w:rPr>
          <w:vertAlign w:val="superscript"/>
        </w:rPr>
        <w:t>st</w:t>
      </w:r>
      <w:r>
        <w:rPr>
          <w:vertAlign w:val="baseline"/>
        </w:rPr>
        <w:t> century (Saurav </w:t>
      </w:r>
      <w:r>
        <w:rPr>
          <w:i/>
          <w:vertAlign w:val="baseline"/>
        </w:rPr>
        <w:t>et al.</w:t>
      </w:r>
      <w:r>
        <w:rPr>
          <w:vertAlign w:val="baseline"/>
        </w:rPr>
        <w:t>, 2015). This population is expected to increase in the next few decades (United Nations, </w:t>
      </w:r>
      <w:r>
        <w:rPr>
          <w:spacing w:val="-2"/>
          <w:vertAlign w:val="baseline"/>
        </w:rPr>
        <w:t>2014).</w:t>
      </w:r>
    </w:p>
    <w:p>
      <w:pPr>
        <w:pStyle w:val="BodyText"/>
        <w:spacing w:line="480" w:lineRule="auto" w:before="242"/>
        <w:ind w:left="305" w:right="513"/>
      </w:pPr>
      <w:r>
        <w:rPr/>
        <w:t>In West Africa, there is rapid expansion in the population of urban areas. Cities in West Africa</w:t>
      </w:r>
      <w:r>
        <w:rPr>
          <w:spacing w:val="-6"/>
        </w:rPr>
        <w:t> </w:t>
      </w:r>
      <w:r>
        <w:rPr/>
        <w:t>subregion</w:t>
      </w:r>
      <w:r>
        <w:rPr>
          <w:spacing w:val="-5"/>
        </w:rPr>
        <w:t> </w:t>
      </w:r>
      <w:r>
        <w:rPr/>
        <w:t>are</w:t>
      </w:r>
      <w:r>
        <w:rPr>
          <w:spacing w:val="-6"/>
        </w:rPr>
        <w:t> </w:t>
      </w:r>
      <w:r>
        <w:rPr/>
        <w:t>expected</w:t>
      </w:r>
      <w:r>
        <w:rPr>
          <w:spacing w:val="-8"/>
        </w:rPr>
        <w:t> </w:t>
      </w:r>
      <w:r>
        <w:rPr/>
        <w:t>to</w:t>
      </w:r>
      <w:r>
        <w:rPr>
          <w:spacing w:val="-5"/>
        </w:rPr>
        <w:t> </w:t>
      </w:r>
      <w:r>
        <w:rPr/>
        <w:t>have</w:t>
      </w:r>
      <w:r>
        <w:rPr>
          <w:spacing w:val="-6"/>
        </w:rPr>
        <w:t> </w:t>
      </w:r>
      <w:r>
        <w:rPr/>
        <w:t>an</w:t>
      </w:r>
      <w:r>
        <w:rPr>
          <w:spacing w:val="-5"/>
        </w:rPr>
        <w:t> </w:t>
      </w:r>
      <w:r>
        <w:rPr/>
        <w:t>increase</w:t>
      </w:r>
      <w:r>
        <w:rPr>
          <w:spacing w:val="-4"/>
        </w:rPr>
        <w:t> </w:t>
      </w:r>
      <w:r>
        <w:rPr/>
        <w:t>of</w:t>
      </w:r>
      <w:r>
        <w:rPr>
          <w:spacing w:val="-8"/>
        </w:rPr>
        <w:t> </w:t>
      </w:r>
      <w:r>
        <w:rPr/>
        <w:t>additional</w:t>
      </w:r>
      <w:r>
        <w:rPr>
          <w:spacing w:val="-7"/>
        </w:rPr>
        <w:t> </w:t>
      </w:r>
      <w:r>
        <w:rPr/>
        <w:t>58</w:t>
      </w:r>
      <w:r>
        <w:rPr>
          <w:spacing w:val="-5"/>
        </w:rPr>
        <w:t> </w:t>
      </w:r>
      <w:r>
        <w:rPr/>
        <w:t>million</w:t>
      </w:r>
      <w:r>
        <w:rPr>
          <w:spacing w:val="-7"/>
        </w:rPr>
        <w:t> </w:t>
      </w:r>
      <w:r>
        <w:rPr/>
        <w:t>in</w:t>
      </w:r>
      <w:r>
        <w:rPr>
          <w:spacing w:val="-7"/>
        </w:rPr>
        <w:t> </w:t>
      </w:r>
      <w:r>
        <w:rPr/>
        <w:t>the</w:t>
      </w:r>
      <w:r>
        <w:rPr>
          <w:spacing w:val="-8"/>
        </w:rPr>
        <w:t> </w:t>
      </w:r>
      <w:r>
        <w:rPr/>
        <w:t>2010/20 decade,</w:t>
      </w:r>
      <w:r>
        <w:rPr>
          <w:spacing w:val="-15"/>
        </w:rPr>
        <w:t> </w:t>
      </w:r>
      <w:r>
        <w:rPr/>
        <w:t>and</w:t>
      </w:r>
      <w:r>
        <w:rPr>
          <w:spacing w:val="-15"/>
        </w:rPr>
        <w:t> </w:t>
      </w:r>
      <w:r>
        <w:rPr/>
        <w:t>in</w:t>
      </w:r>
      <w:r>
        <w:rPr>
          <w:spacing w:val="-15"/>
        </w:rPr>
        <w:t> </w:t>
      </w:r>
      <w:r>
        <w:rPr/>
        <w:t>the</w:t>
      </w:r>
      <w:r>
        <w:rPr>
          <w:spacing w:val="-15"/>
        </w:rPr>
        <w:t> </w:t>
      </w:r>
      <w:r>
        <w:rPr/>
        <w:t>2020/30</w:t>
      </w:r>
      <w:r>
        <w:rPr>
          <w:spacing w:val="-15"/>
        </w:rPr>
        <w:t> </w:t>
      </w:r>
      <w:r>
        <w:rPr/>
        <w:t>decade</w:t>
      </w:r>
      <w:r>
        <w:rPr>
          <w:spacing w:val="-15"/>
        </w:rPr>
        <w:t> </w:t>
      </w:r>
      <w:r>
        <w:rPr/>
        <w:t>additional</w:t>
      </w:r>
      <w:r>
        <w:rPr>
          <w:spacing w:val="-15"/>
        </w:rPr>
        <w:t> </w:t>
      </w:r>
      <w:r>
        <w:rPr/>
        <w:t>69</w:t>
      </w:r>
      <w:r>
        <w:rPr>
          <w:spacing w:val="-15"/>
        </w:rPr>
        <w:t> </w:t>
      </w:r>
      <w:r>
        <w:rPr/>
        <w:t>million</w:t>
      </w:r>
      <w:r>
        <w:rPr>
          <w:spacing w:val="-15"/>
        </w:rPr>
        <w:t> </w:t>
      </w:r>
      <w:r>
        <w:rPr/>
        <w:t>is</w:t>
      </w:r>
      <w:r>
        <w:rPr>
          <w:spacing w:val="-15"/>
        </w:rPr>
        <w:t> </w:t>
      </w:r>
      <w:r>
        <w:rPr/>
        <w:t>expected.</w:t>
      </w:r>
      <w:r>
        <w:rPr>
          <w:spacing w:val="-15"/>
        </w:rPr>
        <w:t> </w:t>
      </w:r>
      <w:r>
        <w:rPr/>
        <w:t>Even</w:t>
      </w:r>
      <w:r>
        <w:rPr>
          <w:spacing w:val="-15"/>
        </w:rPr>
        <w:t> </w:t>
      </w:r>
      <w:r>
        <w:rPr/>
        <w:t>by</w:t>
      </w:r>
      <w:r>
        <w:rPr>
          <w:spacing w:val="-15"/>
        </w:rPr>
        <w:t> </w:t>
      </w:r>
      <w:r>
        <w:rPr/>
        <w:t>then,</w:t>
      </w:r>
      <w:r>
        <w:rPr>
          <w:spacing w:val="-15"/>
        </w:rPr>
        <w:t> </w:t>
      </w:r>
      <w:r>
        <w:rPr/>
        <w:t>growth in the urban demography is not expected to subside, even if there is decline in the projected rates of urbanisation growth beyond 2030, the cities in the subregion are expected to accommodate an added 79 million by 2040, and by 2040 and 2050 another 84 million is expected (UN-Habitat, 2010).</w:t>
      </w:r>
    </w:p>
    <w:p>
      <w:pPr>
        <w:pStyle w:val="BodyText"/>
        <w:spacing w:line="480" w:lineRule="auto" w:before="241"/>
        <w:ind w:left="305" w:right="510"/>
      </w:pPr>
      <w:r>
        <w:rPr/>
        <w:t>Nigeria</w:t>
      </w:r>
      <w:r>
        <w:rPr>
          <w:spacing w:val="-8"/>
        </w:rPr>
        <w:t> </w:t>
      </w:r>
      <w:r>
        <w:rPr/>
        <w:t>urban</w:t>
      </w:r>
      <w:r>
        <w:rPr>
          <w:spacing w:val="-7"/>
        </w:rPr>
        <w:t> </w:t>
      </w:r>
      <w:r>
        <w:rPr/>
        <w:t>population</w:t>
      </w:r>
      <w:r>
        <w:rPr>
          <w:spacing w:val="-5"/>
        </w:rPr>
        <w:t> </w:t>
      </w:r>
      <w:r>
        <w:rPr/>
        <w:t>is</w:t>
      </w:r>
      <w:r>
        <w:rPr>
          <w:spacing w:val="-7"/>
        </w:rPr>
        <w:t> </w:t>
      </w:r>
      <w:r>
        <w:rPr/>
        <w:t>estimated</w:t>
      </w:r>
      <w:r>
        <w:rPr>
          <w:spacing w:val="-7"/>
        </w:rPr>
        <w:t> </w:t>
      </w:r>
      <w:r>
        <w:rPr/>
        <w:t>at</w:t>
      </w:r>
      <w:r>
        <w:rPr>
          <w:spacing w:val="-7"/>
        </w:rPr>
        <w:t> </w:t>
      </w:r>
      <w:r>
        <w:rPr/>
        <w:t>44%</w:t>
      </w:r>
      <w:r>
        <w:rPr>
          <w:spacing w:val="-5"/>
        </w:rPr>
        <w:t> </w:t>
      </w:r>
      <w:r>
        <w:rPr/>
        <w:t>in</w:t>
      </w:r>
      <w:r>
        <w:rPr>
          <w:spacing w:val="-7"/>
        </w:rPr>
        <w:t> </w:t>
      </w:r>
      <w:r>
        <w:rPr/>
        <w:t>the</w:t>
      </w:r>
      <w:r>
        <w:rPr>
          <w:spacing w:val="-3"/>
        </w:rPr>
        <w:t> </w:t>
      </w:r>
      <w:r>
        <w:rPr/>
        <w:t>year</w:t>
      </w:r>
      <w:r>
        <w:rPr>
          <w:spacing w:val="-8"/>
        </w:rPr>
        <w:t> </w:t>
      </w:r>
      <w:r>
        <w:rPr/>
        <w:t>2005</w:t>
      </w:r>
      <w:r>
        <w:rPr>
          <w:spacing w:val="-5"/>
        </w:rPr>
        <w:t> </w:t>
      </w:r>
      <w:r>
        <w:rPr/>
        <w:t>with</w:t>
      </w:r>
      <w:r>
        <w:rPr>
          <w:spacing w:val="-7"/>
        </w:rPr>
        <w:t> </w:t>
      </w:r>
      <w:r>
        <w:rPr/>
        <w:t>annual</w:t>
      </w:r>
      <w:r>
        <w:rPr>
          <w:spacing w:val="-4"/>
        </w:rPr>
        <w:t> </w:t>
      </w:r>
      <w:r>
        <w:rPr/>
        <w:t>growth</w:t>
      </w:r>
      <w:r>
        <w:rPr>
          <w:spacing w:val="-7"/>
        </w:rPr>
        <w:t> </w:t>
      </w:r>
      <w:r>
        <w:rPr/>
        <w:t>rate</w:t>
      </w:r>
      <w:r>
        <w:rPr>
          <w:spacing w:val="-8"/>
        </w:rPr>
        <w:t> </w:t>
      </w:r>
      <w:r>
        <w:rPr/>
        <w:t>of 3.7% (United Nations, 2009) and increases to 48% in the year 2014 with 4.7% annual growth rate (United Nations, 2014) . Due to the expansion in urban population at uncontrolled</w:t>
      </w:r>
      <w:r>
        <w:rPr>
          <w:spacing w:val="-15"/>
        </w:rPr>
        <w:t> </w:t>
      </w:r>
      <w:r>
        <w:rPr/>
        <w:t>rates</w:t>
      </w:r>
      <w:r>
        <w:rPr>
          <w:spacing w:val="-14"/>
        </w:rPr>
        <w:t> </w:t>
      </w:r>
      <w:r>
        <w:rPr/>
        <w:t>since</w:t>
      </w:r>
      <w:r>
        <w:rPr>
          <w:spacing w:val="-14"/>
        </w:rPr>
        <w:t> </w:t>
      </w:r>
      <w:r>
        <w:rPr/>
        <w:t>1996,</w:t>
      </w:r>
      <w:r>
        <w:rPr>
          <w:spacing w:val="-13"/>
        </w:rPr>
        <w:t> </w:t>
      </w:r>
      <w:r>
        <w:rPr/>
        <w:t>the</w:t>
      </w:r>
      <w:r>
        <w:rPr>
          <w:spacing w:val="-14"/>
        </w:rPr>
        <w:t> </w:t>
      </w:r>
      <w:r>
        <w:rPr/>
        <w:t>shortfall</w:t>
      </w:r>
      <w:r>
        <w:rPr>
          <w:spacing w:val="-13"/>
        </w:rPr>
        <w:t> </w:t>
      </w:r>
      <w:r>
        <w:rPr/>
        <w:t>in</w:t>
      </w:r>
      <w:r>
        <w:rPr>
          <w:spacing w:val="-13"/>
        </w:rPr>
        <w:t> </w:t>
      </w:r>
      <w:r>
        <w:rPr/>
        <w:t>the</w:t>
      </w:r>
      <w:r>
        <w:rPr>
          <w:spacing w:val="-14"/>
        </w:rPr>
        <w:t> </w:t>
      </w:r>
      <w:r>
        <w:rPr/>
        <w:t>housing</w:t>
      </w:r>
      <w:r>
        <w:rPr>
          <w:spacing w:val="-15"/>
        </w:rPr>
        <w:t> </w:t>
      </w:r>
      <w:r>
        <w:rPr/>
        <w:t>supply</w:t>
      </w:r>
      <w:r>
        <w:rPr>
          <w:spacing w:val="-15"/>
        </w:rPr>
        <w:t> </w:t>
      </w:r>
      <w:r>
        <w:rPr/>
        <w:t>is</w:t>
      </w:r>
      <w:r>
        <w:rPr>
          <w:spacing w:val="-13"/>
        </w:rPr>
        <w:t> </w:t>
      </w:r>
      <w:r>
        <w:rPr/>
        <w:t>not</w:t>
      </w:r>
      <w:r>
        <w:rPr>
          <w:spacing w:val="-11"/>
        </w:rPr>
        <w:t> </w:t>
      </w:r>
      <w:r>
        <w:rPr/>
        <w:t>surprising</w:t>
      </w:r>
      <w:r>
        <w:rPr>
          <w:spacing w:val="-15"/>
        </w:rPr>
        <w:t> </w:t>
      </w:r>
      <w:r>
        <w:rPr/>
        <w:t>in</w:t>
      </w:r>
      <w:r>
        <w:rPr>
          <w:spacing w:val="-13"/>
        </w:rPr>
        <w:t> </w:t>
      </w:r>
      <w:r>
        <w:rPr/>
        <w:t>many cities</w:t>
      </w:r>
      <w:r>
        <w:rPr>
          <w:spacing w:val="10"/>
        </w:rPr>
        <w:t> </w:t>
      </w:r>
      <w:r>
        <w:rPr/>
        <w:t>(Asian</w:t>
      </w:r>
      <w:r>
        <w:rPr>
          <w:spacing w:val="12"/>
        </w:rPr>
        <w:t> </w:t>
      </w:r>
      <w:r>
        <w:rPr/>
        <w:t>Development</w:t>
      </w:r>
      <w:r>
        <w:rPr>
          <w:spacing w:val="12"/>
        </w:rPr>
        <w:t> </w:t>
      </w:r>
      <w:r>
        <w:rPr/>
        <w:t>Bank,</w:t>
      </w:r>
      <w:r>
        <w:rPr>
          <w:spacing w:val="13"/>
        </w:rPr>
        <w:t> </w:t>
      </w:r>
      <w:r>
        <w:rPr/>
        <w:t>2012;</w:t>
      </w:r>
      <w:r>
        <w:rPr>
          <w:spacing w:val="13"/>
        </w:rPr>
        <w:t> </w:t>
      </w:r>
      <w:r>
        <w:rPr/>
        <w:t>Asian</w:t>
      </w:r>
      <w:r>
        <w:rPr>
          <w:spacing w:val="12"/>
        </w:rPr>
        <w:t> </w:t>
      </w:r>
      <w:r>
        <w:rPr/>
        <w:t>Development</w:t>
      </w:r>
      <w:r>
        <w:rPr>
          <w:spacing w:val="13"/>
        </w:rPr>
        <w:t> </w:t>
      </w:r>
      <w:r>
        <w:rPr/>
        <w:t>Bank,</w:t>
      </w:r>
      <w:r>
        <w:rPr>
          <w:spacing w:val="12"/>
        </w:rPr>
        <w:t> </w:t>
      </w:r>
      <w:r>
        <w:rPr/>
        <w:t>2015).</w:t>
      </w:r>
      <w:r>
        <w:rPr>
          <w:spacing w:val="15"/>
        </w:rPr>
        <w:t> </w:t>
      </w:r>
      <w:r>
        <w:rPr/>
        <w:t>Estimates</w:t>
      </w:r>
      <w:r>
        <w:rPr>
          <w:spacing w:val="13"/>
        </w:rPr>
        <w:t> </w:t>
      </w:r>
      <w:r>
        <w:rPr>
          <w:spacing w:val="-5"/>
        </w:rPr>
        <w:t>by</w:t>
      </w:r>
    </w:p>
    <w:p>
      <w:pPr>
        <w:spacing w:after="0" w:line="480" w:lineRule="auto"/>
        <w:sectPr>
          <w:pgSz w:w="11910" w:h="16840"/>
          <w:pgMar w:header="0" w:footer="1022" w:top="1320" w:bottom="1220" w:left="1680" w:right="900"/>
        </w:sectPr>
      </w:pPr>
    </w:p>
    <w:p>
      <w:pPr>
        <w:pStyle w:val="BodyText"/>
        <w:spacing w:line="480" w:lineRule="auto" w:before="72"/>
        <w:ind w:left="305" w:right="512"/>
      </w:pPr>
      <w:r>
        <w:rPr/>
        <w:t>UN-Habitat show that slum dwellers in the cities of developing countries currently amount to 881 million people compared to 792 million in the year 2000. Another 1.6 billion are</w:t>
      </w:r>
      <w:r>
        <w:rPr>
          <w:spacing w:val="-1"/>
        </w:rPr>
        <w:t> </w:t>
      </w:r>
      <w:r>
        <w:rPr/>
        <w:t>likely</w:t>
      </w:r>
      <w:r>
        <w:rPr>
          <w:spacing w:val="-4"/>
        </w:rPr>
        <w:t> </w:t>
      </w:r>
      <w:r>
        <w:rPr/>
        <w:t>to need adequate, affordable housing by</w:t>
      </w:r>
      <w:r>
        <w:rPr>
          <w:spacing w:val="-4"/>
        </w:rPr>
        <w:t> </w:t>
      </w:r>
      <w:r>
        <w:rPr/>
        <w:t>2025. However, this is seen as a wake-up call governments, advising them urgently provide access to housing for all urban dwellers (UN-Habitat, 2015). As urban agglomerations are growing rapidly worldwide, building additional housing for citizen by the government is becoming unrealistic and the involvement of the private sector become necessary (UN-Habitat, 2015). Most of these agglomeration are concentrated urbanisation (Saurav </w:t>
      </w:r>
      <w:r>
        <w:rPr>
          <w:i/>
        </w:rPr>
        <w:t>et al</w:t>
      </w:r>
      <w:r>
        <w:rPr/>
        <w:t>., 2015).</w:t>
      </w:r>
    </w:p>
    <w:p>
      <w:pPr>
        <w:pStyle w:val="Heading1"/>
        <w:numPr>
          <w:ilvl w:val="1"/>
          <w:numId w:val="5"/>
        </w:numPr>
        <w:tabs>
          <w:tab w:pos="1024" w:val="left" w:leader="none"/>
        </w:tabs>
        <w:spacing w:line="240" w:lineRule="auto" w:before="248" w:after="0"/>
        <w:ind w:left="1024" w:right="0" w:hanging="719"/>
        <w:jc w:val="both"/>
      </w:pPr>
      <w:r>
        <w:rPr/>
        <w:t>Review</w:t>
      </w:r>
      <w:r>
        <w:rPr>
          <w:spacing w:val="-2"/>
        </w:rPr>
        <w:t> </w:t>
      </w:r>
      <w:r>
        <w:rPr/>
        <w:t>of Empirical</w:t>
      </w:r>
      <w:r>
        <w:rPr>
          <w:spacing w:val="-2"/>
        </w:rPr>
        <w:t> Studies</w:t>
      </w:r>
    </w:p>
    <w:p>
      <w:pPr>
        <w:pStyle w:val="BodyText"/>
        <w:spacing w:before="192"/>
        <w:jc w:val="left"/>
        <w:rPr>
          <w:b/>
        </w:rPr>
      </w:pPr>
    </w:p>
    <w:p>
      <w:pPr>
        <w:pStyle w:val="BodyText"/>
        <w:spacing w:line="480" w:lineRule="auto"/>
        <w:ind w:left="305" w:right="515"/>
      </w:pPr>
      <w:r>
        <w:rPr/>
        <w:t>This section review literature related to urban densification and housing market, approaches to housing market analysis, housing submarket and approaches to housing submarket</w:t>
      </w:r>
      <w:r>
        <w:rPr>
          <w:spacing w:val="-11"/>
        </w:rPr>
        <w:t> </w:t>
      </w:r>
      <w:r>
        <w:rPr/>
        <w:t>delineation.</w:t>
      </w:r>
      <w:r>
        <w:rPr>
          <w:spacing w:val="-10"/>
        </w:rPr>
        <w:t> </w:t>
      </w:r>
      <w:r>
        <w:rPr/>
        <w:t>The</w:t>
      </w:r>
      <w:r>
        <w:rPr>
          <w:spacing w:val="-13"/>
        </w:rPr>
        <w:t> </w:t>
      </w:r>
      <w:r>
        <w:rPr/>
        <w:t>purpose</w:t>
      </w:r>
      <w:r>
        <w:rPr>
          <w:spacing w:val="-12"/>
        </w:rPr>
        <w:t> </w:t>
      </w:r>
      <w:r>
        <w:rPr/>
        <w:t>is</w:t>
      </w:r>
      <w:r>
        <w:rPr>
          <w:spacing w:val="-10"/>
        </w:rPr>
        <w:t> </w:t>
      </w:r>
      <w:r>
        <w:rPr/>
        <w:t>to</w:t>
      </w:r>
      <w:r>
        <w:rPr>
          <w:spacing w:val="-11"/>
        </w:rPr>
        <w:t> </w:t>
      </w:r>
      <w:r>
        <w:rPr/>
        <w:t>examine</w:t>
      </w:r>
      <w:r>
        <w:rPr>
          <w:spacing w:val="-15"/>
        </w:rPr>
        <w:t> </w:t>
      </w:r>
      <w:r>
        <w:rPr/>
        <w:t>type</w:t>
      </w:r>
      <w:r>
        <w:rPr>
          <w:spacing w:val="-13"/>
        </w:rPr>
        <w:t> </w:t>
      </w:r>
      <w:r>
        <w:rPr/>
        <w:t>and</w:t>
      </w:r>
      <w:r>
        <w:rPr>
          <w:spacing w:val="-12"/>
        </w:rPr>
        <w:t> </w:t>
      </w:r>
      <w:r>
        <w:rPr/>
        <w:t>extents</w:t>
      </w:r>
      <w:r>
        <w:rPr>
          <w:spacing w:val="-11"/>
        </w:rPr>
        <w:t> </w:t>
      </w:r>
      <w:r>
        <w:rPr/>
        <w:t>of</w:t>
      </w:r>
      <w:r>
        <w:rPr>
          <w:spacing w:val="-12"/>
        </w:rPr>
        <w:t> </w:t>
      </w:r>
      <w:r>
        <w:rPr/>
        <w:t>previous</w:t>
      </w:r>
      <w:r>
        <w:rPr>
          <w:spacing w:val="-11"/>
        </w:rPr>
        <w:t> </w:t>
      </w:r>
      <w:r>
        <w:rPr/>
        <w:t>researches related</w:t>
      </w:r>
      <w:r>
        <w:rPr>
          <w:spacing w:val="-12"/>
        </w:rPr>
        <w:t> </w:t>
      </w:r>
      <w:r>
        <w:rPr/>
        <w:t>urban</w:t>
      </w:r>
      <w:r>
        <w:rPr>
          <w:spacing w:val="-12"/>
        </w:rPr>
        <w:t> </w:t>
      </w:r>
      <w:r>
        <w:rPr/>
        <w:t>densification</w:t>
      </w:r>
      <w:r>
        <w:rPr>
          <w:spacing w:val="-12"/>
        </w:rPr>
        <w:t> </w:t>
      </w:r>
      <w:r>
        <w:rPr/>
        <w:t>and</w:t>
      </w:r>
      <w:r>
        <w:rPr>
          <w:spacing w:val="-12"/>
        </w:rPr>
        <w:t> </w:t>
      </w:r>
      <w:r>
        <w:rPr/>
        <w:t>housing</w:t>
      </w:r>
      <w:r>
        <w:rPr>
          <w:spacing w:val="-14"/>
        </w:rPr>
        <w:t> </w:t>
      </w:r>
      <w:r>
        <w:rPr/>
        <w:t>market</w:t>
      </w:r>
      <w:r>
        <w:rPr>
          <w:spacing w:val="-12"/>
        </w:rPr>
        <w:t> </w:t>
      </w:r>
      <w:r>
        <w:rPr/>
        <w:t>in</w:t>
      </w:r>
      <w:r>
        <w:rPr>
          <w:spacing w:val="-12"/>
        </w:rPr>
        <w:t> </w:t>
      </w:r>
      <w:r>
        <w:rPr/>
        <w:t>order</w:t>
      </w:r>
      <w:r>
        <w:rPr>
          <w:spacing w:val="-13"/>
        </w:rPr>
        <w:t> </w:t>
      </w:r>
      <w:r>
        <w:rPr/>
        <w:t>to</w:t>
      </w:r>
      <w:r>
        <w:rPr>
          <w:spacing w:val="-9"/>
        </w:rPr>
        <w:t> </w:t>
      </w:r>
      <w:r>
        <w:rPr/>
        <w:t>establish</w:t>
      </w:r>
      <w:r>
        <w:rPr>
          <w:spacing w:val="-12"/>
        </w:rPr>
        <w:t> </w:t>
      </w:r>
      <w:r>
        <w:rPr/>
        <w:t>basis</w:t>
      </w:r>
      <w:r>
        <w:rPr>
          <w:spacing w:val="-9"/>
        </w:rPr>
        <w:t> </w:t>
      </w:r>
      <w:r>
        <w:rPr/>
        <w:t>for</w:t>
      </w:r>
      <w:r>
        <w:rPr>
          <w:spacing w:val="-11"/>
        </w:rPr>
        <w:t> </w:t>
      </w:r>
      <w:r>
        <w:rPr/>
        <w:t>this</w:t>
      </w:r>
      <w:r>
        <w:rPr>
          <w:spacing w:val="-12"/>
        </w:rPr>
        <w:t> </w:t>
      </w:r>
      <w:r>
        <w:rPr/>
        <w:t>research and</w:t>
      </w:r>
      <w:r>
        <w:rPr>
          <w:spacing w:val="-15"/>
        </w:rPr>
        <w:t> </w:t>
      </w:r>
      <w:r>
        <w:rPr/>
        <w:t>identified</w:t>
      </w:r>
      <w:r>
        <w:rPr>
          <w:spacing w:val="-15"/>
        </w:rPr>
        <w:t> </w:t>
      </w:r>
      <w:r>
        <w:rPr/>
        <w:t>what</w:t>
      </w:r>
      <w:r>
        <w:rPr>
          <w:spacing w:val="-15"/>
        </w:rPr>
        <w:t> </w:t>
      </w:r>
      <w:r>
        <w:rPr/>
        <w:t>is</w:t>
      </w:r>
      <w:r>
        <w:rPr>
          <w:spacing w:val="-15"/>
        </w:rPr>
        <w:t> </w:t>
      </w:r>
      <w:r>
        <w:rPr/>
        <w:t>left</w:t>
      </w:r>
      <w:r>
        <w:rPr>
          <w:spacing w:val="-15"/>
        </w:rPr>
        <w:t> </w:t>
      </w:r>
      <w:r>
        <w:rPr/>
        <w:t>out</w:t>
      </w:r>
      <w:r>
        <w:rPr>
          <w:spacing w:val="-15"/>
        </w:rPr>
        <w:t> </w:t>
      </w:r>
      <w:r>
        <w:rPr/>
        <w:t>in</w:t>
      </w:r>
      <w:r>
        <w:rPr>
          <w:spacing w:val="-15"/>
        </w:rPr>
        <w:t> </w:t>
      </w:r>
      <w:r>
        <w:rPr/>
        <w:t>the</w:t>
      </w:r>
      <w:r>
        <w:rPr>
          <w:spacing w:val="-15"/>
        </w:rPr>
        <w:t> </w:t>
      </w:r>
      <w:r>
        <w:rPr/>
        <w:t>literature</w:t>
      </w:r>
      <w:r>
        <w:rPr>
          <w:spacing w:val="-15"/>
        </w:rPr>
        <w:t> </w:t>
      </w:r>
      <w:r>
        <w:rPr/>
        <w:t>so</w:t>
      </w:r>
      <w:r>
        <w:rPr>
          <w:spacing w:val="-15"/>
        </w:rPr>
        <w:t> </w:t>
      </w:r>
      <w:r>
        <w:rPr/>
        <w:t>as</w:t>
      </w:r>
      <w:r>
        <w:rPr>
          <w:spacing w:val="-15"/>
        </w:rPr>
        <w:t> </w:t>
      </w:r>
      <w:r>
        <w:rPr/>
        <w:t>to</w:t>
      </w:r>
      <w:r>
        <w:rPr>
          <w:spacing w:val="-15"/>
        </w:rPr>
        <w:t> </w:t>
      </w:r>
      <w:r>
        <w:rPr/>
        <w:t>contribute</w:t>
      </w:r>
      <w:r>
        <w:rPr>
          <w:spacing w:val="-15"/>
        </w:rPr>
        <w:t> </w:t>
      </w:r>
      <w:r>
        <w:rPr/>
        <w:t>to</w:t>
      </w:r>
      <w:r>
        <w:rPr>
          <w:spacing w:val="-15"/>
        </w:rPr>
        <w:t> </w:t>
      </w:r>
      <w:r>
        <w:rPr/>
        <w:t>the</w:t>
      </w:r>
      <w:r>
        <w:rPr>
          <w:spacing w:val="-15"/>
        </w:rPr>
        <w:t> </w:t>
      </w:r>
      <w:r>
        <w:rPr/>
        <w:t>literature</w:t>
      </w:r>
      <w:r>
        <w:rPr>
          <w:spacing w:val="-15"/>
        </w:rPr>
        <w:t> </w:t>
      </w:r>
      <w:r>
        <w:rPr/>
        <w:t>in</w:t>
      </w:r>
      <w:r>
        <w:rPr>
          <w:spacing w:val="-15"/>
        </w:rPr>
        <w:t> </w:t>
      </w:r>
      <w:r>
        <w:rPr/>
        <w:t>housing </w:t>
      </w:r>
      <w:r>
        <w:rPr>
          <w:spacing w:val="-2"/>
        </w:rPr>
        <w:t>scholarship.</w:t>
      </w:r>
    </w:p>
    <w:p>
      <w:pPr>
        <w:pStyle w:val="Heading1"/>
        <w:numPr>
          <w:ilvl w:val="2"/>
          <w:numId w:val="5"/>
        </w:numPr>
        <w:tabs>
          <w:tab w:pos="1024" w:val="left" w:leader="none"/>
        </w:tabs>
        <w:spacing w:line="240" w:lineRule="auto" w:before="248" w:after="0"/>
        <w:ind w:left="1024" w:right="0" w:hanging="719"/>
        <w:jc w:val="both"/>
      </w:pPr>
      <w:r>
        <w:rPr/>
        <w:t>Conventional</w:t>
      </w:r>
      <w:r>
        <w:rPr>
          <w:spacing w:val="-1"/>
        </w:rPr>
        <w:t> </w:t>
      </w:r>
      <w:r>
        <w:rPr/>
        <w:t>approaches</w:t>
      </w:r>
      <w:r>
        <w:rPr>
          <w:spacing w:val="-1"/>
        </w:rPr>
        <w:t> </w:t>
      </w:r>
      <w:r>
        <w:rPr/>
        <w:t>and mechanism</w:t>
      </w:r>
      <w:r>
        <w:rPr>
          <w:spacing w:val="-4"/>
        </w:rPr>
        <w:t> </w:t>
      </w:r>
      <w:r>
        <w:rPr/>
        <w:t>to</w:t>
      </w:r>
      <w:r>
        <w:rPr>
          <w:spacing w:val="-2"/>
        </w:rPr>
        <w:t> </w:t>
      </w:r>
      <w:r>
        <w:rPr/>
        <w:t>housing</w:t>
      </w:r>
      <w:r>
        <w:rPr>
          <w:spacing w:val="-2"/>
        </w:rPr>
        <w:t> </w:t>
      </w:r>
      <w:r>
        <w:rPr/>
        <w:t>market</w:t>
      </w:r>
      <w:r>
        <w:rPr>
          <w:spacing w:val="-1"/>
        </w:rPr>
        <w:t> </w:t>
      </w:r>
      <w:r>
        <w:rPr>
          <w:spacing w:val="-2"/>
        </w:rPr>
        <w:t>analysis</w:t>
      </w:r>
    </w:p>
    <w:p>
      <w:pPr>
        <w:pStyle w:val="BodyText"/>
        <w:spacing w:before="192"/>
        <w:jc w:val="left"/>
        <w:rPr>
          <w:b/>
        </w:rPr>
      </w:pPr>
    </w:p>
    <w:p>
      <w:pPr>
        <w:pStyle w:val="BodyText"/>
        <w:spacing w:line="480" w:lineRule="auto"/>
        <w:ind w:left="305" w:right="512"/>
      </w:pPr>
      <w:r>
        <w:rPr/>
        <w:t>Housing</w:t>
      </w:r>
      <w:r>
        <w:rPr>
          <w:spacing w:val="-15"/>
        </w:rPr>
        <w:t> </w:t>
      </w:r>
      <w:r>
        <w:rPr/>
        <w:t>market</w:t>
      </w:r>
      <w:r>
        <w:rPr>
          <w:spacing w:val="-15"/>
        </w:rPr>
        <w:t> </w:t>
      </w:r>
      <w:r>
        <w:rPr/>
        <w:t>is</w:t>
      </w:r>
      <w:r>
        <w:rPr>
          <w:spacing w:val="-15"/>
        </w:rPr>
        <w:t> </w:t>
      </w:r>
      <w:r>
        <w:rPr/>
        <w:t>an</w:t>
      </w:r>
      <w:r>
        <w:rPr>
          <w:spacing w:val="-15"/>
        </w:rPr>
        <w:t> </w:t>
      </w:r>
      <w:r>
        <w:rPr/>
        <w:t>organised</w:t>
      </w:r>
      <w:r>
        <w:rPr>
          <w:spacing w:val="-15"/>
        </w:rPr>
        <w:t> </w:t>
      </w:r>
      <w:r>
        <w:rPr/>
        <w:t>meeting</w:t>
      </w:r>
      <w:r>
        <w:rPr>
          <w:spacing w:val="-15"/>
        </w:rPr>
        <w:t> </w:t>
      </w:r>
      <w:r>
        <w:rPr/>
        <w:t>place</w:t>
      </w:r>
      <w:r>
        <w:rPr>
          <w:spacing w:val="-15"/>
        </w:rPr>
        <w:t> </w:t>
      </w:r>
      <w:r>
        <w:rPr/>
        <w:t>where</w:t>
      </w:r>
      <w:r>
        <w:rPr>
          <w:spacing w:val="-15"/>
        </w:rPr>
        <w:t> </w:t>
      </w:r>
      <w:r>
        <w:rPr/>
        <w:t>there</w:t>
      </w:r>
      <w:r>
        <w:rPr>
          <w:spacing w:val="-15"/>
        </w:rPr>
        <w:t> </w:t>
      </w:r>
      <w:r>
        <w:rPr/>
        <w:t>is</w:t>
      </w:r>
      <w:r>
        <w:rPr>
          <w:spacing w:val="-15"/>
        </w:rPr>
        <w:t> </w:t>
      </w:r>
      <w:r>
        <w:rPr/>
        <w:t>buyers</w:t>
      </w:r>
      <w:r>
        <w:rPr>
          <w:spacing w:val="-15"/>
        </w:rPr>
        <w:t> </w:t>
      </w:r>
      <w:r>
        <w:rPr/>
        <w:t>and</w:t>
      </w:r>
      <w:r>
        <w:rPr>
          <w:spacing w:val="-15"/>
        </w:rPr>
        <w:t> </w:t>
      </w:r>
      <w:r>
        <w:rPr/>
        <w:t>sellers</w:t>
      </w:r>
      <w:r>
        <w:rPr>
          <w:spacing w:val="-15"/>
        </w:rPr>
        <w:t> </w:t>
      </w:r>
      <w:r>
        <w:rPr/>
        <w:t>of</w:t>
      </w:r>
      <w:r>
        <w:rPr>
          <w:spacing w:val="-15"/>
        </w:rPr>
        <w:t> </w:t>
      </w:r>
      <w:r>
        <w:rPr/>
        <w:t>housing goods and services, and</w:t>
      </w:r>
      <w:r>
        <w:rPr>
          <w:spacing w:val="40"/>
        </w:rPr>
        <w:t> </w:t>
      </w:r>
      <w:r>
        <w:rPr/>
        <w:t>are demanded and supplied (Sulyman, 2015). Price in the housing market is determined by many factors, ranging from structural attributes of the house (Debrezion </w:t>
      </w:r>
      <w:r>
        <w:rPr>
          <w:i/>
        </w:rPr>
        <w:t>et al.</w:t>
      </w:r>
      <w:r>
        <w:rPr/>
        <w:t>, 2006; Wu </w:t>
      </w:r>
      <w:r>
        <w:rPr>
          <w:i/>
        </w:rPr>
        <w:t>et al</w:t>
      </w:r>
      <w:r>
        <w:rPr/>
        <w:t>., 2014a), environmental/neighbourhood factors (Antoniucci</w:t>
      </w:r>
      <w:r>
        <w:rPr>
          <w:spacing w:val="-1"/>
        </w:rPr>
        <w:t> </w:t>
      </w:r>
      <w:r>
        <w:rPr/>
        <w:t>&amp;</w:t>
      </w:r>
      <w:r>
        <w:rPr>
          <w:spacing w:val="-5"/>
        </w:rPr>
        <w:t> </w:t>
      </w:r>
      <w:r>
        <w:rPr/>
        <w:t>Marella,</w:t>
      </w:r>
      <w:r>
        <w:rPr>
          <w:spacing w:val="-3"/>
        </w:rPr>
        <w:t> </w:t>
      </w:r>
      <w:r>
        <w:rPr/>
        <w:t>2017b;</w:t>
      </w:r>
      <w:r>
        <w:rPr>
          <w:spacing w:val="-1"/>
        </w:rPr>
        <w:t> </w:t>
      </w:r>
      <w:r>
        <w:rPr/>
        <w:t>Liu</w:t>
      </w:r>
      <w:r>
        <w:rPr>
          <w:spacing w:val="-1"/>
        </w:rPr>
        <w:t> </w:t>
      </w:r>
      <w:r>
        <w:rPr/>
        <w:t>&amp;</w:t>
      </w:r>
      <w:r>
        <w:rPr>
          <w:spacing w:val="-3"/>
        </w:rPr>
        <w:t> </w:t>
      </w:r>
      <w:r>
        <w:rPr/>
        <w:t>Li,</w:t>
      </w:r>
      <w:r>
        <w:rPr>
          <w:spacing w:val="-3"/>
        </w:rPr>
        <w:t> </w:t>
      </w:r>
      <w:r>
        <w:rPr/>
        <w:t>2018),</w:t>
      </w:r>
      <w:r>
        <w:rPr>
          <w:spacing w:val="-1"/>
        </w:rPr>
        <w:t> </w:t>
      </w:r>
      <w:r>
        <w:rPr/>
        <w:t>urban</w:t>
      </w:r>
      <w:r>
        <w:rPr>
          <w:spacing w:val="-3"/>
        </w:rPr>
        <w:t> </w:t>
      </w:r>
      <w:r>
        <w:rPr/>
        <w:t>forms (Xiao,</w:t>
      </w:r>
      <w:r>
        <w:rPr>
          <w:spacing w:val="-3"/>
        </w:rPr>
        <w:t> </w:t>
      </w:r>
      <w:r>
        <w:rPr/>
        <w:t>2012;</w:t>
      </w:r>
      <w:r>
        <w:rPr>
          <w:spacing w:val="-1"/>
        </w:rPr>
        <w:t> </w:t>
      </w:r>
      <w:r>
        <w:rPr/>
        <w:t>Xiao,</w:t>
      </w:r>
      <w:r>
        <w:rPr>
          <w:spacing w:val="-3"/>
        </w:rPr>
        <w:t> </w:t>
      </w:r>
      <w:r>
        <w:rPr/>
        <w:t>Orford, </w:t>
      </w:r>
      <w:r>
        <w:rPr>
          <w:i/>
        </w:rPr>
        <w:t>et</w:t>
      </w:r>
      <w:r>
        <w:rPr>
          <w:i/>
          <w:spacing w:val="-1"/>
        </w:rPr>
        <w:t> </w:t>
      </w:r>
      <w:r>
        <w:rPr>
          <w:i/>
        </w:rPr>
        <w:t>al</w:t>
      </w:r>
      <w:r>
        <w:rPr/>
        <w:t>.,</w:t>
      </w:r>
      <w:r>
        <w:rPr>
          <w:spacing w:val="-1"/>
        </w:rPr>
        <w:t> </w:t>
      </w:r>
      <w:r>
        <w:rPr/>
        <w:t>2016)</w:t>
      </w:r>
      <w:r>
        <w:rPr>
          <w:spacing w:val="-2"/>
        </w:rPr>
        <w:t> </w:t>
      </w:r>
      <w:r>
        <w:rPr/>
        <w:t>and</w:t>
      </w:r>
      <w:r>
        <w:rPr>
          <w:spacing w:val="-1"/>
        </w:rPr>
        <w:t> </w:t>
      </w:r>
      <w:r>
        <w:rPr/>
        <w:t>external factors</w:t>
      </w:r>
      <w:r>
        <w:rPr>
          <w:spacing w:val="-1"/>
        </w:rPr>
        <w:t> </w:t>
      </w:r>
      <w:r>
        <w:rPr/>
        <w:t>such</w:t>
      </w:r>
      <w:r>
        <w:rPr>
          <w:spacing w:val="-1"/>
        </w:rPr>
        <w:t> </w:t>
      </w:r>
      <w:r>
        <w:rPr/>
        <w:t>as</w:t>
      </w:r>
      <w:r>
        <w:rPr>
          <w:spacing w:val="-1"/>
        </w:rPr>
        <w:t> </w:t>
      </w:r>
      <w:r>
        <w:rPr/>
        <w:t>the</w:t>
      </w:r>
      <w:r>
        <w:rPr>
          <w:spacing w:val="-2"/>
        </w:rPr>
        <w:t> </w:t>
      </w:r>
      <w:r>
        <w:rPr/>
        <w:t>national</w:t>
      </w:r>
      <w:r>
        <w:rPr>
          <w:spacing w:val="-1"/>
        </w:rPr>
        <w:t> </w:t>
      </w:r>
      <w:r>
        <w:rPr/>
        <w:t>economic</w:t>
      </w:r>
      <w:r>
        <w:rPr>
          <w:spacing w:val="-2"/>
        </w:rPr>
        <w:t> </w:t>
      </w:r>
      <w:r>
        <w:rPr/>
        <w:t>performance (Gulyani </w:t>
      </w:r>
      <w:r>
        <w:rPr>
          <w:i/>
        </w:rPr>
        <w:t>et al</w:t>
      </w:r>
      <w:r>
        <w:rPr/>
        <w:t>., 2018; Killins </w:t>
      </w:r>
      <w:r>
        <w:rPr>
          <w:i/>
        </w:rPr>
        <w:t>et al.</w:t>
      </w:r>
      <w:r>
        <w:rPr/>
        <w:t>, 2017). This has attracted a large body of literature on various determinants price in the housing market (Alkali </w:t>
      </w:r>
      <w:r>
        <w:rPr>
          <w:i/>
        </w:rPr>
        <w:t>et al.</w:t>
      </w:r>
      <w:r>
        <w:rPr/>
        <w:t>, 2018).</w:t>
      </w:r>
    </w:p>
    <w:p>
      <w:pPr>
        <w:spacing w:after="0" w:line="480" w:lineRule="auto"/>
        <w:sectPr>
          <w:pgSz w:w="11910" w:h="16840"/>
          <w:pgMar w:header="0" w:footer="1022" w:top="1320" w:bottom="1220" w:left="1680" w:right="900"/>
        </w:sectPr>
      </w:pPr>
    </w:p>
    <w:p>
      <w:pPr>
        <w:pStyle w:val="BodyText"/>
        <w:spacing w:line="480" w:lineRule="auto" w:before="72"/>
        <w:ind w:left="305" w:right="514"/>
      </w:pPr>
      <w:r>
        <w:rPr/>
        <w:t>Consequently, determinants of housing prices is reviewed from previous researches in order to highlight various determinants of housing prices in different scenarios and deduce whether they are within structural attributes, environmental/neighbourhood factors, urban forms or national economic performance.</w:t>
      </w:r>
    </w:p>
    <w:p>
      <w:pPr>
        <w:pStyle w:val="BodyText"/>
        <w:spacing w:line="480" w:lineRule="auto" w:before="240"/>
        <w:ind w:left="305" w:right="511"/>
      </w:pPr>
      <w:r>
        <w:rPr/>
        <w:t>From the past literature, set of authors focussed on the environmental/neighbourhood factors</w:t>
      </w:r>
      <w:r>
        <w:rPr>
          <w:spacing w:val="-5"/>
        </w:rPr>
        <w:t> </w:t>
      </w:r>
      <w:r>
        <w:rPr/>
        <w:t>as</w:t>
      </w:r>
      <w:r>
        <w:rPr>
          <w:spacing w:val="-7"/>
        </w:rPr>
        <w:t> </w:t>
      </w:r>
      <w:r>
        <w:rPr/>
        <w:t>determinants</w:t>
      </w:r>
      <w:r>
        <w:rPr>
          <w:spacing w:val="-7"/>
        </w:rPr>
        <w:t> </w:t>
      </w:r>
      <w:r>
        <w:rPr/>
        <w:t>of</w:t>
      </w:r>
      <w:r>
        <w:rPr>
          <w:spacing w:val="-8"/>
        </w:rPr>
        <w:t> </w:t>
      </w:r>
      <w:r>
        <w:rPr/>
        <w:t>housing</w:t>
      </w:r>
      <w:r>
        <w:rPr>
          <w:spacing w:val="-7"/>
        </w:rPr>
        <w:t> </w:t>
      </w:r>
      <w:r>
        <w:rPr/>
        <w:t>prices</w:t>
      </w:r>
      <w:r>
        <w:rPr>
          <w:spacing w:val="-5"/>
        </w:rPr>
        <w:t> </w:t>
      </w:r>
      <w:r>
        <w:rPr/>
        <w:t>(e.g.</w:t>
      </w:r>
      <w:r>
        <w:rPr>
          <w:spacing w:val="-7"/>
        </w:rPr>
        <w:t> </w:t>
      </w:r>
      <w:r>
        <w:rPr/>
        <w:t>Aliyu,</w:t>
      </w:r>
      <w:r>
        <w:rPr>
          <w:spacing w:val="-7"/>
        </w:rPr>
        <w:t> </w:t>
      </w:r>
      <w:r>
        <w:rPr/>
        <w:t>2012;</w:t>
      </w:r>
      <w:r>
        <w:rPr>
          <w:spacing w:val="-5"/>
        </w:rPr>
        <w:t> </w:t>
      </w:r>
      <w:r>
        <w:rPr/>
        <w:t>Bates,</w:t>
      </w:r>
      <w:r>
        <w:rPr>
          <w:spacing w:val="-8"/>
        </w:rPr>
        <w:t> </w:t>
      </w:r>
      <w:r>
        <w:rPr/>
        <w:t>2006;</w:t>
      </w:r>
      <w:r>
        <w:rPr>
          <w:spacing w:val="-4"/>
        </w:rPr>
        <w:t> </w:t>
      </w:r>
      <w:r>
        <w:rPr/>
        <w:t>Bin</w:t>
      </w:r>
      <w:r>
        <w:rPr>
          <w:spacing w:val="-5"/>
        </w:rPr>
        <w:t> </w:t>
      </w:r>
      <w:r>
        <w:rPr>
          <w:i/>
        </w:rPr>
        <w:t>et</w:t>
      </w:r>
      <w:r>
        <w:rPr>
          <w:i/>
          <w:spacing w:val="-7"/>
        </w:rPr>
        <w:t> </w:t>
      </w:r>
      <w:r>
        <w:rPr>
          <w:i/>
        </w:rPr>
        <w:t>al.</w:t>
      </w:r>
      <w:r>
        <w:rPr/>
        <w:t>,</w:t>
      </w:r>
      <w:r>
        <w:rPr>
          <w:spacing w:val="-7"/>
        </w:rPr>
        <w:t> </w:t>
      </w:r>
      <w:r>
        <w:rPr/>
        <w:t>2008; Chen </w:t>
      </w:r>
      <w:r>
        <w:rPr>
          <w:i/>
        </w:rPr>
        <w:t>et al.</w:t>
      </w:r>
      <w:r>
        <w:rPr/>
        <w:t>, 2011; Debrezion </w:t>
      </w:r>
      <w:r>
        <w:rPr>
          <w:i/>
        </w:rPr>
        <w:t>et al.</w:t>
      </w:r>
      <w:r>
        <w:rPr/>
        <w:t>, 2006; Latinopoulos, 2018; Lockwood </w:t>
      </w:r>
      <w:r>
        <w:rPr>
          <w:i/>
        </w:rPr>
        <w:t>et al.</w:t>
      </w:r>
      <w:r>
        <w:rPr/>
        <w:t>, 2018; Wang &amp; Wu, 2018; Yusuf &amp; Resosudarmo, 2009). For example, Aliyu (2012) examine the impact of urban violence on the values of residential properties in Jos metropolis, Nigeria. The researcher established through the findings of his research that urban violence have great implication on the values of houses. The researcher also establishes relationship between urban violence and provision, availability and maintenance of neighbourhood facilities which are also linked with house prices.</w:t>
      </w:r>
    </w:p>
    <w:p>
      <w:pPr>
        <w:pStyle w:val="BodyText"/>
        <w:spacing w:line="480" w:lineRule="auto" w:before="242"/>
        <w:ind w:left="305" w:right="512"/>
      </w:pPr>
      <w:r>
        <w:rPr/>
        <w:t>Yusuf</w:t>
      </w:r>
      <w:r>
        <w:rPr>
          <w:spacing w:val="-9"/>
        </w:rPr>
        <w:t> </w:t>
      </w:r>
      <w:r>
        <w:rPr/>
        <w:t>&amp;</w:t>
      </w:r>
      <w:r>
        <w:rPr>
          <w:spacing w:val="-8"/>
        </w:rPr>
        <w:t> </w:t>
      </w:r>
      <w:r>
        <w:rPr/>
        <w:t>Resosudarmo</w:t>
      </w:r>
      <w:r>
        <w:rPr>
          <w:spacing w:val="-5"/>
        </w:rPr>
        <w:t> </w:t>
      </w:r>
      <w:r>
        <w:rPr/>
        <w:t>(2009)</w:t>
      </w:r>
      <w:r>
        <w:rPr>
          <w:spacing w:val="-9"/>
        </w:rPr>
        <w:t> </w:t>
      </w:r>
      <w:r>
        <w:rPr/>
        <w:t>examine</w:t>
      </w:r>
      <w:r>
        <w:rPr>
          <w:spacing w:val="-9"/>
        </w:rPr>
        <w:t> </w:t>
      </w:r>
      <w:r>
        <w:rPr/>
        <w:t>how</w:t>
      </w:r>
      <w:r>
        <w:rPr>
          <w:spacing w:val="-9"/>
        </w:rPr>
        <w:t> </w:t>
      </w:r>
      <w:r>
        <w:rPr/>
        <w:t>clean</w:t>
      </w:r>
      <w:r>
        <w:rPr>
          <w:spacing w:val="-6"/>
        </w:rPr>
        <w:t> </w:t>
      </w:r>
      <w:r>
        <w:rPr/>
        <w:t>air</w:t>
      </w:r>
      <w:r>
        <w:rPr>
          <w:spacing w:val="-9"/>
        </w:rPr>
        <w:t> </w:t>
      </w:r>
      <w:r>
        <w:rPr/>
        <w:t>in</w:t>
      </w:r>
      <w:r>
        <w:rPr>
          <w:spacing w:val="-8"/>
        </w:rPr>
        <w:t> </w:t>
      </w:r>
      <w:r>
        <w:rPr/>
        <w:t>developing</w:t>
      </w:r>
      <w:r>
        <w:rPr>
          <w:spacing w:val="-8"/>
        </w:rPr>
        <w:t> </w:t>
      </w:r>
      <w:r>
        <w:rPr/>
        <w:t>countries</w:t>
      </w:r>
      <w:r>
        <w:rPr>
          <w:spacing w:val="-8"/>
        </w:rPr>
        <w:t> </w:t>
      </w:r>
      <w:r>
        <w:rPr/>
        <w:t>determines housing prices using the combination of data on housing rental prices and their characteristics from the Indonesian</w:t>
      </w:r>
      <w:r>
        <w:rPr>
          <w:spacing w:val="-1"/>
        </w:rPr>
        <w:t> </w:t>
      </w:r>
      <w:r>
        <w:rPr/>
        <w:t>Family Life</w:t>
      </w:r>
      <w:r>
        <w:rPr>
          <w:spacing w:val="-2"/>
        </w:rPr>
        <w:t> </w:t>
      </w:r>
      <w:r>
        <w:rPr/>
        <w:t>Survey, and data of</w:t>
      </w:r>
      <w:r>
        <w:rPr>
          <w:spacing w:val="-1"/>
        </w:rPr>
        <w:t> </w:t>
      </w:r>
      <w:r>
        <w:rPr/>
        <w:t>the ambient level of six</w:t>
      </w:r>
      <w:r>
        <w:rPr>
          <w:spacing w:val="-8"/>
        </w:rPr>
        <w:t> </w:t>
      </w:r>
      <w:r>
        <w:rPr/>
        <w:t>different</w:t>
      </w:r>
      <w:r>
        <w:rPr>
          <w:spacing w:val="-8"/>
        </w:rPr>
        <w:t> </w:t>
      </w:r>
      <w:r>
        <w:rPr/>
        <w:t>pollutants</w:t>
      </w:r>
      <w:r>
        <w:rPr>
          <w:spacing w:val="-8"/>
        </w:rPr>
        <w:t> </w:t>
      </w:r>
      <w:r>
        <w:rPr/>
        <w:t>in</w:t>
      </w:r>
      <w:r>
        <w:rPr>
          <w:spacing w:val="-10"/>
        </w:rPr>
        <w:t> </w:t>
      </w:r>
      <w:r>
        <w:rPr/>
        <w:t>Jakarta,</w:t>
      </w:r>
      <w:r>
        <w:rPr>
          <w:spacing w:val="-7"/>
        </w:rPr>
        <w:t> </w:t>
      </w:r>
      <w:r>
        <w:rPr/>
        <w:t>Indonesia.</w:t>
      </w:r>
      <w:r>
        <w:rPr>
          <w:spacing w:val="-7"/>
        </w:rPr>
        <w:t> </w:t>
      </w:r>
      <w:r>
        <w:rPr/>
        <w:t>The</w:t>
      </w:r>
      <w:r>
        <w:rPr>
          <w:spacing w:val="-9"/>
        </w:rPr>
        <w:t> </w:t>
      </w:r>
      <w:r>
        <w:rPr/>
        <w:t>researchers</w:t>
      </w:r>
      <w:r>
        <w:rPr>
          <w:spacing w:val="-9"/>
        </w:rPr>
        <w:t> </w:t>
      </w:r>
      <w:r>
        <w:rPr/>
        <w:t>found</w:t>
      </w:r>
      <w:r>
        <w:rPr>
          <w:spacing w:val="-9"/>
        </w:rPr>
        <w:t> </w:t>
      </w:r>
      <w:r>
        <w:rPr/>
        <w:t>out</w:t>
      </w:r>
      <w:r>
        <w:rPr>
          <w:spacing w:val="-8"/>
        </w:rPr>
        <w:t> </w:t>
      </w:r>
      <w:r>
        <w:rPr/>
        <w:t>that</w:t>
      </w:r>
      <w:r>
        <w:rPr>
          <w:spacing w:val="-8"/>
        </w:rPr>
        <w:t> </w:t>
      </w:r>
      <w:r>
        <w:rPr/>
        <w:t>air</w:t>
      </w:r>
      <w:r>
        <w:rPr>
          <w:spacing w:val="-9"/>
        </w:rPr>
        <w:t> </w:t>
      </w:r>
      <w:r>
        <w:rPr/>
        <w:t>pollutants have</w:t>
      </w:r>
      <w:r>
        <w:rPr>
          <w:spacing w:val="-6"/>
        </w:rPr>
        <w:t> </w:t>
      </w:r>
      <w:r>
        <w:rPr/>
        <w:t>a</w:t>
      </w:r>
      <w:r>
        <w:rPr>
          <w:spacing w:val="-4"/>
        </w:rPr>
        <w:t> </w:t>
      </w:r>
      <w:r>
        <w:rPr/>
        <w:t>negative</w:t>
      </w:r>
      <w:r>
        <w:rPr>
          <w:spacing w:val="-4"/>
        </w:rPr>
        <w:t> </w:t>
      </w:r>
      <w:r>
        <w:rPr/>
        <w:t>association</w:t>
      </w:r>
      <w:r>
        <w:rPr>
          <w:spacing w:val="-5"/>
        </w:rPr>
        <w:t> </w:t>
      </w:r>
      <w:r>
        <w:rPr/>
        <w:t>with</w:t>
      </w:r>
      <w:r>
        <w:rPr>
          <w:spacing w:val="-4"/>
        </w:rPr>
        <w:t> </w:t>
      </w:r>
      <w:r>
        <w:rPr/>
        <w:t>housing</w:t>
      </w:r>
      <w:r>
        <w:rPr>
          <w:spacing w:val="-7"/>
        </w:rPr>
        <w:t> </w:t>
      </w:r>
      <w:r>
        <w:rPr/>
        <w:t>rental</w:t>
      </w:r>
      <w:r>
        <w:rPr>
          <w:spacing w:val="-5"/>
        </w:rPr>
        <w:t> </w:t>
      </w:r>
      <w:r>
        <w:rPr/>
        <w:t>price.</w:t>
      </w:r>
      <w:r>
        <w:rPr>
          <w:spacing w:val="-5"/>
        </w:rPr>
        <w:t> </w:t>
      </w:r>
      <w:r>
        <w:rPr/>
        <w:t>That</w:t>
      </w:r>
      <w:r>
        <w:rPr>
          <w:spacing w:val="-4"/>
        </w:rPr>
        <w:t> </w:t>
      </w:r>
      <w:r>
        <w:rPr/>
        <w:t>is,</w:t>
      </w:r>
      <w:r>
        <w:rPr>
          <w:spacing w:val="-2"/>
        </w:rPr>
        <w:t> </w:t>
      </w:r>
      <w:r>
        <w:rPr/>
        <w:t>air</w:t>
      </w:r>
      <w:r>
        <w:rPr>
          <w:spacing w:val="-5"/>
        </w:rPr>
        <w:t> </w:t>
      </w:r>
      <w:r>
        <w:rPr/>
        <w:t>pollution</w:t>
      </w:r>
      <w:r>
        <w:rPr>
          <w:spacing w:val="-5"/>
        </w:rPr>
        <w:t> </w:t>
      </w:r>
      <w:r>
        <w:rPr/>
        <w:t>does</w:t>
      </w:r>
      <w:r>
        <w:rPr>
          <w:spacing w:val="-5"/>
        </w:rPr>
        <w:t> </w:t>
      </w:r>
      <w:r>
        <w:rPr/>
        <w:t>not</w:t>
      </w:r>
      <w:r>
        <w:rPr>
          <w:spacing w:val="-4"/>
        </w:rPr>
        <w:t> </w:t>
      </w:r>
      <w:r>
        <w:rPr/>
        <w:t>have anything to with the housing price in the location where their research was conducted. Similar result was recorded when Muehlenbachs </w:t>
      </w:r>
      <w:r>
        <w:rPr>
          <w:i/>
        </w:rPr>
        <w:t>et al. </w:t>
      </w:r>
      <w:r>
        <w:rPr/>
        <w:t>(2015) analyses property value impacts from nearby shale gas development that vary with water source, well productivity, and visibility. Their Results indicate large negative impacts on nearby groundwater dependent homes, while piped-water-dependent homes exhibit smaller positive impacts, suggesting benefits from lease payments.</w:t>
      </w:r>
    </w:p>
    <w:p>
      <w:pPr>
        <w:spacing w:after="0" w:line="480" w:lineRule="auto"/>
        <w:sectPr>
          <w:pgSz w:w="11910" w:h="16840"/>
          <w:pgMar w:header="0" w:footer="1022" w:top="1320" w:bottom="1220" w:left="1680" w:right="900"/>
        </w:sectPr>
      </w:pPr>
    </w:p>
    <w:p>
      <w:pPr>
        <w:pStyle w:val="BodyText"/>
        <w:spacing w:line="480" w:lineRule="auto" w:before="72"/>
        <w:ind w:left="305" w:right="511"/>
      </w:pPr>
      <w:r>
        <w:rPr/>
        <w:t>Bin </w:t>
      </w:r>
      <w:r>
        <w:rPr>
          <w:i/>
        </w:rPr>
        <w:t>et al</w:t>
      </w:r>
      <w:r>
        <w:rPr/>
        <w:t>. (2008) examine the effects of flood hazard on coastal property values. Their analysis highlights that there is high degree of correlation between coastal hazard and amenity levels—an aspect of the market that can confound attempts to measure risk or amenity tradeoffs with housing sales data. Their results indicate that location within a flood zone lowers property value. The researchers conclude that flood zone designation and insurance premiums convey risk information to potential buyers in the coastal housing market. Debrezion </w:t>
      </w:r>
      <w:r>
        <w:rPr>
          <w:i/>
        </w:rPr>
        <w:t>et al</w:t>
      </w:r>
      <w:r>
        <w:rPr/>
        <w:t>. (2006) analyse the impact of railways on house prices in terms of distance to railway station, frequency of railway</w:t>
      </w:r>
      <w:r>
        <w:rPr>
          <w:spacing w:val="-3"/>
        </w:rPr>
        <w:t> </w:t>
      </w:r>
      <w:r>
        <w:rPr/>
        <w:t>services and distance to the railway</w:t>
      </w:r>
      <w:r>
        <w:rPr>
          <w:spacing w:val="-4"/>
        </w:rPr>
        <w:t> </w:t>
      </w:r>
      <w:r>
        <w:rPr/>
        <w:t>line. The researchers find a negative effect of distance to railways, probably</w:t>
      </w:r>
      <w:r>
        <w:rPr>
          <w:spacing w:val="-2"/>
        </w:rPr>
        <w:t> </w:t>
      </w:r>
      <w:r>
        <w:rPr/>
        <w:t>due to noise effects – that is, railway have negative impact on the price of residential </w:t>
      </w:r>
      <w:r>
        <w:rPr>
          <w:spacing w:val="-2"/>
        </w:rPr>
        <w:t>properties.</w:t>
      </w:r>
    </w:p>
    <w:p>
      <w:pPr>
        <w:pStyle w:val="BodyText"/>
        <w:spacing w:line="480" w:lineRule="auto" w:before="241"/>
        <w:ind w:left="305" w:right="512"/>
      </w:pPr>
      <w:r>
        <w:rPr/>
        <w:t>There</w:t>
      </w:r>
      <w:r>
        <w:rPr>
          <w:spacing w:val="-15"/>
        </w:rPr>
        <w:t> </w:t>
      </w:r>
      <w:r>
        <w:rPr/>
        <w:t>are</w:t>
      </w:r>
      <w:r>
        <w:rPr>
          <w:spacing w:val="-15"/>
        </w:rPr>
        <w:t> </w:t>
      </w:r>
      <w:r>
        <w:rPr/>
        <w:t>other</w:t>
      </w:r>
      <w:r>
        <w:rPr>
          <w:spacing w:val="-15"/>
        </w:rPr>
        <w:t> </w:t>
      </w:r>
      <w:r>
        <w:rPr/>
        <w:t>group</w:t>
      </w:r>
      <w:r>
        <w:rPr>
          <w:spacing w:val="-15"/>
        </w:rPr>
        <w:t> </w:t>
      </w:r>
      <w:r>
        <w:rPr/>
        <w:t>of</w:t>
      </w:r>
      <w:r>
        <w:rPr>
          <w:spacing w:val="-15"/>
        </w:rPr>
        <w:t> </w:t>
      </w:r>
      <w:r>
        <w:rPr/>
        <w:t>authors</w:t>
      </w:r>
      <w:r>
        <w:rPr>
          <w:spacing w:val="-15"/>
        </w:rPr>
        <w:t> </w:t>
      </w:r>
      <w:r>
        <w:rPr/>
        <w:t>who</w:t>
      </w:r>
      <w:r>
        <w:rPr>
          <w:spacing w:val="-15"/>
        </w:rPr>
        <w:t> </w:t>
      </w:r>
      <w:r>
        <w:rPr/>
        <w:t>focuses</w:t>
      </w:r>
      <w:r>
        <w:rPr>
          <w:spacing w:val="-15"/>
        </w:rPr>
        <w:t> </w:t>
      </w:r>
      <w:r>
        <w:rPr/>
        <w:t>on</w:t>
      </w:r>
      <w:r>
        <w:rPr>
          <w:spacing w:val="-15"/>
        </w:rPr>
        <w:t> </w:t>
      </w:r>
      <w:r>
        <w:rPr/>
        <w:t>the</w:t>
      </w:r>
      <w:r>
        <w:rPr>
          <w:spacing w:val="-15"/>
        </w:rPr>
        <w:t> </w:t>
      </w:r>
      <w:r>
        <w:rPr/>
        <w:t>relationship</w:t>
      </w:r>
      <w:r>
        <w:rPr>
          <w:spacing w:val="-15"/>
        </w:rPr>
        <w:t> </w:t>
      </w:r>
      <w:r>
        <w:rPr/>
        <w:t>between</w:t>
      </w:r>
      <w:r>
        <w:rPr>
          <w:spacing w:val="-15"/>
        </w:rPr>
        <w:t> </w:t>
      </w:r>
      <w:r>
        <w:rPr/>
        <w:t>macroeconomic indicators</w:t>
      </w:r>
      <w:r>
        <w:rPr>
          <w:spacing w:val="-8"/>
        </w:rPr>
        <w:t> </w:t>
      </w:r>
      <w:r>
        <w:rPr/>
        <w:t>and</w:t>
      </w:r>
      <w:r>
        <w:rPr>
          <w:spacing w:val="-8"/>
        </w:rPr>
        <w:t> </w:t>
      </w:r>
      <w:r>
        <w:rPr/>
        <w:t>housing</w:t>
      </w:r>
      <w:r>
        <w:rPr>
          <w:spacing w:val="-11"/>
        </w:rPr>
        <w:t> </w:t>
      </w:r>
      <w:r>
        <w:rPr/>
        <w:t>market</w:t>
      </w:r>
      <w:r>
        <w:rPr>
          <w:spacing w:val="-6"/>
        </w:rPr>
        <w:t> </w:t>
      </w:r>
      <w:r>
        <w:rPr/>
        <w:t>(Brounen</w:t>
      </w:r>
      <w:r>
        <w:rPr>
          <w:spacing w:val="-6"/>
        </w:rPr>
        <w:t> </w:t>
      </w:r>
      <w:r>
        <w:rPr/>
        <w:t>&amp;</w:t>
      </w:r>
      <w:r>
        <w:rPr>
          <w:spacing w:val="-10"/>
        </w:rPr>
        <w:t> </w:t>
      </w:r>
      <w:r>
        <w:rPr/>
        <w:t>Kok,</w:t>
      </w:r>
      <w:r>
        <w:rPr>
          <w:spacing w:val="-9"/>
        </w:rPr>
        <w:t> </w:t>
      </w:r>
      <w:r>
        <w:rPr/>
        <w:t>2011;</w:t>
      </w:r>
      <w:r>
        <w:rPr>
          <w:spacing w:val="-8"/>
        </w:rPr>
        <w:t> </w:t>
      </w:r>
      <w:r>
        <w:rPr/>
        <w:t>Cameron,</w:t>
      </w:r>
      <w:r>
        <w:rPr>
          <w:spacing w:val="-8"/>
        </w:rPr>
        <w:t> </w:t>
      </w:r>
      <w:r>
        <w:rPr/>
        <w:t>2018;</w:t>
      </w:r>
      <w:r>
        <w:rPr>
          <w:spacing w:val="-8"/>
        </w:rPr>
        <w:t> </w:t>
      </w:r>
      <w:r>
        <w:rPr/>
        <w:t>Chu,</w:t>
      </w:r>
      <w:r>
        <w:rPr>
          <w:spacing w:val="-8"/>
        </w:rPr>
        <w:t> </w:t>
      </w:r>
      <w:r>
        <w:rPr/>
        <w:t>2018;</w:t>
      </w:r>
      <w:r>
        <w:rPr>
          <w:spacing w:val="-8"/>
        </w:rPr>
        <w:t> </w:t>
      </w:r>
      <w:r>
        <w:rPr/>
        <w:t>Deng </w:t>
      </w:r>
      <w:r>
        <w:rPr>
          <w:i/>
        </w:rPr>
        <w:t>et</w:t>
      </w:r>
      <w:r>
        <w:rPr>
          <w:i/>
          <w:spacing w:val="-15"/>
        </w:rPr>
        <w:t> </w:t>
      </w:r>
      <w:r>
        <w:rPr>
          <w:i/>
        </w:rPr>
        <w:t>al.</w:t>
      </w:r>
      <w:r>
        <w:rPr/>
        <w:t>,</w:t>
      </w:r>
      <w:r>
        <w:rPr>
          <w:spacing w:val="-15"/>
        </w:rPr>
        <w:t> </w:t>
      </w:r>
      <w:r>
        <w:rPr/>
        <w:t>2011;</w:t>
      </w:r>
      <w:r>
        <w:rPr>
          <w:spacing w:val="-15"/>
        </w:rPr>
        <w:t> </w:t>
      </w:r>
      <w:r>
        <w:rPr/>
        <w:t>Doszyń</w:t>
      </w:r>
      <w:r>
        <w:rPr>
          <w:spacing w:val="-15"/>
        </w:rPr>
        <w:t> </w:t>
      </w:r>
      <w:r>
        <w:rPr/>
        <w:t>&amp;</w:t>
      </w:r>
      <w:r>
        <w:rPr>
          <w:spacing w:val="-15"/>
        </w:rPr>
        <w:t> </w:t>
      </w:r>
      <w:r>
        <w:rPr/>
        <w:t>Gnat,</w:t>
      </w:r>
      <w:r>
        <w:rPr>
          <w:spacing w:val="-15"/>
        </w:rPr>
        <w:t> </w:t>
      </w:r>
      <w:r>
        <w:rPr/>
        <w:t>2017;</w:t>
      </w:r>
      <w:r>
        <w:rPr>
          <w:spacing w:val="-15"/>
        </w:rPr>
        <w:t> </w:t>
      </w:r>
      <w:r>
        <w:rPr/>
        <w:t>Gulyani</w:t>
      </w:r>
      <w:r>
        <w:rPr>
          <w:spacing w:val="-15"/>
        </w:rPr>
        <w:t> </w:t>
      </w:r>
      <w:r>
        <w:rPr>
          <w:i/>
        </w:rPr>
        <w:t>et</w:t>
      </w:r>
      <w:r>
        <w:rPr>
          <w:i/>
          <w:spacing w:val="-15"/>
        </w:rPr>
        <w:t> </w:t>
      </w:r>
      <w:r>
        <w:rPr>
          <w:i/>
        </w:rPr>
        <w:t>al</w:t>
      </w:r>
      <w:r>
        <w:rPr/>
        <w:t>.,</w:t>
      </w:r>
      <w:r>
        <w:rPr>
          <w:spacing w:val="-15"/>
        </w:rPr>
        <w:t> </w:t>
      </w:r>
      <w:r>
        <w:rPr/>
        <w:t>2018;</w:t>
      </w:r>
      <w:r>
        <w:rPr>
          <w:spacing w:val="-15"/>
        </w:rPr>
        <w:t> </w:t>
      </w:r>
      <w:r>
        <w:rPr/>
        <w:t>Killins</w:t>
      </w:r>
      <w:r>
        <w:rPr>
          <w:spacing w:val="-15"/>
        </w:rPr>
        <w:t> </w:t>
      </w:r>
      <w:r>
        <w:rPr>
          <w:i/>
        </w:rPr>
        <w:t>et</w:t>
      </w:r>
      <w:r>
        <w:rPr>
          <w:i/>
          <w:spacing w:val="-15"/>
        </w:rPr>
        <w:t> </w:t>
      </w:r>
      <w:r>
        <w:rPr>
          <w:i/>
        </w:rPr>
        <w:t>al</w:t>
      </w:r>
      <w:r>
        <w:rPr/>
        <w:t>.,</w:t>
      </w:r>
      <w:r>
        <w:rPr>
          <w:spacing w:val="-15"/>
        </w:rPr>
        <w:t> </w:t>
      </w:r>
      <w:r>
        <w:rPr/>
        <w:t>2017).</w:t>
      </w:r>
      <w:r>
        <w:rPr>
          <w:spacing w:val="-15"/>
        </w:rPr>
        <w:t> </w:t>
      </w:r>
      <w:r>
        <w:rPr/>
        <w:t>For</w:t>
      </w:r>
      <w:r>
        <w:rPr>
          <w:spacing w:val="-15"/>
        </w:rPr>
        <w:t> </w:t>
      </w:r>
      <w:r>
        <w:rPr/>
        <w:t>example, Deng, </w:t>
      </w:r>
      <w:r>
        <w:rPr>
          <w:i/>
        </w:rPr>
        <w:t>et al. </w:t>
      </w:r>
      <w:r>
        <w:rPr/>
        <w:t>(2011) argue that the speed and efficacy of China's stimulus derives from state control over its banking system and corporate sector. The authors also assert that state-owned</w:t>
      </w:r>
      <w:r>
        <w:rPr>
          <w:spacing w:val="-6"/>
        </w:rPr>
        <w:t> </w:t>
      </w:r>
      <w:r>
        <w:rPr/>
        <w:t>banks</w:t>
      </w:r>
      <w:r>
        <w:rPr>
          <w:spacing w:val="-6"/>
        </w:rPr>
        <w:t> </w:t>
      </w:r>
      <w:r>
        <w:rPr/>
        <w:t>were</w:t>
      </w:r>
      <w:r>
        <w:rPr>
          <w:spacing w:val="-7"/>
        </w:rPr>
        <w:t> </w:t>
      </w:r>
      <w:r>
        <w:rPr/>
        <w:t>ordered</w:t>
      </w:r>
      <w:r>
        <w:rPr>
          <w:spacing w:val="-6"/>
        </w:rPr>
        <w:t> </w:t>
      </w:r>
      <w:r>
        <w:rPr/>
        <w:t>to</w:t>
      </w:r>
      <w:r>
        <w:rPr>
          <w:spacing w:val="-5"/>
        </w:rPr>
        <w:t> </w:t>
      </w:r>
      <w:r>
        <w:rPr/>
        <w:t>lend,</w:t>
      </w:r>
      <w:r>
        <w:rPr>
          <w:spacing w:val="-6"/>
        </w:rPr>
        <w:t> </w:t>
      </w:r>
      <w:r>
        <w:rPr/>
        <w:t>and</w:t>
      </w:r>
      <w:r>
        <w:rPr>
          <w:spacing w:val="-6"/>
        </w:rPr>
        <w:t> </w:t>
      </w:r>
      <w:r>
        <w:rPr/>
        <w:t>they</w:t>
      </w:r>
      <w:r>
        <w:rPr>
          <w:spacing w:val="-8"/>
        </w:rPr>
        <w:t> </w:t>
      </w:r>
      <w:r>
        <w:rPr/>
        <w:t>lent</w:t>
      </w:r>
      <w:r>
        <w:rPr>
          <w:spacing w:val="-6"/>
        </w:rPr>
        <w:t> </w:t>
      </w:r>
      <w:r>
        <w:rPr/>
        <w:t>and</w:t>
      </w:r>
      <w:r>
        <w:rPr>
          <w:spacing w:val="-6"/>
        </w:rPr>
        <w:t> </w:t>
      </w:r>
      <w:r>
        <w:rPr/>
        <w:t>that</w:t>
      </w:r>
      <w:r>
        <w:rPr>
          <w:spacing w:val="-3"/>
        </w:rPr>
        <w:t> </w:t>
      </w:r>
      <w:r>
        <w:rPr/>
        <w:t>centrally-controlled</w:t>
      </w:r>
      <w:r>
        <w:rPr>
          <w:spacing w:val="-6"/>
        </w:rPr>
        <w:t> </w:t>
      </w:r>
      <w:r>
        <w:rPr/>
        <w:t>state- owned</w:t>
      </w:r>
      <w:r>
        <w:rPr>
          <w:spacing w:val="-10"/>
        </w:rPr>
        <w:t> </w:t>
      </w:r>
      <w:r>
        <w:rPr/>
        <w:t>enterprises</w:t>
      </w:r>
      <w:r>
        <w:rPr>
          <w:spacing w:val="-8"/>
        </w:rPr>
        <w:t> </w:t>
      </w:r>
      <w:r>
        <w:rPr/>
        <w:t>(SOEs)</w:t>
      </w:r>
      <w:r>
        <w:rPr>
          <w:spacing w:val="-9"/>
        </w:rPr>
        <w:t> </w:t>
      </w:r>
      <w:r>
        <w:rPr/>
        <w:t>were</w:t>
      </w:r>
      <w:r>
        <w:rPr>
          <w:spacing w:val="-11"/>
        </w:rPr>
        <w:t> </w:t>
      </w:r>
      <w:r>
        <w:rPr/>
        <w:t>ordered</w:t>
      </w:r>
      <w:r>
        <w:rPr>
          <w:spacing w:val="-10"/>
        </w:rPr>
        <w:t> </w:t>
      </w:r>
      <w:r>
        <w:rPr/>
        <w:t>to</w:t>
      </w:r>
      <w:r>
        <w:rPr>
          <w:spacing w:val="-7"/>
        </w:rPr>
        <w:t> </w:t>
      </w:r>
      <w:r>
        <w:rPr/>
        <w:t>invest</w:t>
      </w:r>
      <w:r>
        <w:rPr>
          <w:spacing w:val="-9"/>
        </w:rPr>
        <w:t> </w:t>
      </w:r>
      <w:r>
        <w:rPr/>
        <w:t>by</w:t>
      </w:r>
      <w:r>
        <w:rPr>
          <w:spacing w:val="-12"/>
        </w:rPr>
        <w:t> </w:t>
      </w:r>
      <w:r>
        <w:rPr/>
        <w:t>Beijing,</w:t>
      </w:r>
      <w:r>
        <w:rPr>
          <w:spacing w:val="-7"/>
        </w:rPr>
        <w:t> </w:t>
      </w:r>
      <w:r>
        <w:rPr/>
        <w:t>and</w:t>
      </w:r>
      <w:r>
        <w:rPr>
          <w:spacing w:val="-10"/>
        </w:rPr>
        <w:t> </w:t>
      </w:r>
      <w:r>
        <w:rPr/>
        <w:t>they</w:t>
      </w:r>
      <w:r>
        <w:rPr>
          <w:spacing w:val="-8"/>
        </w:rPr>
        <w:t> </w:t>
      </w:r>
      <w:r>
        <w:rPr/>
        <w:t>invested,</w:t>
      </w:r>
      <w:r>
        <w:rPr>
          <w:spacing w:val="-10"/>
        </w:rPr>
        <w:t> </w:t>
      </w:r>
      <w:r>
        <w:rPr/>
        <w:t>however, their data revealed that much of this investments were highly motivated by real estate purchase. Auction prices of residential land in eight major cities under their findings increases by about 100% in 2009, quality variation control. Moreover, rises in prices occur as these SOEs are more active buyers. Their argument was that these centrally- controlled SOEs overbid significantly; driving bubble in the real estate market; and that Chinese effective macroeconomic stimulus package might have prompted inflated resource misallocation.</w:t>
      </w:r>
    </w:p>
    <w:p>
      <w:pPr>
        <w:spacing w:after="0" w:line="480" w:lineRule="auto"/>
        <w:sectPr>
          <w:pgSz w:w="11910" w:h="16840"/>
          <w:pgMar w:header="0" w:footer="1022" w:top="1320" w:bottom="1220" w:left="1680" w:right="900"/>
        </w:sectPr>
      </w:pPr>
    </w:p>
    <w:p>
      <w:pPr>
        <w:pStyle w:val="BodyText"/>
        <w:spacing w:line="480" w:lineRule="auto" w:before="72"/>
        <w:ind w:left="305" w:right="513"/>
      </w:pPr>
      <w:r>
        <w:rPr/>
        <w:t>Chu (2018) develops a dynamic stochastic general equilibrium (DSGE) model that analyses real estate transfer tax transmission mechanisms and some other policies of macroeconomic on the housing market of Taiwan. Their model is in line with the Taiwanese</w:t>
      </w:r>
      <w:r>
        <w:rPr>
          <w:spacing w:val="-4"/>
        </w:rPr>
        <w:t> </w:t>
      </w:r>
      <w:r>
        <w:rPr/>
        <w:t>housing</w:t>
      </w:r>
      <w:r>
        <w:rPr>
          <w:spacing w:val="-6"/>
        </w:rPr>
        <w:t> </w:t>
      </w:r>
      <w:r>
        <w:rPr/>
        <w:t>prices</w:t>
      </w:r>
      <w:r>
        <w:rPr>
          <w:spacing w:val="-3"/>
        </w:rPr>
        <w:t> </w:t>
      </w:r>
      <w:r>
        <w:rPr/>
        <w:t>volatility</w:t>
      </w:r>
      <w:r>
        <w:rPr>
          <w:spacing w:val="-10"/>
        </w:rPr>
        <w:t> </w:t>
      </w:r>
      <w:r>
        <w:rPr/>
        <w:t>and</w:t>
      </w:r>
      <w:r>
        <w:rPr>
          <w:spacing w:val="-3"/>
        </w:rPr>
        <w:t> </w:t>
      </w:r>
      <w:r>
        <w:rPr/>
        <w:t>transactions</w:t>
      </w:r>
      <w:r>
        <w:rPr>
          <w:spacing w:val="-3"/>
        </w:rPr>
        <w:t> </w:t>
      </w:r>
      <w:r>
        <w:rPr/>
        <w:t>on</w:t>
      </w:r>
      <w:r>
        <w:rPr>
          <w:spacing w:val="-3"/>
        </w:rPr>
        <w:t> </w:t>
      </w:r>
      <w:r>
        <w:rPr/>
        <w:t>housing</w:t>
      </w:r>
      <w:r>
        <w:rPr>
          <w:spacing w:val="-6"/>
        </w:rPr>
        <w:t> </w:t>
      </w:r>
      <w:r>
        <w:rPr/>
        <w:t>since</w:t>
      </w:r>
      <w:r>
        <w:rPr>
          <w:spacing w:val="-5"/>
        </w:rPr>
        <w:t> </w:t>
      </w:r>
      <w:r>
        <w:rPr/>
        <w:t>2011 –</w:t>
      </w:r>
      <w:r>
        <w:rPr>
          <w:spacing w:val="-3"/>
        </w:rPr>
        <w:t> </w:t>
      </w:r>
      <w:r>
        <w:rPr/>
        <w:t>2015,</w:t>
      </w:r>
      <w:r>
        <w:rPr>
          <w:spacing w:val="-3"/>
        </w:rPr>
        <w:t> </w:t>
      </w:r>
      <w:r>
        <w:rPr/>
        <w:t>after there</w:t>
      </w:r>
      <w:r>
        <w:rPr>
          <w:spacing w:val="-9"/>
        </w:rPr>
        <w:t> </w:t>
      </w:r>
      <w:r>
        <w:rPr/>
        <w:t>is</w:t>
      </w:r>
      <w:r>
        <w:rPr>
          <w:spacing w:val="-8"/>
        </w:rPr>
        <w:t> </w:t>
      </w:r>
      <w:r>
        <w:rPr/>
        <w:t>reduction</w:t>
      </w:r>
      <w:r>
        <w:rPr>
          <w:spacing w:val="-8"/>
        </w:rPr>
        <w:t> </w:t>
      </w:r>
      <w:r>
        <w:rPr/>
        <w:t>in</w:t>
      </w:r>
      <w:r>
        <w:rPr>
          <w:spacing w:val="-8"/>
        </w:rPr>
        <w:t> </w:t>
      </w:r>
      <w:r>
        <w:rPr/>
        <w:t>the</w:t>
      </w:r>
      <w:r>
        <w:rPr>
          <w:spacing w:val="-9"/>
        </w:rPr>
        <w:t> </w:t>
      </w:r>
      <w:r>
        <w:rPr/>
        <w:t>loan-to-value</w:t>
      </w:r>
      <w:r>
        <w:rPr>
          <w:spacing w:val="-6"/>
        </w:rPr>
        <w:t> </w:t>
      </w:r>
      <w:r>
        <w:rPr/>
        <w:t>ratio</w:t>
      </w:r>
      <w:r>
        <w:rPr>
          <w:spacing w:val="-7"/>
        </w:rPr>
        <w:t> </w:t>
      </w:r>
      <w:r>
        <w:rPr/>
        <w:t>and</w:t>
      </w:r>
      <w:r>
        <w:rPr>
          <w:spacing w:val="-8"/>
        </w:rPr>
        <w:t> </w:t>
      </w:r>
      <w:r>
        <w:rPr/>
        <w:t>successful</w:t>
      </w:r>
      <w:r>
        <w:rPr>
          <w:spacing w:val="-6"/>
        </w:rPr>
        <w:t> </w:t>
      </w:r>
      <w:r>
        <w:rPr/>
        <w:t>collection</w:t>
      </w:r>
      <w:r>
        <w:rPr>
          <w:spacing w:val="-8"/>
        </w:rPr>
        <w:t> </w:t>
      </w:r>
      <w:r>
        <w:rPr/>
        <w:t>of</w:t>
      </w:r>
      <w:r>
        <w:rPr>
          <w:spacing w:val="-7"/>
        </w:rPr>
        <w:t> </w:t>
      </w:r>
      <w:r>
        <w:rPr/>
        <w:t>transfer</w:t>
      </w:r>
      <w:r>
        <w:rPr>
          <w:spacing w:val="-9"/>
        </w:rPr>
        <w:t> </w:t>
      </w:r>
      <w:r>
        <w:rPr/>
        <w:t>tax</w:t>
      </w:r>
      <w:r>
        <w:rPr>
          <w:spacing w:val="-7"/>
        </w:rPr>
        <w:t> </w:t>
      </w:r>
      <w:r>
        <w:rPr/>
        <w:t>along with a property tax. The findings indicate that residential property tax enforcement or increase in the interest rates efficiently limits housing transaction speculations and has long</w:t>
      </w:r>
      <w:r>
        <w:rPr>
          <w:spacing w:val="-4"/>
        </w:rPr>
        <w:t> </w:t>
      </w:r>
      <w:r>
        <w:rPr/>
        <w:t>time</w:t>
      </w:r>
      <w:r>
        <w:rPr>
          <w:spacing w:val="-1"/>
        </w:rPr>
        <w:t> </w:t>
      </w:r>
      <w:r>
        <w:rPr/>
        <w:t>impacts</w:t>
      </w:r>
      <w:r>
        <w:rPr>
          <w:spacing w:val="-1"/>
        </w:rPr>
        <w:t> </w:t>
      </w:r>
      <w:r>
        <w:rPr/>
        <w:t>on</w:t>
      </w:r>
      <w:r>
        <w:rPr>
          <w:spacing w:val="-1"/>
        </w:rPr>
        <w:t> </w:t>
      </w:r>
      <w:r>
        <w:rPr/>
        <w:t>housing</w:t>
      </w:r>
      <w:r>
        <w:rPr>
          <w:spacing w:val="-3"/>
        </w:rPr>
        <w:t> </w:t>
      </w:r>
      <w:r>
        <w:rPr/>
        <w:t>price</w:t>
      </w:r>
      <w:r>
        <w:rPr>
          <w:spacing w:val="-2"/>
        </w:rPr>
        <w:t> </w:t>
      </w:r>
      <w:r>
        <w:rPr/>
        <w:t>taming</w:t>
      </w:r>
      <w:r>
        <w:rPr>
          <w:spacing w:val="-2"/>
        </w:rPr>
        <w:t> </w:t>
      </w:r>
      <w:r>
        <w:rPr/>
        <w:t>for</w:t>
      </w:r>
      <w:r>
        <w:rPr>
          <w:spacing w:val="-3"/>
        </w:rPr>
        <w:t> </w:t>
      </w:r>
      <w:r>
        <w:rPr/>
        <w:t>some</w:t>
      </w:r>
      <w:r>
        <w:rPr>
          <w:spacing w:val="-1"/>
        </w:rPr>
        <w:t> </w:t>
      </w:r>
      <w:r>
        <w:rPr/>
        <w:t>time. Imposition</w:t>
      </w:r>
      <w:r>
        <w:rPr>
          <w:spacing w:val="-1"/>
        </w:rPr>
        <w:t> </w:t>
      </w:r>
      <w:r>
        <w:rPr/>
        <w:t>of</w:t>
      </w:r>
      <w:r>
        <w:rPr>
          <w:spacing w:val="-1"/>
        </w:rPr>
        <w:t> </w:t>
      </w:r>
      <w:r>
        <w:rPr/>
        <w:t>transfer tax or</w:t>
      </w:r>
      <w:r>
        <w:rPr>
          <w:spacing w:val="-1"/>
        </w:rPr>
        <w:t> </w:t>
      </w:r>
      <w:r>
        <w:rPr/>
        <w:t>a reduction in the loan-to-value ratio has short-lived impacts on housing market </w:t>
      </w:r>
      <w:r>
        <w:rPr>
          <w:spacing w:val="-2"/>
        </w:rPr>
        <w:t>moderation.</w:t>
      </w:r>
    </w:p>
    <w:p>
      <w:pPr>
        <w:pStyle w:val="BodyText"/>
        <w:spacing w:line="480" w:lineRule="auto" w:before="241"/>
        <w:ind w:left="305" w:right="512"/>
      </w:pPr>
      <w:r>
        <w:rPr/>
        <w:t>Killins</w:t>
      </w:r>
      <w:r>
        <w:rPr>
          <w:spacing w:val="-3"/>
        </w:rPr>
        <w:t> </w:t>
      </w:r>
      <w:r>
        <w:rPr>
          <w:i/>
        </w:rPr>
        <w:t>et</w:t>
      </w:r>
      <w:r>
        <w:rPr>
          <w:i/>
          <w:spacing w:val="-3"/>
        </w:rPr>
        <w:t> </w:t>
      </w:r>
      <w:r>
        <w:rPr>
          <w:i/>
        </w:rPr>
        <w:t>al.</w:t>
      </w:r>
      <w:r>
        <w:rPr>
          <w:i/>
          <w:spacing w:val="-2"/>
        </w:rPr>
        <w:t> </w:t>
      </w:r>
      <w:r>
        <w:rPr/>
        <w:t>(2017)</w:t>
      </w:r>
      <w:r>
        <w:rPr>
          <w:spacing w:val="-4"/>
        </w:rPr>
        <w:t> </w:t>
      </w:r>
      <w:r>
        <w:rPr/>
        <w:t>examine</w:t>
      </w:r>
      <w:r>
        <w:rPr>
          <w:spacing w:val="-4"/>
        </w:rPr>
        <w:t> </w:t>
      </w:r>
      <w:r>
        <w:rPr/>
        <w:t>the</w:t>
      </w:r>
      <w:r>
        <w:rPr>
          <w:spacing w:val="-3"/>
        </w:rPr>
        <w:t> </w:t>
      </w:r>
      <w:r>
        <w:rPr/>
        <w:t>oil</w:t>
      </w:r>
      <w:r>
        <w:rPr>
          <w:spacing w:val="-3"/>
        </w:rPr>
        <w:t> </w:t>
      </w:r>
      <w:r>
        <w:rPr/>
        <w:t>shocks</w:t>
      </w:r>
      <w:r>
        <w:rPr>
          <w:spacing w:val="-3"/>
        </w:rPr>
        <w:t> </w:t>
      </w:r>
      <w:r>
        <w:rPr/>
        <w:t>impact</w:t>
      </w:r>
      <w:r>
        <w:rPr>
          <w:spacing w:val="-3"/>
        </w:rPr>
        <w:t> </w:t>
      </w:r>
      <w:r>
        <w:rPr/>
        <w:t>on</w:t>
      </w:r>
      <w:r>
        <w:rPr>
          <w:spacing w:val="-3"/>
        </w:rPr>
        <w:t> </w:t>
      </w:r>
      <w:r>
        <w:rPr/>
        <w:t>the</w:t>
      </w:r>
      <w:r>
        <w:rPr>
          <w:spacing w:val="-4"/>
        </w:rPr>
        <w:t> </w:t>
      </w:r>
      <w:r>
        <w:rPr/>
        <w:t>housing</w:t>
      </w:r>
      <w:r>
        <w:rPr>
          <w:spacing w:val="-5"/>
        </w:rPr>
        <w:t> </w:t>
      </w:r>
      <w:r>
        <w:rPr/>
        <w:t>market of</w:t>
      </w:r>
      <w:r>
        <w:rPr>
          <w:spacing w:val="-4"/>
        </w:rPr>
        <w:t> </w:t>
      </w:r>
      <w:r>
        <w:rPr/>
        <w:t>Canada</w:t>
      </w:r>
      <w:r>
        <w:rPr>
          <w:spacing w:val="-2"/>
        </w:rPr>
        <w:t> </w:t>
      </w:r>
      <w:r>
        <w:rPr/>
        <w:t>and United States. The authors argued that 2007-2009 economic recession necessitated the housing market regulators and market participants to closer monitor the global housing markets.</w:t>
      </w:r>
      <w:r>
        <w:rPr>
          <w:spacing w:val="-8"/>
        </w:rPr>
        <w:t> </w:t>
      </w:r>
      <w:r>
        <w:rPr/>
        <w:t>Structural</w:t>
      </w:r>
      <w:r>
        <w:rPr>
          <w:spacing w:val="-8"/>
        </w:rPr>
        <w:t> </w:t>
      </w:r>
      <w:r>
        <w:rPr/>
        <w:t>vector</w:t>
      </w:r>
      <w:r>
        <w:rPr>
          <w:spacing w:val="-9"/>
        </w:rPr>
        <w:t> </w:t>
      </w:r>
      <w:r>
        <w:rPr/>
        <w:t>autoregressive</w:t>
      </w:r>
      <w:r>
        <w:rPr>
          <w:spacing w:val="-9"/>
        </w:rPr>
        <w:t> </w:t>
      </w:r>
      <w:r>
        <w:rPr/>
        <w:t>model</w:t>
      </w:r>
      <w:r>
        <w:rPr>
          <w:spacing w:val="-6"/>
        </w:rPr>
        <w:t> </w:t>
      </w:r>
      <w:r>
        <w:rPr/>
        <w:t>was</w:t>
      </w:r>
      <w:r>
        <w:rPr>
          <w:spacing w:val="-8"/>
        </w:rPr>
        <w:t> </w:t>
      </w:r>
      <w:r>
        <w:rPr/>
        <w:t>employed</w:t>
      </w:r>
      <w:r>
        <w:rPr>
          <w:spacing w:val="-8"/>
        </w:rPr>
        <w:t> </w:t>
      </w:r>
      <w:r>
        <w:rPr/>
        <w:t>where</w:t>
      </w:r>
      <w:r>
        <w:rPr>
          <w:spacing w:val="-9"/>
        </w:rPr>
        <w:t> </w:t>
      </w:r>
      <w:r>
        <w:rPr/>
        <w:t>they</w:t>
      </w:r>
      <w:r>
        <w:rPr>
          <w:spacing w:val="-13"/>
        </w:rPr>
        <w:t> </w:t>
      </w:r>
      <w:r>
        <w:rPr/>
        <w:t>found</w:t>
      </w:r>
      <w:r>
        <w:rPr>
          <w:spacing w:val="-8"/>
        </w:rPr>
        <w:t> </w:t>
      </w:r>
      <w:r>
        <w:rPr/>
        <w:t>out</w:t>
      </w:r>
      <w:r>
        <w:rPr>
          <w:spacing w:val="-7"/>
        </w:rPr>
        <w:t> </w:t>
      </w:r>
      <w:r>
        <w:rPr/>
        <w:t>that housing markets reaction to the shocks in the oil price differs considerably with a condition on whether oil market demand or supply shocks prompted the change in country’s status of oil trading. Their findings includes how oil shocks may determines housing price through different macroeconomic channels.</w:t>
      </w:r>
    </w:p>
    <w:p>
      <w:pPr>
        <w:pStyle w:val="BodyText"/>
        <w:spacing w:line="480" w:lineRule="auto" w:before="238"/>
        <w:ind w:left="305" w:right="512"/>
      </w:pPr>
      <w:r>
        <w:rPr/>
        <w:t>There</w:t>
      </w:r>
      <w:r>
        <w:rPr>
          <w:spacing w:val="-15"/>
        </w:rPr>
        <w:t> </w:t>
      </w:r>
      <w:r>
        <w:rPr/>
        <w:t>are</w:t>
      </w:r>
      <w:r>
        <w:rPr>
          <w:spacing w:val="-15"/>
        </w:rPr>
        <w:t> </w:t>
      </w:r>
      <w:r>
        <w:rPr/>
        <w:t>other</w:t>
      </w:r>
      <w:r>
        <w:rPr>
          <w:spacing w:val="-15"/>
        </w:rPr>
        <w:t> </w:t>
      </w:r>
      <w:r>
        <w:rPr/>
        <w:t>authors</w:t>
      </w:r>
      <w:r>
        <w:rPr>
          <w:spacing w:val="-15"/>
        </w:rPr>
        <w:t> </w:t>
      </w:r>
      <w:r>
        <w:rPr/>
        <w:t>who</w:t>
      </w:r>
      <w:r>
        <w:rPr>
          <w:spacing w:val="-15"/>
        </w:rPr>
        <w:t> </w:t>
      </w:r>
      <w:r>
        <w:rPr/>
        <w:t>studied</w:t>
      </w:r>
      <w:r>
        <w:rPr>
          <w:spacing w:val="-15"/>
        </w:rPr>
        <w:t> </w:t>
      </w:r>
      <w:r>
        <w:rPr/>
        <w:t>how</w:t>
      </w:r>
      <w:r>
        <w:rPr>
          <w:spacing w:val="-15"/>
        </w:rPr>
        <w:t> </w:t>
      </w:r>
      <w:r>
        <w:rPr/>
        <w:t>other</w:t>
      </w:r>
      <w:r>
        <w:rPr>
          <w:spacing w:val="-15"/>
        </w:rPr>
        <w:t> </w:t>
      </w:r>
      <w:r>
        <w:rPr/>
        <w:t>factors</w:t>
      </w:r>
      <w:r>
        <w:rPr>
          <w:spacing w:val="-15"/>
        </w:rPr>
        <w:t> </w:t>
      </w:r>
      <w:r>
        <w:rPr/>
        <w:t>apart</w:t>
      </w:r>
      <w:r>
        <w:rPr>
          <w:spacing w:val="-15"/>
        </w:rPr>
        <w:t> </w:t>
      </w:r>
      <w:r>
        <w:rPr/>
        <w:t>from</w:t>
      </w:r>
      <w:r>
        <w:rPr>
          <w:spacing w:val="-15"/>
        </w:rPr>
        <w:t> </w:t>
      </w:r>
      <w:r>
        <w:rPr/>
        <w:t>environmental</w:t>
      </w:r>
      <w:r>
        <w:rPr>
          <w:spacing w:val="-15"/>
        </w:rPr>
        <w:t> </w:t>
      </w:r>
      <w:r>
        <w:rPr/>
        <w:t>attributes and</w:t>
      </w:r>
      <w:r>
        <w:rPr>
          <w:spacing w:val="-4"/>
        </w:rPr>
        <w:t> </w:t>
      </w:r>
      <w:r>
        <w:rPr/>
        <w:t>economic</w:t>
      </w:r>
      <w:r>
        <w:rPr>
          <w:spacing w:val="-5"/>
        </w:rPr>
        <w:t> </w:t>
      </w:r>
      <w:r>
        <w:rPr/>
        <w:t>condition</w:t>
      </w:r>
      <w:r>
        <w:rPr>
          <w:spacing w:val="-4"/>
        </w:rPr>
        <w:t> </w:t>
      </w:r>
      <w:r>
        <w:rPr/>
        <w:t>influences</w:t>
      </w:r>
      <w:r>
        <w:rPr>
          <w:spacing w:val="-4"/>
        </w:rPr>
        <w:t> </w:t>
      </w:r>
      <w:r>
        <w:rPr/>
        <w:t>housing</w:t>
      </w:r>
      <w:r>
        <w:rPr>
          <w:spacing w:val="-7"/>
        </w:rPr>
        <w:t> </w:t>
      </w:r>
      <w:r>
        <w:rPr/>
        <w:t>market</w:t>
      </w:r>
      <w:r>
        <w:rPr>
          <w:spacing w:val="-2"/>
        </w:rPr>
        <w:t> </w:t>
      </w:r>
      <w:r>
        <w:rPr/>
        <w:t>(Antoniucci</w:t>
      </w:r>
      <w:r>
        <w:rPr>
          <w:spacing w:val="-4"/>
        </w:rPr>
        <w:t> </w:t>
      </w:r>
      <w:r>
        <w:rPr/>
        <w:t>&amp;</w:t>
      </w:r>
      <w:r>
        <w:rPr>
          <w:spacing w:val="-6"/>
        </w:rPr>
        <w:t> </w:t>
      </w:r>
      <w:r>
        <w:rPr/>
        <w:t>Marella,</w:t>
      </w:r>
      <w:r>
        <w:rPr>
          <w:spacing w:val="-3"/>
        </w:rPr>
        <w:t> </w:t>
      </w:r>
      <w:r>
        <w:rPr/>
        <w:t>2017b;</w:t>
      </w:r>
      <w:r>
        <w:rPr>
          <w:spacing w:val="-3"/>
        </w:rPr>
        <w:t> </w:t>
      </w:r>
      <w:r>
        <w:rPr/>
        <w:t>Chen </w:t>
      </w:r>
      <w:r>
        <w:rPr>
          <w:i/>
        </w:rPr>
        <w:t>et al.</w:t>
      </w:r>
      <w:r>
        <w:rPr/>
        <w:t>, 2011; Gu, 2018; Gulyani </w:t>
      </w:r>
      <w:r>
        <w:rPr>
          <w:i/>
        </w:rPr>
        <w:t>et al</w:t>
      </w:r>
      <w:r>
        <w:rPr/>
        <w:t>., 2018; Hu </w:t>
      </w:r>
      <w:r>
        <w:rPr>
          <w:i/>
        </w:rPr>
        <w:t>et al.</w:t>
      </w:r>
      <w:r>
        <w:rPr/>
        <w:t>, 2016; Hulse &amp; Reynolds, 2018; Kuang &amp; Wang, 2018; Li &amp; Tang, 2018; Liu &amp; Li, 2018; Musa &amp; Yusoff, 2018; Troy, 2018; Tupenaite </w:t>
      </w:r>
      <w:r>
        <w:rPr>
          <w:i/>
        </w:rPr>
        <w:t>et al</w:t>
      </w:r>
      <w:r>
        <w:rPr/>
        <w:t>., 2017). For example, Zhang &amp; Zhao (2018) studied the determinants</w:t>
      </w:r>
      <w:r>
        <w:rPr>
          <w:spacing w:val="2"/>
        </w:rPr>
        <w:t> </w:t>
      </w:r>
      <w:r>
        <w:rPr/>
        <w:t>of</w:t>
      </w:r>
      <w:r>
        <w:rPr>
          <w:spacing w:val="2"/>
        </w:rPr>
        <w:t> </w:t>
      </w:r>
      <w:r>
        <w:rPr/>
        <w:t>informal</w:t>
      </w:r>
      <w:r>
        <w:rPr>
          <w:spacing w:val="5"/>
        </w:rPr>
        <w:t> </w:t>
      </w:r>
      <w:r>
        <w:rPr/>
        <w:t>housing</w:t>
      </w:r>
      <w:r>
        <w:rPr>
          <w:spacing w:val="1"/>
        </w:rPr>
        <w:t> </w:t>
      </w:r>
      <w:r>
        <w:rPr/>
        <w:t>price</w:t>
      </w:r>
      <w:r>
        <w:rPr>
          <w:spacing w:val="3"/>
        </w:rPr>
        <w:t> </w:t>
      </w:r>
      <w:r>
        <w:rPr/>
        <w:t>in</w:t>
      </w:r>
      <w:r>
        <w:rPr>
          <w:spacing w:val="4"/>
        </w:rPr>
        <w:t> </w:t>
      </w:r>
      <w:r>
        <w:rPr/>
        <w:t>Beijing</w:t>
      </w:r>
      <w:r>
        <w:rPr>
          <w:spacing w:val="4"/>
        </w:rPr>
        <w:t> </w:t>
      </w:r>
      <w:r>
        <w:rPr/>
        <w:t>with</w:t>
      </w:r>
      <w:r>
        <w:rPr>
          <w:spacing w:val="5"/>
        </w:rPr>
        <w:t> </w:t>
      </w:r>
      <w:r>
        <w:rPr/>
        <w:t>focus</w:t>
      </w:r>
      <w:r>
        <w:rPr>
          <w:spacing w:val="3"/>
        </w:rPr>
        <w:t> </w:t>
      </w:r>
      <w:r>
        <w:rPr/>
        <w:t>on</w:t>
      </w:r>
      <w:r>
        <w:rPr>
          <w:spacing w:val="4"/>
        </w:rPr>
        <w:t> </w:t>
      </w:r>
      <w:r>
        <w:rPr/>
        <w:t>village</w:t>
      </w:r>
      <w:r>
        <w:rPr>
          <w:spacing w:val="2"/>
        </w:rPr>
        <w:t> </w:t>
      </w:r>
      <w:r>
        <w:rPr/>
        <w:t>power,</w:t>
      </w:r>
      <w:r>
        <w:rPr>
          <w:spacing w:val="3"/>
        </w:rPr>
        <w:t> </w:t>
      </w:r>
      <w:r>
        <w:rPr>
          <w:spacing w:val="-2"/>
        </w:rPr>
        <w:t>informal</w:t>
      </w:r>
    </w:p>
    <w:p>
      <w:pPr>
        <w:pStyle w:val="BodyText"/>
        <w:spacing w:before="1"/>
        <w:ind w:left="305"/>
      </w:pPr>
      <w:r>
        <w:rPr/>
        <w:t>institutions,</w:t>
      </w:r>
      <w:r>
        <w:rPr>
          <w:spacing w:val="45"/>
        </w:rPr>
        <w:t> </w:t>
      </w:r>
      <w:r>
        <w:rPr/>
        <w:t>and</w:t>
      </w:r>
      <w:r>
        <w:rPr>
          <w:spacing w:val="47"/>
        </w:rPr>
        <w:t> </w:t>
      </w:r>
      <w:r>
        <w:rPr/>
        <w:t>property</w:t>
      </w:r>
      <w:r>
        <w:rPr>
          <w:spacing w:val="45"/>
        </w:rPr>
        <w:t> </w:t>
      </w:r>
      <w:r>
        <w:rPr/>
        <w:t>security.</w:t>
      </w:r>
      <w:r>
        <w:rPr>
          <w:spacing w:val="50"/>
        </w:rPr>
        <w:t> </w:t>
      </w:r>
      <w:r>
        <w:rPr/>
        <w:t>They</w:t>
      </w:r>
      <w:r>
        <w:rPr>
          <w:spacing w:val="45"/>
        </w:rPr>
        <w:t> </w:t>
      </w:r>
      <w:r>
        <w:rPr/>
        <w:t>argued</w:t>
      </w:r>
      <w:r>
        <w:rPr>
          <w:spacing w:val="49"/>
        </w:rPr>
        <w:t> </w:t>
      </w:r>
      <w:r>
        <w:rPr/>
        <w:t>that</w:t>
      </w:r>
      <w:r>
        <w:rPr>
          <w:spacing w:val="46"/>
        </w:rPr>
        <w:t> </w:t>
      </w:r>
      <w:r>
        <w:rPr/>
        <w:t>rural</w:t>
      </w:r>
      <w:r>
        <w:rPr>
          <w:spacing w:val="48"/>
        </w:rPr>
        <w:t> </w:t>
      </w:r>
      <w:r>
        <w:rPr/>
        <w:t>areas</w:t>
      </w:r>
      <w:r>
        <w:rPr>
          <w:spacing w:val="49"/>
        </w:rPr>
        <w:t> </w:t>
      </w:r>
      <w:r>
        <w:rPr/>
        <w:t>have</w:t>
      </w:r>
      <w:r>
        <w:rPr>
          <w:spacing w:val="48"/>
        </w:rPr>
        <w:t> </w:t>
      </w:r>
      <w:r>
        <w:rPr/>
        <w:t>the</w:t>
      </w:r>
      <w:r>
        <w:rPr>
          <w:spacing w:val="46"/>
        </w:rPr>
        <w:t> </w:t>
      </w:r>
      <w:r>
        <w:rPr/>
        <w:t>ability</w:t>
      </w:r>
      <w:r>
        <w:rPr>
          <w:spacing w:val="45"/>
        </w:rPr>
        <w:t> </w:t>
      </w:r>
      <w:r>
        <w:rPr>
          <w:spacing w:val="-5"/>
        </w:rPr>
        <w:t>for</w:t>
      </w:r>
    </w:p>
    <w:p>
      <w:pPr>
        <w:spacing w:after="0"/>
        <w:sectPr>
          <w:pgSz w:w="11910" w:h="16840"/>
          <w:pgMar w:header="0" w:footer="1022" w:top="1320" w:bottom="1220" w:left="1680" w:right="900"/>
        </w:sectPr>
      </w:pPr>
    </w:p>
    <w:p>
      <w:pPr>
        <w:pStyle w:val="BodyText"/>
        <w:spacing w:line="480" w:lineRule="auto" w:before="72"/>
        <w:ind w:left="305" w:right="512"/>
      </w:pPr>
      <w:r>
        <w:rPr/>
        <w:t>seeking political support and control the market transactions to stable the tenure of informal</w:t>
      </w:r>
      <w:r>
        <w:rPr>
          <w:spacing w:val="71"/>
        </w:rPr>
        <w:t>  </w:t>
      </w:r>
      <w:r>
        <w:rPr/>
        <w:t>housing.</w:t>
      </w:r>
      <w:r>
        <w:rPr>
          <w:spacing w:val="72"/>
        </w:rPr>
        <w:t>  </w:t>
      </w:r>
      <w:r>
        <w:rPr/>
        <w:t>This</w:t>
      </w:r>
      <w:r>
        <w:rPr>
          <w:spacing w:val="71"/>
        </w:rPr>
        <w:t>  </w:t>
      </w:r>
      <w:r>
        <w:rPr/>
        <w:t>potential</w:t>
      </w:r>
      <w:r>
        <w:rPr>
          <w:spacing w:val="71"/>
        </w:rPr>
        <w:t>  </w:t>
      </w:r>
      <w:r>
        <w:rPr/>
        <w:t>is</w:t>
      </w:r>
      <w:r>
        <w:rPr>
          <w:spacing w:val="71"/>
        </w:rPr>
        <w:t>  </w:t>
      </w:r>
      <w:r>
        <w:rPr/>
        <w:t>authorised</w:t>
      </w:r>
      <w:r>
        <w:rPr>
          <w:spacing w:val="71"/>
        </w:rPr>
        <w:t>  </w:t>
      </w:r>
      <w:r>
        <w:rPr/>
        <w:t>by</w:t>
      </w:r>
      <w:r>
        <w:rPr>
          <w:spacing w:val="69"/>
        </w:rPr>
        <w:t>  </w:t>
      </w:r>
      <w:r>
        <w:rPr/>
        <w:t>numerous</w:t>
      </w:r>
      <w:r>
        <w:rPr>
          <w:spacing w:val="72"/>
        </w:rPr>
        <w:t>  </w:t>
      </w:r>
      <w:r>
        <w:rPr/>
        <w:t>formalities: the dual land gadget and the regime of village autonomy. The developing powers of market organisations in local development help reinforce the village’s potential. The variances</w:t>
      </w:r>
      <w:r>
        <w:rPr>
          <w:spacing w:val="-7"/>
        </w:rPr>
        <w:t> </w:t>
      </w:r>
      <w:r>
        <w:rPr/>
        <w:t>in</w:t>
      </w:r>
      <w:r>
        <w:rPr>
          <w:spacing w:val="-7"/>
        </w:rPr>
        <w:t> </w:t>
      </w:r>
      <w:r>
        <w:rPr/>
        <w:t>capability</w:t>
      </w:r>
      <w:r>
        <w:rPr>
          <w:spacing w:val="-12"/>
        </w:rPr>
        <w:t> </w:t>
      </w:r>
      <w:r>
        <w:rPr/>
        <w:t>among</w:t>
      </w:r>
      <w:r>
        <w:rPr>
          <w:spacing w:val="-9"/>
        </w:rPr>
        <w:t> </w:t>
      </w:r>
      <w:r>
        <w:rPr/>
        <w:t>villages</w:t>
      </w:r>
      <w:r>
        <w:rPr>
          <w:spacing w:val="-7"/>
        </w:rPr>
        <w:t> </w:t>
      </w:r>
      <w:r>
        <w:rPr/>
        <w:t>result</w:t>
      </w:r>
      <w:r>
        <w:rPr>
          <w:spacing w:val="-6"/>
        </w:rPr>
        <w:t> </w:t>
      </w:r>
      <w:r>
        <w:rPr/>
        <w:t>in</w:t>
      </w:r>
      <w:r>
        <w:rPr>
          <w:spacing w:val="-7"/>
        </w:rPr>
        <w:t> </w:t>
      </w:r>
      <w:r>
        <w:rPr/>
        <w:t>as</w:t>
      </w:r>
      <w:r>
        <w:rPr>
          <w:spacing w:val="-5"/>
        </w:rPr>
        <w:t> </w:t>
      </w:r>
      <w:r>
        <w:rPr/>
        <w:t>heterogeneity</w:t>
      </w:r>
      <w:r>
        <w:rPr>
          <w:spacing w:val="-12"/>
        </w:rPr>
        <w:t> </w:t>
      </w:r>
      <w:r>
        <w:rPr/>
        <w:t>of</w:t>
      </w:r>
      <w:r>
        <w:rPr>
          <w:spacing w:val="-8"/>
        </w:rPr>
        <w:t> </w:t>
      </w:r>
      <w:r>
        <w:rPr/>
        <w:t>tenure</w:t>
      </w:r>
      <w:r>
        <w:rPr>
          <w:spacing w:val="-9"/>
        </w:rPr>
        <w:t> </w:t>
      </w:r>
      <w:r>
        <w:rPr/>
        <w:t>security,</w:t>
      </w:r>
      <w:r>
        <w:rPr>
          <w:spacing w:val="-7"/>
        </w:rPr>
        <w:t> </w:t>
      </w:r>
      <w:r>
        <w:rPr/>
        <w:t>hence creating rate differentials within the marketplace. They opined that higher tenure protection</w:t>
      </w:r>
      <w:r>
        <w:rPr>
          <w:spacing w:val="-7"/>
        </w:rPr>
        <w:t> </w:t>
      </w:r>
      <w:r>
        <w:rPr/>
        <w:t>will</w:t>
      </w:r>
      <w:r>
        <w:rPr>
          <w:spacing w:val="-7"/>
        </w:rPr>
        <w:t> </w:t>
      </w:r>
      <w:r>
        <w:rPr/>
        <w:t>increase</w:t>
      </w:r>
      <w:r>
        <w:rPr>
          <w:spacing w:val="-8"/>
        </w:rPr>
        <w:t> </w:t>
      </w:r>
      <w:r>
        <w:rPr/>
        <w:t>the</w:t>
      </w:r>
      <w:r>
        <w:rPr>
          <w:spacing w:val="-8"/>
        </w:rPr>
        <w:t> </w:t>
      </w:r>
      <w:r>
        <w:rPr/>
        <w:t>housing</w:t>
      </w:r>
      <w:r>
        <w:rPr>
          <w:spacing w:val="-7"/>
        </w:rPr>
        <w:t> </w:t>
      </w:r>
      <w:r>
        <w:rPr/>
        <w:t>fee.</w:t>
      </w:r>
      <w:r>
        <w:rPr>
          <w:spacing w:val="-5"/>
        </w:rPr>
        <w:t> </w:t>
      </w:r>
      <w:r>
        <w:rPr/>
        <w:t>In</w:t>
      </w:r>
      <w:r>
        <w:rPr>
          <w:spacing w:val="-5"/>
        </w:rPr>
        <w:t> </w:t>
      </w:r>
      <w:r>
        <w:rPr/>
        <w:t>conclusion,</w:t>
      </w:r>
      <w:r>
        <w:rPr>
          <w:spacing w:val="-7"/>
        </w:rPr>
        <w:t> </w:t>
      </w:r>
      <w:r>
        <w:rPr/>
        <w:t>the</w:t>
      </w:r>
      <w:r>
        <w:rPr>
          <w:spacing w:val="-8"/>
        </w:rPr>
        <w:t> </w:t>
      </w:r>
      <w:r>
        <w:rPr/>
        <w:t>informal</w:t>
      </w:r>
      <w:r>
        <w:rPr>
          <w:spacing w:val="-7"/>
        </w:rPr>
        <w:t> </w:t>
      </w:r>
      <w:r>
        <w:rPr/>
        <w:t>housing</w:t>
      </w:r>
      <w:r>
        <w:rPr>
          <w:spacing w:val="-10"/>
        </w:rPr>
        <w:t> </w:t>
      </w:r>
      <w:r>
        <w:rPr/>
        <w:t>marketplace in China is “regulated” with the aid of a “semi-formal” device wherein both informality and formality paintings and intertwine.</w:t>
      </w:r>
    </w:p>
    <w:p>
      <w:pPr>
        <w:pStyle w:val="BodyText"/>
        <w:spacing w:line="480" w:lineRule="auto" w:before="241"/>
        <w:ind w:left="305" w:right="511"/>
      </w:pPr>
      <w:r>
        <w:rPr/>
        <w:t>In another perspective, Antoniucci &amp; Marella (2017b) assess variations in the housing market</w:t>
      </w:r>
      <w:r>
        <w:rPr>
          <w:spacing w:val="-7"/>
        </w:rPr>
        <w:t> </w:t>
      </w:r>
      <w:r>
        <w:rPr/>
        <w:t>polarisation</w:t>
      </w:r>
      <w:r>
        <w:rPr>
          <w:spacing w:val="-7"/>
        </w:rPr>
        <w:t> </w:t>
      </w:r>
      <w:r>
        <w:rPr/>
        <w:t>in</w:t>
      </w:r>
      <w:r>
        <w:rPr>
          <w:spacing w:val="-7"/>
        </w:rPr>
        <w:t> </w:t>
      </w:r>
      <w:r>
        <w:rPr/>
        <w:t>the</w:t>
      </w:r>
      <w:r>
        <w:rPr>
          <w:spacing w:val="-6"/>
        </w:rPr>
        <w:t> </w:t>
      </w:r>
      <w:r>
        <w:rPr/>
        <w:t>cities</w:t>
      </w:r>
      <w:r>
        <w:rPr>
          <w:spacing w:val="-8"/>
        </w:rPr>
        <w:t> </w:t>
      </w:r>
      <w:r>
        <w:rPr/>
        <w:t>of</w:t>
      </w:r>
      <w:r>
        <w:rPr>
          <w:spacing w:val="-2"/>
        </w:rPr>
        <w:t> </w:t>
      </w:r>
      <w:r>
        <w:rPr/>
        <w:t>Italy</w:t>
      </w:r>
      <w:r>
        <w:rPr>
          <w:spacing w:val="-10"/>
        </w:rPr>
        <w:t> </w:t>
      </w:r>
      <w:r>
        <w:rPr/>
        <w:t>since</w:t>
      </w:r>
      <w:r>
        <w:rPr>
          <w:spacing w:val="-6"/>
        </w:rPr>
        <w:t> </w:t>
      </w:r>
      <w:r>
        <w:rPr/>
        <w:t>2008</w:t>
      </w:r>
      <w:r>
        <w:rPr>
          <w:spacing w:val="-5"/>
        </w:rPr>
        <w:t> </w:t>
      </w:r>
      <w:r>
        <w:rPr/>
        <w:t>in</w:t>
      </w:r>
      <w:r>
        <w:rPr>
          <w:spacing w:val="-7"/>
        </w:rPr>
        <w:t> </w:t>
      </w:r>
      <w:r>
        <w:rPr/>
        <w:t>economic</w:t>
      </w:r>
      <w:r>
        <w:rPr>
          <w:spacing w:val="-8"/>
        </w:rPr>
        <w:t> </w:t>
      </w:r>
      <w:r>
        <w:rPr/>
        <w:t>recession</w:t>
      </w:r>
      <w:r>
        <w:rPr>
          <w:spacing w:val="-7"/>
        </w:rPr>
        <w:t> </w:t>
      </w:r>
      <w:r>
        <w:rPr/>
        <w:t>period.</w:t>
      </w:r>
      <w:r>
        <w:rPr>
          <w:spacing w:val="-7"/>
        </w:rPr>
        <w:t> </w:t>
      </w:r>
      <w:r>
        <w:rPr/>
        <w:t>Market polarization index was built and related with socio-economic factors and urban density, as factors that determines urban development of Southern European countries. Their findings revealed that there is increase in social polarization since 2008, the begining of crisis on economic and sovereign debt which correlated negatively</w:t>
      </w:r>
      <w:r>
        <w:rPr>
          <w:spacing w:val="-1"/>
        </w:rPr>
        <w:t> </w:t>
      </w:r>
      <w:r>
        <w:rPr/>
        <w:t>with housing market patterns in the cities with more population densities than in those with sprawl development. Multivariate regression on price of housing dissimilarities from 2008, in addition</w:t>
      </w:r>
      <w:r>
        <w:rPr>
          <w:spacing w:val="-10"/>
        </w:rPr>
        <w:t> </w:t>
      </w:r>
      <w:r>
        <w:rPr/>
        <w:t>to</w:t>
      </w:r>
      <w:r>
        <w:rPr>
          <w:spacing w:val="-10"/>
        </w:rPr>
        <w:t> </w:t>
      </w:r>
      <w:r>
        <w:rPr/>
        <w:t>economic</w:t>
      </w:r>
      <w:r>
        <w:rPr>
          <w:spacing w:val="-12"/>
        </w:rPr>
        <w:t> </w:t>
      </w:r>
      <w:r>
        <w:rPr/>
        <w:t>variables</w:t>
      </w:r>
      <w:r>
        <w:rPr>
          <w:spacing w:val="-10"/>
        </w:rPr>
        <w:t> </w:t>
      </w:r>
      <w:r>
        <w:rPr/>
        <w:t>dataset</w:t>
      </w:r>
      <w:r>
        <w:rPr>
          <w:spacing w:val="-10"/>
        </w:rPr>
        <w:t> </w:t>
      </w:r>
      <w:r>
        <w:rPr/>
        <w:t>of</w:t>
      </w:r>
      <w:r>
        <w:rPr>
          <w:spacing w:val="-11"/>
        </w:rPr>
        <w:t> </w:t>
      </w:r>
      <w:r>
        <w:rPr/>
        <w:t>112</w:t>
      </w:r>
      <w:r>
        <w:rPr>
          <w:spacing w:val="-6"/>
        </w:rPr>
        <w:t> </w:t>
      </w:r>
      <w:r>
        <w:rPr/>
        <w:t>Italian</w:t>
      </w:r>
      <w:r>
        <w:rPr>
          <w:spacing w:val="-11"/>
        </w:rPr>
        <w:t> </w:t>
      </w:r>
      <w:r>
        <w:rPr/>
        <w:t>provincial</w:t>
      </w:r>
      <w:r>
        <w:rPr>
          <w:spacing w:val="-11"/>
        </w:rPr>
        <w:t> </w:t>
      </w:r>
      <w:r>
        <w:rPr/>
        <w:t>capital</w:t>
      </w:r>
      <w:r>
        <w:rPr>
          <w:spacing w:val="-10"/>
        </w:rPr>
        <w:t> </w:t>
      </w:r>
      <w:r>
        <w:rPr/>
        <w:t>cities,</w:t>
      </w:r>
      <w:r>
        <w:rPr>
          <w:spacing w:val="-11"/>
        </w:rPr>
        <w:t> </w:t>
      </w:r>
      <w:r>
        <w:rPr/>
        <w:t>was</w:t>
      </w:r>
      <w:r>
        <w:rPr>
          <w:spacing w:val="-10"/>
        </w:rPr>
        <w:t> </w:t>
      </w:r>
      <w:r>
        <w:rPr/>
        <w:t>applied test</w:t>
      </w:r>
      <w:r>
        <w:rPr>
          <w:spacing w:val="-15"/>
        </w:rPr>
        <w:t> </w:t>
      </w:r>
      <w:r>
        <w:rPr/>
        <w:t>the</w:t>
      </w:r>
      <w:r>
        <w:rPr>
          <w:spacing w:val="-15"/>
        </w:rPr>
        <w:t> </w:t>
      </w:r>
      <w:r>
        <w:rPr/>
        <w:t>hypothesis,</w:t>
      </w:r>
      <w:r>
        <w:rPr>
          <w:spacing w:val="-15"/>
        </w:rPr>
        <w:t> </w:t>
      </w:r>
      <w:r>
        <w:rPr/>
        <w:t>and</w:t>
      </w:r>
      <w:r>
        <w:rPr>
          <w:spacing w:val="-15"/>
        </w:rPr>
        <w:t> </w:t>
      </w:r>
      <w:r>
        <w:rPr/>
        <w:t>the</w:t>
      </w:r>
      <w:r>
        <w:rPr>
          <w:spacing w:val="-15"/>
        </w:rPr>
        <w:t> </w:t>
      </w:r>
      <w:r>
        <w:rPr/>
        <w:t>findings</w:t>
      </w:r>
      <w:r>
        <w:rPr>
          <w:spacing w:val="-15"/>
        </w:rPr>
        <w:t> </w:t>
      </w:r>
      <w:r>
        <w:rPr/>
        <w:t>established</w:t>
      </w:r>
      <w:r>
        <w:rPr>
          <w:spacing w:val="-15"/>
        </w:rPr>
        <w:t> </w:t>
      </w:r>
      <w:r>
        <w:rPr/>
        <w:t>that</w:t>
      </w:r>
      <w:r>
        <w:rPr>
          <w:spacing w:val="-15"/>
        </w:rPr>
        <w:t> </w:t>
      </w:r>
      <w:r>
        <w:rPr/>
        <w:t>there</w:t>
      </w:r>
      <w:r>
        <w:rPr>
          <w:spacing w:val="-15"/>
        </w:rPr>
        <w:t> </w:t>
      </w:r>
      <w:r>
        <w:rPr/>
        <w:t>is</w:t>
      </w:r>
      <w:r>
        <w:rPr>
          <w:spacing w:val="-15"/>
        </w:rPr>
        <w:t> </w:t>
      </w:r>
      <w:r>
        <w:rPr/>
        <w:t>an</w:t>
      </w:r>
      <w:r>
        <w:rPr>
          <w:spacing w:val="-15"/>
        </w:rPr>
        <w:t> </w:t>
      </w:r>
      <w:r>
        <w:rPr/>
        <w:t>increase</w:t>
      </w:r>
      <w:r>
        <w:rPr>
          <w:spacing w:val="-15"/>
        </w:rPr>
        <w:t> </w:t>
      </w:r>
      <w:r>
        <w:rPr/>
        <w:t>in</w:t>
      </w:r>
      <w:r>
        <w:rPr>
          <w:spacing w:val="-15"/>
        </w:rPr>
        <w:t> </w:t>
      </w:r>
      <w:r>
        <w:rPr/>
        <w:t>the</w:t>
      </w:r>
      <w:r>
        <w:rPr>
          <w:spacing w:val="-15"/>
        </w:rPr>
        <w:t> </w:t>
      </w:r>
      <w:r>
        <w:rPr/>
        <w:t>polarization of</w:t>
      </w:r>
      <w:r>
        <w:rPr>
          <w:spacing w:val="-12"/>
        </w:rPr>
        <w:t> </w:t>
      </w:r>
      <w:r>
        <w:rPr/>
        <w:t>the</w:t>
      </w:r>
      <w:r>
        <w:rPr>
          <w:spacing w:val="-10"/>
        </w:rPr>
        <w:t> </w:t>
      </w:r>
      <w:r>
        <w:rPr/>
        <w:t>housing</w:t>
      </w:r>
      <w:r>
        <w:rPr>
          <w:spacing w:val="-12"/>
        </w:rPr>
        <w:t> </w:t>
      </w:r>
      <w:r>
        <w:rPr/>
        <w:t>market</w:t>
      </w:r>
      <w:r>
        <w:rPr>
          <w:spacing w:val="-8"/>
        </w:rPr>
        <w:t> </w:t>
      </w:r>
      <w:r>
        <w:rPr/>
        <w:t>ever</w:t>
      </w:r>
      <w:r>
        <w:rPr>
          <w:spacing w:val="-10"/>
        </w:rPr>
        <w:t> </w:t>
      </w:r>
      <w:r>
        <w:rPr/>
        <w:t>since</w:t>
      </w:r>
      <w:r>
        <w:rPr>
          <w:spacing w:val="-11"/>
        </w:rPr>
        <w:t> </w:t>
      </w:r>
      <w:r>
        <w:rPr/>
        <w:t>2008</w:t>
      </w:r>
      <w:r>
        <w:rPr>
          <w:spacing w:val="-10"/>
        </w:rPr>
        <w:t> </w:t>
      </w:r>
      <w:r>
        <w:rPr/>
        <w:t>and</w:t>
      </w:r>
      <w:r>
        <w:rPr>
          <w:spacing w:val="-9"/>
        </w:rPr>
        <w:t> </w:t>
      </w:r>
      <w:r>
        <w:rPr/>
        <w:t>correlated</w:t>
      </w:r>
      <w:r>
        <w:rPr>
          <w:spacing w:val="-9"/>
        </w:rPr>
        <w:t> </w:t>
      </w:r>
      <w:r>
        <w:rPr/>
        <w:t>statistically</w:t>
      </w:r>
      <w:r>
        <w:rPr>
          <w:spacing w:val="-15"/>
        </w:rPr>
        <w:t> </w:t>
      </w:r>
      <w:r>
        <w:rPr/>
        <w:t>significantly</w:t>
      </w:r>
      <w:r>
        <w:rPr>
          <w:spacing w:val="-12"/>
        </w:rPr>
        <w:t> </w:t>
      </w:r>
      <w:r>
        <w:rPr/>
        <w:t>with</w:t>
      </w:r>
      <w:r>
        <w:rPr>
          <w:spacing w:val="-9"/>
        </w:rPr>
        <w:t> </w:t>
      </w:r>
      <w:r>
        <w:rPr/>
        <w:t>urban density, housing affordability, and socio-economic characteristics. Evidence from the empirical study also proves the close association amongst price patterns, urban density, and the urban populations socio–economic structure.</w:t>
      </w:r>
    </w:p>
    <w:p>
      <w:pPr>
        <w:pStyle w:val="BodyText"/>
        <w:spacing w:line="552" w:lineRule="exact" w:before="22"/>
        <w:ind w:left="305" w:right="513"/>
      </w:pPr>
      <w:r>
        <w:rPr/>
        <w:t>There are other authors who considered some other approaches to housing market analysis.</w:t>
      </w:r>
      <w:r>
        <w:rPr>
          <w:spacing w:val="46"/>
        </w:rPr>
        <w:t> </w:t>
      </w:r>
      <w:r>
        <w:rPr/>
        <w:t>Findings</w:t>
      </w:r>
      <w:r>
        <w:rPr>
          <w:spacing w:val="43"/>
        </w:rPr>
        <w:t> </w:t>
      </w:r>
      <w:r>
        <w:rPr/>
        <w:t>from</w:t>
      </w:r>
      <w:r>
        <w:rPr>
          <w:spacing w:val="47"/>
        </w:rPr>
        <w:t> </w:t>
      </w:r>
      <w:r>
        <w:rPr/>
        <w:t>the</w:t>
      </w:r>
      <w:r>
        <w:rPr>
          <w:spacing w:val="45"/>
        </w:rPr>
        <w:t> </w:t>
      </w:r>
      <w:r>
        <w:rPr/>
        <w:t>review</w:t>
      </w:r>
      <w:r>
        <w:rPr>
          <w:spacing w:val="42"/>
        </w:rPr>
        <w:t> </w:t>
      </w:r>
      <w:r>
        <w:rPr/>
        <w:t>of</w:t>
      </w:r>
      <w:r>
        <w:rPr>
          <w:spacing w:val="46"/>
        </w:rPr>
        <w:t> </w:t>
      </w:r>
      <w:r>
        <w:rPr/>
        <w:t>empirical</w:t>
      </w:r>
      <w:r>
        <w:rPr>
          <w:spacing w:val="43"/>
        </w:rPr>
        <w:t> </w:t>
      </w:r>
      <w:r>
        <w:rPr/>
        <w:t>studies</w:t>
      </w:r>
      <w:r>
        <w:rPr>
          <w:spacing w:val="43"/>
        </w:rPr>
        <w:t> </w:t>
      </w:r>
      <w:r>
        <w:rPr/>
        <w:t>reveals</w:t>
      </w:r>
      <w:r>
        <w:rPr>
          <w:spacing w:val="45"/>
        </w:rPr>
        <w:t> </w:t>
      </w:r>
      <w:r>
        <w:rPr/>
        <w:t>that</w:t>
      </w:r>
      <w:r>
        <w:rPr>
          <w:spacing w:val="43"/>
        </w:rPr>
        <w:t> </w:t>
      </w:r>
      <w:r>
        <w:rPr/>
        <w:t>determinants</w:t>
      </w:r>
      <w:r>
        <w:rPr>
          <w:spacing w:val="45"/>
        </w:rPr>
        <w:t> </w:t>
      </w:r>
      <w:r>
        <w:rPr>
          <w:spacing w:val="-5"/>
        </w:rPr>
        <w:t>of</w:t>
      </w:r>
    </w:p>
    <w:p>
      <w:pPr>
        <w:spacing w:after="0" w:line="552" w:lineRule="exact"/>
        <w:sectPr>
          <w:pgSz w:w="11910" w:h="16840"/>
          <w:pgMar w:header="0" w:footer="1022" w:top="1320" w:bottom="1220" w:left="1680" w:right="900"/>
        </w:sectPr>
      </w:pPr>
    </w:p>
    <w:p>
      <w:pPr>
        <w:pStyle w:val="BodyText"/>
        <w:spacing w:line="480" w:lineRule="auto" w:before="72"/>
        <w:ind w:left="305" w:right="519"/>
      </w:pPr>
      <w:r>
        <w:rPr/>
        <w:t>housing</w:t>
      </w:r>
      <w:r>
        <w:rPr>
          <w:spacing w:val="-15"/>
        </w:rPr>
        <w:t> </w:t>
      </w:r>
      <w:r>
        <w:rPr/>
        <w:t>prices</w:t>
      </w:r>
      <w:r>
        <w:rPr>
          <w:spacing w:val="-15"/>
        </w:rPr>
        <w:t> </w:t>
      </w:r>
      <w:r>
        <w:rPr/>
        <w:t>are</w:t>
      </w:r>
      <w:r>
        <w:rPr>
          <w:spacing w:val="-15"/>
        </w:rPr>
        <w:t> </w:t>
      </w:r>
      <w:r>
        <w:rPr/>
        <w:t>based</w:t>
      </w:r>
      <w:r>
        <w:rPr>
          <w:spacing w:val="-15"/>
        </w:rPr>
        <w:t> </w:t>
      </w:r>
      <w:r>
        <w:rPr/>
        <w:t>on</w:t>
      </w:r>
      <w:r>
        <w:rPr>
          <w:spacing w:val="-15"/>
        </w:rPr>
        <w:t> </w:t>
      </w:r>
      <w:r>
        <w:rPr/>
        <w:t>structural</w:t>
      </w:r>
      <w:r>
        <w:rPr>
          <w:spacing w:val="-15"/>
        </w:rPr>
        <w:t> </w:t>
      </w:r>
      <w:r>
        <w:rPr/>
        <w:t>attributes,</w:t>
      </w:r>
      <w:r>
        <w:rPr>
          <w:spacing w:val="-15"/>
        </w:rPr>
        <w:t> </w:t>
      </w:r>
      <w:r>
        <w:rPr/>
        <w:t>environmental/neighbourhood</w:t>
      </w:r>
      <w:r>
        <w:rPr>
          <w:spacing w:val="-15"/>
        </w:rPr>
        <w:t> </w:t>
      </w:r>
      <w:r>
        <w:rPr/>
        <w:t>attributes, location, socioeconomic characteristics, urban form, national economy or policy.</w:t>
      </w:r>
    </w:p>
    <w:p>
      <w:pPr>
        <w:pStyle w:val="Heading1"/>
        <w:numPr>
          <w:ilvl w:val="3"/>
          <w:numId w:val="5"/>
        </w:numPr>
        <w:tabs>
          <w:tab w:pos="1024" w:val="left" w:leader="none"/>
        </w:tabs>
        <w:spacing w:line="240" w:lineRule="auto" w:before="247" w:after="0"/>
        <w:ind w:left="1024" w:right="0" w:hanging="719"/>
        <w:jc w:val="left"/>
      </w:pPr>
      <w:r>
        <w:rPr/>
        <w:t>Structural</w:t>
      </w:r>
      <w:r>
        <w:rPr>
          <w:spacing w:val="-2"/>
        </w:rPr>
        <w:t> </w:t>
      </w:r>
      <w:r>
        <w:rPr/>
        <w:t>attributes</w:t>
      </w:r>
      <w:r>
        <w:rPr>
          <w:spacing w:val="-2"/>
        </w:rPr>
        <w:t> </w:t>
      </w:r>
      <w:r>
        <w:rPr/>
        <w:t>as</w:t>
      </w:r>
      <w:r>
        <w:rPr>
          <w:spacing w:val="-1"/>
        </w:rPr>
        <w:t> </w:t>
      </w:r>
      <w:r>
        <w:rPr/>
        <w:t>determinants</w:t>
      </w:r>
      <w:r>
        <w:rPr>
          <w:spacing w:val="-2"/>
        </w:rPr>
        <w:t> </w:t>
      </w:r>
      <w:r>
        <w:rPr/>
        <w:t>of</w:t>
      </w:r>
      <w:r>
        <w:rPr>
          <w:spacing w:val="-1"/>
        </w:rPr>
        <w:t> </w:t>
      </w:r>
      <w:r>
        <w:rPr/>
        <w:t>housing</w:t>
      </w:r>
      <w:r>
        <w:rPr>
          <w:spacing w:val="-2"/>
        </w:rPr>
        <w:t> prices</w:t>
      </w:r>
    </w:p>
    <w:p>
      <w:pPr>
        <w:pStyle w:val="BodyText"/>
        <w:spacing w:before="233"/>
        <w:jc w:val="left"/>
        <w:rPr>
          <w:b/>
        </w:rPr>
      </w:pPr>
    </w:p>
    <w:p>
      <w:pPr>
        <w:pStyle w:val="BodyText"/>
        <w:spacing w:line="480" w:lineRule="auto"/>
        <w:ind w:left="305" w:right="512"/>
      </w:pPr>
      <w:r>
        <w:rPr/>
        <w:t>Numerous researches have been carried out on the relationship between structural attributes</w:t>
      </w:r>
      <w:r>
        <w:rPr>
          <w:spacing w:val="-1"/>
        </w:rPr>
        <w:t> </w:t>
      </w:r>
      <w:r>
        <w:rPr/>
        <w:t>and</w:t>
      </w:r>
      <w:r>
        <w:rPr>
          <w:spacing w:val="-1"/>
        </w:rPr>
        <w:t> </w:t>
      </w:r>
      <w:r>
        <w:rPr/>
        <w:t>housing</w:t>
      </w:r>
      <w:r>
        <w:rPr>
          <w:spacing w:val="-4"/>
        </w:rPr>
        <w:t> </w:t>
      </w:r>
      <w:r>
        <w:rPr/>
        <w:t>price.</w:t>
      </w:r>
      <w:r>
        <w:rPr>
          <w:spacing w:val="-1"/>
        </w:rPr>
        <w:t> </w:t>
      </w:r>
      <w:r>
        <w:rPr/>
        <w:t>For</w:t>
      </w:r>
      <w:r>
        <w:rPr>
          <w:spacing w:val="-2"/>
        </w:rPr>
        <w:t> </w:t>
      </w:r>
      <w:r>
        <w:rPr/>
        <w:t>instance</w:t>
      </w:r>
      <w:r>
        <w:rPr>
          <w:spacing w:val="-2"/>
        </w:rPr>
        <w:t> </w:t>
      </w:r>
      <w:r>
        <w:rPr/>
        <w:t>Archer </w:t>
      </w:r>
      <w:r>
        <w:rPr>
          <w:i/>
        </w:rPr>
        <w:t>et</w:t>
      </w:r>
      <w:r>
        <w:rPr>
          <w:i/>
          <w:spacing w:val="-1"/>
        </w:rPr>
        <w:t> </w:t>
      </w:r>
      <w:r>
        <w:rPr>
          <w:i/>
        </w:rPr>
        <w:t>al</w:t>
      </w:r>
      <w:r>
        <w:rPr/>
        <w:t>.</w:t>
      </w:r>
      <w:r>
        <w:rPr>
          <w:spacing w:val="-1"/>
        </w:rPr>
        <w:t> </w:t>
      </w:r>
      <w:r>
        <w:rPr/>
        <w:t>(2010)</w:t>
      </w:r>
      <w:r>
        <w:rPr>
          <w:spacing w:val="-2"/>
        </w:rPr>
        <w:t> </w:t>
      </w:r>
      <w:r>
        <w:rPr/>
        <w:t>examined</w:t>
      </w:r>
      <w:r>
        <w:rPr>
          <w:spacing w:val="-2"/>
        </w:rPr>
        <w:t> </w:t>
      </w:r>
      <w:r>
        <w:rPr/>
        <w:t>the</w:t>
      </w:r>
      <w:r>
        <w:rPr>
          <w:spacing w:val="-2"/>
        </w:rPr>
        <w:t> </w:t>
      </w:r>
      <w:r>
        <w:rPr/>
        <w:t>influence</w:t>
      </w:r>
      <w:r>
        <w:rPr>
          <w:spacing w:val="-2"/>
        </w:rPr>
        <w:t> </w:t>
      </w:r>
      <w:r>
        <w:rPr/>
        <w:t>of structural</w:t>
      </w:r>
      <w:r>
        <w:rPr>
          <w:spacing w:val="-4"/>
        </w:rPr>
        <w:t> </w:t>
      </w:r>
      <w:r>
        <w:rPr/>
        <w:t>attributes</w:t>
      </w:r>
      <w:r>
        <w:rPr>
          <w:spacing w:val="-5"/>
        </w:rPr>
        <w:t> </w:t>
      </w:r>
      <w:r>
        <w:rPr/>
        <w:t>on</w:t>
      </w:r>
      <w:r>
        <w:rPr>
          <w:spacing w:val="-5"/>
        </w:rPr>
        <w:t> </w:t>
      </w:r>
      <w:r>
        <w:rPr/>
        <w:t>housing</w:t>
      </w:r>
      <w:r>
        <w:rPr>
          <w:spacing w:val="-7"/>
        </w:rPr>
        <w:t> </w:t>
      </w:r>
      <w:r>
        <w:rPr/>
        <w:t>price</w:t>
      </w:r>
      <w:r>
        <w:rPr>
          <w:spacing w:val="-6"/>
        </w:rPr>
        <w:t> </w:t>
      </w:r>
      <w:r>
        <w:rPr/>
        <w:t>using</w:t>
      </w:r>
      <w:r>
        <w:rPr>
          <w:spacing w:val="-7"/>
        </w:rPr>
        <w:t> </w:t>
      </w:r>
      <w:r>
        <w:rPr/>
        <w:t>spatial</w:t>
      </w:r>
      <w:r>
        <w:rPr>
          <w:spacing w:val="-2"/>
        </w:rPr>
        <w:t> </w:t>
      </w:r>
      <w:r>
        <w:rPr/>
        <w:t>variation</w:t>
      </w:r>
      <w:r>
        <w:rPr>
          <w:spacing w:val="-4"/>
        </w:rPr>
        <w:t> </w:t>
      </w:r>
      <w:r>
        <w:rPr/>
        <w:t>method.</w:t>
      </w:r>
      <w:r>
        <w:rPr>
          <w:spacing w:val="-5"/>
        </w:rPr>
        <w:t> </w:t>
      </w:r>
      <w:r>
        <w:rPr/>
        <w:t>The</w:t>
      </w:r>
      <w:r>
        <w:rPr>
          <w:spacing w:val="-6"/>
        </w:rPr>
        <w:t> </w:t>
      </w:r>
      <w:r>
        <w:rPr/>
        <w:t>study</w:t>
      </w:r>
      <w:r>
        <w:rPr>
          <w:spacing w:val="-10"/>
        </w:rPr>
        <w:t> </w:t>
      </w:r>
      <w:r>
        <w:rPr/>
        <w:t>found</w:t>
      </w:r>
      <w:r>
        <w:rPr>
          <w:spacing w:val="-6"/>
        </w:rPr>
        <w:t> </w:t>
      </w:r>
      <w:r>
        <w:rPr/>
        <w:t>out that</w:t>
      </w:r>
      <w:r>
        <w:rPr>
          <w:spacing w:val="-14"/>
        </w:rPr>
        <w:t> </w:t>
      </w:r>
      <w:r>
        <w:rPr/>
        <w:t>housing</w:t>
      </w:r>
      <w:r>
        <w:rPr>
          <w:spacing w:val="-14"/>
        </w:rPr>
        <w:t> </w:t>
      </w:r>
      <w:r>
        <w:rPr/>
        <w:t>segementation</w:t>
      </w:r>
      <w:r>
        <w:rPr>
          <w:spacing w:val="-12"/>
        </w:rPr>
        <w:t> </w:t>
      </w:r>
      <w:r>
        <w:rPr/>
        <w:t>is</w:t>
      </w:r>
      <w:r>
        <w:rPr>
          <w:spacing w:val="-11"/>
        </w:rPr>
        <w:t> </w:t>
      </w:r>
      <w:r>
        <w:rPr/>
        <w:t>most</w:t>
      </w:r>
      <w:r>
        <w:rPr>
          <w:spacing w:val="-11"/>
        </w:rPr>
        <w:t> </w:t>
      </w:r>
      <w:r>
        <w:rPr/>
        <w:t>significantly</w:t>
      </w:r>
      <w:r>
        <w:rPr>
          <w:spacing w:val="-14"/>
        </w:rPr>
        <w:t> </w:t>
      </w:r>
      <w:r>
        <w:rPr/>
        <w:t>explained</w:t>
      </w:r>
      <w:r>
        <w:rPr>
          <w:spacing w:val="-12"/>
        </w:rPr>
        <w:t> </w:t>
      </w:r>
      <w:r>
        <w:rPr/>
        <w:t>by</w:t>
      </w:r>
      <w:r>
        <w:rPr>
          <w:spacing w:val="-15"/>
        </w:rPr>
        <w:t> </w:t>
      </w:r>
      <w:r>
        <w:rPr/>
        <w:t>the</w:t>
      </w:r>
      <w:r>
        <w:rPr>
          <w:spacing w:val="-6"/>
        </w:rPr>
        <w:t> </w:t>
      </w:r>
      <w:r>
        <w:rPr/>
        <w:t>housing</w:t>
      </w:r>
      <w:r>
        <w:rPr>
          <w:spacing w:val="-12"/>
        </w:rPr>
        <w:t> </w:t>
      </w:r>
      <w:r>
        <w:rPr/>
        <w:t>characteristics. Another study by Ajayi </w:t>
      </w:r>
      <w:r>
        <w:rPr>
          <w:i/>
        </w:rPr>
        <w:t>et al</w:t>
      </w:r>
      <w:r>
        <w:rPr/>
        <w:t>. (2015) assesses housing condition and rental value relationships. The study adopted spatial approach where it found out that building condition</w:t>
      </w:r>
      <w:r>
        <w:rPr>
          <w:spacing w:val="-15"/>
        </w:rPr>
        <w:t> </w:t>
      </w:r>
      <w:r>
        <w:rPr/>
        <w:t>has</w:t>
      </w:r>
      <w:r>
        <w:rPr>
          <w:spacing w:val="-15"/>
        </w:rPr>
        <w:t> </w:t>
      </w:r>
      <w:r>
        <w:rPr/>
        <w:t>weak</w:t>
      </w:r>
      <w:r>
        <w:rPr>
          <w:spacing w:val="-15"/>
        </w:rPr>
        <w:t> </w:t>
      </w:r>
      <w:r>
        <w:rPr/>
        <w:t>relationship</w:t>
      </w:r>
      <w:r>
        <w:rPr>
          <w:spacing w:val="-15"/>
        </w:rPr>
        <w:t> </w:t>
      </w:r>
      <w:r>
        <w:rPr/>
        <w:t>with</w:t>
      </w:r>
      <w:r>
        <w:rPr>
          <w:spacing w:val="-15"/>
        </w:rPr>
        <w:t> </w:t>
      </w:r>
      <w:r>
        <w:rPr/>
        <w:t>rental</w:t>
      </w:r>
      <w:r>
        <w:rPr>
          <w:spacing w:val="-15"/>
        </w:rPr>
        <w:t> </w:t>
      </w:r>
      <w:r>
        <w:rPr/>
        <w:t>values.</w:t>
      </w:r>
      <w:r>
        <w:rPr>
          <w:spacing w:val="-15"/>
        </w:rPr>
        <w:t> </w:t>
      </w:r>
      <w:r>
        <w:rPr/>
        <w:t>Gulyani</w:t>
      </w:r>
      <w:r>
        <w:rPr>
          <w:spacing w:val="-15"/>
        </w:rPr>
        <w:t> </w:t>
      </w:r>
      <w:r>
        <w:rPr>
          <w:i/>
        </w:rPr>
        <w:t>et</w:t>
      </w:r>
      <w:r>
        <w:rPr>
          <w:i/>
          <w:spacing w:val="-15"/>
        </w:rPr>
        <w:t> </w:t>
      </w:r>
      <w:r>
        <w:rPr>
          <w:i/>
        </w:rPr>
        <w:t>al</w:t>
      </w:r>
      <w:r>
        <w:rPr/>
        <w:t>.</w:t>
      </w:r>
      <w:r>
        <w:rPr>
          <w:spacing w:val="-15"/>
        </w:rPr>
        <w:t> </w:t>
      </w:r>
      <w:r>
        <w:rPr/>
        <w:t>(2018)</w:t>
      </w:r>
      <w:r>
        <w:rPr>
          <w:spacing w:val="-15"/>
        </w:rPr>
        <w:t> </w:t>
      </w:r>
      <w:r>
        <w:rPr/>
        <w:t>studied</w:t>
      </w:r>
      <w:r>
        <w:rPr>
          <w:spacing w:val="-15"/>
        </w:rPr>
        <w:t> </w:t>
      </w:r>
      <w:r>
        <w:rPr/>
        <w:t>the</w:t>
      </w:r>
      <w:r>
        <w:rPr>
          <w:spacing w:val="-15"/>
        </w:rPr>
        <w:t> </w:t>
      </w:r>
      <w:r>
        <w:rPr/>
        <w:t>nexus between living conditions and housing value. The study adopted hedonic model in analysing its data. It found out that relative value of housing features with electricity, kitchen</w:t>
      </w:r>
      <w:r>
        <w:rPr>
          <w:spacing w:val="-10"/>
        </w:rPr>
        <w:t> </w:t>
      </w:r>
      <w:r>
        <w:rPr/>
        <w:t>and</w:t>
      </w:r>
      <w:r>
        <w:rPr>
          <w:spacing w:val="-8"/>
        </w:rPr>
        <w:t> </w:t>
      </w:r>
      <w:r>
        <w:rPr/>
        <w:t>number</w:t>
      </w:r>
      <w:r>
        <w:rPr>
          <w:spacing w:val="-11"/>
        </w:rPr>
        <w:t> </w:t>
      </w:r>
      <w:r>
        <w:rPr/>
        <w:t>of</w:t>
      </w:r>
      <w:r>
        <w:rPr>
          <w:spacing w:val="-10"/>
        </w:rPr>
        <w:t> </w:t>
      </w:r>
      <w:r>
        <w:rPr/>
        <w:t>rooms</w:t>
      </w:r>
      <w:r>
        <w:rPr>
          <w:spacing w:val="-9"/>
        </w:rPr>
        <w:t> </w:t>
      </w:r>
      <w:r>
        <w:rPr/>
        <w:t>emerging</w:t>
      </w:r>
      <w:r>
        <w:rPr>
          <w:spacing w:val="-10"/>
        </w:rPr>
        <w:t> </w:t>
      </w:r>
      <w:r>
        <w:rPr/>
        <w:t>as</w:t>
      </w:r>
      <w:r>
        <w:rPr>
          <w:spacing w:val="-9"/>
        </w:rPr>
        <w:t> </w:t>
      </w:r>
      <w:r>
        <w:rPr/>
        <w:t>important</w:t>
      </w:r>
      <w:r>
        <w:rPr>
          <w:spacing w:val="-9"/>
        </w:rPr>
        <w:t> </w:t>
      </w:r>
      <w:r>
        <w:rPr/>
        <w:t>drivers</w:t>
      </w:r>
      <w:r>
        <w:rPr>
          <w:spacing w:val="-10"/>
        </w:rPr>
        <w:t> </w:t>
      </w:r>
      <w:r>
        <w:rPr/>
        <w:t>of</w:t>
      </w:r>
      <w:r>
        <w:rPr>
          <w:spacing w:val="-10"/>
        </w:rPr>
        <w:t> </w:t>
      </w:r>
      <w:r>
        <w:rPr/>
        <w:t>rent.</w:t>
      </w:r>
      <w:r>
        <w:rPr>
          <w:spacing w:val="-2"/>
        </w:rPr>
        <w:t> </w:t>
      </w:r>
      <w:r>
        <w:rPr/>
        <w:t>It</w:t>
      </w:r>
      <w:r>
        <w:rPr>
          <w:spacing w:val="-7"/>
        </w:rPr>
        <w:t> </w:t>
      </w:r>
      <w:r>
        <w:rPr/>
        <w:t>was</w:t>
      </w:r>
      <w:r>
        <w:rPr>
          <w:spacing w:val="-7"/>
        </w:rPr>
        <w:t> </w:t>
      </w:r>
      <w:r>
        <w:rPr/>
        <w:t>also</w:t>
      </w:r>
      <w:r>
        <w:rPr>
          <w:spacing w:val="-9"/>
        </w:rPr>
        <w:t> </w:t>
      </w:r>
      <w:r>
        <w:rPr/>
        <w:t>found</w:t>
      </w:r>
      <w:r>
        <w:rPr>
          <w:spacing w:val="-10"/>
        </w:rPr>
        <w:t> </w:t>
      </w:r>
      <w:r>
        <w:rPr/>
        <w:t>out by Abdullahi </w:t>
      </w:r>
      <w:r>
        <w:rPr>
          <w:i/>
        </w:rPr>
        <w:t>et al. </w:t>
      </w:r>
      <w:r>
        <w:rPr/>
        <w:t>(2018) who use multiple regression analysis that house type, availability of security post, location of the property, door type and availability of swimming pool significantly determines the housing price. Bolton (2018) also used hedonic model to find out that green-certified houses that are third-party verified will carry a higher price premium than green-certified houses without this verification.</w:t>
      </w:r>
    </w:p>
    <w:p>
      <w:pPr>
        <w:pStyle w:val="BodyText"/>
        <w:spacing w:line="480" w:lineRule="auto" w:before="239"/>
        <w:ind w:left="305" w:right="515"/>
        <w:rPr>
          <w:i/>
        </w:rPr>
      </w:pPr>
      <w:r>
        <w:rPr/>
        <w:t>Iliopoulou &amp; Stratakis (2018) conducted housing prices spatial analysis in the region of Athens of Greece where Geographically</w:t>
      </w:r>
      <w:r>
        <w:rPr>
          <w:spacing w:val="-1"/>
        </w:rPr>
        <w:t> </w:t>
      </w:r>
      <w:r>
        <w:rPr/>
        <w:t>Weighted Regression method was adopted and found out that structural attributes contribute immensely to the housing price determination. Also, in another separate studies by Lu (2018) and Saenko </w:t>
      </w:r>
      <w:r>
        <w:rPr>
          <w:i/>
        </w:rPr>
        <w:t>et al. </w:t>
      </w:r>
      <w:r>
        <w:rPr/>
        <w:t>(2018) considered building orientation (in China) and depreciation (in Russia) to have positive relationship</w:t>
      </w:r>
      <w:r>
        <w:rPr>
          <w:spacing w:val="16"/>
        </w:rPr>
        <w:t> </w:t>
      </w:r>
      <w:r>
        <w:rPr/>
        <w:t>with</w:t>
      </w:r>
      <w:r>
        <w:rPr>
          <w:spacing w:val="18"/>
        </w:rPr>
        <w:t> </w:t>
      </w:r>
      <w:r>
        <w:rPr/>
        <w:t>housing</w:t>
      </w:r>
      <w:r>
        <w:rPr>
          <w:spacing w:val="15"/>
        </w:rPr>
        <w:t> </w:t>
      </w:r>
      <w:r>
        <w:rPr/>
        <w:t>price.</w:t>
      </w:r>
      <w:r>
        <w:rPr>
          <w:spacing w:val="23"/>
        </w:rPr>
        <w:t> </w:t>
      </w:r>
      <w:r>
        <w:rPr/>
        <w:t>Lu</w:t>
      </w:r>
      <w:r>
        <w:rPr>
          <w:spacing w:val="21"/>
        </w:rPr>
        <w:t> </w:t>
      </w:r>
      <w:r>
        <w:rPr/>
        <w:t>(2018)</w:t>
      </w:r>
      <w:r>
        <w:rPr>
          <w:spacing w:val="17"/>
        </w:rPr>
        <w:t> </w:t>
      </w:r>
      <w:r>
        <w:rPr/>
        <w:t>adopted</w:t>
      </w:r>
      <w:r>
        <w:rPr>
          <w:spacing w:val="17"/>
        </w:rPr>
        <w:t> </w:t>
      </w:r>
      <w:r>
        <w:rPr/>
        <w:t>hedonic</w:t>
      </w:r>
      <w:r>
        <w:rPr>
          <w:spacing w:val="20"/>
        </w:rPr>
        <w:t> </w:t>
      </w:r>
      <w:r>
        <w:rPr/>
        <w:t>model</w:t>
      </w:r>
      <w:r>
        <w:rPr>
          <w:spacing w:val="17"/>
        </w:rPr>
        <w:t> </w:t>
      </w:r>
      <w:r>
        <w:rPr/>
        <w:t>while</w:t>
      </w:r>
      <w:r>
        <w:rPr>
          <w:spacing w:val="19"/>
        </w:rPr>
        <w:t> </w:t>
      </w:r>
      <w:r>
        <w:rPr/>
        <w:t>Saenko</w:t>
      </w:r>
      <w:r>
        <w:rPr>
          <w:spacing w:val="21"/>
        </w:rPr>
        <w:t> </w:t>
      </w:r>
      <w:r>
        <w:rPr>
          <w:i/>
        </w:rPr>
        <w:t>et</w:t>
      </w:r>
      <w:r>
        <w:rPr>
          <w:i/>
          <w:spacing w:val="19"/>
        </w:rPr>
        <w:t> </w:t>
      </w:r>
      <w:r>
        <w:rPr>
          <w:i/>
          <w:spacing w:val="-5"/>
        </w:rPr>
        <w:t>al.</w:t>
      </w:r>
    </w:p>
    <w:p>
      <w:pPr>
        <w:spacing w:after="0" w:line="480" w:lineRule="auto"/>
        <w:sectPr>
          <w:pgSz w:w="11910" w:h="16840"/>
          <w:pgMar w:header="0" w:footer="1022" w:top="1320" w:bottom="1220" w:left="1680" w:right="900"/>
        </w:sectPr>
      </w:pPr>
    </w:p>
    <w:p>
      <w:pPr>
        <w:pStyle w:val="BodyText"/>
        <w:spacing w:line="480" w:lineRule="auto" w:before="72"/>
        <w:ind w:left="305" w:right="514"/>
      </w:pPr>
      <w:r>
        <w:rPr/>
        <w:t>(2018) used correlation-regression analysis. Another study from China by Cui </w:t>
      </w:r>
      <w:r>
        <w:rPr>
          <w:i/>
        </w:rPr>
        <w:t>et al. </w:t>
      </w:r>
      <w:r>
        <w:rPr/>
        <w:t>(2018) suggest that houses with large numbers of rooms commands higher rental value using spatial approach, hedonic price model and quantile regression model.</w:t>
      </w:r>
    </w:p>
    <w:p>
      <w:pPr>
        <w:pStyle w:val="Heading1"/>
        <w:numPr>
          <w:ilvl w:val="3"/>
          <w:numId w:val="5"/>
        </w:numPr>
        <w:tabs>
          <w:tab w:pos="1012" w:val="left" w:leader="none"/>
        </w:tabs>
        <w:spacing w:line="240" w:lineRule="auto" w:before="247" w:after="0"/>
        <w:ind w:left="1012" w:right="0" w:hanging="707"/>
        <w:jc w:val="both"/>
      </w:pPr>
      <w:r>
        <w:rPr/>
        <w:t>Environmental/neighbourhood</w:t>
      </w:r>
      <w:r>
        <w:rPr>
          <w:spacing w:val="-3"/>
        </w:rPr>
        <w:t> </w:t>
      </w:r>
      <w:r>
        <w:rPr/>
        <w:t>attributes</w:t>
      </w:r>
      <w:r>
        <w:rPr>
          <w:spacing w:val="-1"/>
        </w:rPr>
        <w:t> </w:t>
      </w:r>
      <w:r>
        <w:rPr/>
        <w:t>as</w:t>
      </w:r>
      <w:r>
        <w:rPr>
          <w:spacing w:val="-2"/>
        </w:rPr>
        <w:t> </w:t>
      </w:r>
      <w:r>
        <w:rPr/>
        <w:t>determinants</w:t>
      </w:r>
      <w:r>
        <w:rPr>
          <w:spacing w:val="-2"/>
        </w:rPr>
        <w:t> </w:t>
      </w:r>
      <w:r>
        <w:rPr/>
        <w:t>of</w:t>
      </w:r>
      <w:r>
        <w:rPr>
          <w:spacing w:val="-1"/>
        </w:rPr>
        <w:t> </w:t>
      </w:r>
      <w:r>
        <w:rPr/>
        <w:t>housing</w:t>
      </w:r>
      <w:r>
        <w:rPr>
          <w:spacing w:val="-5"/>
        </w:rPr>
        <w:t> </w:t>
      </w:r>
      <w:r>
        <w:rPr>
          <w:spacing w:val="-2"/>
        </w:rPr>
        <w:t>prices</w:t>
      </w:r>
    </w:p>
    <w:p>
      <w:pPr>
        <w:pStyle w:val="BodyText"/>
        <w:spacing w:before="233"/>
        <w:jc w:val="left"/>
        <w:rPr>
          <w:b/>
        </w:rPr>
      </w:pPr>
    </w:p>
    <w:p>
      <w:pPr>
        <w:pStyle w:val="BodyText"/>
        <w:spacing w:line="480" w:lineRule="auto"/>
        <w:ind w:left="305" w:right="512"/>
      </w:pPr>
      <w:r>
        <w:rPr/>
        <w:t>The</w:t>
      </w:r>
      <w:r>
        <w:rPr>
          <w:spacing w:val="-15"/>
        </w:rPr>
        <w:t> </w:t>
      </w:r>
      <w:r>
        <w:rPr/>
        <w:t>study</w:t>
      </w:r>
      <w:r>
        <w:rPr>
          <w:spacing w:val="-15"/>
        </w:rPr>
        <w:t> </w:t>
      </w:r>
      <w:r>
        <w:rPr/>
        <w:t>found</w:t>
      </w:r>
      <w:r>
        <w:rPr>
          <w:spacing w:val="-14"/>
        </w:rPr>
        <w:t> </w:t>
      </w:r>
      <w:r>
        <w:rPr/>
        <w:t>out</w:t>
      </w:r>
      <w:r>
        <w:rPr>
          <w:spacing w:val="-13"/>
        </w:rPr>
        <w:t> </w:t>
      </w:r>
      <w:r>
        <w:rPr/>
        <w:t>from</w:t>
      </w:r>
      <w:r>
        <w:rPr>
          <w:spacing w:val="-13"/>
        </w:rPr>
        <w:t> </w:t>
      </w:r>
      <w:r>
        <w:rPr/>
        <w:t>previous</w:t>
      </w:r>
      <w:r>
        <w:rPr>
          <w:spacing w:val="-13"/>
        </w:rPr>
        <w:t> </w:t>
      </w:r>
      <w:r>
        <w:rPr/>
        <w:t>empirical</w:t>
      </w:r>
      <w:r>
        <w:rPr>
          <w:spacing w:val="-13"/>
        </w:rPr>
        <w:t> </w:t>
      </w:r>
      <w:r>
        <w:rPr/>
        <w:t>studies</w:t>
      </w:r>
      <w:r>
        <w:rPr>
          <w:spacing w:val="-13"/>
        </w:rPr>
        <w:t> </w:t>
      </w:r>
      <w:r>
        <w:rPr/>
        <w:t>that</w:t>
      </w:r>
      <w:r>
        <w:rPr>
          <w:spacing w:val="-13"/>
        </w:rPr>
        <w:t> </w:t>
      </w:r>
      <w:r>
        <w:rPr/>
        <w:t>pollution,</w:t>
      </w:r>
      <w:r>
        <w:rPr>
          <w:spacing w:val="-13"/>
        </w:rPr>
        <w:t> </w:t>
      </w:r>
      <w:r>
        <w:rPr/>
        <w:t>gas</w:t>
      </w:r>
      <w:r>
        <w:rPr>
          <w:spacing w:val="-13"/>
        </w:rPr>
        <w:t> </w:t>
      </w:r>
      <w:r>
        <w:rPr/>
        <w:t>risk,</w:t>
      </w:r>
      <w:r>
        <w:rPr>
          <w:spacing w:val="-13"/>
        </w:rPr>
        <w:t> </w:t>
      </w:r>
      <w:r>
        <w:rPr/>
        <w:t>flood</w:t>
      </w:r>
      <w:r>
        <w:rPr>
          <w:spacing w:val="-13"/>
        </w:rPr>
        <w:t> </w:t>
      </w:r>
      <w:r>
        <w:rPr/>
        <w:t>hazard, neighbourhood</w:t>
      </w:r>
      <w:r>
        <w:rPr>
          <w:spacing w:val="-4"/>
        </w:rPr>
        <w:t> </w:t>
      </w:r>
      <w:r>
        <w:rPr/>
        <w:t>facilities,</w:t>
      </w:r>
      <w:r>
        <w:rPr>
          <w:spacing w:val="-3"/>
        </w:rPr>
        <w:t> </w:t>
      </w:r>
      <w:r>
        <w:rPr/>
        <w:t>conflicts,</w:t>
      </w:r>
      <w:r>
        <w:rPr>
          <w:spacing w:val="-3"/>
        </w:rPr>
        <w:t> </w:t>
      </w:r>
      <w:r>
        <w:rPr/>
        <w:t>vices,</w:t>
      </w:r>
      <w:r>
        <w:rPr>
          <w:spacing w:val="-3"/>
        </w:rPr>
        <w:t> </w:t>
      </w:r>
      <w:r>
        <w:rPr/>
        <w:t>crime</w:t>
      </w:r>
      <w:r>
        <w:rPr>
          <w:spacing w:val="-4"/>
        </w:rPr>
        <w:t> </w:t>
      </w:r>
      <w:r>
        <w:rPr/>
        <w:t>among</w:t>
      </w:r>
      <w:r>
        <w:rPr>
          <w:spacing w:val="-5"/>
        </w:rPr>
        <w:t> </w:t>
      </w:r>
      <w:r>
        <w:rPr/>
        <w:t>others</w:t>
      </w:r>
      <w:r>
        <w:rPr>
          <w:spacing w:val="-3"/>
        </w:rPr>
        <w:t> </w:t>
      </w:r>
      <w:r>
        <w:rPr/>
        <w:t>have</w:t>
      </w:r>
      <w:r>
        <w:rPr>
          <w:spacing w:val="-4"/>
        </w:rPr>
        <w:t> </w:t>
      </w:r>
      <w:r>
        <w:rPr/>
        <w:t>negative</w:t>
      </w:r>
      <w:r>
        <w:rPr>
          <w:spacing w:val="-4"/>
        </w:rPr>
        <w:t> </w:t>
      </w:r>
      <w:r>
        <w:rPr/>
        <w:t>relationship with housing price. A study by Yusuf &amp; Resosudarmo (2009) uses hedonic model to establish relationship between air pollutant and housing rental price. Their study found out that in the cases of lead, total hydro carbon (THC), and SO2, air pollutants have a negative association with property value. Bin </w:t>
      </w:r>
      <w:r>
        <w:rPr>
          <w:i/>
        </w:rPr>
        <w:t>et al</w:t>
      </w:r>
      <w:r>
        <w:rPr/>
        <w:t>. (2008), Jung &amp; Yoon (2018) and Razali</w:t>
      </w:r>
      <w:r>
        <w:rPr>
          <w:spacing w:val="-7"/>
        </w:rPr>
        <w:t> </w:t>
      </w:r>
      <w:r>
        <w:rPr>
          <w:i/>
        </w:rPr>
        <w:t>et</w:t>
      </w:r>
      <w:r>
        <w:rPr>
          <w:i/>
          <w:spacing w:val="-8"/>
        </w:rPr>
        <w:t> </w:t>
      </w:r>
      <w:r>
        <w:rPr>
          <w:i/>
        </w:rPr>
        <w:t>al</w:t>
      </w:r>
      <w:r>
        <w:rPr/>
        <w:t>.</w:t>
      </w:r>
      <w:r>
        <w:rPr>
          <w:spacing w:val="-9"/>
        </w:rPr>
        <w:t> </w:t>
      </w:r>
      <w:r>
        <w:rPr/>
        <w:t>(2018)</w:t>
      </w:r>
      <w:r>
        <w:rPr>
          <w:spacing w:val="-9"/>
        </w:rPr>
        <w:t> </w:t>
      </w:r>
      <w:r>
        <w:rPr/>
        <w:t>observed</w:t>
      </w:r>
      <w:r>
        <w:rPr>
          <w:spacing w:val="-9"/>
        </w:rPr>
        <w:t> </w:t>
      </w:r>
      <w:r>
        <w:rPr/>
        <w:t>that</w:t>
      </w:r>
      <w:r>
        <w:rPr>
          <w:spacing w:val="-9"/>
        </w:rPr>
        <w:t> </w:t>
      </w:r>
      <w:r>
        <w:rPr/>
        <w:t>location</w:t>
      </w:r>
      <w:r>
        <w:rPr>
          <w:spacing w:val="-9"/>
        </w:rPr>
        <w:t> </w:t>
      </w:r>
      <w:r>
        <w:rPr/>
        <w:t>within</w:t>
      </w:r>
      <w:r>
        <w:rPr>
          <w:spacing w:val="-8"/>
        </w:rPr>
        <w:t> </w:t>
      </w:r>
      <w:r>
        <w:rPr/>
        <w:t>a</w:t>
      </w:r>
      <w:r>
        <w:rPr>
          <w:spacing w:val="-7"/>
        </w:rPr>
        <w:t> </w:t>
      </w:r>
      <w:r>
        <w:rPr/>
        <w:t>flood</w:t>
      </w:r>
      <w:r>
        <w:rPr>
          <w:spacing w:val="-9"/>
        </w:rPr>
        <w:t> </w:t>
      </w:r>
      <w:r>
        <w:rPr/>
        <w:t>zone</w:t>
      </w:r>
      <w:r>
        <w:rPr>
          <w:spacing w:val="-10"/>
        </w:rPr>
        <w:t> </w:t>
      </w:r>
      <w:r>
        <w:rPr/>
        <w:t>lowers</w:t>
      </w:r>
      <w:r>
        <w:rPr>
          <w:spacing w:val="-9"/>
        </w:rPr>
        <w:t> </w:t>
      </w:r>
      <w:r>
        <w:rPr/>
        <w:t>property</w:t>
      </w:r>
      <w:r>
        <w:rPr>
          <w:spacing w:val="-13"/>
        </w:rPr>
        <w:t> </w:t>
      </w:r>
      <w:r>
        <w:rPr/>
        <w:t>value.</w:t>
      </w:r>
      <w:r>
        <w:rPr>
          <w:spacing w:val="-9"/>
        </w:rPr>
        <w:t> </w:t>
      </w:r>
      <w:r>
        <w:rPr/>
        <w:t>The study</w:t>
      </w:r>
      <w:r>
        <w:rPr>
          <w:spacing w:val="-15"/>
        </w:rPr>
        <w:t> </w:t>
      </w:r>
      <w:r>
        <w:rPr/>
        <w:t>also</w:t>
      </w:r>
      <w:r>
        <w:rPr>
          <w:spacing w:val="-10"/>
        </w:rPr>
        <w:t> </w:t>
      </w:r>
      <w:r>
        <w:rPr/>
        <w:t>employed</w:t>
      </w:r>
      <w:r>
        <w:rPr>
          <w:spacing w:val="-11"/>
        </w:rPr>
        <w:t> </w:t>
      </w:r>
      <w:r>
        <w:rPr/>
        <w:t>hedonic</w:t>
      </w:r>
      <w:r>
        <w:rPr>
          <w:spacing w:val="-11"/>
        </w:rPr>
        <w:t> </w:t>
      </w:r>
      <w:r>
        <w:rPr/>
        <w:t>model.</w:t>
      </w:r>
      <w:r>
        <w:rPr>
          <w:spacing w:val="-11"/>
        </w:rPr>
        <w:t> </w:t>
      </w:r>
      <w:r>
        <w:rPr/>
        <w:t>Muehlenbachs</w:t>
      </w:r>
      <w:r>
        <w:rPr>
          <w:spacing w:val="-8"/>
        </w:rPr>
        <w:t> </w:t>
      </w:r>
      <w:r>
        <w:rPr>
          <w:i/>
        </w:rPr>
        <w:t>et</w:t>
      </w:r>
      <w:r>
        <w:rPr>
          <w:i/>
          <w:spacing w:val="-10"/>
        </w:rPr>
        <w:t> </w:t>
      </w:r>
      <w:r>
        <w:rPr>
          <w:i/>
        </w:rPr>
        <w:t>al</w:t>
      </w:r>
      <w:r>
        <w:rPr/>
        <w:t>.</w:t>
      </w:r>
      <w:r>
        <w:rPr>
          <w:spacing w:val="-10"/>
        </w:rPr>
        <w:t> </w:t>
      </w:r>
      <w:r>
        <w:rPr/>
        <w:t>(2015)</w:t>
      </w:r>
      <w:r>
        <w:rPr>
          <w:spacing w:val="-11"/>
        </w:rPr>
        <w:t> </w:t>
      </w:r>
      <w:r>
        <w:rPr/>
        <w:t>found</w:t>
      </w:r>
      <w:r>
        <w:rPr>
          <w:spacing w:val="-11"/>
        </w:rPr>
        <w:t> </w:t>
      </w:r>
      <w:r>
        <w:rPr/>
        <w:t>out</w:t>
      </w:r>
      <w:r>
        <w:rPr>
          <w:spacing w:val="-13"/>
        </w:rPr>
        <w:t> </w:t>
      </w:r>
      <w:r>
        <w:rPr/>
        <w:t>using</w:t>
      </w:r>
      <w:r>
        <w:rPr>
          <w:spacing w:val="-12"/>
        </w:rPr>
        <w:t> </w:t>
      </w:r>
      <w:r>
        <w:rPr/>
        <w:t>hedonic model</w:t>
      </w:r>
      <w:r>
        <w:rPr>
          <w:spacing w:val="-10"/>
        </w:rPr>
        <w:t> </w:t>
      </w:r>
      <w:r>
        <w:rPr/>
        <w:t>that</w:t>
      </w:r>
      <w:r>
        <w:rPr>
          <w:spacing w:val="-10"/>
        </w:rPr>
        <w:t> </w:t>
      </w:r>
      <w:r>
        <w:rPr/>
        <w:t>Shale</w:t>
      </w:r>
      <w:r>
        <w:rPr>
          <w:spacing w:val="-8"/>
        </w:rPr>
        <w:t> </w:t>
      </w:r>
      <w:r>
        <w:rPr/>
        <w:t>gas</w:t>
      </w:r>
      <w:r>
        <w:rPr>
          <w:spacing w:val="-9"/>
        </w:rPr>
        <w:t> </w:t>
      </w:r>
      <w:r>
        <w:rPr/>
        <w:t>development</w:t>
      </w:r>
      <w:r>
        <w:rPr>
          <w:spacing w:val="-9"/>
        </w:rPr>
        <w:t> </w:t>
      </w:r>
      <w:r>
        <w:rPr/>
        <w:t>has</w:t>
      </w:r>
      <w:r>
        <w:rPr>
          <w:spacing w:val="-9"/>
        </w:rPr>
        <w:t> </w:t>
      </w:r>
      <w:r>
        <w:rPr/>
        <w:t>large</w:t>
      </w:r>
      <w:r>
        <w:rPr>
          <w:spacing w:val="-11"/>
        </w:rPr>
        <w:t> </w:t>
      </w:r>
      <w:r>
        <w:rPr/>
        <w:t>negative</w:t>
      </w:r>
      <w:r>
        <w:rPr>
          <w:spacing w:val="-11"/>
        </w:rPr>
        <w:t> </w:t>
      </w:r>
      <w:r>
        <w:rPr/>
        <w:t>impacts</w:t>
      </w:r>
      <w:r>
        <w:rPr>
          <w:spacing w:val="-9"/>
        </w:rPr>
        <w:t> </w:t>
      </w:r>
      <w:r>
        <w:rPr/>
        <w:t>nearby</w:t>
      </w:r>
      <w:r>
        <w:rPr>
          <w:spacing w:val="-12"/>
        </w:rPr>
        <w:t> </w:t>
      </w:r>
      <w:r>
        <w:rPr/>
        <w:t>ground</w:t>
      </w:r>
      <w:r>
        <w:rPr>
          <w:spacing w:val="-10"/>
        </w:rPr>
        <w:t> </w:t>
      </w:r>
      <w:r>
        <w:rPr/>
        <w:t>water</w:t>
      </w:r>
      <w:r>
        <w:rPr>
          <w:spacing w:val="-9"/>
        </w:rPr>
        <w:t> </w:t>
      </w:r>
      <w:r>
        <w:rPr/>
        <w:t>which has</w:t>
      </w:r>
      <w:r>
        <w:rPr>
          <w:spacing w:val="40"/>
        </w:rPr>
        <w:t> </w:t>
      </w:r>
      <w:r>
        <w:rPr/>
        <w:t>negative effect on the housing value. Aliyu (2012) observed that there exists relationship between intangible location attributes and provision, availability and maintenance</w:t>
      </w:r>
      <w:r>
        <w:rPr>
          <w:spacing w:val="-12"/>
        </w:rPr>
        <w:t> </w:t>
      </w:r>
      <w:r>
        <w:rPr/>
        <w:t>of</w:t>
      </w:r>
      <w:r>
        <w:rPr>
          <w:spacing w:val="-11"/>
        </w:rPr>
        <w:t> </w:t>
      </w:r>
      <w:r>
        <w:rPr/>
        <w:t>neighbourhood</w:t>
      </w:r>
      <w:r>
        <w:rPr>
          <w:spacing w:val="-11"/>
        </w:rPr>
        <w:t> </w:t>
      </w:r>
      <w:r>
        <w:rPr/>
        <w:t>facilities</w:t>
      </w:r>
      <w:r>
        <w:rPr>
          <w:spacing w:val="-11"/>
        </w:rPr>
        <w:t> </w:t>
      </w:r>
      <w:r>
        <w:rPr/>
        <w:t>in</w:t>
      </w:r>
      <w:r>
        <w:rPr>
          <w:spacing w:val="-10"/>
        </w:rPr>
        <w:t> </w:t>
      </w:r>
      <w:r>
        <w:rPr/>
        <w:t>the</w:t>
      </w:r>
      <w:r>
        <w:rPr>
          <w:spacing w:val="-11"/>
        </w:rPr>
        <w:t> </w:t>
      </w:r>
      <w:r>
        <w:rPr/>
        <w:t>study</w:t>
      </w:r>
      <w:r>
        <w:rPr>
          <w:spacing w:val="-15"/>
        </w:rPr>
        <w:t> </w:t>
      </w:r>
      <w:r>
        <w:rPr/>
        <w:t>area</w:t>
      </w:r>
      <w:r>
        <w:rPr>
          <w:spacing w:val="-12"/>
        </w:rPr>
        <w:t> </w:t>
      </w:r>
      <w:r>
        <w:rPr/>
        <w:t>with</w:t>
      </w:r>
      <w:r>
        <w:rPr>
          <w:spacing w:val="-10"/>
        </w:rPr>
        <w:t> </w:t>
      </w:r>
      <w:r>
        <w:rPr/>
        <w:t>the</w:t>
      </w:r>
      <w:r>
        <w:rPr>
          <w:spacing w:val="-11"/>
        </w:rPr>
        <w:t> </w:t>
      </w:r>
      <w:r>
        <w:rPr/>
        <w:t>rental</w:t>
      </w:r>
      <w:r>
        <w:rPr>
          <w:spacing w:val="-11"/>
        </w:rPr>
        <w:t> </w:t>
      </w:r>
      <w:r>
        <w:rPr/>
        <w:t>value.</w:t>
      </w:r>
      <w:r>
        <w:rPr>
          <w:spacing w:val="-11"/>
        </w:rPr>
        <w:t> </w:t>
      </w:r>
      <w:r>
        <w:rPr/>
        <w:t>The</w:t>
      </w:r>
      <w:r>
        <w:rPr>
          <w:spacing w:val="-12"/>
        </w:rPr>
        <w:t> </w:t>
      </w:r>
      <w:r>
        <w:rPr/>
        <w:t>study employed</w:t>
      </w:r>
      <w:r>
        <w:rPr>
          <w:spacing w:val="-15"/>
        </w:rPr>
        <w:t> </w:t>
      </w:r>
      <w:r>
        <w:rPr/>
        <w:t>regression</w:t>
      </w:r>
      <w:r>
        <w:rPr>
          <w:spacing w:val="-15"/>
        </w:rPr>
        <w:t> </w:t>
      </w:r>
      <w:r>
        <w:rPr/>
        <w:t>analysis.</w:t>
      </w:r>
      <w:r>
        <w:rPr>
          <w:spacing w:val="-15"/>
        </w:rPr>
        <w:t> </w:t>
      </w:r>
      <w:r>
        <w:rPr/>
        <w:t>It</w:t>
      </w:r>
      <w:r>
        <w:rPr>
          <w:spacing w:val="-15"/>
        </w:rPr>
        <w:t> </w:t>
      </w:r>
      <w:r>
        <w:rPr/>
        <w:t>was</w:t>
      </w:r>
      <w:r>
        <w:rPr>
          <w:spacing w:val="-15"/>
        </w:rPr>
        <w:t> </w:t>
      </w:r>
      <w:r>
        <w:rPr/>
        <w:t>also</w:t>
      </w:r>
      <w:r>
        <w:rPr>
          <w:spacing w:val="-15"/>
        </w:rPr>
        <w:t> </w:t>
      </w:r>
      <w:r>
        <w:rPr/>
        <w:t>observed</w:t>
      </w:r>
      <w:r>
        <w:rPr>
          <w:spacing w:val="-15"/>
        </w:rPr>
        <w:t> </w:t>
      </w:r>
      <w:r>
        <w:rPr/>
        <w:t>by</w:t>
      </w:r>
      <w:r>
        <w:rPr>
          <w:spacing w:val="-15"/>
        </w:rPr>
        <w:t> </w:t>
      </w:r>
      <w:r>
        <w:rPr/>
        <w:t>Chen</w:t>
      </w:r>
      <w:r>
        <w:rPr>
          <w:spacing w:val="-15"/>
        </w:rPr>
        <w:t> </w:t>
      </w:r>
      <w:r>
        <w:rPr/>
        <w:t>&amp;</w:t>
      </w:r>
      <w:r>
        <w:rPr>
          <w:spacing w:val="-15"/>
        </w:rPr>
        <w:t> </w:t>
      </w:r>
      <w:r>
        <w:rPr/>
        <w:t>Li</w:t>
      </w:r>
      <w:r>
        <w:rPr>
          <w:spacing w:val="-15"/>
        </w:rPr>
        <w:t> </w:t>
      </w:r>
      <w:r>
        <w:rPr/>
        <w:t>(2017)</w:t>
      </w:r>
      <w:r>
        <w:rPr>
          <w:spacing w:val="-15"/>
        </w:rPr>
        <w:t> </w:t>
      </w:r>
      <w:r>
        <w:rPr/>
        <w:t>using</w:t>
      </w:r>
      <w:r>
        <w:rPr>
          <w:spacing w:val="-15"/>
        </w:rPr>
        <w:t> </w:t>
      </w:r>
      <w:r>
        <w:rPr/>
        <w:t>3-D</w:t>
      </w:r>
      <w:r>
        <w:rPr>
          <w:spacing w:val="-15"/>
        </w:rPr>
        <w:t> </w:t>
      </w:r>
      <w:r>
        <w:rPr/>
        <w:t>spatial hedonic model, that homebuyers would like to pay an extra premium for an apartment located farther away from polluted streams.</w:t>
      </w:r>
    </w:p>
    <w:p>
      <w:pPr>
        <w:pStyle w:val="BodyText"/>
        <w:spacing w:line="480" w:lineRule="auto" w:before="240"/>
        <w:ind w:left="305" w:right="514"/>
      </w:pPr>
      <w:r>
        <w:rPr/>
        <w:t>Wu</w:t>
      </w:r>
      <w:r>
        <w:rPr>
          <w:spacing w:val="-6"/>
        </w:rPr>
        <w:t> </w:t>
      </w:r>
      <w:r>
        <w:rPr>
          <w:i/>
        </w:rPr>
        <w:t>et</w:t>
      </w:r>
      <w:r>
        <w:rPr>
          <w:i/>
          <w:spacing w:val="-5"/>
        </w:rPr>
        <w:t> </w:t>
      </w:r>
      <w:r>
        <w:rPr>
          <w:i/>
        </w:rPr>
        <w:t>al</w:t>
      </w:r>
      <w:r>
        <w:rPr/>
        <w:t>.</w:t>
      </w:r>
      <w:r>
        <w:rPr>
          <w:spacing w:val="-6"/>
        </w:rPr>
        <w:t> </w:t>
      </w:r>
      <w:r>
        <w:rPr/>
        <w:t>(2017)</w:t>
      </w:r>
      <w:r>
        <w:rPr>
          <w:spacing w:val="-6"/>
        </w:rPr>
        <w:t> </w:t>
      </w:r>
      <w:r>
        <w:rPr/>
        <w:t>and</w:t>
      </w:r>
      <w:r>
        <w:rPr>
          <w:spacing w:val="-6"/>
        </w:rPr>
        <w:t> </w:t>
      </w:r>
      <w:r>
        <w:rPr/>
        <w:t>Xiao</w:t>
      </w:r>
      <w:r>
        <w:rPr>
          <w:spacing w:val="-6"/>
        </w:rPr>
        <w:t> </w:t>
      </w:r>
      <w:r>
        <w:rPr>
          <w:i/>
        </w:rPr>
        <w:t>et</w:t>
      </w:r>
      <w:r>
        <w:rPr>
          <w:i/>
          <w:spacing w:val="-5"/>
        </w:rPr>
        <w:t> </w:t>
      </w:r>
      <w:r>
        <w:rPr>
          <w:i/>
        </w:rPr>
        <w:t>al.</w:t>
      </w:r>
      <w:r>
        <w:rPr>
          <w:i/>
          <w:spacing w:val="-5"/>
        </w:rPr>
        <w:t> </w:t>
      </w:r>
      <w:r>
        <w:rPr/>
        <w:t>(2016)</w:t>
      </w:r>
      <w:r>
        <w:rPr>
          <w:spacing w:val="-6"/>
        </w:rPr>
        <w:t> </w:t>
      </w:r>
      <w:r>
        <w:rPr/>
        <w:t>found</w:t>
      </w:r>
      <w:r>
        <w:rPr>
          <w:spacing w:val="-7"/>
        </w:rPr>
        <w:t> </w:t>
      </w:r>
      <w:r>
        <w:rPr/>
        <w:t>out,</w:t>
      </w:r>
      <w:r>
        <w:rPr>
          <w:spacing w:val="-8"/>
        </w:rPr>
        <w:t> </w:t>
      </w:r>
      <w:r>
        <w:rPr/>
        <w:t>using</w:t>
      </w:r>
      <w:r>
        <w:rPr>
          <w:spacing w:val="-8"/>
        </w:rPr>
        <w:t> </w:t>
      </w:r>
      <w:r>
        <w:rPr/>
        <w:t>hedonic</w:t>
      </w:r>
      <w:r>
        <w:rPr>
          <w:spacing w:val="-6"/>
        </w:rPr>
        <w:t> </w:t>
      </w:r>
      <w:r>
        <w:rPr/>
        <w:t>model,</w:t>
      </w:r>
      <w:r>
        <w:rPr>
          <w:spacing w:val="-6"/>
        </w:rPr>
        <w:t> </w:t>
      </w:r>
      <w:r>
        <w:rPr/>
        <w:t>that</w:t>
      </w:r>
      <w:r>
        <w:rPr>
          <w:spacing w:val="-6"/>
        </w:rPr>
        <w:t> </w:t>
      </w:r>
      <w:r>
        <w:rPr/>
        <w:t>the</w:t>
      </w:r>
      <w:r>
        <w:rPr>
          <w:spacing w:val="-6"/>
        </w:rPr>
        <w:t> </w:t>
      </w:r>
      <w:r>
        <w:rPr/>
        <w:t>effect</w:t>
      </w:r>
      <w:r>
        <w:rPr>
          <w:spacing w:val="-5"/>
        </w:rPr>
        <w:t> </w:t>
      </w:r>
      <w:r>
        <w:rPr/>
        <w:t>of parks on the housing</w:t>
      </w:r>
      <w:r>
        <w:rPr>
          <w:spacing w:val="-1"/>
        </w:rPr>
        <w:t> </w:t>
      </w:r>
      <w:r>
        <w:rPr/>
        <w:t>price is statistically</w:t>
      </w:r>
      <w:r>
        <w:rPr>
          <w:spacing w:val="-6"/>
        </w:rPr>
        <w:t> </w:t>
      </w:r>
      <w:r>
        <w:rPr/>
        <w:t>significant. Gambo (2012) uses hedonic model to</w:t>
      </w:r>
      <w:r>
        <w:rPr>
          <w:spacing w:val="-9"/>
        </w:rPr>
        <w:t> </w:t>
      </w:r>
      <w:r>
        <w:rPr/>
        <w:t>observe</w:t>
      </w:r>
      <w:r>
        <w:rPr>
          <w:spacing w:val="-11"/>
        </w:rPr>
        <w:t> </w:t>
      </w:r>
      <w:r>
        <w:rPr/>
        <w:t>that</w:t>
      </w:r>
      <w:r>
        <w:rPr>
          <w:spacing w:val="-10"/>
        </w:rPr>
        <w:t> </w:t>
      </w:r>
      <w:r>
        <w:rPr/>
        <w:t>conflict-free</w:t>
      </w:r>
      <w:r>
        <w:rPr>
          <w:spacing w:val="-11"/>
        </w:rPr>
        <w:t> </w:t>
      </w:r>
      <w:r>
        <w:rPr/>
        <w:t>area</w:t>
      </w:r>
      <w:r>
        <w:rPr>
          <w:spacing w:val="-11"/>
        </w:rPr>
        <w:t> </w:t>
      </w:r>
      <w:r>
        <w:rPr/>
        <w:t>is</w:t>
      </w:r>
      <w:r>
        <w:rPr>
          <w:spacing w:val="-9"/>
        </w:rPr>
        <w:t> </w:t>
      </w:r>
      <w:r>
        <w:rPr/>
        <w:t>the</w:t>
      </w:r>
      <w:r>
        <w:rPr>
          <w:spacing w:val="-10"/>
        </w:rPr>
        <w:t> </w:t>
      </w:r>
      <w:r>
        <w:rPr/>
        <w:t>most</w:t>
      </w:r>
      <w:r>
        <w:rPr>
          <w:spacing w:val="-9"/>
        </w:rPr>
        <w:t> </w:t>
      </w:r>
      <w:r>
        <w:rPr/>
        <w:t>influential</w:t>
      </w:r>
      <w:r>
        <w:rPr>
          <w:spacing w:val="-9"/>
        </w:rPr>
        <w:t> </w:t>
      </w:r>
      <w:r>
        <w:rPr/>
        <w:t>variable</w:t>
      </w:r>
      <w:r>
        <w:rPr>
          <w:spacing w:val="-10"/>
        </w:rPr>
        <w:t> </w:t>
      </w:r>
      <w:r>
        <w:rPr/>
        <w:t>determining</w:t>
      </w:r>
      <w:r>
        <w:rPr>
          <w:spacing w:val="-12"/>
        </w:rPr>
        <w:t> </w:t>
      </w:r>
      <w:r>
        <w:rPr/>
        <w:t>rent.</w:t>
      </w:r>
      <w:r>
        <w:rPr>
          <w:spacing w:val="-9"/>
        </w:rPr>
        <w:t> </w:t>
      </w:r>
      <w:r>
        <w:rPr/>
        <w:t>Kemiki </w:t>
      </w:r>
      <w:r>
        <w:rPr>
          <w:i/>
        </w:rPr>
        <w:t>et al. </w:t>
      </w:r>
      <w:r>
        <w:rPr/>
        <w:t>(2014) also use hedonic model to establish that rental value decreases moving towards</w:t>
      </w:r>
      <w:r>
        <w:rPr>
          <w:spacing w:val="-1"/>
        </w:rPr>
        <w:t> </w:t>
      </w:r>
      <w:r>
        <w:rPr/>
        <w:t>the</w:t>
      </w:r>
      <w:r>
        <w:rPr>
          <w:spacing w:val="-1"/>
        </w:rPr>
        <w:t> </w:t>
      </w:r>
      <w:r>
        <w:rPr/>
        <w:t>Lafarge</w:t>
      </w:r>
      <w:r>
        <w:rPr>
          <w:spacing w:val="-1"/>
        </w:rPr>
        <w:t> </w:t>
      </w:r>
      <w:r>
        <w:rPr/>
        <w:t>cement</w:t>
      </w:r>
      <w:r>
        <w:rPr>
          <w:spacing w:val="-1"/>
        </w:rPr>
        <w:t> </w:t>
      </w:r>
      <w:r>
        <w:rPr/>
        <w:t>factory</w:t>
      </w:r>
      <w:r>
        <w:rPr>
          <w:spacing w:val="-6"/>
        </w:rPr>
        <w:t> </w:t>
      </w:r>
      <w:r>
        <w:rPr/>
        <w:t>as</w:t>
      </w:r>
      <w:r>
        <w:rPr>
          <w:spacing w:val="-1"/>
        </w:rPr>
        <w:t> </w:t>
      </w:r>
      <w:r>
        <w:rPr/>
        <w:t>a result</w:t>
      </w:r>
      <w:r>
        <w:rPr>
          <w:spacing w:val="-1"/>
        </w:rPr>
        <w:t> </w:t>
      </w:r>
      <w:r>
        <w:rPr/>
        <w:t>of</w:t>
      </w:r>
      <w:r>
        <w:rPr>
          <w:spacing w:val="-1"/>
        </w:rPr>
        <w:t> </w:t>
      </w:r>
      <w:r>
        <w:rPr/>
        <w:t>dust</w:t>
      </w:r>
      <w:r>
        <w:rPr>
          <w:spacing w:val="-1"/>
        </w:rPr>
        <w:t> </w:t>
      </w:r>
      <w:r>
        <w:rPr/>
        <w:t>and</w:t>
      </w:r>
      <w:r>
        <w:rPr>
          <w:spacing w:val="2"/>
        </w:rPr>
        <w:t> </w:t>
      </w:r>
      <w:r>
        <w:rPr/>
        <w:t>noise</w:t>
      </w:r>
      <w:r>
        <w:rPr>
          <w:spacing w:val="-1"/>
        </w:rPr>
        <w:t> </w:t>
      </w:r>
      <w:r>
        <w:rPr/>
        <w:t>severity. Using</w:t>
      </w:r>
      <w:r>
        <w:rPr>
          <w:spacing w:val="-2"/>
        </w:rPr>
        <w:t> machine</w:t>
      </w:r>
    </w:p>
    <w:p>
      <w:pPr>
        <w:spacing w:after="0" w:line="480" w:lineRule="auto"/>
        <w:sectPr>
          <w:pgSz w:w="11910" w:h="16840"/>
          <w:pgMar w:header="0" w:footer="1022" w:top="1320" w:bottom="1220" w:left="1680" w:right="900"/>
        </w:sectPr>
      </w:pPr>
    </w:p>
    <w:p>
      <w:pPr>
        <w:pStyle w:val="BodyText"/>
        <w:spacing w:line="480" w:lineRule="auto" w:before="72"/>
        <w:ind w:left="305" w:right="512"/>
      </w:pPr>
      <w:r>
        <w:rPr/>
        <w:t>learning methods, Aderibigbe &amp; Chi (2018) observed that housing price is impacted by natural disasters factors such as hurricane. Paz &amp; McGreal (2018) adopted Price index and</w:t>
      </w:r>
      <w:r>
        <w:rPr>
          <w:spacing w:val="-11"/>
        </w:rPr>
        <w:t> </w:t>
      </w:r>
      <w:r>
        <w:rPr/>
        <w:t>Hedonic</w:t>
      </w:r>
      <w:r>
        <w:rPr>
          <w:spacing w:val="-11"/>
        </w:rPr>
        <w:t> </w:t>
      </w:r>
      <w:r>
        <w:rPr/>
        <w:t>model</w:t>
      </w:r>
      <w:r>
        <w:rPr>
          <w:spacing w:val="-11"/>
        </w:rPr>
        <w:t> </w:t>
      </w:r>
      <w:r>
        <w:rPr/>
        <w:t>to</w:t>
      </w:r>
      <w:r>
        <w:rPr>
          <w:spacing w:val="-10"/>
        </w:rPr>
        <w:t> </w:t>
      </w:r>
      <w:r>
        <w:rPr/>
        <w:t>establish</w:t>
      </w:r>
      <w:r>
        <w:rPr>
          <w:spacing w:val="-11"/>
        </w:rPr>
        <w:t> </w:t>
      </w:r>
      <w:r>
        <w:rPr/>
        <w:t>that</w:t>
      </w:r>
      <w:r>
        <w:rPr>
          <w:spacing w:val="-11"/>
        </w:rPr>
        <w:t> </w:t>
      </w:r>
      <w:r>
        <w:rPr/>
        <w:t>improvements</w:t>
      </w:r>
      <w:r>
        <w:rPr>
          <w:spacing w:val="-13"/>
        </w:rPr>
        <w:t> </w:t>
      </w:r>
      <w:r>
        <w:rPr/>
        <w:t>in</w:t>
      </w:r>
      <w:r>
        <w:rPr>
          <w:spacing w:val="-10"/>
        </w:rPr>
        <w:t> </w:t>
      </w:r>
      <w:r>
        <w:rPr/>
        <w:t>neighbourhood</w:t>
      </w:r>
      <w:r>
        <w:rPr>
          <w:spacing w:val="-11"/>
        </w:rPr>
        <w:t> </w:t>
      </w:r>
      <w:r>
        <w:rPr/>
        <w:t>quality</w:t>
      </w:r>
      <w:r>
        <w:rPr>
          <w:spacing w:val="-13"/>
        </w:rPr>
        <w:t> </w:t>
      </w:r>
      <w:r>
        <w:rPr/>
        <w:t>affect</w:t>
      </w:r>
      <w:r>
        <w:rPr>
          <w:spacing w:val="-10"/>
        </w:rPr>
        <w:t> </w:t>
      </w:r>
      <w:r>
        <w:rPr/>
        <w:t>house price. These improvements also include converting the abandoned railway into a greenway as observed by Noh (2019).</w:t>
      </w:r>
    </w:p>
    <w:p>
      <w:pPr>
        <w:pStyle w:val="Heading1"/>
        <w:numPr>
          <w:ilvl w:val="3"/>
          <w:numId w:val="5"/>
        </w:numPr>
        <w:tabs>
          <w:tab w:pos="1024" w:val="left" w:leader="none"/>
        </w:tabs>
        <w:spacing w:line="240" w:lineRule="auto" w:before="245" w:after="0"/>
        <w:ind w:left="1024" w:right="0" w:hanging="719"/>
        <w:jc w:val="both"/>
      </w:pPr>
      <w:r>
        <w:rPr/>
        <w:t>Location</w:t>
      </w:r>
      <w:r>
        <w:rPr>
          <w:spacing w:val="-2"/>
        </w:rPr>
        <w:t> </w:t>
      </w:r>
      <w:r>
        <w:rPr/>
        <w:t>as</w:t>
      </w:r>
      <w:r>
        <w:rPr>
          <w:spacing w:val="-1"/>
        </w:rPr>
        <w:t> </w:t>
      </w:r>
      <w:r>
        <w:rPr/>
        <w:t>determinants</w:t>
      </w:r>
      <w:r>
        <w:rPr>
          <w:spacing w:val="-1"/>
        </w:rPr>
        <w:t> </w:t>
      </w:r>
      <w:r>
        <w:rPr/>
        <w:t>of</w:t>
      </w:r>
      <w:r>
        <w:rPr>
          <w:spacing w:val="-1"/>
        </w:rPr>
        <w:t> </w:t>
      </w:r>
      <w:r>
        <w:rPr/>
        <w:t>housing</w:t>
      </w:r>
      <w:r>
        <w:rPr>
          <w:spacing w:val="-1"/>
        </w:rPr>
        <w:t> </w:t>
      </w:r>
      <w:r>
        <w:rPr>
          <w:spacing w:val="-2"/>
        </w:rPr>
        <w:t>Prices</w:t>
      </w:r>
    </w:p>
    <w:p>
      <w:pPr>
        <w:pStyle w:val="BodyText"/>
        <w:spacing w:before="236"/>
        <w:jc w:val="left"/>
        <w:rPr>
          <w:b/>
        </w:rPr>
      </w:pPr>
    </w:p>
    <w:p>
      <w:pPr>
        <w:pStyle w:val="BodyText"/>
        <w:spacing w:line="480" w:lineRule="auto"/>
        <w:ind w:left="305" w:right="511"/>
      </w:pPr>
      <w:r>
        <w:rPr/>
        <w:t>Previous</w:t>
      </w:r>
      <w:r>
        <w:rPr>
          <w:spacing w:val="-12"/>
        </w:rPr>
        <w:t> </w:t>
      </w:r>
      <w:r>
        <w:rPr/>
        <w:t>studies</w:t>
      </w:r>
      <w:r>
        <w:rPr>
          <w:spacing w:val="-10"/>
        </w:rPr>
        <w:t> </w:t>
      </w:r>
      <w:r>
        <w:rPr/>
        <w:t>have</w:t>
      </w:r>
      <w:r>
        <w:rPr>
          <w:spacing w:val="-12"/>
        </w:rPr>
        <w:t> </w:t>
      </w:r>
      <w:r>
        <w:rPr/>
        <w:t>shown</w:t>
      </w:r>
      <w:r>
        <w:rPr>
          <w:spacing w:val="-11"/>
        </w:rPr>
        <w:t> </w:t>
      </w:r>
      <w:r>
        <w:rPr/>
        <w:t>that</w:t>
      </w:r>
      <w:r>
        <w:rPr>
          <w:spacing w:val="-11"/>
        </w:rPr>
        <w:t> </w:t>
      </w:r>
      <w:r>
        <w:rPr/>
        <w:t>proximity</w:t>
      </w:r>
      <w:r>
        <w:rPr>
          <w:spacing w:val="-15"/>
        </w:rPr>
        <w:t> </w:t>
      </w:r>
      <w:r>
        <w:rPr/>
        <w:t>to</w:t>
      </w:r>
      <w:r>
        <w:rPr>
          <w:spacing w:val="-10"/>
        </w:rPr>
        <w:t> </w:t>
      </w:r>
      <w:r>
        <w:rPr/>
        <w:t>major</w:t>
      </w:r>
      <w:r>
        <w:rPr>
          <w:spacing w:val="-11"/>
        </w:rPr>
        <w:t> </w:t>
      </w:r>
      <w:r>
        <w:rPr/>
        <w:t>employment</w:t>
      </w:r>
      <w:r>
        <w:rPr>
          <w:spacing w:val="-11"/>
        </w:rPr>
        <w:t> </w:t>
      </w:r>
      <w:r>
        <w:rPr/>
        <w:t>centre,</w:t>
      </w:r>
      <w:r>
        <w:rPr>
          <w:spacing w:val="-11"/>
        </w:rPr>
        <w:t> </w:t>
      </w:r>
      <w:r>
        <w:rPr/>
        <w:t>transit</w:t>
      </w:r>
      <w:r>
        <w:rPr>
          <w:spacing w:val="-10"/>
        </w:rPr>
        <w:t> </w:t>
      </w:r>
      <w:r>
        <w:rPr/>
        <w:t>network, schools, parks and hospitals, major landmarks, major junctions and city centre among others, determines housing price at a given location. For instance, Wickramaarachchi (2016)</w:t>
      </w:r>
      <w:r>
        <w:rPr>
          <w:spacing w:val="-8"/>
        </w:rPr>
        <w:t> </w:t>
      </w:r>
      <w:r>
        <w:rPr/>
        <w:t>and</w:t>
      </w:r>
      <w:r>
        <w:rPr>
          <w:spacing w:val="-7"/>
        </w:rPr>
        <w:t> </w:t>
      </w:r>
      <w:r>
        <w:rPr/>
        <w:t>Oluwadamilola</w:t>
      </w:r>
      <w:r>
        <w:rPr>
          <w:spacing w:val="-6"/>
        </w:rPr>
        <w:t> </w:t>
      </w:r>
      <w:r>
        <w:rPr/>
        <w:t>(2017)</w:t>
      </w:r>
      <w:r>
        <w:rPr>
          <w:spacing w:val="-8"/>
        </w:rPr>
        <w:t> </w:t>
      </w:r>
      <w:r>
        <w:rPr/>
        <w:t>use</w:t>
      </w:r>
      <w:r>
        <w:rPr>
          <w:spacing w:val="-8"/>
        </w:rPr>
        <w:t> </w:t>
      </w:r>
      <w:r>
        <w:rPr/>
        <w:t>multiple</w:t>
      </w:r>
      <w:r>
        <w:rPr>
          <w:spacing w:val="-8"/>
        </w:rPr>
        <w:t> </w:t>
      </w:r>
      <w:r>
        <w:rPr/>
        <w:t>regression</w:t>
      </w:r>
      <w:r>
        <w:rPr>
          <w:spacing w:val="-7"/>
        </w:rPr>
        <w:t> </w:t>
      </w:r>
      <w:r>
        <w:rPr/>
        <w:t>model</w:t>
      </w:r>
      <w:r>
        <w:rPr>
          <w:spacing w:val="-7"/>
        </w:rPr>
        <w:t> </w:t>
      </w:r>
      <w:r>
        <w:rPr/>
        <w:t>to</w:t>
      </w:r>
      <w:r>
        <w:rPr>
          <w:spacing w:val="-7"/>
        </w:rPr>
        <w:t> </w:t>
      </w:r>
      <w:r>
        <w:rPr/>
        <w:t>find</w:t>
      </w:r>
      <w:r>
        <w:rPr>
          <w:spacing w:val="-8"/>
        </w:rPr>
        <w:t> </w:t>
      </w:r>
      <w:r>
        <w:rPr/>
        <w:t>out</w:t>
      </w:r>
      <w:r>
        <w:rPr>
          <w:spacing w:val="-7"/>
        </w:rPr>
        <w:t> </w:t>
      </w:r>
      <w:r>
        <w:rPr/>
        <w:t>that</w:t>
      </w:r>
      <w:r>
        <w:rPr>
          <w:spacing w:val="-7"/>
        </w:rPr>
        <w:t> </w:t>
      </w:r>
      <w:r>
        <w:rPr/>
        <w:t>distance to main junction is the most significant variable in the types of properties. Liang </w:t>
      </w:r>
      <w:r>
        <w:rPr>
          <w:i/>
        </w:rPr>
        <w:t>et al</w:t>
      </w:r>
      <w:r>
        <w:rPr/>
        <w:t>. (2018) uses regression analysis and geographic field model to analyse the effects of locational factors on the housing prices of residential communities. The study</w:t>
      </w:r>
      <w:r>
        <w:rPr>
          <w:spacing w:val="-2"/>
        </w:rPr>
        <w:t> </w:t>
      </w:r>
      <w:r>
        <w:rPr/>
        <w:t>found out that proximity to externalities of parks, lakes, department stores, banks, secondary schools and rail transit have significance but spatially non-stationary effects on housing prices. This is also confirmed by Li </w:t>
      </w:r>
      <w:r>
        <w:rPr>
          <w:i/>
        </w:rPr>
        <w:t>et al</w:t>
      </w:r>
      <w:r>
        <w:rPr/>
        <w:t>. (2018) and Kim </w:t>
      </w:r>
      <w:r>
        <w:rPr>
          <w:i/>
        </w:rPr>
        <w:t>et al</w:t>
      </w:r>
      <w:r>
        <w:rPr/>
        <w:t>. (2019) using hedonic model.</w:t>
      </w:r>
      <w:r>
        <w:rPr>
          <w:spacing w:val="-11"/>
        </w:rPr>
        <w:t> </w:t>
      </w:r>
      <w:r>
        <w:rPr/>
        <w:t>However,</w:t>
      </w:r>
      <w:r>
        <w:rPr>
          <w:spacing w:val="-11"/>
        </w:rPr>
        <w:t> </w:t>
      </w:r>
      <w:r>
        <w:rPr/>
        <w:t>in</w:t>
      </w:r>
      <w:r>
        <w:rPr>
          <w:spacing w:val="-10"/>
        </w:rPr>
        <w:t> </w:t>
      </w:r>
      <w:r>
        <w:rPr/>
        <w:t>line</w:t>
      </w:r>
      <w:r>
        <w:rPr>
          <w:spacing w:val="-9"/>
        </w:rPr>
        <w:t> </w:t>
      </w:r>
      <w:r>
        <w:rPr/>
        <w:t>with</w:t>
      </w:r>
      <w:r>
        <w:rPr>
          <w:spacing w:val="-10"/>
        </w:rPr>
        <w:t> </w:t>
      </w:r>
      <w:r>
        <w:rPr/>
        <w:t>monocentric</w:t>
      </w:r>
      <w:r>
        <w:rPr>
          <w:spacing w:val="-11"/>
        </w:rPr>
        <w:t> </w:t>
      </w:r>
      <w:r>
        <w:rPr/>
        <w:t>model</w:t>
      </w:r>
      <w:r>
        <w:rPr>
          <w:spacing w:val="-8"/>
        </w:rPr>
        <w:t> </w:t>
      </w:r>
      <w:r>
        <w:rPr/>
        <w:t>of</w:t>
      </w:r>
      <w:r>
        <w:rPr>
          <w:spacing w:val="-11"/>
        </w:rPr>
        <w:t> </w:t>
      </w:r>
      <w:r>
        <w:rPr/>
        <w:t>Alonso</w:t>
      </w:r>
      <w:r>
        <w:rPr>
          <w:spacing w:val="-8"/>
        </w:rPr>
        <w:t> </w:t>
      </w:r>
      <w:r>
        <w:rPr/>
        <w:t>(1964),</w:t>
      </w:r>
      <w:r>
        <w:rPr>
          <w:spacing w:val="-11"/>
        </w:rPr>
        <w:t> </w:t>
      </w:r>
      <w:r>
        <w:rPr/>
        <w:t>D’Acci</w:t>
      </w:r>
      <w:r>
        <w:rPr>
          <w:spacing w:val="-10"/>
        </w:rPr>
        <w:t> </w:t>
      </w:r>
      <w:r>
        <w:rPr/>
        <w:t>(2018)</w:t>
      </w:r>
      <w:r>
        <w:rPr>
          <w:spacing w:val="-11"/>
        </w:rPr>
        <w:t> </w:t>
      </w:r>
      <w:r>
        <w:rPr/>
        <w:t>found out that housing value decreases with increasing distance from the city centre.</w:t>
      </w:r>
    </w:p>
    <w:p>
      <w:pPr>
        <w:pStyle w:val="Heading1"/>
        <w:numPr>
          <w:ilvl w:val="3"/>
          <w:numId w:val="5"/>
        </w:numPr>
        <w:tabs>
          <w:tab w:pos="1024" w:val="left" w:leader="none"/>
        </w:tabs>
        <w:spacing w:line="240" w:lineRule="auto" w:before="246" w:after="0"/>
        <w:ind w:left="1024" w:right="0" w:hanging="719"/>
        <w:jc w:val="both"/>
      </w:pPr>
      <w:r>
        <w:rPr/>
        <w:t>Socioeconomic</w:t>
      </w:r>
      <w:r>
        <w:rPr>
          <w:spacing w:val="-1"/>
        </w:rPr>
        <w:t> </w:t>
      </w:r>
      <w:r>
        <w:rPr/>
        <w:t>characteristics</w:t>
      </w:r>
      <w:r>
        <w:rPr>
          <w:spacing w:val="-1"/>
        </w:rPr>
        <w:t> </w:t>
      </w:r>
      <w:r>
        <w:rPr/>
        <w:t>as</w:t>
      </w:r>
      <w:r>
        <w:rPr>
          <w:spacing w:val="-2"/>
        </w:rPr>
        <w:t> </w:t>
      </w:r>
      <w:r>
        <w:rPr/>
        <w:t>determinants</w:t>
      </w:r>
      <w:r>
        <w:rPr>
          <w:spacing w:val="-1"/>
        </w:rPr>
        <w:t> </w:t>
      </w:r>
      <w:r>
        <w:rPr/>
        <w:t>of</w:t>
      </w:r>
      <w:r>
        <w:rPr>
          <w:spacing w:val="-1"/>
        </w:rPr>
        <w:t> </w:t>
      </w:r>
      <w:r>
        <w:rPr/>
        <w:t>housing</w:t>
      </w:r>
      <w:r>
        <w:rPr>
          <w:spacing w:val="-1"/>
        </w:rPr>
        <w:t> </w:t>
      </w:r>
      <w:r>
        <w:rPr>
          <w:spacing w:val="-2"/>
        </w:rPr>
        <w:t>prices</w:t>
      </w:r>
    </w:p>
    <w:p>
      <w:pPr>
        <w:pStyle w:val="BodyText"/>
        <w:spacing w:before="232"/>
        <w:jc w:val="left"/>
        <w:rPr>
          <w:b/>
        </w:rPr>
      </w:pPr>
    </w:p>
    <w:p>
      <w:pPr>
        <w:pStyle w:val="BodyText"/>
        <w:spacing w:line="480" w:lineRule="auto"/>
        <w:ind w:left="305" w:right="512"/>
      </w:pPr>
      <w:r>
        <w:rPr/>
        <w:t>Socioeconomic characteristics have been given much attention as housing price determinant. For instance, a study conducted in Singapore by Li &amp; Tang (2018) using dynamic general equilibrium model and counter-factual experiments suggests that the native population growth can generate more of private housing price than growth of the foreign</w:t>
      </w:r>
      <w:r>
        <w:rPr>
          <w:spacing w:val="42"/>
        </w:rPr>
        <w:t> </w:t>
      </w:r>
      <w:r>
        <w:rPr/>
        <w:t>population.</w:t>
      </w:r>
      <w:r>
        <w:rPr>
          <w:spacing w:val="45"/>
        </w:rPr>
        <w:t> </w:t>
      </w:r>
      <w:r>
        <w:rPr/>
        <w:t>Oluwadamilola</w:t>
      </w:r>
      <w:r>
        <w:rPr>
          <w:spacing w:val="47"/>
        </w:rPr>
        <w:t> </w:t>
      </w:r>
      <w:r>
        <w:rPr/>
        <w:t>(2017)</w:t>
      </w:r>
      <w:r>
        <w:rPr>
          <w:spacing w:val="44"/>
        </w:rPr>
        <w:t> </w:t>
      </w:r>
      <w:r>
        <w:rPr/>
        <w:t>in</w:t>
      </w:r>
      <w:r>
        <w:rPr>
          <w:spacing w:val="45"/>
        </w:rPr>
        <w:t> </w:t>
      </w:r>
      <w:r>
        <w:rPr/>
        <w:t>his</w:t>
      </w:r>
      <w:r>
        <w:rPr>
          <w:spacing w:val="45"/>
        </w:rPr>
        <w:t> </w:t>
      </w:r>
      <w:r>
        <w:rPr/>
        <w:t>study</w:t>
      </w:r>
      <w:r>
        <w:rPr>
          <w:spacing w:val="40"/>
        </w:rPr>
        <w:t> </w:t>
      </w:r>
      <w:r>
        <w:rPr/>
        <w:t>using</w:t>
      </w:r>
      <w:r>
        <w:rPr>
          <w:spacing w:val="42"/>
        </w:rPr>
        <w:t> </w:t>
      </w:r>
      <w:r>
        <w:rPr/>
        <w:t>multivariate</w:t>
      </w:r>
      <w:r>
        <w:rPr>
          <w:spacing w:val="44"/>
        </w:rPr>
        <w:t> </w:t>
      </w:r>
      <w:r>
        <w:rPr>
          <w:spacing w:val="-2"/>
        </w:rPr>
        <w:t>regression</w:t>
      </w:r>
    </w:p>
    <w:p>
      <w:pPr>
        <w:spacing w:after="0" w:line="480" w:lineRule="auto"/>
        <w:sectPr>
          <w:pgSz w:w="11910" w:h="16840"/>
          <w:pgMar w:header="0" w:footer="1022" w:top="1320" w:bottom="1220" w:left="1680" w:right="900"/>
        </w:sectPr>
      </w:pPr>
    </w:p>
    <w:p>
      <w:pPr>
        <w:pStyle w:val="BodyText"/>
        <w:spacing w:line="480" w:lineRule="auto" w:before="72"/>
        <w:ind w:left="305" w:right="515"/>
      </w:pPr>
      <w:r>
        <w:rPr/>
        <w:t>found out that income have significant effect on rental value of accommodation. Using search-and-matching</w:t>
      </w:r>
      <w:r>
        <w:rPr>
          <w:spacing w:val="-2"/>
        </w:rPr>
        <w:t> </w:t>
      </w:r>
      <w:r>
        <w:rPr/>
        <w:t>model, Gan </w:t>
      </w:r>
      <w:r>
        <w:rPr>
          <w:i/>
        </w:rPr>
        <w:t>et al</w:t>
      </w:r>
      <w:r>
        <w:rPr/>
        <w:t>. (2018) confirm unemployment influences on the housing</w:t>
      </w:r>
      <w:r>
        <w:rPr>
          <w:spacing w:val="-7"/>
        </w:rPr>
        <w:t> </w:t>
      </w:r>
      <w:r>
        <w:rPr/>
        <w:t>market.</w:t>
      </w:r>
      <w:r>
        <w:rPr>
          <w:spacing w:val="-3"/>
        </w:rPr>
        <w:t> </w:t>
      </w:r>
      <w:r>
        <w:rPr/>
        <w:t>Flage</w:t>
      </w:r>
      <w:r>
        <w:rPr>
          <w:spacing w:val="-3"/>
        </w:rPr>
        <w:t> </w:t>
      </w:r>
      <w:r>
        <w:rPr/>
        <w:t>(2018)</w:t>
      </w:r>
      <w:r>
        <w:rPr>
          <w:spacing w:val="-6"/>
        </w:rPr>
        <w:t> </w:t>
      </w:r>
      <w:r>
        <w:rPr/>
        <w:t>adopted</w:t>
      </w:r>
      <w:r>
        <w:rPr>
          <w:spacing w:val="-6"/>
        </w:rPr>
        <w:t> </w:t>
      </w:r>
      <w:r>
        <w:rPr/>
        <w:t>meta-analysis</w:t>
      </w:r>
      <w:r>
        <w:rPr>
          <w:spacing w:val="-5"/>
        </w:rPr>
        <w:t> </w:t>
      </w:r>
      <w:r>
        <w:rPr/>
        <w:t>method</w:t>
      </w:r>
      <w:r>
        <w:rPr>
          <w:spacing w:val="-6"/>
        </w:rPr>
        <w:t> </w:t>
      </w:r>
      <w:r>
        <w:rPr/>
        <w:t>to</w:t>
      </w:r>
      <w:r>
        <w:rPr>
          <w:spacing w:val="-5"/>
        </w:rPr>
        <w:t> </w:t>
      </w:r>
      <w:r>
        <w:rPr/>
        <w:t>found</w:t>
      </w:r>
      <w:r>
        <w:rPr>
          <w:spacing w:val="-7"/>
        </w:rPr>
        <w:t> </w:t>
      </w:r>
      <w:r>
        <w:rPr/>
        <w:t>out</w:t>
      </w:r>
      <w:r>
        <w:rPr>
          <w:spacing w:val="-5"/>
        </w:rPr>
        <w:t> </w:t>
      </w:r>
      <w:r>
        <w:rPr/>
        <w:t>that</w:t>
      </w:r>
      <w:r>
        <w:rPr>
          <w:spacing w:val="-5"/>
        </w:rPr>
        <w:t> </w:t>
      </w:r>
      <w:r>
        <w:rPr/>
        <w:t>ethnic</w:t>
      </w:r>
      <w:r>
        <w:rPr>
          <w:spacing w:val="-7"/>
        </w:rPr>
        <w:t> </w:t>
      </w:r>
      <w:r>
        <w:rPr/>
        <w:t>and gender discrimination have impact rental housing market. In South Korea, Kim &amp; Lee (2018) use locally</w:t>
      </w:r>
      <w:r>
        <w:rPr>
          <w:spacing w:val="-3"/>
        </w:rPr>
        <w:t> </w:t>
      </w:r>
      <w:r>
        <w:rPr/>
        <w:t>weighted non-parametric regression to found out that housing market respond to potential crime risk. In terms of fertility rate and housing price, Zhao (2018) uses cross weight coefficient and regression models to found out obvious positive correlation between housing price and fertility rate.</w:t>
      </w:r>
    </w:p>
    <w:p>
      <w:pPr>
        <w:pStyle w:val="Heading1"/>
        <w:numPr>
          <w:ilvl w:val="3"/>
          <w:numId w:val="5"/>
        </w:numPr>
        <w:tabs>
          <w:tab w:pos="1024" w:val="left" w:leader="none"/>
        </w:tabs>
        <w:spacing w:line="240" w:lineRule="auto" w:before="248" w:after="0"/>
        <w:ind w:left="1024" w:right="0" w:hanging="719"/>
        <w:jc w:val="both"/>
      </w:pPr>
      <w:r>
        <w:rPr/>
        <w:t>Urban</w:t>
      </w:r>
      <w:r>
        <w:rPr>
          <w:spacing w:val="-1"/>
        </w:rPr>
        <w:t> </w:t>
      </w:r>
      <w:r>
        <w:rPr/>
        <w:t>form</w:t>
      </w:r>
      <w:r>
        <w:rPr>
          <w:spacing w:val="-3"/>
        </w:rPr>
        <w:t> </w:t>
      </w:r>
      <w:r>
        <w:rPr/>
        <w:t>as</w:t>
      </w:r>
      <w:r>
        <w:rPr>
          <w:spacing w:val="-1"/>
        </w:rPr>
        <w:t> </w:t>
      </w:r>
      <w:r>
        <w:rPr/>
        <w:t>determinants of</w:t>
      </w:r>
      <w:r>
        <w:rPr>
          <w:spacing w:val="-2"/>
        </w:rPr>
        <w:t> </w:t>
      </w:r>
      <w:r>
        <w:rPr/>
        <w:t>housing</w:t>
      </w:r>
      <w:r>
        <w:rPr>
          <w:spacing w:val="-1"/>
        </w:rPr>
        <w:t> </w:t>
      </w:r>
      <w:r>
        <w:rPr>
          <w:spacing w:val="-2"/>
        </w:rPr>
        <w:t>prices</w:t>
      </w:r>
    </w:p>
    <w:p>
      <w:pPr>
        <w:pStyle w:val="BodyText"/>
        <w:spacing w:before="233"/>
        <w:jc w:val="left"/>
        <w:rPr>
          <w:b/>
        </w:rPr>
      </w:pPr>
    </w:p>
    <w:p>
      <w:pPr>
        <w:pStyle w:val="BodyText"/>
        <w:spacing w:line="480" w:lineRule="auto"/>
        <w:ind w:left="305" w:right="510"/>
      </w:pPr>
      <w:r>
        <w:rPr/>
        <w:t>The impact of urban form on housing price has attracted many researches in recent decades. For instance,</w:t>
      </w:r>
      <w:r>
        <w:rPr>
          <w:spacing w:val="40"/>
        </w:rPr>
        <w:t> </w:t>
      </w:r>
      <w:r>
        <w:rPr/>
        <w:t>Xiao </w:t>
      </w:r>
      <w:r>
        <w:rPr>
          <w:i/>
        </w:rPr>
        <w:t>et al. </w:t>
      </w:r>
      <w:r>
        <w:rPr/>
        <w:t>(2016b) examine house price effects of changes in urban street configuration using spatial-network analysis. They found out that improved accessibility</w:t>
      </w:r>
      <w:r>
        <w:rPr>
          <w:spacing w:val="-4"/>
        </w:rPr>
        <w:t> </w:t>
      </w:r>
      <w:r>
        <w:rPr/>
        <w:t>leads to higher property</w:t>
      </w:r>
      <w:r>
        <w:rPr>
          <w:spacing w:val="-4"/>
        </w:rPr>
        <w:t> </w:t>
      </w:r>
      <w:r>
        <w:rPr/>
        <w:t>prices. In contrast, a study</w:t>
      </w:r>
      <w:r>
        <w:rPr>
          <w:spacing w:val="-4"/>
        </w:rPr>
        <w:t> </w:t>
      </w:r>
      <w:r>
        <w:rPr/>
        <w:t>by</w:t>
      </w:r>
      <w:r>
        <w:rPr>
          <w:spacing w:val="-2"/>
        </w:rPr>
        <w:t> </w:t>
      </w:r>
      <w:r>
        <w:rPr/>
        <w:t>Devaux </w:t>
      </w:r>
      <w:r>
        <w:rPr>
          <w:i/>
        </w:rPr>
        <w:t>et al. </w:t>
      </w:r>
      <w:r>
        <w:rPr/>
        <w:t>(2018) suggest that reorganization of the street had no significant impact on the closest properties’</w:t>
      </w:r>
      <w:r>
        <w:rPr>
          <w:spacing w:val="-13"/>
        </w:rPr>
        <w:t> </w:t>
      </w:r>
      <w:r>
        <w:rPr/>
        <w:t>prices,</w:t>
      </w:r>
      <w:r>
        <w:rPr>
          <w:spacing w:val="-12"/>
        </w:rPr>
        <w:t> </w:t>
      </w:r>
      <w:r>
        <w:rPr/>
        <w:t>but</w:t>
      </w:r>
      <w:r>
        <w:rPr>
          <w:spacing w:val="-14"/>
        </w:rPr>
        <w:t> </w:t>
      </w:r>
      <w:r>
        <w:rPr/>
        <w:t>had</w:t>
      </w:r>
      <w:r>
        <w:rPr>
          <w:spacing w:val="-14"/>
        </w:rPr>
        <w:t> </w:t>
      </w:r>
      <w:r>
        <w:rPr/>
        <w:t>negative</w:t>
      </w:r>
      <w:r>
        <w:rPr>
          <w:spacing w:val="-13"/>
        </w:rPr>
        <w:t> </w:t>
      </w:r>
      <w:r>
        <w:rPr/>
        <w:t>effects</w:t>
      </w:r>
      <w:r>
        <w:rPr>
          <w:spacing w:val="-14"/>
        </w:rPr>
        <w:t> </w:t>
      </w:r>
      <w:r>
        <w:rPr/>
        <w:t>for</w:t>
      </w:r>
      <w:r>
        <w:rPr>
          <w:spacing w:val="-15"/>
        </w:rPr>
        <w:t> </w:t>
      </w:r>
      <w:r>
        <w:rPr/>
        <w:t>properties</w:t>
      </w:r>
      <w:r>
        <w:rPr>
          <w:spacing w:val="-14"/>
        </w:rPr>
        <w:t> </w:t>
      </w:r>
      <w:r>
        <w:rPr/>
        <w:t>located</w:t>
      </w:r>
      <w:r>
        <w:rPr>
          <w:spacing w:val="-14"/>
        </w:rPr>
        <w:t> </w:t>
      </w:r>
      <w:r>
        <w:rPr/>
        <w:t>within</w:t>
      </w:r>
      <w:r>
        <w:rPr>
          <w:spacing w:val="-14"/>
        </w:rPr>
        <w:t> </w:t>
      </w:r>
      <w:r>
        <w:rPr/>
        <w:t>150</w:t>
      </w:r>
      <w:r>
        <w:rPr>
          <w:spacing w:val="-12"/>
        </w:rPr>
        <w:t> </w:t>
      </w:r>
      <w:r>
        <w:rPr/>
        <w:t>to</w:t>
      </w:r>
      <w:r>
        <w:rPr>
          <w:spacing w:val="-14"/>
        </w:rPr>
        <w:t> </w:t>
      </w:r>
      <w:r>
        <w:rPr/>
        <w:t>450</w:t>
      </w:r>
      <w:r>
        <w:rPr>
          <w:spacing w:val="-14"/>
        </w:rPr>
        <w:t> </w:t>
      </w:r>
      <w:r>
        <w:rPr/>
        <w:t>meters off</w:t>
      </w:r>
      <w:r>
        <w:rPr>
          <w:spacing w:val="-4"/>
        </w:rPr>
        <w:t> </w:t>
      </w:r>
      <w:r>
        <w:rPr/>
        <w:t>the</w:t>
      </w:r>
      <w:r>
        <w:rPr>
          <w:spacing w:val="-3"/>
        </w:rPr>
        <w:t> </w:t>
      </w:r>
      <w:r>
        <w:rPr/>
        <w:t>street.</w:t>
      </w:r>
      <w:r>
        <w:rPr>
          <w:spacing w:val="-2"/>
        </w:rPr>
        <w:t> </w:t>
      </w:r>
      <w:r>
        <w:rPr/>
        <w:t>However,</w:t>
      </w:r>
      <w:r>
        <w:rPr>
          <w:spacing w:val="-3"/>
        </w:rPr>
        <w:t> </w:t>
      </w:r>
      <w:r>
        <w:rPr/>
        <w:t>Xiao (2012)</w:t>
      </w:r>
      <w:r>
        <w:rPr>
          <w:spacing w:val="-2"/>
        </w:rPr>
        <w:t> </w:t>
      </w:r>
      <w:r>
        <w:rPr/>
        <w:t>investigate</w:t>
      </w:r>
      <w:r>
        <w:rPr>
          <w:spacing w:val="-3"/>
        </w:rPr>
        <w:t> </w:t>
      </w:r>
      <w:r>
        <w:rPr/>
        <w:t>relationship</w:t>
      </w:r>
      <w:r>
        <w:rPr>
          <w:spacing w:val="-2"/>
        </w:rPr>
        <w:t> </w:t>
      </w:r>
      <w:r>
        <w:rPr/>
        <w:t>between</w:t>
      </w:r>
      <w:r>
        <w:rPr>
          <w:spacing w:val="-2"/>
        </w:rPr>
        <w:t> </w:t>
      </w:r>
      <w:r>
        <w:rPr/>
        <w:t>urban</w:t>
      </w:r>
      <w:r>
        <w:rPr>
          <w:spacing w:val="-2"/>
        </w:rPr>
        <w:t> </w:t>
      </w:r>
      <w:r>
        <w:rPr/>
        <w:t>morphology and</w:t>
      </w:r>
      <w:r>
        <w:rPr>
          <w:spacing w:val="-5"/>
        </w:rPr>
        <w:t> </w:t>
      </w:r>
      <w:r>
        <w:rPr/>
        <w:t>housing</w:t>
      </w:r>
      <w:r>
        <w:rPr>
          <w:spacing w:val="-7"/>
        </w:rPr>
        <w:t> </w:t>
      </w:r>
      <w:r>
        <w:rPr/>
        <w:t>market</w:t>
      </w:r>
      <w:r>
        <w:rPr>
          <w:spacing w:val="-4"/>
        </w:rPr>
        <w:t> </w:t>
      </w:r>
      <w:r>
        <w:rPr/>
        <w:t>using</w:t>
      </w:r>
      <w:r>
        <w:rPr>
          <w:spacing w:val="-7"/>
        </w:rPr>
        <w:t> </w:t>
      </w:r>
      <w:r>
        <w:rPr/>
        <w:t>space</w:t>
      </w:r>
      <w:r>
        <w:rPr>
          <w:spacing w:val="-6"/>
        </w:rPr>
        <w:t> </w:t>
      </w:r>
      <w:r>
        <w:rPr/>
        <w:t>syntax</w:t>
      </w:r>
      <w:r>
        <w:rPr>
          <w:spacing w:val="-3"/>
        </w:rPr>
        <w:t> </w:t>
      </w:r>
      <w:r>
        <w:rPr/>
        <w:t>method.</w:t>
      </w:r>
      <w:r>
        <w:rPr>
          <w:spacing w:val="-5"/>
        </w:rPr>
        <w:t> </w:t>
      </w:r>
      <w:r>
        <w:rPr/>
        <w:t>The</w:t>
      </w:r>
      <w:r>
        <w:rPr>
          <w:spacing w:val="-6"/>
        </w:rPr>
        <w:t> </w:t>
      </w:r>
      <w:r>
        <w:rPr/>
        <w:t>study</w:t>
      </w:r>
      <w:r>
        <w:rPr>
          <w:spacing w:val="-10"/>
        </w:rPr>
        <w:t> </w:t>
      </w:r>
      <w:r>
        <w:rPr/>
        <w:t>captured</w:t>
      </w:r>
      <w:r>
        <w:rPr>
          <w:spacing w:val="-5"/>
        </w:rPr>
        <w:t> </w:t>
      </w:r>
      <w:r>
        <w:rPr/>
        <w:t>two</w:t>
      </w:r>
      <w:r>
        <w:rPr>
          <w:spacing w:val="-5"/>
        </w:rPr>
        <w:t> </w:t>
      </w:r>
      <w:r>
        <w:rPr/>
        <w:t>cities;</w:t>
      </w:r>
      <w:r>
        <w:rPr>
          <w:spacing w:val="-5"/>
        </w:rPr>
        <w:t> </w:t>
      </w:r>
      <w:r>
        <w:rPr/>
        <w:t>Cardiff</w:t>
      </w:r>
      <w:r>
        <w:rPr>
          <w:spacing w:val="-6"/>
        </w:rPr>
        <w:t> </w:t>
      </w:r>
      <w:r>
        <w:rPr/>
        <w:t>in UK and Nanjing in China where it was found out that there is a significant influence of urban morphology on the price of housing of both housing markets.</w:t>
      </w:r>
    </w:p>
    <w:p>
      <w:pPr>
        <w:pStyle w:val="Heading1"/>
        <w:numPr>
          <w:ilvl w:val="3"/>
          <w:numId w:val="5"/>
        </w:numPr>
        <w:tabs>
          <w:tab w:pos="1024" w:val="left" w:leader="none"/>
        </w:tabs>
        <w:spacing w:line="240" w:lineRule="auto" w:before="246" w:after="0"/>
        <w:ind w:left="1024" w:right="0" w:hanging="719"/>
        <w:jc w:val="both"/>
      </w:pPr>
      <w:r>
        <w:rPr/>
        <w:t>National</w:t>
      </w:r>
      <w:r>
        <w:rPr>
          <w:spacing w:val="-2"/>
        </w:rPr>
        <w:t> </w:t>
      </w:r>
      <w:r>
        <w:rPr/>
        <w:t>economy (micro</w:t>
      </w:r>
      <w:r>
        <w:rPr>
          <w:spacing w:val="-2"/>
        </w:rPr>
        <w:t> </w:t>
      </w:r>
      <w:r>
        <w:rPr/>
        <w:t>and</w:t>
      </w:r>
      <w:r>
        <w:rPr>
          <w:spacing w:val="-1"/>
        </w:rPr>
        <w:t> </w:t>
      </w:r>
      <w:r>
        <w:rPr/>
        <w:t>macro)</w:t>
      </w:r>
      <w:r>
        <w:rPr>
          <w:spacing w:val="-2"/>
        </w:rPr>
        <w:t> </w:t>
      </w:r>
      <w:r>
        <w:rPr/>
        <w:t>as</w:t>
      </w:r>
      <w:r>
        <w:rPr>
          <w:spacing w:val="-3"/>
        </w:rPr>
        <w:t> </w:t>
      </w:r>
      <w:r>
        <w:rPr/>
        <w:t>determinants</w:t>
      </w:r>
      <w:r>
        <w:rPr>
          <w:spacing w:val="-1"/>
        </w:rPr>
        <w:t> </w:t>
      </w:r>
      <w:r>
        <w:rPr/>
        <w:t>of</w:t>
      </w:r>
      <w:r>
        <w:rPr>
          <w:spacing w:val="-1"/>
        </w:rPr>
        <w:t> </w:t>
      </w:r>
      <w:r>
        <w:rPr/>
        <w:t>housing</w:t>
      </w:r>
      <w:r>
        <w:rPr>
          <w:spacing w:val="-2"/>
        </w:rPr>
        <w:t> prices</w:t>
      </w:r>
    </w:p>
    <w:p>
      <w:pPr>
        <w:pStyle w:val="BodyText"/>
        <w:spacing w:before="232"/>
        <w:jc w:val="left"/>
        <w:rPr>
          <w:b/>
        </w:rPr>
      </w:pPr>
    </w:p>
    <w:p>
      <w:pPr>
        <w:pStyle w:val="BodyText"/>
        <w:spacing w:line="480" w:lineRule="auto"/>
        <w:ind w:left="305" w:right="516"/>
      </w:pPr>
      <w:r>
        <w:rPr/>
        <w:t>Scholars have considered national economic performance indicators in terms of both micro and macroeconomics to be determinants of housing market. For example, Killins </w:t>
      </w:r>
      <w:r>
        <w:rPr>
          <w:i/>
        </w:rPr>
        <w:t>et al</w:t>
      </w:r>
      <w:r>
        <w:rPr/>
        <w:t>. (2017) studied the oil shocks impact on the United States and Canada housing market.</w:t>
      </w:r>
      <w:r>
        <w:rPr>
          <w:spacing w:val="-2"/>
        </w:rPr>
        <w:t> </w:t>
      </w:r>
      <w:r>
        <w:rPr/>
        <w:t>Structural vector</w:t>
      </w:r>
      <w:r>
        <w:rPr>
          <w:spacing w:val="-1"/>
        </w:rPr>
        <w:t> </w:t>
      </w:r>
      <w:r>
        <w:rPr/>
        <w:t>autoregressive</w:t>
      </w:r>
      <w:r>
        <w:rPr>
          <w:spacing w:val="-2"/>
        </w:rPr>
        <w:t> </w:t>
      </w:r>
      <w:r>
        <w:rPr/>
        <w:t>model</w:t>
      </w:r>
      <w:r>
        <w:rPr>
          <w:spacing w:val="-1"/>
        </w:rPr>
        <w:t> </w:t>
      </w:r>
      <w:r>
        <w:rPr/>
        <w:t>was</w:t>
      </w:r>
      <w:r>
        <w:rPr>
          <w:spacing w:val="-1"/>
        </w:rPr>
        <w:t> </w:t>
      </w:r>
      <w:r>
        <w:rPr/>
        <w:t>use</w:t>
      </w:r>
      <w:r>
        <w:rPr>
          <w:spacing w:val="-1"/>
        </w:rPr>
        <w:t> </w:t>
      </w:r>
      <w:r>
        <w:rPr/>
        <w:t>to</w:t>
      </w:r>
      <w:r>
        <w:rPr>
          <w:spacing w:val="-2"/>
        </w:rPr>
        <w:t> </w:t>
      </w:r>
      <w:r>
        <w:rPr/>
        <w:t>found</w:t>
      </w:r>
      <w:r>
        <w:rPr>
          <w:spacing w:val="-1"/>
        </w:rPr>
        <w:t> </w:t>
      </w:r>
      <w:r>
        <w:rPr/>
        <w:t>out</w:t>
      </w:r>
      <w:r>
        <w:rPr>
          <w:spacing w:val="-2"/>
        </w:rPr>
        <w:t> </w:t>
      </w:r>
      <w:r>
        <w:rPr/>
        <w:t>that</w:t>
      </w:r>
      <w:r>
        <w:rPr>
          <w:spacing w:val="-1"/>
        </w:rPr>
        <w:t> </w:t>
      </w:r>
      <w:r>
        <w:rPr/>
        <w:t>housing</w:t>
      </w:r>
      <w:r>
        <w:rPr>
          <w:spacing w:val="-3"/>
        </w:rPr>
        <w:t> </w:t>
      </w:r>
      <w:r>
        <w:rPr>
          <w:spacing w:val="-2"/>
        </w:rPr>
        <w:t>market</w:t>
      </w:r>
    </w:p>
    <w:p>
      <w:pPr>
        <w:spacing w:after="0" w:line="480" w:lineRule="auto"/>
        <w:sectPr>
          <w:pgSz w:w="11910" w:h="16840"/>
          <w:pgMar w:header="0" w:footer="1022" w:top="1320" w:bottom="1220" w:left="1680" w:right="900"/>
        </w:sectPr>
      </w:pPr>
    </w:p>
    <w:p>
      <w:pPr>
        <w:pStyle w:val="BodyText"/>
        <w:spacing w:line="480" w:lineRule="auto" w:before="72"/>
        <w:ind w:left="305" w:right="510"/>
      </w:pPr>
      <w:r>
        <w:rPr/>
        <w:t>reaction to the shocks in oil price significantly differs depending on whether the oil market demand or supply shocks prompted the change in the oil prices and status of country oil trading. Similar study was conducted by Cameron (2018) using local projection method and found out that house price in regions respond heterogeneously</w:t>
      </w:r>
      <w:r>
        <w:rPr>
          <w:spacing w:val="-3"/>
        </w:rPr>
        <w:t> </w:t>
      </w:r>
      <w:r>
        <w:rPr/>
        <w:t>to oil price shocks. In another perspective, Antoniucci &amp; Marella (2017b), Ge (2017) and White &amp; Papastamos (2018) uses multivariate regression, agent–based model and LSDVC model respectively to found out that economic recession and financial crises have significant impact on housing price. Chen (2018) adopted Geographical Weighted Regression (GWR) in assessing the housing price spatial heterogeneity in Guangdong Province</w:t>
      </w:r>
      <w:r>
        <w:rPr>
          <w:spacing w:val="-3"/>
        </w:rPr>
        <w:t> </w:t>
      </w:r>
      <w:r>
        <w:rPr/>
        <w:t>during</w:t>
      </w:r>
      <w:r>
        <w:rPr>
          <w:spacing w:val="-5"/>
        </w:rPr>
        <w:t> </w:t>
      </w:r>
      <w:r>
        <w:rPr/>
        <w:t>1995-2014</w:t>
      </w:r>
      <w:r>
        <w:rPr>
          <w:spacing w:val="-3"/>
        </w:rPr>
        <w:t> </w:t>
      </w:r>
      <w:r>
        <w:rPr/>
        <w:t>and</w:t>
      </w:r>
      <w:r>
        <w:rPr>
          <w:spacing w:val="-3"/>
        </w:rPr>
        <w:t> </w:t>
      </w:r>
      <w:r>
        <w:rPr/>
        <w:t>its</w:t>
      </w:r>
      <w:r>
        <w:rPr>
          <w:spacing w:val="-3"/>
        </w:rPr>
        <w:t> </w:t>
      </w:r>
      <w:r>
        <w:rPr/>
        <w:t>impact</w:t>
      </w:r>
      <w:r>
        <w:rPr>
          <w:spacing w:val="-3"/>
        </w:rPr>
        <w:t> </w:t>
      </w:r>
      <w:r>
        <w:rPr/>
        <w:t>factors</w:t>
      </w:r>
      <w:r>
        <w:rPr>
          <w:spacing w:val="-1"/>
        </w:rPr>
        <w:t> </w:t>
      </w:r>
      <w:r>
        <w:rPr/>
        <w:t>spatial</w:t>
      </w:r>
      <w:r>
        <w:rPr>
          <w:spacing w:val="-3"/>
        </w:rPr>
        <w:t> </w:t>
      </w:r>
      <w:r>
        <w:rPr/>
        <w:t>heterogeneity.</w:t>
      </w:r>
      <w:r>
        <w:rPr>
          <w:spacing w:val="-3"/>
        </w:rPr>
        <w:t> </w:t>
      </w:r>
      <w:r>
        <w:rPr/>
        <w:t>The</w:t>
      </w:r>
      <w:r>
        <w:rPr>
          <w:spacing w:val="-3"/>
        </w:rPr>
        <w:t> </w:t>
      </w:r>
      <w:r>
        <w:rPr/>
        <w:t>study</w:t>
      </w:r>
      <w:r>
        <w:rPr>
          <w:spacing w:val="-7"/>
        </w:rPr>
        <w:t> </w:t>
      </w:r>
      <w:r>
        <w:rPr/>
        <w:t>found out that GDP per capita have impact on housing prices. In terms of inflation rate and interest rate, Than-Thi </w:t>
      </w:r>
      <w:r>
        <w:rPr>
          <w:i/>
        </w:rPr>
        <w:t>et al. </w:t>
      </w:r>
      <w:r>
        <w:rPr/>
        <w:t>(2019) use autoregressive model to found out that in the United States, there is a negative impact of inflation rate on the housing market in the period of economic recession (global economic crises inclusive), but for other periods, there is a weak relationship, while in the United Kingdom, there is reverse influence of interest rates on the housing market during economic recession but it is insignificant in other periods.</w:t>
      </w:r>
    </w:p>
    <w:p>
      <w:pPr>
        <w:pStyle w:val="Heading1"/>
        <w:numPr>
          <w:ilvl w:val="3"/>
          <w:numId w:val="5"/>
        </w:numPr>
        <w:tabs>
          <w:tab w:pos="1024" w:val="left" w:leader="none"/>
        </w:tabs>
        <w:spacing w:line="240" w:lineRule="auto" w:before="249" w:after="0"/>
        <w:ind w:left="1024" w:right="0" w:hanging="719"/>
        <w:jc w:val="both"/>
      </w:pPr>
      <w:r>
        <w:rPr/>
        <w:t>Policy</w:t>
      </w:r>
      <w:r>
        <w:rPr>
          <w:spacing w:val="-2"/>
        </w:rPr>
        <w:t> </w:t>
      </w:r>
      <w:r>
        <w:rPr/>
        <w:t>as</w:t>
      </w:r>
      <w:r>
        <w:rPr>
          <w:spacing w:val="-1"/>
        </w:rPr>
        <w:t> </w:t>
      </w:r>
      <w:r>
        <w:rPr/>
        <w:t>determinants</w:t>
      </w:r>
      <w:r>
        <w:rPr>
          <w:spacing w:val="2"/>
        </w:rPr>
        <w:t> </w:t>
      </w:r>
      <w:r>
        <w:rPr/>
        <w:t>of</w:t>
      </w:r>
      <w:r>
        <w:rPr>
          <w:spacing w:val="-1"/>
        </w:rPr>
        <w:t> </w:t>
      </w:r>
      <w:r>
        <w:rPr/>
        <w:t>housing</w:t>
      </w:r>
      <w:r>
        <w:rPr>
          <w:spacing w:val="-1"/>
        </w:rPr>
        <w:t> </w:t>
      </w:r>
      <w:r>
        <w:rPr>
          <w:spacing w:val="-2"/>
        </w:rPr>
        <w:t>prices</w:t>
      </w:r>
    </w:p>
    <w:p>
      <w:pPr>
        <w:pStyle w:val="BodyText"/>
        <w:spacing w:before="233"/>
        <w:jc w:val="left"/>
        <w:rPr>
          <w:b/>
        </w:rPr>
      </w:pPr>
    </w:p>
    <w:p>
      <w:pPr>
        <w:pStyle w:val="BodyText"/>
        <w:spacing w:line="480" w:lineRule="auto"/>
        <w:ind w:left="305" w:right="512"/>
      </w:pPr>
      <w:r>
        <w:rPr/>
        <w:t>Government</w:t>
      </w:r>
      <w:r>
        <w:rPr>
          <w:spacing w:val="-5"/>
        </w:rPr>
        <w:t> </w:t>
      </w:r>
      <w:r>
        <w:rPr/>
        <w:t>policies</w:t>
      </w:r>
      <w:r>
        <w:rPr>
          <w:spacing w:val="-6"/>
        </w:rPr>
        <w:t> </w:t>
      </w:r>
      <w:r>
        <w:rPr/>
        <w:t>such</w:t>
      </w:r>
      <w:r>
        <w:rPr>
          <w:spacing w:val="-6"/>
        </w:rPr>
        <w:t> </w:t>
      </w:r>
      <w:r>
        <w:rPr/>
        <w:t>as</w:t>
      </w:r>
      <w:r>
        <w:rPr>
          <w:spacing w:val="-6"/>
        </w:rPr>
        <w:t> </w:t>
      </w:r>
      <w:r>
        <w:rPr/>
        <w:t>development</w:t>
      </w:r>
      <w:r>
        <w:rPr>
          <w:spacing w:val="-3"/>
        </w:rPr>
        <w:t> </w:t>
      </w:r>
      <w:r>
        <w:rPr/>
        <w:t>control,</w:t>
      </w:r>
      <w:r>
        <w:rPr>
          <w:spacing w:val="-6"/>
        </w:rPr>
        <w:t> </w:t>
      </w:r>
      <w:r>
        <w:rPr/>
        <w:t>energy</w:t>
      </w:r>
      <w:r>
        <w:rPr>
          <w:spacing w:val="-8"/>
        </w:rPr>
        <w:t> </w:t>
      </w:r>
      <w:r>
        <w:rPr/>
        <w:t>control,</w:t>
      </w:r>
      <w:r>
        <w:rPr>
          <w:spacing w:val="-6"/>
        </w:rPr>
        <w:t> </w:t>
      </w:r>
      <w:r>
        <w:rPr/>
        <w:t>urban</w:t>
      </w:r>
      <w:r>
        <w:rPr>
          <w:spacing w:val="-6"/>
        </w:rPr>
        <w:t> </w:t>
      </w:r>
      <w:r>
        <w:rPr/>
        <w:t>renewal</w:t>
      </w:r>
      <w:r>
        <w:rPr>
          <w:spacing w:val="-5"/>
        </w:rPr>
        <w:t> </w:t>
      </w:r>
      <w:r>
        <w:rPr/>
        <w:t>policy, tax, tenure security, government intervention on rent, housing supply policy, economic policy and bank credit have been considered as housing market determinants in the literature. For instance, Zhang &amp; Zhao (2018) use ordinary</w:t>
      </w:r>
      <w:r>
        <w:rPr>
          <w:spacing w:val="-4"/>
        </w:rPr>
        <w:t> </w:t>
      </w:r>
      <w:r>
        <w:rPr/>
        <w:t>least squares and multi-level hedonic models to found out that a higher tenure security increases the housing price. Zhou</w:t>
      </w:r>
      <w:r>
        <w:rPr>
          <w:spacing w:val="58"/>
        </w:rPr>
        <w:t> </w:t>
      </w:r>
      <w:r>
        <w:rPr/>
        <w:t>(2018)</w:t>
      </w:r>
      <w:r>
        <w:rPr>
          <w:spacing w:val="59"/>
        </w:rPr>
        <w:t> </w:t>
      </w:r>
      <w:r>
        <w:rPr/>
        <w:t>using</w:t>
      </w:r>
      <w:r>
        <w:rPr>
          <w:spacing w:val="57"/>
        </w:rPr>
        <w:t> </w:t>
      </w:r>
      <w:r>
        <w:rPr/>
        <w:t>Principal</w:t>
      </w:r>
      <w:r>
        <w:rPr>
          <w:spacing w:val="58"/>
        </w:rPr>
        <w:t> </w:t>
      </w:r>
      <w:r>
        <w:rPr/>
        <w:t>component</w:t>
      </w:r>
      <w:r>
        <w:rPr>
          <w:spacing w:val="58"/>
        </w:rPr>
        <w:t> </w:t>
      </w:r>
      <w:r>
        <w:rPr/>
        <w:t>and</w:t>
      </w:r>
      <w:r>
        <w:rPr>
          <w:spacing w:val="58"/>
        </w:rPr>
        <w:t> </w:t>
      </w:r>
      <w:r>
        <w:rPr/>
        <w:t>lagged</w:t>
      </w:r>
      <w:r>
        <w:rPr>
          <w:spacing w:val="58"/>
        </w:rPr>
        <w:t> </w:t>
      </w:r>
      <w:r>
        <w:rPr/>
        <w:t>sentiment</w:t>
      </w:r>
      <w:r>
        <w:rPr>
          <w:spacing w:val="58"/>
        </w:rPr>
        <w:t> </w:t>
      </w:r>
      <w:r>
        <w:rPr/>
        <w:t>proxies</w:t>
      </w:r>
      <w:r>
        <w:rPr>
          <w:spacing w:val="58"/>
        </w:rPr>
        <w:t> </w:t>
      </w:r>
      <w:r>
        <w:rPr/>
        <w:t>suggest</w:t>
      </w:r>
      <w:r>
        <w:rPr>
          <w:spacing w:val="60"/>
        </w:rPr>
        <w:t> </w:t>
      </w:r>
      <w:r>
        <w:rPr>
          <w:spacing w:val="-4"/>
        </w:rPr>
        <w:t>that</w:t>
      </w:r>
    </w:p>
    <w:p>
      <w:pPr>
        <w:pStyle w:val="BodyText"/>
        <w:spacing w:line="274" w:lineRule="exact"/>
        <w:ind w:left="305"/>
      </w:pPr>
      <w:r>
        <w:rPr/>
        <w:t>government</w:t>
      </w:r>
      <w:r>
        <w:rPr>
          <w:spacing w:val="-11"/>
        </w:rPr>
        <w:t> </w:t>
      </w:r>
      <w:r>
        <w:rPr/>
        <w:t>interventions</w:t>
      </w:r>
      <w:r>
        <w:rPr>
          <w:spacing w:val="-7"/>
        </w:rPr>
        <w:t> </w:t>
      </w:r>
      <w:r>
        <w:rPr/>
        <w:t>have</w:t>
      </w:r>
      <w:r>
        <w:rPr>
          <w:spacing w:val="-11"/>
        </w:rPr>
        <w:t> </w:t>
      </w:r>
      <w:r>
        <w:rPr/>
        <w:t>impact</w:t>
      </w:r>
      <w:r>
        <w:rPr>
          <w:spacing w:val="-8"/>
        </w:rPr>
        <w:t> </w:t>
      </w:r>
      <w:r>
        <w:rPr/>
        <w:t>on</w:t>
      </w:r>
      <w:r>
        <w:rPr>
          <w:spacing w:val="-10"/>
        </w:rPr>
        <w:t> </w:t>
      </w:r>
      <w:r>
        <w:rPr/>
        <w:t>housing</w:t>
      </w:r>
      <w:r>
        <w:rPr>
          <w:spacing w:val="-10"/>
        </w:rPr>
        <w:t> </w:t>
      </w:r>
      <w:r>
        <w:rPr/>
        <w:t>market.</w:t>
      </w:r>
      <w:r>
        <w:rPr>
          <w:spacing w:val="-9"/>
        </w:rPr>
        <w:t> </w:t>
      </w:r>
      <w:r>
        <w:rPr/>
        <w:t>Similar</w:t>
      </w:r>
      <w:r>
        <w:rPr>
          <w:spacing w:val="-9"/>
        </w:rPr>
        <w:t> </w:t>
      </w:r>
      <w:r>
        <w:rPr/>
        <w:t>result</w:t>
      </w:r>
      <w:r>
        <w:rPr>
          <w:spacing w:val="-9"/>
        </w:rPr>
        <w:t> </w:t>
      </w:r>
      <w:r>
        <w:rPr/>
        <w:t>was</w:t>
      </w:r>
      <w:r>
        <w:rPr>
          <w:spacing w:val="-9"/>
        </w:rPr>
        <w:t> </w:t>
      </w:r>
      <w:r>
        <w:rPr/>
        <w:t>recorded</w:t>
      </w:r>
      <w:r>
        <w:rPr>
          <w:spacing w:val="-9"/>
        </w:rPr>
        <w:t> </w:t>
      </w:r>
      <w:r>
        <w:rPr>
          <w:spacing w:val="-5"/>
        </w:rPr>
        <w:t>by</w:t>
      </w:r>
    </w:p>
    <w:p>
      <w:pPr>
        <w:spacing w:after="0" w:line="274" w:lineRule="exact"/>
        <w:sectPr>
          <w:pgSz w:w="11910" w:h="16840"/>
          <w:pgMar w:header="0" w:footer="1022" w:top="1320" w:bottom="1220" w:left="1680" w:right="900"/>
        </w:sectPr>
      </w:pPr>
    </w:p>
    <w:p>
      <w:pPr>
        <w:pStyle w:val="BodyText"/>
        <w:spacing w:line="482" w:lineRule="auto" w:before="72"/>
        <w:ind w:left="305" w:right="514"/>
      </w:pPr>
      <w:r>
        <w:rPr/>
        <w:t>Chung </w:t>
      </w:r>
      <w:r>
        <w:rPr>
          <w:i/>
        </w:rPr>
        <w:t>et al. </w:t>
      </w:r>
      <w:r>
        <w:rPr/>
        <w:t>(2018) using spatial approach and Hedonic Model. In a study by Huang </w:t>
      </w:r>
      <w:r>
        <w:rPr>
          <w:i/>
        </w:rPr>
        <w:t>et al. </w:t>
      </w:r>
      <w:r>
        <w:rPr/>
        <w:t>(2018) using regression model suggest that housing market is prosperous when economic policy is stable and there is a positive relationship between housing price variation</w:t>
      </w:r>
      <w:r>
        <w:rPr>
          <w:spacing w:val="-15"/>
        </w:rPr>
        <w:t> </w:t>
      </w:r>
      <w:r>
        <w:rPr/>
        <w:t>and</w:t>
      </w:r>
      <w:r>
        <w:rPr>
          <w:spacing w:val="-15"/>
        </w:rPr>
        <w:t> </w:t>
      </w:r>
      <w:r>
        <w:rPr/>
        <w:t>economic</w:t>
      </w:r>
      <w:r>
        <w:rPr>
          <w:spacing w:val="-15"/>
        </w:rPr>
        <w:t> </w:t>
      </w:r>
      <w:r>
        <w:rPr/>
        <w:t>policy</w:t>
      </w:r>
      <w:r>
        <w:rPr>
          <w:spacing w:val="-15"/>
        </w:rPr>
        <w:t> </w:t>
      </w:r>
      <w:r>
        <w:rPr/>
        <w:t>uncertainty,</w:t>
      </w:r>
      <w:r>
        <w:rPr>
          <w:spacing w:val="-15"/>
        </w:rPr>
        <w:t> </w:t>
      </w:r>
      <w:r>
        <w:rPr/>
        <w:t>which</w:t>
      </w:r>
      <w:r>
        <w:rPr>
          <w:spacing w:val="-15"/>
        </w:rPr>
        <w:t> </w:t>
      </w:r>
      <w:r>
        <w:rPr/>
        <w:t>means</w:t>
      </w:r>
      <w:r>
        <w:rPr>
          <w:spacing w:val="-15"/>
        </w:rPr>
        <w:t> </w:t>
      </w:r>
      <w:r>
        <w:rPr/>
        <w:t>housing</w:t>
      </w:r>
      <w:r>
        <w:rPr>
          <w:spacing w:val="-15"/>
        </w:rPr>
        <w:t> </w:t>
      </w:r>
      <w:r>
        <w:rPr/>
        <w:t>market</w:t>
      </w:r>
      <w:r>
        <w:rPr>
          <w:spacing w:val="-15"/>
        </w:rPr>
        <w:t> </w:t>
      </w:r>
      <w:r>
        <w:rPr/>
        <w:t>risk</w:t>
      </w:r>
      <w:r>
        <w:rPr>
          <w:spacing w:val="-15"/>
        </w:rPr>
        <w:t> </w:t>
      </w:r>
      <w:r>
        <w:rPr/>
        <w:t>grows</w:t>
      </w:r>
      <w:r>
        <w:rPr>
          <w:spacing w:val="-15"/>
        </w:rPr>
        <w:t> </w:t>
      </w:r>
      <w:r>
        <w:rPr/>
        <w:t>under unstable economic policies. Bérard &amp; Trannoy (2018) using month</w:t>
      </w:r>
      <w:r>
        <w:rPr>
          <w:rFonts w:ascii="MS Gothic" w:hAnsi="MS Gothic"/>
        </w:rPr>
        <w:t>‑</w:t>
      </w:r>
      <w:r>
        <w:rPr/>
        <w:t>based model and hedonic model found out that increase in the real estate transfer tax sizable have short</w:t>
      </w:r>
      <w:r>
        <w:rPr>
          <w:rFonts w:ascii="MS Gothic" w:hAnsi="MS Gothic"/>
        </w:rPr>
        <w:t>‑</w:t>
      </w:r>
      <w:r>
        <w:rPr/>
        <w:t>term effect – but no medium or long</w:t>
      </w:r>
      <w:r>
        <w:rPr>
          <w:rFonts w:ascii="MS Gothic" w:hAnsi="MS Gothic"/>
        </w:rPr>
        <w:t>‑</w:t>
      </w:r>
      <w:r>
        <w:rPr/>
        <w:t>run effect on the housing price. In another perspective,</w:t>
      </w:r>
      <w:r>
        <w:rPr>
          <w:spacing w:val="-3"/>
        </w:rPr>
        <w:t> </w:t>
      </w:r>
      <w:r>
        <w:rPr/>
        <w:t>He</w:t>
      </w:r>
      <w:r>
        <w:rPr>
          <w:spacing w:val="-4"/>
        </w:rPr>
        <w:t> </w:t>
      </w:r>
      <w:r>
        <w:rPr>
          <w:i/>
        </w:rPr>
        <w:t>et</w:t>
      </w:r>
      <w:r>
        <w:rPr>
          <w:i/>
          <w:spacing w:val="-5"/>
        </w:rPr>
        <w:t> </w:t>
      </w:r>
      <w:r>
        <w:rPr>
          <w:i/>
        </w:rPr>
        <w:t>al.</w:t>
      </w:r>
      <w:r>
        <w:rPr>
          <w:i/>
          <w:spacing w:val="-5"/>
        </w:rPr>
        <w:t> </w:t>
      </w:r>
      <w:r>
        <w:rPr/>
        <w:t>(2018)</w:t>
      </w:r>
      <w:r>
        <w:rPr>
          <w:spacing w:val="-6"/>
        </w:rPr>
        <w:t> </w:t>
      </w:r>
      <w:r>
        <w:rPr/>
        <w:t>studied</w:t>
      </w:r>
      <w:r>
        <w:rPr>
          <w:spacing w:val="-6"/>
        </w:rPr>
        <w:t> </w:t>
      </w:r>
      <w:r>
        <w:rPr/>
        <w:t>relationship</w:t>
      </w:r>
      <w:r>
        <w:rPr>
          <w:spacing w:val="-5"/>
        </w:rPr>
        <w:t> </w:t>
      </w:r>
      <w:r>
        <w:rPr/>
        <w:t>between</w:t>
      </w:r>
      <w:r>
        <w:rPr>
          <w:spacing w:val="-6"/>
        </w:rPr>
        <w:t> </w:t>
      </w:r>
      <w:r>
        <w:rPr/>
        <w:t>housing</w:t>
      </w:r>
      <w:r>
        <w:rPr>
          <w:spacing w:val="-8"/>
        </w:rPr>
        <w:t> </w:t>
      </w:r>
      <w:r>
        <w:rPr/>
        <w:t>prices</w:t>
      </w:r>
      <w:r>
        <w:rPr>
          <w:spacing w:val="-6"/>
        </w:rPr>
        <w:t> </w:t>
      </w:r>
      <w:r>
        <w:rPr/>
        <w:t>and</w:t>
      </w:r>
      <w:r>
        <w:rPr>
          <w:spacing w:val="-6"/>
        </w:rPr>
        <w:t> </w:t>
      </w:r>
      <w:r>
        <w:rPr/>
        <w:t>bank</w:t>
      </w:r>
      <w:r>
        <w:rPr>
          <w:spacing w:val="-6"/>
        </w:rPr>
        <w:t> </w:t>
      </w:r>
      <w:r>
        <w:rPr/>
        <w:t>credit using vector autoregression (VAR) model with stochastic volatility found out that all kinds of bank credit influences of housing prices.</w:t>
      </w:r>
    </w:p>
    <w:p>
      <w:pPr>
        <w:pStyle w:val="BodyText"/>
        <w:jc w:val="left"/>
      </w:pPr>
    </w:p>
    <w:p>
      <w:pPr>
        <w:pStyle w:val="BodyText"/>
        <w:jc w:val="left"/>
      </w:pPr>
    </w:p>
    <w:p>
      <w:pPr>
        <w:pStyle w:val="BodyText"/>
        <w:spacing w:before="197"/>
        <w:jc w:val="left"/>
      </w:pPr>
    </w:p>
    <w:p>
      <w:pPr>
        <w:pStyle w:val="Heading1"/>
        <w:numPr>
          <w:ilvl w:val="2"/>
          <w:numId w:val="5"/>
        </w:numPr>
        <w:tabs>
          <w:tab w:pos="1025" w:val="left" w:leader="none"/>
        </w:tabs>
        <w:spacing w:line="240" w:lineRule="auto" w:before="0" w:after="0"/>
        <w:ind w:left="1025" w:right="0" w:hanging="720"/>
        <w:jc w:val="left"/>
      </w:pPr>
      <w:r>
        <w:rPr/>
        <w:t>Housing</w:t>
      </w:r>
      <w:r>
        <w:rPr>
          <w:spacing w:val="-1"/>
        </w:rPr>
        <w:t> </w:t>
      </w:r>
      <w:r>
        <w:rPr/>
        <w:t>market</w:t>
      </w:r>
      <w:r>
        <w:rPr>
          <w:spacing w:val="-1"/>
        </w:rPr>
        <w:t> </w:t>
      </w:r>
      <w:r>
        <w:rPr/>
        <w:t>determinants</w:t>
      </w:r>
      <w:r>
        <w:rPr>
          <w:spacing w:val="-1"/>
        </w:rPr>
        <w:t> </w:t>
      </w:r>
      <w:r>
        <w:rPr>
          <w:spacing w:val="-2"/>
        </w:rPr>
        <w:t>variables</w:t>
      </w:r>
    </w:p>
    <w:p>
      <w:pPr>
        <w:pStyle w:val="BodyText"/>
        <w:spacing w:before="236"/>
        <w:jc w:val="left"/>
        <w:rPr>
          <w:b/>
        </w:rPr>
      </w:pPr>
    </w:p>
    <w:p>
      <w:pPr>
        <w:pStyle w:val="BodyText"/>
        <w:spacing w:line="477" w:lineRule="auto"/>
        <w:ind w:left="305" w:right="518"/>
      </w:pPr>
      <w:r>
        <w:rPr/>
        <w:t>Variables for housing price determinants have been identified from the literature and group accordingly in Table 2.1.</w:t>
      </w:r>
    </w:p>
    <w:p>
      <w:pPr>
        <w:pStyle w:val="Heading1"/>
        <w:spacing w:before="250" w:after="45"/>
        <w:ind w:left="305" w:firstLine="0"/>
      </w:pPr>
      <w:r>
        <w:rPr/>
        <w:t>Table</w:t>
      </w:r>
      <w:r>
        <w:rPr>
          <w:spacing w:val="-3"/>
        </w:rPr>
        <w:t> </w:t>
      </w:r>
      <w:r>
        <w:rPr/>
        <w:t>2.1:</w:t>
      </w:r>
      <w:r>
        <w:rPr>
          <w:spacing w:val="-2"/>
        </w:rPr>
        <w:t> </w:t>
      </w:r>
      <w:r>
        <w:rPr/>
        <w:t>Housing</w:t>
      </w:r>
      <w:r>
        <w:rPr>
          <w:spacing w:val="-2"/>
        </w:rPr>
        <w:t> </w:t>
      </w:r>
      <w:r>
        <w:rPr/>
        <w:t>Market</w:t>
      </w:r>
      <w:r>
        <w:rPr>
          <w:spacing w:val="-2"/>
        </w:rPr>
        <w:t> </w:t>
      </w:r>
      <w:r>
        <w:rPr/>
        <w:t>Determinants</w:t>
      </w:r>
      <w:r>
        <w:rPr>
          <w:spacing w:val="-2"/>
        </w:rPr>
        <w:t> Variables</w:t>
      </w:r>
    </w:p>
    <w:tbl>
      <w:tblPr>
        <w:tblW w:w="0" w:type="auto"/>
        <w:jc w:val="left"/>
        <w:tblInd w:w="3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90"/>
        <w:gridCol w:w="2115"/>
        <w:gridCol w:w="5696"/>
      </w:tblGrid>
      <w:tr>
        <w:trPr>
          <w:trHeight w:val="551" w:hRule="atLeast"/>
        </w:trPr>
        <w:tc>
          <w:tcPr>
            <w:tcW w:w="590" w:type="dxa"/>
            <w:tcBorders>
              <w:top w:val="single" w:sz="8" w:space="0" w:color="000000"/>
              <w:bottom w:val="single" w:sz="8" w:space="0" w:color="000000"/>
            </w:tcBorders>
          </w:tcPr>
          <w:p>
            <w:pPr>
              <w:pStyle w:val="TableParagraph"/>
              <w:spacing w:line="272" w:lineRule="exact"/>
              <w:ind w:left="107"/>
              <w:jc w:val="left"/>
              <w:rPr>
                <w:b/>
                <w:sz w:val="24"/>
              </w:rPr>
            </w:pPr>
            <w:r>
              <w:rPr>
                <w:b/>
                <w:spacing w:val="-5"/>
                <w:sz w:val="24"/>
              </w:rPr>
              <w:t>S/N</w:t>
            </w:r>
          </w:p>
        </w:tc>
        <w:tc>
          <w:tcPr>
            <w:tcW w:w="2115" w:type="dxa"/>
            <w:tcBorders>
              <w:top w:val="single" w:sz="8" w:space="0" w:color="000000"/>
              <w:bottom w:val="single" w:sz="8" w:space="0" w:color="000000"/>
            </w:tcBorders>
          </w:tcPr>
          <w:p>
            <w:pPr>
              <w:pStyle w:val="TableParagraph"/>
              <w:spacing w:line="272" w:lineRule="exact"/>
              <w:ind w:left="336"/>
              <w:jc w:val="left"/>
              <w:rPr>
                <w:b/>
                <w:sz w:val="24"/>
              </w:rPr>
            </w:pPr>
            <w:r>
              <w:rPr>
                <w:b/>
                <w:sz w:val="24"/>
              </w:rPr>
              <w:t>Housing</w:t>
            </w:r>
            <w:r>
              <w:rPr>
                <w:b/>
                <w:spacing w:val="2"/>
                <w:sz w:val="24"/>
              </w:rPr>
              <w:t> </w:t>
            </w:r>
            <w:r>
              <w:rPr>
                <w:b/>
                <w:spacing w:val="-2"/>
                <w:sz w:val="24"/>
              </w:rPr>
              <w:t>Price</w:t>
            </w:r>
          </w:p>
          <w:p>
            <w:pPr>
              <w:pStyle w:val="TableParagraph"/>
              <w:spacing w:line="259" w:lineRule="exact"/>
              <w:ind w:left="405"/>
              <w:jc w:val="left"/>
              <w:rPr>
                <w:b/>
                <w:sz w:val="24"/>
              </w:rPr>
            </w:pPr>
            <w:r>
              <w:rPr>
                <w:b/>
                <w:spacing w:val="-2"/>
                <w:sz w:val="24"/>
              </w:rPr>
              <w:t>Determinant</w:t>
            </w:r>
          </w:p>
        </w:tc>
        <w:tc>
          <w:tcPr>
            <w:tcW w:w="5696" w:type="dxa"/>
            <w:tcBorders>
              <w:top w:val="single" w:sz="8" w:space="0" w:color="000000"/>
              <w:bottom w:val="single" w:sz="8" w:space="0" w:color="000000"/>
            </w:tcBorders>
          </w:tcPr>
          <w:p>
            <w:pPr>
              <w:pStyle w:val="TableParagraph"/>
              <w:spacing w:line="272" w:lineRule="exact"/>
              <w:ind w:left="0"/>
              <w:rPr>
                <w:b/>
                <w:sz w:val="24"/>
              </w:rPr>
            </w:pPr>
            <w:r>
              <w:rPr>
                <w:b/>
                <w:spacing w:val="-2"/>
                <w:sz w:val="24"/>
              </w:rPr>
              <w:t>Variables</w:t>
            </w:r>
          </w:p>
        </w:tc>
      </w:tr>
      <w:tr>
        <w:trPr>
          <w:trHeight w:val="1377" w:hRule="atLeast"/>
        </w:trPr>
        <w:tc>
          <w:tcPr>
            <w:tcW w:w="590" w:type="dxa"/>
            <w:tcBorders>
              <w:top w:val="single" w:sz="8" w:space="0" w:color="000000"/>
            </w:tcBorders>
          </w:tcPr>
          <w:p>
            <w:pPr>
              <w:pStyle w:val="TableParagraph"/>
              <w:spacing w:line="270" w:lineRule="exact"/>
              <w:ind w:left="107"/>
              <w:jc w:val="left"/>
              <w:rPr>
                <w:sz w:val="24"/>
              </w:rPr>
            </w:pPr>
            <w:r>
              <w:rPr>
                <w:spacing w:val="-5"/>
                <w:sz w:val="24"/>
              </w:rPr>
              <w:t>1.</w:t>
            </w:r>
          </w:p>
        </w:tc>
        <w:tc>
          <w:tcPr>
            <w:tcW w:w="2115" w:type="dxa"/>
            <w:tcBorders>
              <w:top w:val="single" w:sz="8" w:space="0" w:color="000000"/>
            </w:tcBorders>
          </w:tcPr>
          <w:p>
            <w:pPr>
              <w:pStyle w:val="TableParagraph"/>
              <w:spacing w:line="270" w:lineRule="exact"/>
              <w:ind w:left="108"/>
              <w:jc w:val="left"/>
              <w:rPr>
                <w:sz w:val="24"/>
              </w:rPr>
            </w:pPr>
            <w:r>
              <w:rPr>
                <w:sz w:val="24"/>
              </w:rPr>
              <w:t>Structural</w:t>
            </w:r>
            <w:r>
              <w:rPr>
                <w:spacing w:val="-4"/>
                <w:sz w:val="24"/>
              </w:rPr>
              <w:t> </w:t>
            </w:r>
            <w:r>
              <w:rPr>
                <w:spacing w:val="-2"/>
                <w:sz w:val="24"/>
              </w:rPr>
              <w:t>attributes</w:t>
            </w:r>
          </w:p>
        </w:tc>
        <w:tc>
          <w:tcPr>
            <w:tcW w:w="5696" w:type="dxa"/>
            <w:tcBorders>
              <w:top w:val="single" w:sz="8" w:space="0" w:color="000000"/>
            </w:tcBorders>
          </w:tcPr>
          <w:p>
            <w:pPr>
              <w:pStyle w:val="TableParagraph"/>
              <w:spacing w:line="240" w:lineRule="auto"/>
              <w:ind w:left="110" w:right="110"/>
              <w:jc w:val="both"/>
              <w:rPr>
                <w:sz w:val="24"/>
              </w:rPr>
            </w:pPr>
            <w:r>
              <w:rPr>
                <w:sz w:val="24"/>
              </w:rPr>
              <w:t>Housing type, building materials (type of roof etc.), obsolescence, age of building, building </w:t>
            </w:r>
            <w:r>
              <w:rPr>
                <w:sz w:val="24"/>
              </w:rPr>
              <w:t>condition, building</w:t>
            </w:r>
            <w:r>
              <w:rPr>
                <w:spacing w:val="-15"/>
                <w:sz w:val="24"/>
              </w:rPr>
              <w:t> </w:t>
            </w:r>
            <w:r>
              <w:rPr>
                <w:sz w:val="24"/>
              </w:rPr>
              <w:t>facilities</w:t>
            </w:r>
            <w:r>
              <w:rPr>
                <w:spacing w:val="-15"/>
                <w:sz w:val="24"/>
              </w:rPr>
              <w:t> </w:t>
            </w:r>
            <w:r>
              <w:rPr>
                <w:sz w:val="24"/>
              </w:rPr>
              <w:t>(electricity,</w:t>
            </w:r>
            <w:r>
              <w:rPr>
                <w:spacing w:val="-15"/>
                <w:sz w:val="24"/>
              </w:rPr>
              <w:t> </w:t>
            </w:r>
            <w:r>
              <w:rPr>
                <w:sz w:val="24"/>
              </w:rPr>
              <w:t>toilet,</w:t>
            </w:r>
            <w:r>
              <w:rPr>
                <w:spacing w:val="-15"/>
                <w:sz w:val="24"/>
              </w:rPr>
              <w:t> </w:t>
            </w:r>
            <w:r>
              <w:rPr>
                <w:sz w:val="24"/>
              </w:rPr>
              <w:t>water,</w:t>
            </w:r>
            <w:r>
              <w:rPr>
                <w:spacing w:val="-15"/>
                <w:sz w:val="24"/>
              </w:rPr>
              <w:t> </w:t>
            </w:r>
            <w:r>
              <w:rPr>
                <w:sz w:val="24"/>
              </w:rPr>
              <w:t>dining,</w:t>
            </w:r>
            <w:r>
              <w:rPr>
                <w:spacing w:val="-13"/>
                <w:sz w:val="24"/>
              </w:rPr>
              <w:t> </w:t>
            </w:r>
            <w:r>
              <w:rPr>
                <w:sz w:val="24"/>
              </w:rPr>
              <w:t>size</w:t>
            </w:r>
            <w:r>
              <w:rPr>
                <w:spacing w:val="-15"/>
                <w:sz w:val="24"/>
              </w:rPr>
              <w:t> </w:t>
            </w:r>
            <w:r>
              <w:rPr>
                <w:sz w:val="24"/>
              </w:rPr>
              <w:t>of rooms,</w:t>
            </w:r>
            <w:r>
              <w:rPr>
                <w:spacing w:val="-14"/>
                <w:sz w:val="24"/>
              </w:rPr>
              <w:t> </w:t>
            </w:r>
            <w:r>
              <w:rPr>
                <w:sz w:val="24"/>
              </w:rPr>
              <w:t>type</w:t>
            </w:r>
            <w:r>
              <w:rPr>
                <w:spacing w:val="-11"/>
                <w:sz w:val="24"/>
              </w:rPr>
              <w:t> </w:t>
            </w:r>
            <w:r>
              <w:rPr>
                <w:sz w:val="24"/>
              </w:rPr>
              <w:t>and</w:t>
            </w:r>
            <w:r>
              <w:rPr>
                <w:spacing w:val="-12"/>
                <w:sz w:val="24"/>
              </w:rPr>
              <w:t> </w:t>
            </w:r>
            <w:r>
              <w:rPr>
                <w:sz w:val="24"/>
              </w:rPr>
              <w:t>size</w:t>
            </w:r>
            <w:r>
              <w:rPr>
                <w:spacing w:val="-13"/>
                <w:sz w:val="24"/>
              </w:rPr>
              <w:t> </w:t>
            </w:r>
            <w:r>
              <w:rPr>
                <w:sz w:val="24"/>
              </w:rPr>
              <w:t>of</w:t>
            </w:r>
            <w:r>
              <w:rPr>
                <w:spacing w:val="-11"/>
                <w:sz w:val="24"/>
              </w:rPr>
              <w:t> </w:t>
            </w:r>
            <w:r>
              <w:rPr>
                <w:sz w:val="24"/>
              </w:rPr>
              <w:t>doors</w:t>
            </w:r>
            <w:r>
              <w:rPr>
                <w:spacing w:val="-13"/>
                <w:sz w:val="24"/>
              </w:rPr>
              <w:t> </w:t>
            </w:r>
            <w:r>
              <w:rPr>
                <w:sz w:val="24"/>
              </w:rPr>
              <w:t>and</w:t>
            </w:r>
            <w:r>
              <w:rPr>
                <w:spacing w:val="-12"/>
                <w:sz w:val="24"/>
              </w:rPr>
              <w:t> </w:t>
            </w:r>
            <w:r>
              <w:rPr>
                <w:sz w:val="24"/>
              </w:rPr>
              <w:t>windows,</w:t>
            </w:r>
            <w:r>
              <w:rPr>
                <w:spacing w:val="-11"/>
                <w:sz w:val="24"/>
              </w:rPr>
              <w:t> </w:t>
            </w:r>
            <w:r>
              <w:rPr>
                <w:sz w:val="24"/>
              </w:rPr>
              <w:t>security</w:t>
            </w:r>
            <w:r>
              <w:rPr>
                <w:spacing w:val="-17"/>
                <w:sz w:val="24"/>
              </w:rPr>
              <w:t> </w:t>
            </w:r>
            <w:r>
              <w:rPr>
                <w:spacing w:val="-2"/>
                <w:sz w:val="24"/>
              </w:rPr>
              <w:t>etc.),</w:t>
            </w:r>
          </w:p>
          <w:p>
            <w:pPr>
              <w:pStyle w:val="TableParagraph"/>
              <w:spacing w:line="261" w:lineRule="exact"/>
              <w:ind w:left="110"/>
              <w:jc w:val="both"/>
              <w:rPr>
                <w:sz w:val="24"/>
              </w:rPr>
            </w:pPr>
            <w:r>
              <w:rPr>
                <w:sz w:val="24"/>
              </w:rPr>
              <w:t>building</w:t>
            </w:r>
            <w:r>
              <w:rPr>
                <w:spacing w:val="-4"/>
                <w:sz w:val="24"/>
              </w:rPr>
              <w:t> </w:t>
            </w:r>
            <w:r>
              <w:rPr>
                <w:sz w:val="24"/>
              </w:rPr>
              <w:t>orientation, green</w:t>
            </w:r>
            <w:r>
              <w:rPr>
                <w:spacing w:val="-1"/>
                <w:sz w:val="24"/>
              </w:rPr>
              <w:t> </w:t>
            </w:r>
            <w:r>
              <w:rPr>
                <w:sz w:val="24"/>
              </w:rPr>
              <w:t>certified</w:t>
            </w:r>
            <w:r>
              <w:rPr>
                <w:spacing w:val="-1"/>
                <w:sz w:val="24"/>
              </w:rPr>
              <w:t> </w:t>
            </w:r>
            <w:r>
              <w:rPr>
                <w:spacing w:val="-2"/>
                <w:sz w:val="24"/>
              </w:rPr>
              <w:t>housing,</w:t>
            </w:r>
          </w:p>
        </w:tc>
      </w:tr>
      <w:tr>
        <w:trPr>
          <w:trHeight w:val="1656" w:hRule="atLeast"/>
        </w:trPr>
        <w:tc>
          <w:tcPr>
            <w:tcW w:w="590" w:type="dxa"/>
          </w:tcPr>
          <w:p>
            <w:pPr>
              <w:pStyle w:val="TableParagraph"/>
              <w:spacing w:line="273" w:lineRule="exact"/>
              <w:ind w:left="107"/>
              <w:jc w:val="left"/>
              <w:rPr>
                <w:sz w:val="24"/>
              </w:rPr>
            </w:pPr>
            <w:r>
              <w:rPr>
                <w:spacing w:val="-5"/>
                <w:sz w:val="24"/>
              </w:rPr>
              <w:t>2.</w:t>
            </w:r>
          </w:p>
        </w:tc>
        <w:tc>
          <w:tcPr>
            <w:tcW w:w="2115" w:type="dxa"/>
          </w:tcPr>
          <w:p>
            <w:pPr>
              <w:pStyle w:val="TableParagraph"/>
              <w:spacing w:line="240" w:lineRule="auto"/>
              <w:ind w:left="108" w:right="452"/>
              <w:jc w:val="both"/>
              <w:rPr>
                <w:sz w:val="24"/>
              </w:rPr>
            </w:pPr>
            <w:r>
              <w:rPr>
                <w:sz w:val="24"/>
              </w:rPr>
              <w:t>Environmental</w:t>
            </w:r>
            <w:r>
              <w:rPr>
                <w:spacing w:val="-15"/>
                <w:sz w:val="24"/>
              </w:rPr>
              <w:t> </w:t>
            </w:r>
            <w:r>
              <w:rPr>
                <w:sz w:val="24"/>
              </w:rPr>
              <w:t>/ </w:t>
            </w:r>
            <w:r>
              <w:rPr>
                <w:spacing w:val="-2"/>
                <w:sz w:val="24"/>
              </w:rPr>
              <w:t>Neighbourhood attributes</w:t>
            </w:r>
          </w:p>
        </w:tc>
        <w:tc>
          <w:tcPr>
            <w:tcW w:w="5696" w:type="dxa"/>
          </w:tcPr>
          <w:p>
            <w:pPr>
              <w:pStyle w:val="TableParagraph"/>
              <w:spacing w:line="240" w:lineRule="auto"/>
              <w:ind w:left="110" w:right="106"/>
              <w:jc w:val="both"/>
              <w:rPr>
                <w:sz w:val="24"/>
              </w:rPr>
            </w:pPr>
            <w:r>
              <w:rPr>
                <w:sz w:val="24"/>
              </w:rPr>
              <w:t>Pollution (water, air, noise and land), flood risk, gas development risk, parks, neighbourhood </w:t>
            </w:r>
            <w:r>
              <w:rPr>
                <w:sz w:val="24"/>
              </w:rPr>
              <w:t>facilities (sewage,</w:t>
            </w:r>
            <w:r>
              <w:rPr>
                <w:spacing w:val="-10"/>
                <w:sz w:val="24"/>
              </w:rPr>
              <w:t> </w:t>
            </w:r>
            <w:r>
              <w:rPr>
                <w:sz w:val="24"/>
              </w:rPr>
              <w:t>street</w:t>
            </w:r>
            <w:r>
              <w:rPr>
                <w:spacing w:val="-10"/>
                <w:sz w:val="24"/>
              </w:rPr>
              <w:t> </w:t>
            </w:r>
            <w:r>
              <w:rPr>
                <w:sz w:val="24"/>
              </w:rPr>
              <w:t>light,</w:t>
            </w:r>
            <w:r>
              <w:rPr>
                <w:spacing w:val="-8"/>
                <w:sz w:val="24"/>
              </w:rPr>
              <w:t> </w:t>
            </w:r>
            <w:r>
              <w:rPr>
                <w:sz w:val="24"/>
              </w:rPr>
              <w:t>road,</w:t>
            </w:r>
            <w:r>
              <w:rPr>
                <w:spacing w:val="-10"/>
                <w:sz w:val="24"/>
              </w:rPr>
              <w:t> </w:t>
            </w:r>
            <w:r>
              <w:rPr>
                <w:sz w:val="24"/>
              </w:rPr>
              <w:t>drainage,</w:t>
            </w:r>
            <w:r>
              <w:rPr>
                <w:spacing w:val="-10"/>
                <w:sz w:val="24"/>
              </w:rPr>
              <w:t> </w:t>
            </w:r>
            <w:r>
              <w:rPr>
                <w:sz w:val="24"/>
              </w:rPr>
              <w:t>public</w:t>
            </w:r>
            <w:r>
              <w:rPr>
                <w:spacing w:val="-11"/>
                <w:sz w:val="24"/>
              </w:rPr>
              <w:t> </w:t>
            </w:r>
            <w:r>
              <w:rPr>
                <w:sz w:val="24"/>
              </w:rPr>
              <w:t>water,</w:t>
            </w:r>
            <w:r>
              <w:rPr>
                <w:spacing w:val="-8"/>
                <w:sz w:val="24"/>
              </w:rPr>
              <w:t> </w:t>
            </w:r>
            <w:r>
              <w:rPr>
                <w:sz w:val="24"/>
              </w:rPr>
              <w:t>energy etc), conflict, vices, crime, densities, green space and greenway,</w:t>
            </w:r>
            <w:r>
              <w:rPr>
                <w:spacing w:val="11"/>
                <w:sz w:val="24"/>
              </w:rPr>
              <w:t> </w:t>
            </w:r>
            <w:r>
              <w:rPr>
                <w:sz w:val="24"/>
              </w:rPr>
              <w:t>natural</w:t>
            </w:r>
            <w:r>
              <w:rPr>
                <w:spacing w:val="12"/>
                <w:sz w:val="24"/>
              </w:rPr>
              <w:t> </w:t>
            </w:r>
            <w:r>
              <w:rPr>
                <w:sz w:val="24"/>
              </w:rPr>
              <w:t>disaster</w:t>
            </w:r>
            <w:r>
              <w:rPr>
                <w:spacing w:val="10"/>
                <w:sz w:val="24"/>
              </w:rPr>
              <w:t> </w:t>
            </w:r>
            <w:r>
              <w:rPr>
                <w:sz w:val="24"/>
              </w:rPr>
              <w:t>(hurricane,</w:t>
            </w:r>
            <w:r>
              <w:rPr>
                <w:spacing w:val="12"/>
                <w:sz w:val="24"/>
              </w:rPr>
              <w:t> </w:t>
            </w:r>
            <w:r>
              <w:rPr>
                <w:sz w:val="24"/>
              </w:rPr>
              <w:t>tsunami,</w:t>
            </w:r>
            <w:r>
              <w:rPr>
                <w:spacing w:val="13"/>
                <w:sz w:val="24"/>
              </w:rPr>
              <w:t> </w:t>
            </w:r>
            <w:r>
              <w:rPr>
                <w:spacing w:val="-2"/>
                <w:sz w:val="24"/>
              </w:rPr>
              <w:t>typhoon,</w:t>
            </w:r>
          </w:p>
          <w:p>
            <w:pPr>
              <w:pStyle w:val="TableParagraph"/>
              <w:spacing w:line="261" w:lineRule="exact"/>
              <w:ind w:left="110"/>
              <w:jc w:val="both"/>
              <w:rPr>
                <w:sz w:val="24"/>
              </w:rPr>
            </w:pPr>
            <w:r>
              <w:rPr>
                <w:sz w:val="24"/>
              </w:rPr>
              <w:t>etc.),</w:t>
            </w:r>
            <w:r>
              <w:rPr>
                <w:spacing w:val="-3"/>
                <w:sz w:val="24"/>
              </w:rPr>
              <w:t> </w:t>
            </w:r>
            <w:r>
              <w:rPr>
                <w:sz w:val="24"/>
              </w:rPr>
              <w:t>spatial</w:t>
            </w:r>
            <w:r>
              <w:rPr>
                <w:spacing w:val="-1"/>
                <w:sz w:val="24"/>
              </w:rPr>
              <w:t> </w:t>
            </w:r>
            <w:r>
              <w:rPr>
                <w:sz w:val="24"/>
              </w:rPr>
              <w:t>growth rate</w:t>
            </w:r>
            <w:r>
              <w:rPr>
                <w:spacing w:val="-2"/>
                <w:sz w:val="24"/>
              </w:rPr>
              <w:t> </w:t>
            </w:r>
            <w:r>
              <w:rPr>
                <w:sz w:val="24"/>
              </w:rPr>
              <w:t>and</w:t>
            </w:r>
            <w:r>
              <w:rPr>
                <w:spacing w:val="-2"/>
                <w:sz w:val="24"/>
              </w:rPr>
              <w:t> </w:t>
            </w:r>
            <w:r>
              <w:rPr>
                <w:sz w:val="24"/>
              </w:rPr>
              <w:t>environmental</w:t>
            </w:r>
            <w:r>
              <w:rPr>
                <w:spacing w:val="-2"/>
                <w:sz w:val="24"/>
              </w:rPr>
              <w:t> quality</w:t>
            </w:r>
          </w:p>
        </w:tc>
      </w:tr>
      <w:tr>
        <w:trPr>
          <w:trHeight w:val="1098" w:hRule="atLeast"/>
        </w:trPr>
        <w:tc>
          <w:tcPr>
            <w:tcW w:w="590" w:type="dxa"/>
          </w:tcPr>
          <w:p>
            <w:pPr>
              <w:pStyle w:val="TableParagraph"/>
              <w:spacing w:line="273" w:lineRule="exact"/>
              <w:ind w:left="107"/>
              <w:jc w:val="left"/>
              <w:rPr>
                <w:sz w:val="24"/>
              </w:rPr>
            </w:pPr>
            <w:r>
              <w:rPr>
                <w:spacing w:val="-5"/>
                <w:sz w:val="24"/>
              </w:rPr>
              <w:t>3.</w:t>
            </w:r>
          </w:p>
        </w:tc>
        <w:tc>
          <w:tcPr>
            <w:tcW w:w="2115" w:type="dxa"/>
          </w:tcPr>
          <w:p>
            <w:pPr>
              <w:pStyle w:val="TableParagraph"/>
              <w:spacing w:line="273" w:lineRule="exact"/>
              <w:ind w:left="108"/>
              <w:jc w:val="left"/>
              <w:rPr>
                <w:sz w:val="24"/>
              </w:rPr>
            </w:pPr>
            <w:r>
              <w:rPr>
                <w:spacing w:val="-2"/>
                <w:sz w:val="24"/>
              </w:rPr>
              <w:t>Location</w:t>
            </w:r>
          </w:p>
        </w:tc>
        <w:tc>
          <w:tcPr>
            <w:tcW w:w="5696" w:type="dxa"/>
          </w:tcPr>
          <w:p>
            <w:pPr>
              <w:pStyle w:val="TableParagraph"/>
              <w:spacing w:line="240" w:lineRule="auto"/>
              <w:ind w:left="110" w:right="106"/>
              <w:jc w:val="both"/>
              <w:rPr>
                <w:sz w:val="24"/>
              </w:rPr>
            </w:pPr>
            <w:r>
              <w:rPr>
                <w:sz w:val="24"/>
              </w:rPr>
              <w:t>Proximity to major employment centre, proximity to transit</w:t>
            </w:r>
            <w:r>
              <w:rPr>
                <w:spacing w:val="-15"/>
                <w:sz w:val="24"/>
              </w:rPr>
              <w:t> </w:t>
            </w:r>
            <w:r>
              <w:rPr>
                <w:sz w:val="24"/>
              </w:rPr>
              <w:t>network,</w:t>
            </w:r>
            <w:r>
              <w:rPr>
                <w:spacing w:val="-15"/>
                <w:sz w:val="24"/>
              </w:rPr>
              <w:t> </w:t>
            </w:r>
            <w:r>
              <w:rPr>
                <w:sz w:val="24"/>
              </w:rPr>
              <w:t>proximity</w:t>
            </w:r>
            <w:r>
              <w:rPr>
                <w:spacing w:val="-15"/>
                <w:sz w:val="24"/>
              </w:rPr>
              <w:t> </w:t>
            </w:r>
            <w:r>
              <w:rPr>
                <w:sz w:val="24"/>
              </w:rPr>
              <w:t>to</w:t>
            </w:r>
            <w:r>
              <w:rPr>
                <w:spacing w:val="-15"/>
                <w:sz w:val="24"/>
              </w:rPr>
              <w:t> </w:t>
            </w:r>
            <w:r>
              <w:rPr>
                <w:sz w:val="24"/>
              </w:rPr>
              <w:t>schools,</w:t>
            </w:r>
            <w:r>
              <w:rPr>
                <w:spacing w:val="-15"/>
                <w:sz w:val="24"/>
              </w:rPr>
              <w:t> </w:t>
            </w:r>
            <w:r>
              <w:rPr>
                <w:sz w:val="24"/>
              </w:rPr>
              <w:t>parks</w:t>
            </w:r>
            <w:r>
              <w:rPr>
                <w:spacing w:val="-15"/>
                <w:sz w:val="24"/>
              </w:rPr>
              <w:t> </w:t>
            </w:r>
            <w:r>
              <w:rPr>
                <w:sz w:val="24"/>
              </w:rPr>
              <w:t>and</w:t>
            </w:r>
            <w:r>
              <w:rPr>
                <w:spacing w:val="-15"/>
                <w:sz w:val="24"/>
              </w:rPr>
              <w:t> </w:t>
            </w:r>
            <w:r>
              <w:rPr>
                <w:sz w:val="24"/>
              </w:rPr>
              <w:t>hospitals, proximity</w:t>
            </w:r>
            <w:r>
              <w:rPr>
                <w:spacing w:val="75"/>
                <w:w w:val="150"/>
                <w:sz w:val="24"/>
              </w:rPr>
              <w:t> </w:t>
            </w:r>
            <w:r>
              <w:rPr>
                <w:sz w:val="24"/>
              </w:rPr>
              <w:t>to</w:t>
            </w:r>
            <w:r>
              <w:rPr>
                <w:spacing w:val="26"/>
                <w:sz w:val="24"/>
              </w:rPr>
              <w:t>  </w:t>
            </w:r>
            <w:r>
              <w:rPr>
                <w:sz w:val="24"/>
              </w:rPr>
              <w:t>major</w:t>
            </w:r>
            <w:r>
              <w:rPr>
                <w:spacing w:val="26"/>
                <w:sz w:val="24"/>
              </w:rPr>
              <w:t>  </w:t>
            </w:r>
            <w:r>
              <w:rPr>
                <w:sz w:val="24"/>
              </w:rPr>
              <w:t>landmarks,</w:t>
            </w:r>
            <w:r>
              <w:rPr>
                <w:spacing w:val="26"/>
                <w:sz w:val="24"/>
              </w:rPr>
              <w:t>  </w:t>
            </w:r>
            <w:r>
              <w:rPr>
                <w:sz w:val="24"/>
              </w:rPr>
              <w:t>proximity</w:t>
            </w:r>
            <w:r>
              <w:rPr>
                <w:spacing w:val="75"/>
                <w:w w:val="150"/>
                <w:sz w:val="24"/>
              </w:rPr>
              <w:t> </w:t>
            </w:r>
            <w:r>
              <w:rPr>
                <w:sz w:val="24"/>
              </w:rPr>
              <w:t>to</w:t>
            </w:r>
            <w:r>
              <w:rPr>
                <w:spacing w:val="28"/>
                <w:sz w:val="24"/>
              </w:rPr>
              <w:t>  </w:t>
            </w:r>
            <w:r>
              <w:rPr>
                <w:spacing w:val="-2"/>
                <w:sz w:val="24"/>
              </w:rPr>
              <w:t>major</w:t>
            </w:r>
          </w:p>
          <w:p>
            <w:pPr>
              <w:pStyle w:val="TableParagraph"/>
              <w:tabs>
                <w:tab w:pos="5696" w:val="left" w:leader="none"/>
              </w:tabs>
              <w:spacing w:line="256" w:lineRule="exact"/>
              <w:ind w:left="-2720"/>
              <w:jc w:val="both"/>
              <w:rPr>
                <w:sz w:val="24"/>
              </w:rPr>
            </w:pPr>
            <w:r>
              <w:rPr>
                <w:spacing w:val="76"/>
                <w:w w:val="150"/>
                <w:sz w:val="24"/>
                <w:u w:val="single"/>
              </w:rPr>
              <w:t>                 </w:t>
            </w:r>
            <w:r>
              <w:rPr>
                <w:sz w:val="24"/>
                <w:u w:val="single"/>
              </w:rPr>
              <w:t>junctions</w:t>
            </w:r>
            <w:r>
              <w:rPr>
                <w:spacing w:val="12"/>
                <w:sz w:val="24"/>
                <w:u w:val="single"/>
              </w:rPr>
              <w:t> </w:t>
            </w:r>
            <w:r>
              <w:rPr>
                <w:sz w:val="24"/>
                <w:u w:val="single"/>
              </w:rPr>
              <w:t>and proximity</w:t>
            </w:r>
            <w:r>
              <w:rPr>
                <w:spacing w:val="-8"/>
                <w:sz w:val="24"/>
                <w:u w:val="single"/>
              </w:rPr>
              <w:t> </w:t>
            </w:r>
            <w:r>
              <w:rPr>
                <w:sz w:val="24"/>
                <w:u w:val="single"/>
              </w:rPr>
              <w:t>to city</w:t>
            </w:r>
            <w:r>
              <w:rPr>
                <w:spacing w:val="-4"/>
                <w:sz w:val="24"/>
                <w:u w:val="single"/>
              </w:rPr>
              <w:t> </w:t>
            </w:r>
            <w:r>
              <w:rPr>
                <w:spacing w:val="-2"/>
                <w:sz w:val="24"/>
                <w:u w:val="single"/>
              </w:rPr>
              <w:t>centre</w:t>
            </w:r>
            <w:r>
              <w:rPr>
                <w:sz w:val="24"/>
                <w:u w:val="single"/>
              </w:rPr>
              <w:tab/>
            </w:r>
          </w:p>
        </w:tc>
      </w:tr>
    </w:tbl>
    <w:p>
      <w:pPr>
        <w:spacing w:after="0" w:line="256" w:lineRule="exact"/>
        <w:jc w:val="both"/>
        <w:rPr>
          <w:sz w:val="24"/>
        </w:rPr>
        <w:sectPr>
          <w:pgSz w:w="11910" w:h="16840"/>
          <w:pgMar w:header="0" w:footer="1022" w:top="1320" w:bottom="1220" w:left="1680" w:right="900"/>
        </w:sectPr>
      </w:pPr>
    </w:p>
    <w:tbl>
      <w:tblPr>
        <w:tblW w:w="0" w:type="auto"/>
        <w:jc w:val="left"/>
        <w:tblInd w:w="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0"/>
        <w:gridCol w:w="2148"/>
        <w:gridCol w:w="5761"/>
      </w:tblGrid>
      <w:tr>
        <w:trPr>
          <w:trHeight w:val="861" w:hRule="atLeast"/>
        </w:trPr>
        <w:tc>
          <w:tcPr>
            <w:tcW w:w="500" w:type="dxa"/>
            <w:tcBorders>
              <w:top w:val="single" w:sz="8" w:space="0" w:color="000000"/>
            </w:tcBorders>
          </w:tcPr>
          <w:p>
            <w:pPr>
              <w:pStyle w:val="TableParagraph"/>
              <w:spacing w:line="270" w:lineRule="exact"/>
              <w:ind w:left="115"/>
              <w:jc w:val="left"/>
              <w:rPr>
                <w:sz w:val="24"/>
              </w:rPr>
            </w:pPr>
            <w:r>
              <w:rPr>
                <w:spacing w:val="-5"/>
                <w:sz w:val="24"/>
              </w:rPr>
              <w:t>4.</w:t>
            </w:r>
          </w:p>
        </w:tc>
        <w:tc>
          <w:tcPr>
            <w:tcW w:w="2148" w:type="dxa"/>
            <w:tcBorders>
              <w:top w:val="single" w:sz="8" w:space="0" w:color="000000"/>
            </w:tcBorders>
          </w:tcPr>
          <w:p>
            <w:pPr>
              <w:pStyle w:val="TableParagraph"/>
              <w:spacing w:line="240" w:lineRule="auto"/>
              <w:ind w:left="205"/>
              <w:jc w:val="left"/>
              <w:rPr>
                <w:sz w:val="24"/>
              </w:rPr>
            </w:pPr>
            <w:r>
              <w:rPr>
                <w:spacing w:val="-2"/>
                <w:sz w:val="24"/>
              </w:rPr>
              <w:t>Socioeconomic characteristics</w:t>
            </w:r>
          </w:p>
        </w:tc>
        <w:tc>
          <w:tcPr>
            <w:tcW w:w="5761" w:type="dxa"/>
            <w:tcBorders>
              <w:top w:val="single" w:sz="8" w:space="0" w:color="000000"/>
            </w:tcBorders>
          </w:tcPr>
          <w:p>
            <w:pPr>
              <w:pStyle w:val="TableParagraph"/>
              <w:spacing w:line="240" w:lineRule="auto"/>
              <w:ind w:left="174" w:right="110"/>
              <w:jc w:val="both"/>
              <w:rPr>
                <w:sz w:val="24"/>
              </w:rPr>
            </w:pPr>
            <w:r>
              <w:rPr>
                <w:sz w:val="24"/>
              </w:rPr>
              <w:t>Household size, income, marriage entry, discrimination, native and tribe, household unemployment, crime offenders, fertility</w:t>
            </w:r>
            <w:r>
              <w:rPr>
                <w:spacing w:val="-5"/>
                <w:sz w:val="24"/>
              </w:rPr>
              <w:t> </w:t>
            </w:r>
            <w:r>
              <w:rPr>
                <w:sz w:val="24"/>
              </w:rPr>
              <w:t>rate, gender and ethnic</w:t>
            </w:r>
            <w:r>
              <w:rPr>
                <w:spacing w:val="-1"/>
                <w:sz w:val="24"/>
              </w:rPr>
              <w:t> </w:t>
            </w:r>
            <w:r>
              <w:rPr>
                <w:sz w:val="24"/>
              </w:rPr>
              <w:t>discrimination</w:t>
            </w:r>
          </w:p>
        </w:tc>
      </w:tr>
      <w:tr>
        <w:trPr>
          <w:trHeight w:val="400" w:hRule="atLeast"/>
        </w:trPr>
        <w:tc>
          <w:tcPr>
            <w:tcW w:w="500" w:type="dxa"/>
          </w:tcPr>
          <w:p>
            <w:pPr>
              <w:pStyle w:val="TableParagraph"/>
              <w:spacing w:line="240" w:lineRule="auto" w:before="33"/>
              <w:ind w:left="115"/>
              <w:jc w:val="left"/>
              <w:rPr>
                <w:sz w:val="24"/>
              </w:rPr>
            </w:pPr>
            <w:r>
              <w:rPr>
                <w:spacing w:val="-5"/>
                <w:sz w:val="24"/>
              </w:rPr>
              <w:t>5.</w:t>
            </w:r>
          </w:p>
        </w:tc>
        <w:tc>
          <w:tcPr>
            <w:tcW w:w="2148" w:type="dxa"/>
          </w:tcPr>
          <w:p>
            <w:pPr>
              <w:pStyle w:val="TableParagraph"/>
              <w:spacing w:line="240" w:lineRule="auto" w:before="33"/>
              <w:ind w:left="205"/>
              <w:jc w:val="left"/>
              <w:rPr>
                <w:sz w:val="24"/>
              </w:rPr>
            </w:pPr>
            <w:r>
              <w:rPr>
                <w:sz w:val="24"/>
              </w:rPr>
              <w:t>Urban</w:t>
            </w:r>
            <w:r>
              <w:rPr>
                <w:spacing w:val="-5"/>
                <w:sz w:val="24"/>
              </w:rPr>
              <w:t> </w:t>
            </w:r>
            <w:r>
              <w:rPr>
                <w:spacing w:val="-4"/>
                <w:sz w:val="24"/>
              </w:rPr>
              <w:t>form</w:t>
            </w:r>
          </w:p>
        </w:tc>
        <w:tc>
          <w:tcPr>
            <w:tcW w:w="5761" w:type="dxa"/>
          </w:tcPr>
          <w:p>
            <w:pPr>
              <w:pStyle w:val="TableParagraph"/>
              <w:spacing w:line="240" w:lineRule="auto" w:before="31"/>
              <w:ind w:left="174"/>
              <w:jc w:val="left"/>
              <w:rPr>
                <w:sz w:val="24"/>
              </w:rPr>
            </w:pPr>
            <w:r>
              <w:rPr>
                <w:sz w:val="24"/>
              </w:rPr>
              <w:t>Street</w:t>
            </w:r>
            <w:r>
              <w:rPr>
                <w:spacing w:val="-2"/>
                <w:sz w:val="24"/>
              </w:rPr>
              <w:t> </w:t>
            </w:r>
            <w:r>
              <w:rPr>
                <w:sz w:val="24"/>
              </w:rPr>
              <w:t>pattern,</w:t>
            </w:r>
            <w:r>
              <w:rPr>
                <w:spacing w:val="-1"/>
                <w:sz w:val="24"/>
              </w:rPr>
              <w:t> </w:t>
            </w:r>
            <w:r>
              <w:rPr>
                <w:sz w:val="24"/>
              </w:rPr>
              <w:t>land</w:t>
            </w:r>
            <w:r>
              <w:rPr>
                <w:spacing w:val="-1"/>
                <w:sz w:val="24"/>
              </w:rPr>
              <w:t> </w:t>
            </w:r>
            <w:r>
              <w:rPr>
                <w:sz w:val="24"/>
              </w:rPr>
              <w:t>use</w:t>
            </w:r>
            <w:r>
              <w:rPr>
                <w:spacing w:val="-3"/>
                <w:sz w:val="24"/>
              </w:rPr>
              <w:t> </w:t>
            </w:r>
            <w:r>
              <w:rPr>
                <w:sz w:val="24"/>
              </w:rPr>
              <w:t>pattern</w:t>
            </w:r>
            <w:r>
              <w:rPr>
                <w:spacing w:val="-1"/>
                <w:sz w:val="24"/>
              </w:rPr>
              <w:t> </w:t>
            </w:r>
            <w:r>
              <w:rPr>
                <w:sz w:val="24"/>
              </w:rPr>
              <w:t>and</w:t>
            </w:r>
            <w:r>
              <w:rPr>
                <w:spacing w:val="-1"/>
                <w:sz w:val="24"/>
              </w:rPr>
              <w:t> </w:t>
            </w:r>
            <w:r>
              <w:rPr>
                <w:spacing w:val="-2"/>
                <w:sz w:val="24"/>
              </w:rPr>
              <w:t>density</w:t>
            </w:r>
          </w:p>
        </w:tc>
      </w:tr>
      <w:tr>
        <w:trPr>
          <w:trHeight w:val="950" w:hRule="atLeast"/>
        </w:trPr>
        <w:tc>
          <w:tcPr>
            <w:tcW w:w="500" w:type="dxa"/>
          </w:tcPr>
          <w:p>
            <w:pPr>
              <w:pStyle w:val="TableParagraph"/>
              <w:spacing w:line="240" w:lineRule="auto" w:before="83"/>
              <w:ind w:left="115"/>
              <w:jc w:val="left"/>
              <w:rPr>
                <w:sz w:val="24"/>
              </w:rPr>
            </w:pPr>
            <w:r>
              <w:rPr>
                <w:spacing w:val="-5"/>
                <w:sz w:val="24"/>
              </w:rPr>
              <w:t>6.</w:t>
            </w:r>
          </w:p>
        </w:tc>
        <w:tc>
          <w:tcPr>
            <w:tcW w:w="2148" w:type="dxa"/>
          </w:tcPr>
          <w:p>
            <w:pPr>
              <w:pStyle w:val="TableParagraph"/>
              <w:spacing w:line="240" w:lineRule="auto" w:before="81"/>
              <w:ind w:left="205" w:right="171"/>
              <w:jc w:val="left"/>
              <w:rPr>
                <w:sz w:val="24"/>
              </w:rPr>
            </w:pPr>
            <w:r>
              <w:rPr>
                <w:sz w:val="24"/>
              </w:rPr>
              <w:t>National</w:t>
            </w:r>
            <w:r>
              <w:rPr>
                <w:spacing w:val="-15"/>
                <w:sz w:val="24"/>
              </w:rPr>
              <w:t> </w:t>
            </w:r>
            <w:r>
              <w:rPr>
                <w:sz w:val="24"/>
              </w:rPr>
              <w:t>economy (micro or and </w:t>
            </w:r>
            <w:r>
              <w:rPr>
                <w:spacing w:val="-2"/>
                <w:sz w:val="24"/>
              </w:rPr>
              <w:t>macro)</w:t>
            </w:r>
          </w:p>
        </w:tc>
        <w:tc>
          <w:tcPr>
            <w:tcW w:w="5761" w:type="dxa"/>
          </w:tcPr>
          <w:p>
            <w:pPr>
              <w:pStyle w:val="TableParagraph"/>
              <w:spacing w:line="240" w:lineRule="auto" w:before="81"/>
              <w:ind w:left="174" w:right="107"/>
              <w:jc w:val="both"/>
              <w:rPr>
                <w:sz w:val="24"/>
              </w:rPr>
            </w:pPr>
            <w:r>
              <w:rPr>
                <w:sz w:val="24"/>
              </w:rPr>
              <w:t>Land value, market spillovers, oil price, exchange rate, GDP, economic recession, financial crises, speculation, disposable income rate and inflation rate</w:t>
            </w:r>
          </w:p>
        </w:tc>
      </w:tr>
      <w:tr>
        <w:trPr>
          <w:trHeight w:val="1142" w:hRule="atLeast"/>
        </w:trPr>
        <w:tc>
          <w:tcPr>
            <w:tcW w:w="500" w:type="dxa"/>
            <w:tcBorders>
              <w:bottom w:val="single" w:sz="8" w:space="0" w:color="000000"/>
            </w:tcBorders>
          </w:tcPr>
          <w:p>
            <w:pPr>
              <w:pStyle w:val="TableParagraph"/>
              <w:spacing w:line="240" w:lineRule="auto" w:before="33"/>
              <w:ind w:left="115"/>
              <w:jc w:val="left"/>
              <w:rPr>
                <w:sz w:val="24"/>
              </w:rPr>
            </w:pPr>
            <w:r>
              <w:rPr>
                <w:spacing w:val="-5"/>
                <w:sz w:val="24"/>
              </w:rPr>
              <w:t>7.</w:t>
            </w:r>
          </w:p>
        </w:tc>
        <w:tc>
          <w:tcPr>
            <w:tcW w:w="2148" w:type="dxa"/>
            <w:tcBorders>
              <w:bottom w:val="single" w:sz="8" w:space="0" w:color="000000"/>
            </w:tcBorders>
          </w:tcPr>
          <w:p>
            <w:pPr>
              <w:pStyle w:val="TableParagraph"/>
              <w:spacing w:line="240" w:lineRule="auto" w:before="31"/>
              <w:ind w:left="205"/>
              <w:jc w:val="left"/>
              <w:rPr>
                <w:sz w:val="24"/>
              </w:rPr>
            </w:pPr>
            <w:r>
              <w:rPr>
                <w:spacing w:val="-2"/>
                <w:sz w:val="24"/>
              </w:rPr>
              <w:t>Policy</w:t>
            </w:r>
          </w:p>
        </w:tc>
        <w:tc>
          <w:tcPr>
            <w:tcW w:w="5761" w:type="dxa"/>
            <w:tcBorders>
              <w:bottom w:val="single" w:sz="8" w:space="0" w:color="000000"/>
            </w:tcBorders>
          </w:tcPr>
          <w:p>
            <w:pPr>
              <w:pStyle w:val="TableParagraph"/>
              <w:spacing w:line="270" w:lineRule="atLeast" w:before="18"/>
              <w:ind w:left="174" w:right="111"/>
              <w:jc w:val="both"/>
              <w:rPr>
                <w:sz w:val="24"/>
              </w:rPr>
            </w:pPr>
            <w:r>
              <w:rPr>
                <w:sz w:val="24"/>
              </w:rPr>
              <w:t>Development control, energy control, urban renewal policy, tax, tenure security, government intervention on rent, housing supply policy, economic policy and bank </w:t>
            </w:r>
            <w:r>
              <w:rPr>
                <w:spacing w:val="-2"/>
                <w:sz w:val="24"/>
              </w:rPr>
              <w:t>credit</w:t>
            </w:r>
          </w:p>
        </w:tc>
      </w:tr>
    </w:tbl>
    <w:p>
      <w:pPr>
        <w:pStyle w:val="BodyText"/>
        <w:spacing w:before="13"/>
        <w:ind w:left="305"/>
      </w:pPr>
      <w:r>
        <w:rPr/>
        <w:t>Source:</w:t>
      </w:r>
      <w:r>
        <w:rPr>
          <w:spacing w:val="-1"/>
        </w:rPr>
        <w:t> </w:t>
      </w:r>
      <w:r>
        <w:rPr/>
        <w:t>Authors’</w:t>
      </w:r>
      <w:r>
        <w:rPr>
          <w:spacing w:val="-2"/>
        </w:rPr>
        <w:t> </w:t>
      </w:r>
      <w:r>
        <w:rPr/>
        <w:t>compilation,</w:t>
      </w:r>
      <w:r>
        <w:rPr>
          <w:spacing w:val="-1"/>
        </w:rPr>
        <w:t> </w:t>
      </w:r>
      <w:r>
        <w:rPr>
          <w:spacing w:val="-4"/>
        </w:rPr>
        <w:t>2019</w:t>
      </w:r>
    </w:p>
    <w:p>
      <w:pPr>
        <w:pStyle w:val="BodyText"/>
        <w:spacing w:before="240"/>
        <w:jc w:val="left"/>
      </w:pPr>
    </w:p>
    <w:p>
      <w:pPr>
        <w:pStyle w:val="BodyText"/>
        <w:spacing w:line="480" w:lineRule="auto"/>
        <w:ind w:left="305" w:right="512"/>
      </w:pPr>
      <w:r>
        <w:rPr/>
        <w:t>Findings from various researches revealed that variables under structural attributes as housing price determinant includes housing type, building materials (type of roof etc.), obsolescence, age of building, building condition, building facilities (electricity, toilet, water,</w:t>
      </w:r>
      <w:r>
        <w:rPr>
          <w:spacing w:val="-3"/>
        </w:rPr>
        <w:t> </w:t>
      </w:r>
      <w:r>
        <w:rPr/>
        <w:t>dining,</w:t>
      </w:r>
      <w:r>
        <w:rPr>
          <w:spacing w:val="-3"/>
        </w:rPr>
        <w:t> </w:t>
      </w:r>
      <w:r>
        <w:rPr/>
        <w:t>size</w:t>
      </w:r>
      <w:r>
        <w:rPr>
          <w:spacing w:val="-4"/>
        </w:rPr>
        <w:t> </w:t>
      </w:r>
      <w:r>
        <w:rPr/>
        <w:t>of</w:t>
      </w:r>
      <w:r>
        <w:rPr>
          <w:spacing w:val="-3"/>
        </w:rPr>
        <w:t> </w:t>
      </w:r>
      <w:r>
        <w:rPr/>
        <w:t>rooms,</w:t>
      </w:r>
      <w:r>
        <w:rPr>
          <w:spacing w:val="-3"/>
        </w:rPr>
        <w:t> </w:t>
      </w:r>
      <w:r>
        <w:rPr/>
        <w:t>type</w:t>
      </w:r>
      <w:r>
        <w:rPr>
          <w:spacing w:val="-4"/>
        </w:rPr>
        <w:t> </w:t>
      </w:r>
      <w:r>
        <w:rPr/>
        <w:t>and</w:t>
      </w:r>
      <w:r>
        <w:rPr>
          <w:spacing w:val="-3"/>
        </w:rPr>
        <w:t> </w:t>
      </w:r>
      <w:r>
        <w:rPr/>
        <w:t>size</w:t>
      </w:r>
      <w:r>
        <w:rPr>
          <w:spacing w:val="-4"/>
        </w:rPr>
        <w:t> </w:t>
      </w:r>
      <w:r>
        <w:rPr/>
        <w:t>of</w:t>
      </w:r>
      <w:r>
        <w:rPr>
          <w:spacing w:val="-3"/>
        </w:rPr>
        <w:t> </w:t>
      </w:r>
      <w:r>
        <w:rPr/>
        <w:t>doors</w:t>
      </w:r>
      <w:r>
        <w:rPr>
          <w:spacing w:val="-3"/>
        </w:rPr>
        <w:t> </w:t>
      </w:r>
      <w:r>
        <w:rPr/>
        <w:t>and</w:t>
      </w:r>
      <w:r>
        <w:rPr>
          <w:spacing w:val="-3"/>
        </w:rPr>
        <w:t> </w:t>
      </w:r>
      <w:r>
        <w:rPr/>
        <w:t>windows,</w:t>
      </w:r>
      <w:r>
        <w:rPr>
          <w:spacing w:val="-3"/>
        </w:rPr>
        <w:t> </w:t>
      </w:r>
      <w:r>
        <w:rPr/>
        <w:t>security</w:t>
      </w:r>
      <w:r>
        <w:rPr>
          <w:spacing w:val="-9"/>
        </w:rPr>
        <w:t> </w:t>
      </w:r>
      <w:r>
        <w:rPr/>
        <w:t>etc.),</w:t>
      </w:r>
      <w:r>
        <w:rPr>
          <w:spacing w:val="-3"/>
        </w:rPr>
        <w:t> </w:t>
      </w:r>
      <w:r>
        <w:rPr/>
        <w:t>building orientation, green certified housing. For environmental/neighbourhood attributes as housing price determinant, the variables include pollution (water, air, noise and land), flood risk, gas development risk, parks, neighbourhood facilities (sewage, street light, road,</w:t>
      </w:r>
      <w:r>
        <w:rPr>
          <w:spacing w:val="-13"/>
        </w:rPr>
        <w:t> </w:t>
      </w:r>
      <w:r>
        <w:rPr/>
        <w:t>drainage,</w:t>
      </w:r>
      <w:r>
        <w:rPr>
          <w:spacing w:val="-13"/>
        </w:rPr>
        <w:t> </w:t>
      </w:r>
      <w:r>
        <w:rPr/>
        <w:t>public</w:t>
      </w:r>
      <w:r>
        <w:rPr>
          <w:spacing w:val="-14"/>
        </w:rPr>
        <w:t> </w:t>
      </w:r>
      <w:r>
        <w:rPr/>
        <w:t>water,</w:t>
      </w:r>
      <w:r>
        <w:rPr>
          <w:spacing w:val="-13"/>
        </w:rPr>
        <w:t> </w:t>
      </w:r>
      <w:r>
        <w:rPr/>
        <w:t>energy</w:t>
      </w:r>
      <w:r>
        <w:rPr>
          <w:spacing w:val="-15"/>
        </w:rPr>
        <w:t> </w:t>
      </w:r>
      <w:r>
        <w:rPr/>
        <w:t>etc),</w:t>
      </w:r>
      <w:r>
        <w:rPr>
          <w:spacing w:val="-13"/>
        </w:rPr>
        <w:t> </w:t>
      </w:r>
      <w:r>
        <w:rPr/>
        <w:t>conflict,</w:t>
      </w:r>
      <w:r>
        <w:rPr>
          <w:spacing w:val="-13"/>
        </w:rPr>
        <w:t> </w:t>
      </w:r>
      <w:r>
        <w:rPr/>
        <w:t>vices,</w:t>
      </w:r>
      <w:r>
        <w:rPr>
          <w:spacing w:val="-13"/>
        </w:rPr>
        <w:t> </w:t>
      </w:r>
      <w:r>
        <w:rPr/>
        <w:t>crime,</w:t>
      </w:r>
      <w:r>
        <w:rPr>
          <w:spacing w:val="-13"/>
        </w:rPr>
        <w:t> </w:t>
      </w:r>
      <w:r>
        <w:rPr/>
        <w:t>densities,</w:t>
      </w:r>
      <w:r>
        <w:rPr>
          <w:spacing w:val="-11"/>
        </w:rPr>
        <w:t> </w:t>
      </w:r>
      <w:r>
        <w:rPr/>
        <w:t>green</w:t>
      </w:r>
      <w:r>
        <w:rPr>
          <w:spacing w:val="-13"/>
        </w:rPr>
        <w:t> </w:t>
      </w:r>
      <w:r>
        <w:rPr/>
        <w:t>space</w:t>
      </w:r>
      <w:r>
        <w:rPr>
          <w:spacing w:val="-14"/>
        </w:rPr>
        <w:t> </w:t>
      </w:r>
      <w:r>
        <w:rPr/>
        <w:t>and greenway. natural disaster (hurricane, tsunami, typhoon, etc.), spatial growth rate and environmental quality. Variables for location as determinant of price include proximity to major employment centre, proximity to transit network, proximity to schools, parks and</w:t>
      </w:r>
      <w:r>
        <w:rPr>
          <w:spacing w:val="-5"/>
        </w:rPr>
        <w:t> </w:t>
      </w:r>
      <w:r>
        <w:rPr/>
        <w:t>hospitals,</w:t>
      </w:r>
      <w:r>
        <w:rPr>
          <w:spacing w:val="-5"/>
        </w:rPr>
        <w:t> </w:t>
      </w:r>
      <w:r>
        <w:rPr/>
        <w:t>proximity</w:t>
      </w:r>
      <w:r>
        <w:rPr>
          <w:spacing w:val="-12"/>
        </w:rPr>
        <w:t> </w:t>
      </w:r>
      <w:r>
        <w:rPr/>
        <w:t>to</w:t>
      </w:r>
      <w:r>
        <w:rPr>
          <w:spacing w:val="-4"/>
        </w:rPr>
        <w:t> </w:t>
      </w:r>
      <w:r>
        <w:rPr/>
        <w:t>major</w:t>
      </w:r>
      <w:r>
        <w:rPr>
          <w:spacing w:val="-6"/>
        </w:rPr>
        <w:t> </w:t>
      </w:r>
      <w:r>
        <w:rPr/>
        <w:t>landmarks,</w:t>
      </w:r>
      <w:r>
        <w:rPr>
          <w:spacing w:val="-5"/>
        </w:rPr>
        <w:t> </w:t>
      </w:r>
      <w:r>
        <w:rPr/>
        <w:t>proximity</w:t>
      </w:r>
      <w:r>
        <w:rPr>
          <w:spacing w:val="-12"/>
        </w:rPr>
        <w:t> </w:t>
      </w:r>
      <w:r>
        <w:rPr/>
        <w:t>to</w:t>
      </w:r>
      <w:r>
        <w:rPr>
          <w:spacing w:val="-4"/>
        </w:rPr>
        <w:t> </w:t>
      </w:r>
      <w:r>
        <w:rPr/>
        <w:t>major</w:t>
      </w:r>
      <w:r>
        <w:rPr>
          <w:spacing w:val="-6"/>
        </w:rPr>
        <w:t> </w:t>
      </w:r>
      <w:r>
        <w:rPr/>
        <w:t>junctions</w:t>
      </w:r>
      <w:r>
        <w:rPr>
          <w:spacing w:val="-4"/>
        </w:rPr>
        <w:t> </w:t>
      </w:r>
      <w:r>
        <w:rPr/>
        <w:t>and</w:t>
      </w:r>
      <w:r>
        <w:rPr>
          <w:spacing w:val="-5"/>
        </w:rPr>
        <w:t> </w:t>
      </w:r>
      <w:r>
        <w:rPr/>
        <w:t>proximity to city centre.</w:t>
      </w:r>
    </w:p>
    <w:p>
      <w:pPr>
        <w:pStyle w:val="BodyText"/>
        <w:spacing w:line="480" w:lineRule="auto" w:before="242"/>
        <w:ind w:left="305" w:right="518"/>
      </w:pPr>
      <w:r>
        <w:rPr/>
        <w:t>Findings from various studies also revealed that variables for socioeconomic characteristics</w:t>
      </w:r>
      <w:r>
        <w:rPr>
          <w:spacing w:val="-4"/>
        </w:rPr>
        <w:t> </w:t>
      </w:r>
      <w:r>
        <w:rPr/>
        <w:t>as</w:t>
      </w:r>
      <w:r>
        <w:rPr>
          <w:spacing w:val="-4"/>
        </w:rPr>
        <w:t> </w:t>
      </w:r>
      <w:r>
        <w:rPr/>
        <w:t>determinant</w:t>
      </w:r>
      <w:r>
        <w:rPr>
          <w:spacing w:val="-4"/>
        </w:rPr>
        <w:t> </w:t>
      </w:r>
      <w:r>
        <w:rPr/>
        <w:t>of</w:t>
      </w:r>
      <w:r>
        <w:rPr>
          <w:spacing w:val="-4"/>
        </w:rPr>
        <w:t> </w:t>
      </w:r>
      <w:r>
        <w:rPr/>
        <w:t>housing</w:t>
      </w:r>
      <w:r>
        <w:rPr>
          <w:spacing w:val="-6"/>
        </w:rPr>
        <w:t> </w:t>
      </w:r>
      <w:r>
        <w:rPr/>
        <w:t>price</w:t>
      </w:r>
      <w:r>
        <w:rPr>
          <w:spacing w:val="-5"/>
        </w:rPr>
        <w:t> </w:t>
      </w:r>
      <w:r>
        <w:rPr/>
        <w:t>include</w:t>
      </w:r>
      <w:r>
        <w:rPr>
          <w:spacing w:val="-5"/>
        </w:rPr>
        <w:t> </w:t>
      </w:r>
      <w:r>
        <w:rPr/>
        <w:t>household</w:t>
      </w:r>
      <w:r>
        <w:rPr>
          <w:spacing w:val="-4"/>
        </w:rPr>
        <w:t> </w:t>
      </w:r>
      <w:r>
        <w:rPr/>
        <w:t>size,</w:t>
      </w:r>
      <w:r>
        <w:rPr>
          <w:spacing w:val="-4"/>
        </w:rPr>
        <w:t> </w:t>
      </w:r>
      <w:r>
        <w:rPr/>
        <w:t>income,</w:t>
      </w:r>
      <w:r>
        <w:rPr>
          <w:spacing w:val="-4"/>
        </w:rPr>
        <w:t> </w:t>
      </w:r>
      <w:r>
        <w:rPr/>
        <w:t>marriage entry, discrimination, native and tribe, household unemployment, crime offenders, fertility</w:t>
      </w:r>
      <w:r>
        <w:rPr>
          <w:spacing w:val="3"/>
        </w:rPr>
        <w:t> </w:t>
      </w:r>
      <w:r>
        <w:rPr/>
        <w:t>rate,</w:t>
      </w:r>
      <w:r>
        <w:rPr>
          <w:spacing w:val="10"/>
        </w:rPr>
        <w:t> </w:t>
      </w:r>
      <w:r>
        <w:rPr/>
        <w:t>gender</w:t>
      </w:r>
      <w:r>
        <w:rPr>
          <w:spacing w:val="7"/>
        </w:rPr>
        <w:t> </w:t>
      </w:r>
      <w:r>
        <w:rPr/>
        <w:t>and</w:t>
      </w:r>
      <w:r>
        <w:rPr>
          <w:spacing w:val="12"/>
        </w:rPr>
        <w:t> </w:t>
      </w:r>
      <w:r>
        <w:rPr/>
        <w:t>ethnic</w:t>
      </w:r>
      <w:r>
        <w:rPr>
          <w:spacing w:val="7"/>
        </w:rPr>
        <w:t> </w:t>
      </w:r>
      <w:r>
        <w:rPr/>
        <w:t>discrimination.</w:t>
      </w:r>
      <w:r>
        <w:rPr>
          <w:spacing w:val="8"/>
        </w:rPr>
        <w:t> </w:t>
      </w:r>
      <w:r>
        <w:rPr/>
        <w:t>Variables</w:t>
      </w:r>
      <w:r>
        <w:rPr>
          <w:spacing w:val="8"/>
        </w:rPr>
        <w:t> </w:t>
      </w:r>
      <w:r>
        <w:rPr/>
        <w:t>for</w:t>
      </w:r>
      <w:r>
        <w:rPr>
          <w:spacing w:val="9"/>
        </w:rPr>
        <w:t> </w:t>
      </w:r>
      <w:r>
        <w:rPr/>
        <w:t>urban</w:t>
      </w:r>
      <w:r>
        <w:rPr>
          <w:spacing w:val="8"/>
        </w:rPr>
        <w:t> </w:t>
      </w:r>
      <w:r>
        <w:rPr/>
        <w:t>form</w:t>
      </w:r>
      <w:r>
        <w:rPr>
          <w:spacing w:val="11"/>
        </w:rPr>
        <w:t> </w:t>
      </w:r>
      <w:r>
        <w:rPr/>
        <w:t>as</w:t>
      </w:r>
      <w:r>
        <w:rPr>
          <w:spacing w:val="11"/>
        </w:rPr>
        <w:t> </w:t>
      </w:r>
      <w:r>
        <w:rPr>
          <w:spacing w:val="-2"/>
        </w:rPr>
        <w:t>determinant</w:t>
      </w:r>
    </w:p>
    <w:p>
      <w:pPr>
        <w:spacing w:after="0" w:line="480" w:lineRule="auto"/>
        <w:sectPr>
          <w:type w:val="continuous"/>
          <w:pgSz w:w="11910" w:h="16840"/>
          <w:pgMar w:header="0" w:footer="1022" w:top="1380" w:bottom="1220" w:left="1680" w:right="900"/>
        </w:sectPr>
      </w:pPr>
    </w:p>
    <w:p>
      <w:pPr>
        <w:pStyle w:val="BodyText"/>
        <w:spacing w:line="480" w:lineRule="auto" w:before="72"/>
        <w:ind w:left="305" w:right="516"/>
      </w:pPr>
      <w:r>
        <w:rPr/>
        <w:t>of</w:t>
      </w:r>
      <w:r>
        <w:rPr>
          <w:spacing w:val="-9"/>
        </w:rPr>
        <w:t> </w:t>
      </w:r>
      <w:r>
        <w:rPr/>
        <w:t>housing</w:t>
      </w:r>
      <w:r>
        <w:rPr>
          <w:spacing w:val="-11"/>
        </w:rPr>
        <w:t> </w:t>
      </w:r>
      <w:r>
        <w:rPr/>
        <w:t>price</w:t>
      </w:r>
      <w:r>
        <w:rPr>
          <w:spacing w:val="-9"/>
        </w:rPr>
        <w:t> </w:t>
      </w:r>
      <w:r>
        <w:rPr/>
        <w:t>include</w:t>
      </w:r>
      <w:r>
        <w:rPr>
          <w:spacing w:val="-7"/>
        </w:rPr>
        <w:t> </w:t>
      </w:r>
      <w:r>
        <w:rPr/>
        <w:t>street</w:t>
      </w:r>
      <w:r>
        <w:rPr>
          <w:spacing w:val="-8"/>
        </w:rPr>
        <w:t> </w:t>
      </w:r>
      <w:r>
        <w:rPr/>
        <w:t>pattern,</w:t>
      </w:r>
      <w:r>
        <w:rPr>
          <w:spacing w:val="-9"/>
        </w:rPr>
        <w:t> </w:t>
      </w:r>
      <w:r>
        <w:rPr/>
        <w:t>land</w:t>
      </w:r>
      <w:r>
        <w:rPr>
          <w:spacing w:val="-9"/>
        </w:rPr>
        <w:t> </w:t>
      </w:r>
      <w:r>
        <w:rPr/>
        <w:t>use</w:t>
      </w:r>
      <w:r>
        <w:rPr>
          <w:spacing w:val="-9"/>
        </w:rPr>
        <w:t> </w:t>
      </w:r>
      <w:r>
        <w:rPr/>
        <w:t>pattern</w:t>
      </w:r>
      <w:r>
        <w:rPr>
          <w:spacing w:val="-9"/>
        </w:rPr>
        <w:t> </w:t>
      </w:r>
      <w:r>
        <w:rPr/>
        <w:t>and</w:t>
      </w:r>
      <w:r>
        <w:rPr>
          <w:spacing w:val="-8"/>
        </w:rPr>
        <w:t> </w:t>
      </w:r>
      <w:r>
        <w:rPr/>
        <w:t>density.</w:t>
      </w:r>
      <w:r>
        <w:rPr>
          <w:spacing w:val="-8"/>
        </w:rPr>
        <w:t> </w:t>
      </w:r>
      <w:r>
        <w:rPr/>
        <w:t>National</w:t>
      </w:r>
      <w:r>
        <w:rPr>
          <w:spacing w:val="-8"/>
        </w:rPr>
        <w:t> </w:t>
      </w:r>
      <w:r>
        <w:rPr/>
        <w:t>economy</w:t>
      </w:r>
      <w:r>
        <w:rPr>
          <w:spacing w:val="-13"/>
        </w:rPr>
        <w:t> </w:t>
      </w:r>
      <w:r>
        <w:rPr/>
        <w:t>as determinant</w:t>
      </w:r>
      <w:r>
        <w:rPr>
          <w:spacing w:val="-6"/>
        </w:rPr>
        <w:t> </w:t>
      </w:r>
      <w:r>
        <w:rPr/>
        <w:t>of</w:t>
      </w:r>
      <w:r>
        <w:rPr>
          <w:spacing w:val="-6"/>
        </w:rPr>
        <w:t> </w:t>
      </w:r>
      <w:r>
        <w:rPr/>
        <w:t>housing</w:t>
      </w:r>
      <w:r>
        <w:rPr>
          <w:spacing w:val="-7"/>
        </w:rPr>
        <w:t> </w:t>
      </w:r>
      <w:r>
        <w:rPr/>
        <w:t>price</w:t>
      </w:r>
      <w:r>
        <w:rPr>
          <w:spacing w:val="-6"/>
        </w:rPr>
        <w:t> </w:t>
      </w:r>
      <w:r>
        <w:rPr/>
        <w:t>have</w:t>
      </w:r>
      <w:r>
        <w:rPr>
          <w:spacing w:val="-6"/>
        </w:rPr>
        <w:t> </w:t>
      </w:r>
      <w:r>
        <w:rPr/>
        <w:t>land</w:t>
      </w:r>
      <w:r>
        <w:rPr>
          <w:spacing w:val="-6"/>
        </w:rPr>
        <w:t> </w:t>
      </w:r>
      <w:r>
        <w:rPr/>
        <w:t>value,</w:t>
      </w:r>
      <w:r>
        <w:rPr>
          <w:spacing w:val="-6"/>
        </w:rPr>
        <w:t> </w:t>
      </w:r>
      <w:r>
        <w:rPr/>
        <w:t>market</w:t>
      </w:r>
      <w:r>
        <w:rPr>
          <w:spacing w:val="-5"/>
        </w:rPr>
        <w:t> </w:t>
      </w:r>
      <w:r>
        <w:rPr/>
        <w:t>spillovers,</w:t>
      </w:r>
      <w:r>
        <w:rPr>
          <w:spacing w:val="-6"/>
        </w:rPr>
        <w:t> </w:t>
      </w:r>
      <w:r>
        <w:rPr/>
        <w:t>oil</w:t>
      </w:r>
      <w:r>
        <w:rPr>
          <w:spacing w:val="-5"/>
        </w:rPr>
        <w:t> </w:t>
      </w:r>
      <w:r>
        <w:rPr/>
        <w:t>price,</w:t>
      </w:r>
      <w:r>
        <w:rPr>
          <w:spacing w:val="-6"/>
        </w:rPr>
        <w:t> </w:t>
      </w:r>
      <w:r>
        <w:rPr/>
        <w:t>exchange</w:t>
      </w:r>
      <w:r>
        <w:rPr>
          <w:spacing w:val="-4"/>
        </w:rPr>
        <w:t> </w:t>
      </w:r>
      <w:r>
        <w:rPr/>
        <w:t>rate, GDP, economic recession, financial crises, speculation, disposable income rate and inflation rate as variables. For policy as determinant of housing price, the variables are; development control, energy control, urban renewal policy, tax, tenure security, government</w:t>
      </w:r>
      <w:r>
        <w:rPr>
          <w:spacing w:val="-17"/>
        </w:rPr>
        <w:t> </w:t>
      </w:r>
      <w:r>
        <w:rPr/>
        <w:t>intervention</w:t>
      </w:r>
      <w:r>
        <w:rPr>
          <w:spacing w:val="-12"/>
        </w:rPr>
        <w:t> </w:t>
      </w:r>
      <w:r>
        <w:rPr/>
        <w:t>on</w:t>
      </w:r>
      <w:r>
        <w:rPr>
          <w:spacing w:val="-15"/>
        </w:rPr>
        <w:t> </w:t>
      </w:r>
      <w:r>
        <w:rPr/>
        <w:t>rent,</w:t>
      </w:r>
      <w:r>
        <w:rPr>
          <w:spacing w:val="-14"/>
        </w:rPr>
        <w:t> </w:t>
      </w:r>
      <w:r>
        <w:rPr/>
        <w:t>housing</w:t>
      </w:r>
      <w:r>
        <w:rPr>
          <w:spacing w:val="-17"/>
        </w:rPr>
        <w:t> </w:t>
      </w:r>
      <w:r>
        <w:rPr/>
        <w:t>supply</w:t>
      </w:r>
      <w:r>
        <w:rPr>
          <w:spacing w:val="-17"/>
        </w:rPr>
        <w:t> </w:t>
      </w:r>
      <w:r>
        <w:rPr/>
        <w:t>policy,</w:t>
      </w:r>
      <w:r>
        <w:rPr>
          <w:spacing w:val="-12"/>
        </w:rPr>
        <w:t> </w:t>
      </w:r>
      <w:r>
        <w:rPr/>
        <w:t>economic</w:t>
      </w:r>
      <w:r>
        <w:rPr>
          <w:spacing w:val="-14"/>
        </w:rPr>
        <w:t> </w:t>
      </w:r>
      <w:r>
        <w:rPr/>
        <w:t>policy</w:t>
      </w:r>
      <w:r>
        <w:rPr>
          <w:spacing w:val="-20"/>
        </w:rPr>
        <w:t> </w:t>
      </w:r>
      <w:r>
        <w:rPr/>
        <w:t>and</w:t>
      </w:r>
      <w:r>
        <w:rPr>
          <w:spacing w:val="-15"/>
        </w:rPr>
        <w:t> </w:t>
      </w:r>
      <w:r>
        <w:rPr/>
        <w:t>bank</w:t>
      </w:r>
      <w:r>
        <w:rPr>
          <w:spacing w:val="-12"/>
        </w:rPr>
        <w:t> </w:t>
      </w:r>
      <w:r>
        <w:rPr>
          <w:spacing w:val="-2"/>
        </w:rPr>
        <w:t>credit.</w:t>
      </w:r>
    </w:p>
    <w:p>
      <w:pPr>
        <w:pStyle w:val="Heading1"/>
        <w:numPr>
          <w:ilvl w:val="2"/>
          <w:numId w:val="5"/>
        </w:numPr>
        <w:tabs>
          <w:tab w:pos="1024" w:val="left" w:leader="none"/>
        </w:tabs>
        <w:spacing w:line="240" w:lineRule="auto" w:before="248" w:after="0"/>
        <w:ind w:left="1024" w:right="0" w:hanging="719"/>
        <w:jc w:val="both"/>
      </w:pPr>
      <w:r>
        <w:rPr/>
        <w:t>Conventional</w:t>
      </w:r>
      <w:r>
        <w:rPr>
          <w:spacing w:val="-2"/>
        </w:rPr>
        <w:t> </w:t>
      </w:r>
      <w:r>
        <w:rPr/>
        <w:t>approaches</w:t>
      </w:r>
      <w:r>
        <w:rPr>
          <w:spacing w:val="-1"/>
        </w:rPr>
        <w:t> </w:t>
      </w:r>
      <w:r>
        <w:rPr/>
        <w:t>to</w:t>
      </w:r>
      <w:r>
        <w:rPr>
          <w:spacing w:val="-3"/>
        </w:rPr>
        <w:t> </w:t>
      </w:r>
      <w:r>
        <w:rPr/>
        <w:t>housing</w:t>
      </w:r>
      <w:r>
        <w:rPr>
          <w:spacing w:val="-1"/>
        </w:rPr>
        <w:t> </w:t>
      </w:r>
      <w:r>
        <w:rPr/>
        <w:t>market</w:t>
      </w:r>
      <w:r>
        <w:rPr>
          <w:spacing w:val="-2"/>
        </w:rPr>
        <w:t> analysis</w:t>
      </w:r>
    </w:p>
    <w:p>
      <w:pPr>
        <w:pStyle w:val="BodyText"/>
        <w:spacing w:before="199"/>
        <w:jc w:val="left"/>
        <w:rPr>
          <w:b/>
        </w:rPr>
      </w:pPr>
    </w:p>
    <w:p>
      <w:pPr>
        <w:pStyle w:val="ListParagraph"/>
        <w:numPr>
          <w:ilvl w:val="3"/>
          <w:numId w:val="5"/>
        </w:numPr>
        <w:tabs>
          <w:tab w:pos="1024" w:val="left" w:leader="none"/>
        </w:tabs>
        <w:spacing w:line="240" w:lineRule="auto" w:before="0" w:after="0"/>
        <w:ind w:left="1024" w:right="0" w:hanging="719"/>
        <w:jc w:val="both"/>
        <w:rPr>
          <w:b/>
          <w:sz w:val="24"/>
        </w:rPr>
      </w:pPr>
      <w:r>
        <w:rPr>
          <w:b/>
          <w:sz w:val="24"/>
        </w:rPr>
        <w:t>Hedonic</w:t>
      </w:r>
      <w:r>
        <w:rPr>
          <w:b/>
          <w:spacing w:val="1"/>
          <w:sz w:val="24"/>
        </w:rPr>
        <w:t> </w:t>
      </w:r>
      <w:r>
        <w:rPr>
          <w:b/>
          <w:spacing w:val="-2"/>
          <w:sz w:val="24"/>
        </w:rPr>
        <w:t>approach</w:t>
      </w:r>
    </w:p>
    <w:p>
      <w:pPr>
        <w:pStyle w:val="BodyText"/>
        <w:spacing w:before="192"/>
        <w:jc w:val="left"/>
        <w:rPr>
          <w:b/>
        </w:rPr>
      </w:pPr>
    </w:p>
    <w:p>
      <w:pPr>
        <w:pStyle w:val="BodyText"/>
        <w:spacing w:line="480" w:lineRule="auto"/>
        <w:ind w:left="305" w:right="512"/>
      </w:pPr>
      <w:r>
        <w:rPr/>
        <w:t>Hedonic approach is one of the most used conventional approaches to housing market analysis (Sopranzetti, 2015). With hedonic approach expenditures on housing can be decomposed</w:t>
      </w:r>
      <w:r>
        <w:rPr>
          <w:spacing w:val="-10"/>
        </w:rPr>
        <w:t> </w:t>
      </w:r>
      <w:r>
        <w:rPr/>
        <w:t>into</w:t>
      </w:r>
      <w:r>
        <w:rPr>
          <w:spacing w:val="-9"/>
        </w:rPr>
        <w:t> </w:t>
      </w:r>
      <w:r>
        <w:rPr/>
        <w:t>measurable</w:t>
      </w:r>
      <w:r>
        <w:rPr>
          <w:spacing w:val="-10"/>
        </w:rPr>
        <w:t> </w:t>
      </w:r>
      <w:r>
        <w:rPr/>
        <w:t>prices</w:t>
      </w:r>
      <w:r>
        <w:rPr>
          <w:spacing w:val="-7"/>
        </w:rPr>
        <w:t> </w:t>
      </w:r>
      <w:r>
        <w:rPr/>
        <w:t>and</w:t>
      </w:r>
      <w:r>
        <w:rPr>
          <w:spacing w:val="-10"/>
        </w:rPr>
        <w:t> </w:t>
      </w:r>
      <w:r>
        <w:rPr/>
        <w:t>quantities,</w:t>
      </w:r>
      <w:r>
        <w:rPr>
          <w:spacing w:val="-10"/>
        </w:rPr>
        <w:t> </w:t>
      </w:r>
      <w:r>
        <w:rPr/>
        <w:t>so</w:t>
      </w:r>
      <w:r>
        <w:rPr>
          <w:spacing w:val="-9"/>
        </w:rPr>
        <w:t> </w:t>
      </w:r>
      <w:r>
        <w:rPr/>
        <w:t>that</w:t>
      </w:r>
      <w:r>
        <w:rPr>
          <w:spacing w:val="-7"/>
        </w:rPr>
        <w:t> </w:t>
      </w:r>
      <w:r>
        <w:rPr/>
        <w:t>rents</w:t>
      </w:r>
      <w:r>
        <w:rPr>
          <w:spacing w:val="-9"/>
        </w:rPr>
        <w:t> </w:t>
      </w:r>
      <w:r>
        <w:rPr/>
        <w:t>for</w:t>
      </w:r>
      <w:r>
        <w:rPr>
          <w:spacing w:val="-10"/>
        </w:rPr>
        <w:t> </w:t>
      </w:r>
      <w:r>
        <w:rPr/>
        <w:t>different</w:t>
      </w:r>
      <w:r>
        <w:rPr>
          <w:spacing w:val="-9"/>
        </w:rPr>
        <w:t> </w:t>
      </w:r>
      <w:r>
        <w:rPr/>
        <w:t>dwellings</w:t>
      </w:r>
      <w:r>
        <w:rPr>
          <w:spacing w:val="-7"/>
        </w:rPr>
        <w:t> </w:t>
      </w:r>
      <w:r>
        <w:rPr/>
        <w:t>or for identical dwellings in different places can be predicted and compared (Malpezzi, 2002; Meese &amp; Wallace, 1991; Sopranzetti, 2015). This approach has been adopted by several</w:t>
      </w:r>
      <w:r>
        <w:rPr>
          <w:spacing w:val="-5"/>
        </w:rPr>
        <w:t> </w:t>
      </w:r>
      <w:r>
        <w:rPr/>
        <w:t>authors</w:t>
      </w:r>
      <w:r>
        <w:rPr>
          <w:spacing w:val="-6"/>
        </w:rPr>
        <w:t> </w:t>
      </w:r>
      <w:r>
        <w:rPr/>
        <w:t>in</w:t>
      </w:r>
      <w:r>
        <w:rPr>
          <w:spacing w:val="-5"/>
        </w:rPr>
        <w:t> </w:t>
      </w:r>
      <w:r>
        <w:rPr/>
        <w:t>analysing</w:t>
      </w:r>
      <w:r>
        <w:rPr>
          <w:spacing w:val="-8"/>
        </w:rPr>
        <w:t> </w:t>
      </w:r>
      <w:r>
        <w:rPr/>
        <w:t>housing</w:t>
      </w:r>
      <w:r>
        <w:rPr>
          <w:spacing w:val="-8"/>
        </w:rPr>
        <w:t> </w:t>
      </w:r>
      <w:r>
        <w:rPr/>
        <w:t>market</w:t>
      </w:r>
      <w:r>
        <w:rPr>
          <w:spacing w:val="-3"/>
        </w:rPr>
        <w:t> </w:t>
      </w:r>
      <w:r>
        <w:rPr/>
        <w:t>(Abdullahi</w:t>
      </w:r>
      <w:r>
        <w:rPr>
          <w:spacing w:val="-5"/>
        </w:rPr>
        <w:t> </w:t>
      </w:r>
      <w:r>
        <w:rPr>
          <w:i/>
        </w:rPr>
        <w:t>et</w:t>
      </w:r>
      <w:r>
        <w:rPr>
          <w:i/>
          <w:spacing w:val="-5"/>
        </w:rPr>
        <w:t> </w:t>
      </w:r>
      <w:r>
        <w:rPr>
          <w:i/>
        </w:rPr>
        <w:t>al</w:t>
      </w:r>
      <w:r>
        <w:rPr/>
        <w:t>.,</w:t>
      </w:r>
      <w:r>
        <w:rPr>
          <w:spacing w:val="-6"/>
        </w:rPr>
        <w:t> </w:t>
      </w:r>
      <w:r>
        <w:rPr/>
        <w:t>2018;</w:t>
      </w:r>
      <w:r>
        <w:rPr>
          <w:spacing w:val="-8"/>
        </w:rPr>
        <w:t> </w:t>
      </w:r>
      <w:r>
        <w:rPr/>
        <w:t>Anselin</w:t>
      </w:r>
      <w:r>
        <w:rPr>
          <w:spacing w:val="-8"/>
        </w:rPr>
        <w:t> </w:t>
      </w:r>
      <w:r>
        <w:rPr/>
        <w:t>&amp;</w:t>
      </w:r>
      <w:r>
        <w:rPr>
          <w:spacing w:val="-5"/>
        </w:rPr>
        <w:t> </w:t>
      </w:r>
      <w:r>
        <w:rPr/>
        <w:t>Le</w:t>
      </w:r>
      <w:r>
        <w:rPr>
          <w:spacing w:val="-7"/>
        </w:rPr>
        <w:t> </w:t>
      </w:r>
      <w:r>
        <w:rPr/>
        <w:t>Gallo, 2006;</w:t>
      </w:r>
      <w:r>
        <w:rPr>
          <w:spacing w:val="-11"/>
        </w:rPr>
        <w:t> </w:t>
      </w:r>
      <w:r>
        <w:rPr/>
        <w:t>Goodman</w:t>
      </w:r>
      <w:r>
        <w:rPr>
          <w:spacing w:val="-10"/>
        </w:rPr>
        <w:t> </w:t>
      </w:r>
      <w:r>
        <w:rPr/>
        <w:t>&amp;</w:t>
      </w:r>
      <w:r>
        <w:rPr>
          <w:spacing w:val="-11"/>
        </w:rPr>
        <w:t> </w:t>
      </w:r>
      <w:r>
        <w:rPr/>
        <w:t>Thibodeau,</w:t>
      </w:r>
      <w:r>
        <w:rPr>
          <w:spacing w:val="-10"/>
        </w:rPr>
        <w:t> </w:t>
      </w:r>
      <w:r>
        <w:rPr/>
        <w:t>1995;</w:t>
      </w:r>
      <w:r>
        <w:rPr>
          <w:spacing w:val="-9"/>
        </w:rPr>
        <w:t> </w:t>
      </w:r>
      <w:r>
        <w:rPr/>
        <w:t>Helbich</w:t>
      </w:r>
      <w:r>
        <w:rPr>
          <w:spacing w:val="-7"/>
        </w:rPr>
        <w:t> </w:t>
      </w:r>
      <w:r>
        <w:rPr>
          <w:i/>
        </w:rPr>
        <w:t>et</w:t>
      </w:r>
      <w:r>
        <w:rPr>
          <w:i/>
          <w:spacing w:val="-9"/>
        </w:rPr>
        <w:t> </w:t>
      </w:r>
      <w:r>
        <w:rPr>
          <w:i/>
        </w:rPr>
        <w:t>al</w:t>
      </w:r>
      <w:r>
        <w:rPr/>
        <w:t>.,</w:t>
      </w:r>
      <w:r>
        <w:rPr>
          <w:spacing w:val="-10"/>
        </w:rPr>
        <w:t> </w:t>
      </w:r>
      <w:r>
        <w:rPr/>
        <w:t>2014;</w:t>
      </w:r>
      <w:r>
        <w:rPr>
          <w:spacing w:val="-8"/>
        </w:rPr>
        <w:t> </w:t>
      </w:r>
      <w:r>
        <w:rPr/>
        <w:t>Liao</w:t>
      </w:r>
      <w:r>
        <w:rPr>
          <w:spacing w:val="-8"/>
        </w:rPr>
        <w:t> </w:t>
      </w:r>
      <w:r>
        <w:rPr/>
        <w:t>&amp;</w:t>
      </w:r>
      <w:r>
        <w:rPr>
          <w:spacing w:val="-12"/>
        </w:rPr>
        <w:t> </w:t>
      </w:r>
      <w:r>
        <w:rPr/>
        <w:t>Wang,</w:t>
      </w:r>
      <w:r>
        <w:rPr>
          <w:spacing w:val="-8"/>
        </w:rPr>
        <w:t> </w:t>
      </w:r>
      <w:r>
        <w:rPr/>
        <w:t>2012;</w:t>
      </w:r>
      <w:r>
        <w:rPr>
          <w:spacing w:val="-9"/>
        </w:rPr>
        <w:t> </w:t>
      </w:r>
      <w:r>
        <w:rPr/>
        <w:t>Lu,</w:t>
      </w:r>
      <w:r>
        <w:rPr>
          <w:spacing w:val="-9"/>
        </w:rPr>
        <w:t> </w:t>
      </w:r>
      <w:r>
        <w:rPr>
          <w:spacing w:val="-2"/>
        </w:rPr>
        <w:t>2018;</w:t>
      </w:r>
    </w:p>
    <w:p>
      <w:pPr>
        <w:pStyle w:val="BodyText"/>
        <w:spacing w:before="1"/>
        <w:ind w:left="305"/>
      </w:pPr>
      <w:r>
        <w:rPr/>
        <w:t>Oladunni</w:t>
      </w:r>
      <w:r>
        <w:rPr>
          <w:spacing w:val="-1"/>
        </w:rPr>
        <w:t> </w:t>
      </w:r>
      <w:r>
        <w:rPr>
          <w:i/>
        </w:rPr>
        <w:t>et al</w:t>
      </w:r>
      <w:r>
        <w:rPr/>
        <w:t>., 2017; Sandmo, </w:t>
      </w:r>
      <w:r>
        <w:rPr>
          <w:spacing w:val="-2"/>
        </w:rPr>
        <w:t>2014).</w:t>
      </w:r>
    </w:p>
    <w:p>
      <w:pPr>
        <w:pStyle w:val="BodyText"/>
        <w:jc w:val="left"/>
      </w:pPr>
    </w:p>
    <w:p>
      <w:pPr>
        <w:pStyle w:val="BodyText"/>
        <w:spacing w:line="480" w:lineRule="auto"/>
        <w:ind w:left="305" w:right="512"/>
      </w:pPr>
      <w:r>
        <w:rPr/>
        <w:t>For example, Lu (2018) adopted hedonic price model in examining the relationship between</w:t>
      </w:r>
      <w:r>
        <w:rPr>
          <w:spacing w:val="-8"/>
        </w:rPr>
        <w:t> </w:t>
      </w:r>
      <w:r>
        <w:rPr/>
        <w:t>property</w:t>
      </w:r>
      <w:r>
        <w:rPr>
          <w:spacing w:val="-12"/>
        </w:rPr>
        <w:t> </w:t>
      </w:r>
      <w:r>
        <w:rPr/>
        <w:t>orientation</w:t>
      </w:r>
      <w:r>
        <w:rPr>
          <w:spacing w:val="-9"/>
        </w:rPr>
        <w:t> </w:t>
      </w:r>
      <w:r>
        <w:rPr/>
        <w:t>view</w:t>
      </w:r>
      <w:r>
        <w:rPr>
          <w:spacing w:val="-11"/>
        </w:rPr>
        <w:t> </w:t>
      </w:r>
      <w:r>
        <w:rPr/>
        <w:t>and</w:t>
      </w:r>
      <w:r>
        <w:rPr>
          <w:spacing w:val="-8"/>
        </w:rPr>
        <w:t> </w:t>
      </w:r>
      <w:r>
        <w:rPr/>
        <w:t>its</w:t>
      </w:r>
      <w:r>
        <w:rPr>
          <w:spacing w:val="-9"/>
        </w:rPr>
        <w:t> </w:t>
      </w:r>
      <w:r>
        <w:rPr/>
        <w:t>value</w:t>
      </w:r>
      <w:r>
        <w:rPr>
          <w:spacing w:val="-8"/>
        </w:rPr>
        <w:t> </w:t>
      </w:r>
      <w:r>
        <w:rPr/>
        <w:t>in</w:t>
      </w:r>
      <w:r>
        <w:rPr>
          <w:spacing w:val="-7"/>
        </w:rPr>
        <w:t> </w:t>
      </w:r>
      <w:r>
        <w:rPr/>
        <w:t>Shanghai</w:t>
      </w:r>
      <w:r>
        <w:rPr>
          <w:spacing w:val="-7"/>
        </w:rPr>
        <w:t> </w:t>
      </w:r>
      <w:r>
        <w:rPr/>
        <w:t>housing</w:t>
      </w:r>
      <w:r>
        <w:rPr>
          <w:spacing w:val="-10"/>
        </w:rPr>
        <w:t> </w:t>
      </w:r>
      <w:r>
        <w:rPr/>
        <w:t>market</w:t>
      </w:r>
      <w:r>
        <w:rPr>
          <w:spacing w:val="-9"/>
        </w:rPr>
        <w:t> </w:t>
      </w:r>
      <w:r>
        <w:rPr/>
        <w:t>context.</w:t>
      </w:r>
      <w:r>
        <w:rPr>
          <w:spacing w:val="-9"/>
        </w:rPr>
        <w:t> </w:t>
      </w:r>
      <w:r>
        <w:rPr/>
        <w:t>The author use a unique dataset comprising attributes of building, indicators of the environment and urban spatial structure, where it shows that buildings that has south- facing orientation is associated with 14% property value premium. Property value increases by 6% with a view on Shanghai’s landmark and increases by 4% by south- facing orientation. Houses with south-facing orientation commands lower prices and value</w:t>
      </w:r>
      <w:r>
        <w:rPr>
          <w:spacing w:val="-3"/>
        </w:rPr>
        <w:t> </w:t>
      </w:r>
      <w:r>
        <w:rPr/>
        <w:t>continue</w:t>
      </w:r>
      <w:r>
        <w:rPr>
          <w:spacing w:val="-1"/>
        </w:rPr>
        <w:t> </w:t>
      </w:r>
      <w:r>
        <w:rPr/>
        <w:t>to</w:t>
      </w:r>
      <w:r>
        <w:rPr>
          <w:spacing w:val="-1"/>
        </w:rPr>
        <w:t> </w:t>
      </w:r>
      <w:r>
        <w:rPr/>
        <w:t>reduce</w:t>
      </w:r>
      <w:r>
        <w:rPr>
          <w:spacing w:val="1"/>
        </w:rPr>
        <w:t> </w:t>
      </w:r>
      <w:r>
        <w:rPr/>
        <w:t>due</w:t>
      </w:r>
      <w:r>
        <w:rPr>
          <w:spacing w:val="-2"/>
        </w:rPr>
        <w:t> </w:t>
      </w:r>
      <w:r>
        <w:rPr/>
        <w:t>to the</w:t>
      </w:r>
      <w:r>
        <w:rPr>
          <w:spacing w:val="-1"/>
        </w:rPr>
        <w:t> </w:t>
      </w:r>
      <w:r>
        <w:rPr/>
        <w:t>presence</w:t>
      </w:r>
      <w:r>
        <w:rPr>
          <w:spacing w:val="-2"/>
        </w:rPr>
        <w:t> </w:t>
      </w:r>
      <w:r>
        <w:rPr/>
        <w:t>of dust</w:t>
      </w:r>
      <w:r>
        <w:rPr>
          <w:spacing w:val="-1"/>
        </w:rPr>
        <w:t> </w:t>
      </w:r>
      <w:r>
        <w:rPr/>
        <w:t>pollution, while</w:t>
      </w:r>
      <w:r>
        <w:rPr>
          <w:spacing w:val="-2"/>
        </w:rPr>
        <w:t> </w:t>
      </w:r>
      <w:r>
        <w:rPr/>
        <w:t>the invisible</w:t>
      </w:r>
      <w:r>
        <w:rPr>
          <w:spacing w:val="2"/>
        </w:rPr>
        <w:t> </w:t>
      </w:r>
      <w:r>
        <w:rPr>
          <w:spacing w:val="-2"/>
        </w:rPr>
        <w:t>PM2.5</w:t>
      </w:r>
    </w:p>
    <w:p>
      <w:pPr>
        <w:spacing w:after="0" w:line="480" w:lineRule="auto"/>
        <w:sectPr>
          <w:pgSz w:w="11910" w:h="16840"/>
          <w:pgMar w:header="0" w:footer="1022" w:top="1320" w:bottom="1220" w:left="1680" w:right="900"/>
        </w:sectPr>
      </w:pPr>
    </w:p>
    <w:p>
      <w:pPr>
        <w:pStyle w:val="BodyText"/>
        <w:spacing w:line="480" w:lineRule="auto" w:before="72"/>
        <w:ind w:left="305" w:right="517"/>
      </w:pPr>
      <w:r>
        <w:rPr/>
        <w:t>has little or no influence. The author argued that elevators presence in tall buildings strongly influenced preference of such apartments. Also, internal accommodation characteristics shows signs of influence but the extents can mislead except with the control of the building features.</w:t>
      </w:r>
    </w:p>
    <w:p>
      <w:pPr>
        <w:pStyle w:val="BodyText"/>
        <w:spacing w:line="480" w:lineRule="auto" w:before="240"/>
        <w:ind w:left="305" w:right="514"/>
      </w:pPr>
      <w:r>
        <w:rPr/>
        <w:t>Abdullahi </w:t>
      </w:r>
      <w:r>
        <w:rPr>
          <w:i/>
        </w:rPr>
        <w:t>et al</w:t>
      </w:r>
      <w:r>
        <w:rPr/>
        <w:t>. (2018) applied Multiple Regression Analysis (MRA) in mass appraisal of</w:t>
      </w:r>
      <w:r>
        <w:rPr>
          <w:spacing w:val="-15"/>
        </w:rPr>
        <w:t> </w:t>
      </w:r>
      <w:r>
        <w:rPr/>
        <w:t>house</w:t>
      </w:r>
      <w:r>
        <w:rPr>
          <w:spacing w:val="-15"/>
        </w:rPr>
        <w:t> </w:t>
      </w:r>
      <w:r>
        <w:rPr/>
        <w:t>price</w:t>
      </w:r>
      <w:r>
        <w:rPr>
          <w:spacing w:val="-15"/>
        </w:rPr>
        <w:t> </w:t>
      </w:r>
      <w:r>
        <w:rPr/>
        <w:t>estimation</w:t>
      </w:r>
      <w:r>
        <w:rPr>
          <w:spacing w:val="-14"/>
        </w:rPr>
        <w:t> </w:t>
      </w:r>
      <w:r>
        <w:rPr/>
        <w:t>in</w:t>
      </w:r>
      <w:r>
        <w:rPr>
          <w:spacing w:val="-14"/>
        </w:rPr>
        <w:t> </w:t>
      </w:r>
      <w:r>
        <w:rPr/>
        <w:t>Kaduna</w:t>
      </w:r>
      <w:r>
        <w:rPr>
          <w:spacing w:val="-15"/>
        </w:rPr>
        <w:t> </w:t>
      </w:r>
      <w:r>
        <w:rPr/>
        <w:t>north,</w:t>
      </w:r>
      <w:r>
        <w:rPr>
          <w:spacing w:val="-14"/>
        </w:rPr>
        <w:t> </w:t>
      </w:r>
      <w:r>
        <w:rPr/>
        <w:t>Nigeria.</w:t>
      </w:r>
      <w:r>
        <w:rPr>
          <w:spacing w:val="-12"/>
        </w:rPr>
        <w:t> </w:t>
      </w:r>
      <w:r>
        <w:rPr/>
        <w:t>Structural</w:t>
      </w:r>
      <w:r>
        <w:rPr>
          <w:spacing w:val="-14"/>
        </w:rPr>
        <w:t> </w:t>
      </w:r>
      <w:r>
        <w:rPr/>
        <w:t>characteristics</w:t>
      </w:r>
      <w:r>
        <w:rPr>
          <w:spacing w:val="-12"/>
        </w:rPr>
        <w:t> </w:t>
      </w:r>
      <w:r>
        <w:rPr/>
        <w:t>and</w:t>
      </w:r>
      <w:r>
        <w:rPr>
          <w:spacing w:val="-14"/>
        </w:rPr>
        <w:t> </w:t>
      </w:r>
      <w:r>
        <w:rPr/>
        <w:t>location were considered where the authors argued that they are the two basic house price micro determinants. They found out that amidst the variables considered in the MRA, location of property, availability of security post, house type, door type and availability of swimming pool were significant determinants of price of houses in Kaduna. However, those</w:t>
      </w:r>
      <w:r>
        <w:rPr>
          <w:spacing w:val="-2"/>
        </w:rPr>
        <w:t> </w:t>
      </w:r>
      <w:r>
        <w:rPr/>
        <w:t>that</w:t>
      </w:r>
      <w:r>
        <w:rPr>
          <w:spacing w:val="-1"/>
        </w:rPr>
        <w:t> </w:t>
      </w:r>
      <w:r>
        <w:rPr/>
        <w:t>were</w:t>
      </w:r>
      <w:r>
        <w:rPr>
          <w:spacing w:val="-3"/>
        </w:rPr>
        <w:t> </w:t>
      </w:r>
      <w:r>
        <w:rPr/>
        <w:t>not</w:t>
      </w:r>
      <w:r>
        <w:rPr>
          <w:spacing w:val="-1"/>
        </w:rPr>
        <w:t> </w:t>
      </w:r>
      <w:r>
        <w:rPr/>
        <w:t>significant</w:t>
      </w:r>
      <w:r>
        <w:rPr>
          <w:spacing w:val="-1"/>
        </w:rPr>
        <w:t> </w:t>
      </w:r>
      <w:r>
        <w:rPr/>
        <w:t>in</w:t>
      </w:r>
      <w:r>
        <w:rPr>
          <w:spacing w:val="-1"/>
        </w:rPr>
        <w:t> </w:t>
      </w:r>
      <w:r>
        <w:rPr/>
        <w:t>influencing</w:t>
      </w:r>
      <w:r>
        <w:rPr>
          <w:spacing w:val="-3"/>
        </w:rPr>
        <w:t> </w:t>
      </w:r>
      <w:r>
        <w:rPr/>
        <w:t>house</w:t>
      </w:r>
      <w:r>
        <w:rPr>
          <w:spacing w:val="-2"/>
        </w:rPr>
        <w:t> </w:t>
      </w:r>
      <w:r>
        <w:rPr/>
        <w:t>price</w:t>
      </w:r>
      <w:r>
        <w:rPr>
          <w:spacing w:val="-2"/>
        </w:rPr>
        <w:t> </w:t>
      </w:r>
      <w:r>
        <w:rPr/>
        <w:t>include condition</w:t>
      </w:r>
      <w:r>
        <w:rPr>
          <w:spacing w:val="-1"/>
        </w:rPr>
        <w:t> </w:t>
      </w:r>
      <w:r>
        <w:rPr/>
        <w:t>of</w:t>
      </w:r>
      <w:r>
        <w:rPr>
          <w:spacing w:val="-2"/>
        </w:rPr>
        <w:t> </w:t>
      </w:r>
      <w:r>
        <w:rPr/>
        <w:t>the</w:t>
      </w:r>
      <w:r>
        <w:rPr>
          <w:spacing w:val="-2"/>
        </w:rPr>
        <w:t> </w:t>
      </w:r>
      <w:r>
        <w:rPr/>
        <w:t>house, number</w:t>
      </w:r>
      <w:r>
        <w:rPr>
          <w:spacing w:val="-14"/>
        </w:rPr>
        <w:t> </w:t>
      </w:r>
      <w:r>
        <w:rPr/>
        <w:t>of</w:t>
      </w:r>
      <w:r>
        <w:rPr>
          <w:spacing w:val="-14"/>
        </w:rPr>
        <w:t> </w:t>
      </w:r>
      <w:r>
        <w:rPr/>
        <w:t>bedroom,</w:t>
      </w:r>
      <w:r>
        <w:rPr>
          <w:spacing w:val="-13"/>
        </w:rPr>
        <w:t> </w:t>
      </w:r>
      <w:r>
        <w:rPr/>
        <w:t>type</w:t>
      </w:r>
      <w:r>
        <w:rPr>
          <w:spacing w:val="-12"/>
        </w:rPr>
        <w:t> </w:t>
      </w:r>
      <w:r>
        <w:rPr/>
        <w:t>of</w:t>
      </w:r>
      <w:r>
        <w:rPr>
          <w:spacing w:val="-14"/>
        </w:rPr>
        <w:t> </w:t>
      </w:r>
      <w:r>
        <w:rPr/>
        <w:t>ceiling</w:t>
      </w:r>
      <w:r>
        <w:rPr>
          <w:spacing w:val="-11"/>
        </w:rPr>
        <w:t> </w:t>
      </w:r>
      <w:r>
        <w:rPr/>
        <w:t>and</w:t>
      </w:r>
      <w:r>
        <w:rPr>
          <w:spacing w:val="-13"/>
        </w:rPr>
        <w:t> </w:t>
      </w:r>
      <w:r>
        <w:rPr/>
        <w:t>number</w:t>
      </w:r>
      <w:r>
        <w:rPr>
          <w:spacing w:val="-14"/>
        </w:rPr>
        <w:t> </w:t>
      </w:r>
      <w:r>
        <w:rPr/>
        <w:t>of</w:t>
      </w:r>
      <w:r>
        <w:rPr>
          <w:spacing w:val="-11"/>
        </w:rPr>
        <w:t> </w:t>
      </w:r>
      <w:r>
        <w:rPr/>
        <w:t>living</w:t>
      </w:r>
      <w:r>
        <w:rPr>
          <w:spacing w:val="-15"/>
        </w:rPr>
        <w:t> </w:t>
      </w:r>
      <w:r>
        <w:rPr/>
        <w:t>room.</w:t>
      </w:r>
      <w:r>
        <w:rPr>
          <w:spacing w:val="-13"/>
        </w:rPr>
        <w:t> </w:t>
      </w:r>
      <w:r>
        <w:rPr/>
        <w:t>Considering</w:t>
      </w:r>
      <w:r>
        <w:rPr>
          <w:spacing w:val="-13"/>
        </w:rPr>
        <w:t> </w:t>
      </w:r>
      <w:r>
        <w:rPr/>
        <w:t>the</w:t>
      </w:r>
      <w:r>
        <w:rPr>
          <w:spacing w:val="-14"/>
        </w:rPr>
        <w:t> </w:t>
      </w:r>
      <w:r>
        <w:rPr/>
        <w:t>variables that</w:t>
      </w:r>
      <w:r>
        <w:rPr>
          <w:spacing w:val="-3"/>
        </w:rPr>
        <w:t> </w:t>
      </w:r>
      <w:r>
        <w:rPr/>
        <w:t>are</w:t>
      </w:r>
      <w:r>
        <w:rPr>
          <w:spacing w:val="-5"/>
        </w:rPr>
        <w:t> </w:t>
      </w:r>
      <w:r>
        <w:rPr/>
        <w:t>significant,</w:t>
      </w:r>
      <w:r>
        <w:rPr>
          <w:spacing w:val="-3"/>
        </w:rPr>
        <w:t> </w:t>
      </w:r>
      <w:r>
        <w:rPr/>
        <w:t>a</w:t>
      </w:r>
      <w:r>
        <w:rPr>
          <w:spacing w:val="-3"/>
        </w:rPr>
        <w:t> </w:t>
      </w:r>
      <w:r>
        <w:rPr/>
        <w:t>model</w:t>
      </w:r>
      <w:r>
        <w:rPr>
          <w:spacing w:val="-3"/>
        </w:rPr>
        <w:t> </w:t>
      </w:r>
      <w:r>
        <w:rPr/>
        <w:t>was</w:t>
      </w:r>
      <w:r>
        <w:rPr>
          <w:spacing w:val="-3"/>
        </w:rPr>
        <w:t> </w:t>
      </w:r>
      <w:r>
        <w:rPr/>
        <w:t>developed</w:t>
      </w:r>
      <w:r>
        <w:rPr>
          <w:spacing w:val="-3"/>
        </w:rPr>
        <w:t> </w:t>
      </w:r>
      <w:r>
        <w:rPr/>
        <w:t>for</w:t>
      </w:r>
      <w:r>
        <w:rPr>
          <w:spacing w:val="-3"/>
        </w:rPr>
        <w:t> </w:t>
      </w:r>
      <w:r>
        <w:rPr/>
        <w:t>mass</w:t>
      </w:r>
      <w:r>
        <w:rPr>
          <w:spacing w:val="-3"/>
        </w:rPr>
        <w:t> </w:t>
      </w:r>
      <w:r>
        <w:rPr/>
        <w:t>appraisal for</w:t>
      </w:r>
      <w:r>
        <w:rPr>
          <w:spacing w:val="-5"/>
        </w:rPr>
        <w:t> </w:t>
      </w:r>
      <w:r>
        <w:rPr/>
        <w:t>the</w:t>
      </w:r>
      <w:r>
        <w:rPr>
          <w:spacing w:val="-3"/>
        </w:rPr>
        <w:t> </w:t>
      </w:r>
      <w:r>
        <w:rPr/>
        <w:t>study</w:t>
      </w:r>
      <w:r>
        <w:rPr>
          <w:spacing w:val="-6"/>
        </w:rPr>
        <w:t> </w:t>
      </w:r>
      <w:r>
        <w:rPr/>
        <w:t>area.</w:t>
      </w:r>
      <w:r>
        <w:rPr>
          <w:spacing w:val="-1"/>
        </w:rPr>
        <w:t> </w:t>
      </w:r>
      <w:r>
        <w:rPr/>
        <w:t>In</w:t>
      </w:r>
      <w:r>
        <w:rPr>
          <w:spacing w:val="-3"/>
        </w:rPr>
        <w:t> </w:t>
      </w:r>
      <w:r>
        <w:rPr/>
        <w:t>their recommendation, it was suggested this model be used in Kaduna north in case of any mass appraisal of residential properties, in order to improve accuracy, efficiency, objectivity</w:t>
      </w:r>
      <w:r>
        <w:rPr>
          <w:spacing w:val="-15"/>
        </w:rPr>
        <w:t> </w:t>
      </w:r>
      <w:r>
        <w:rPr/>
        <w:t>and</w:t>
      </w:r>
      <w:r>
        <w:rPr>
          <w:spacing w:val="-15"/>
        </w:rPr>
        <w:t> </w:t>
      </w:r>
      <w:r>
        <w:rPr/>
        <w:t>fairness</w:t>
      </w:r>
      <w:r>
        <w:rPr>
          <w:spacing w:val="-15"/>
        </w:rPr>
        <w:t> </w:t>
      </w:r>
      <w:r>
        <w:rPr/>
        <w:t>of</w:t>
      </w:r>
      <w:r>
        <w:rPr>
          <w:spacing w:val="-15"/>
        </w:rPr>
        <w:t> </w:t>
      </w:r>
      <w:r>
        <w:rPr/>
        <w:t>property</w:t>
      </w:r>
      <w:r>
        <w:rPr>
          <w:spacing w:val="-15"/>
        </w:rPr>
        <w:t> </w:t>
      </w:r>
      <w:r>
        <w:rPr/>
        <w:t>taxation</w:t>
      </w:r>
      <w:r>
        <w:rPr>
          <w:spacing w:val="-15"/>
        </w:rPr>
        <w:t> </w:t>
      </w:r>
      <w:r>
        <w:rPr/>
        <w:t>system,</w:t>
      </w:r>
      <w:r>
        <w:rPr>
          <w:spacing w:val="-15"/>
        </w:rPr>
        <w:t> </w:t>
      </w:r>
      <w:r>
        <w:rPr/>
        <w:t>where</w:t>
      </w:r>
      <w:r>
        <w:rPr>
          <w:spacing w:val="-15"/>
        </w:rPr>
        <w:t> </w:t>
      </w:r>
      <w:r>
        <w:rPr/>
        <w:t>government</w:t>
      </w:r>
      <w:r>
        <w:rPr>
          <w:spacing w:val="-15"/>
        </w:rPr>
        <w:t> </w:t>
      </w:r>
      <w:r>
        <w:rPr/>
        <w:t>can</w:t>
      </w:r>
      <w:r>
        <w:rPr>
          <w:spacing w:val="-15"/>
        </w:rPr>
        <w:t> </w:t>
      </w:r>
      <w:r>
        <w:rPr/>
        <w:t>generate</w:t>
      </w:r>
      <w:r>
        <w:rPr>
          <w:spacing w:val="-15"/>
        </w:rPr>
        <w:t> </w:t>
      </w:r>
      <w:r>
        <w:rPr/>
        <w:t>more revenue and physical infrastructure development of Kaduna north can be encouraged.</w:t>
      </w:r>
    </w:p>
    <w:p>
      <w:pPr>
        <w:pStyle w:val="BodyText"/>
        <w:spacing w:line="480" w:lineRule="auto" w:before="242"/>
        <w:ind w:left="305" w:right="513"/>
      </w:pPr>
      <w:r>
        <w:rPr/>
        <w:t>Liao &amp; Wang (2012) applied hedonic approach where open access sources was used to build a novel micro-dataset for a China emerging city, Changsha, by incorporating regression with modelling of spatial econometric to assess housing features implicit prices may</w:t>
      </w:r>
      <w:r>
        <w:rPr>
          <w:spacing w:val="-5"/>
        </w:rPr>
        <w:t> </w:t>
      </w:r>
      <w:r>
        <w:rPr/>
        <w:t>diverge across</w:t>
      </w:r>
      <w:r>
        <w:rPr>
          <w:spacing w:val="-1"/>
        </w:rPr>
        <w:t> </w:t>
      </w:r>
      <w:r>
        <w:rPr/>
        <w:t>house</w:t>
      </w:r>
      <w:r>
        <w:rPr>
          <w:spacing w:val="-1"/>
        </w:rPr>
        <w:t> </w:t>
      </w:r>
      <w:r>
        <w:rPr/>
        <w:t>prices conditional distribution. Considerable</w:t>
      </w:r>
      <w:r>
        <w:rPr>
          <w:spacing w:val="-1"/>
        </w:rPr>
        <w:t> </w:t>
      </w:r>
      <w:r>
        <w:rPr/>
        <w:t>disparities are found, and the implications and intuitions are discussed. Furthermore, a U-shape pattern was exhibited by the spatial dependence. A strong dependence is found in the lower and upper parts distribution responses, but in the medium range it is little.</w:t>
      </w:r>
    </w:p>
    <w:p>
      <w:pPr>
        <w:spacing w:after="0" w:line="480" w:lineRule="auto"/>
        <w:sectPr>
          <w:pgSz w:w="11910" w:h="16840"/>
          <w:pgMar w:header="0" w:footer="1022" w:top="1320" w:bottom="1220" w:left="1680" w:right="900"/>
        </w:sectPr>
      </w:pPr>
    </w:p>
    <w:p>
      <w:pPr>
        <w:pStyle w:val="BodyText"/>
        <w:spacing w:line="480" w:lineRule="auto" w:before="72"/>
        <w:ind w:left="305" w:right="511"/>
      </w:pPr>
      <w:r>
        <w:rPr/>
        <w:t>Helbich </w:t>
      </w:r>
      <w:r>
        <w:rPr>
          <w:i/>
        </w:rPr>
        <w:t>et al</w:t>
      </w:r>
      <w:r>
        <w:rPr/>
        <w:t>. (2014) investigate single family home using by modelling Spatial Heterogeneity (SH). They argued that prices of Australian single family home are explored to appraise global and locally weighted hedonic models capabilities. They suggest</w:t>
      </w:r>
      <w:r>
        <w:rPr>
          <w:spacing w:val="-9"/>
        </w:rPr>
        <w:t> </w:t>
      </w:r>
      <w:r>
        <w:rPr/>
        <w:t>that</w:t>
      </w:r>
      <w:r>
        <w:rPr>
          <w:spacing w:val="-10"/>
        </w:rPr>
        <w:t> </w:t>
      </w:r>
      <w:r>
        <w:rPr/>
        <w:t>even</w:t>
      </w:r>
      <w:r>
        <w:rPr>
          <w:spacing w:val="-10"/>
        </w:rPr>
        <w:t> </w:t>
      </w:r>
      <w:r>
        <w:rPr/>
        <w:t>if</w:t>
      </w:r>
      <w:r>
        <w:rPr>
          <w:spacing w:val="-10"/>
        </w:rPr>
        <w:t> </w:t>
      </w:r>
      <w:r>
        <w:rPr/>
        <w:t>SH</w:t>
      </w:r>
      <w:r>
        <w:rPr>
          <w:spacing w:val="-10"/>
        </w:rPr>
        <w:t> </w:t>
      </w:r>
      <w:r>
        <w:rPr/>
        <w:t>cannot</w:t>
      </w:r>
      <w:r>
        <w:rPr>
          <w:spacing w:val="-9"/>
        </w:rPr>
        <w:t> </w:t>
      </w:r>
      <w:r>
        <w:rPr/>
        <w:t>be</w:t>
      </w:r>
      <w:r>
        <w:rPr>
          <w:spacing w:val="-11"/>
        </w:rPr>
        <w:t> </w:t>
      </w:r>
      <w:r>
        <w:rPr/>
        <w:t>modelled</w:t>
      </w:r>
      <w:r>
        <w:rPr>
          <w:spacing w:val="-10"/>
        </w:rPr>
        <w:t> </w:t>
      </w:r>
      <w:r>
        <w:rPr/>
        <w:t>fully</w:t>
      </w:r>
      <w:r>
        <w:rPr>
          <w:spacing w:val="-12"/>
        </w:rPr>
        <w:t> </w:t>
      </w:r>
      <w:r>
        <w:rPr/>
        <w:t>with</w:t>
      </w:r>
      <w:r>
        <w:rPr>
          <w:spacing w:val="-9"/>
        </w:rPr>
        <w:t> </w:t>
      </w:r>
      <w:r>
        <w:rPr/>
        <w:t>the</w:t>
      </w:r>
      <w:r>
        <w:rPr>
          <w:spacing w:val="-10"/>
        </w:rPr>
        <w:t> </w:t>
      </w:r>
      <w:r>
        <w:rPr/>
        <w:t>regional</w:t>
      </w:r>
      <w:r>
        <w:rPr>
          <w:spacing w:val="-9"/>
        </w:rPr>
        <w:t> </w:t>
      </w:r>
      <w:r>
        <w:rPr/>
        <w:t>indicators</w:t>
      </w:r>
      <w:r>
        <w:rPr>
          <w:spacing w:val="-10"/>
        </w:rPr>
        <w:t> </w:t>
      </w:r>
      <w:r>
        <w:rPr/>
        <w:t>and</w:t>
      </w:r>
      <w:r>
        <w:rPr>
          <w:spacing w:val="-10"/>
        </w:rPr>
        <w:t> </w:t>
      </w:r>
      <w:r>
        <w:rPr/>
        <w:t>with</w:t>
      </w:r>
      <w:r>
        <w:rPr>
          <w:spacing w:val="-9"/>
        </w:rPr>
        <w:t> </w:t>
      </w:r>
      <w:r>
        <w:rPr/>
        <w:t>the need for</w:t>
      </w:r>
      <w:r>
        <w:rPr>
          <w:spacing w:val="-2"/>
        </w:rPr>
        <w:t> </w:t>
      </w:r>
      <w:r>
        <w:rPr/>
        <w:t>technical amendments to account for</w:t>
      </w:r>
      <w:r>
        <w:rPr>
          <w:spacing w:val="-2"/>
        </w:rPr>
        <w:t> </w:t>
      </w:r>
      <w:r>
        <w:rPr/>
        <w:t>unmodelled</w:t>
      </w:r>
      <w:r>
        <w:rPr>
          <w:spacing w:val="-1"/>
        </w:rPr>
        <w:t> </w:t>
      </w:r>
      <w:r>
        <w:rPr/>
        <w:t>SH,</w:t>
      </w:r>
      <w:r>
        <w:rPr>
          <w:spacing w:val="-1"/>
        </w:rPr>
        <w:t> </w:t>
      </w:r>
      <w:r>
        <w:rPr/>
        <w:t>significance</w:t>
      </w:r>
      <w:r>
        <w:rPr>
          <w:spacing w:val="-1"/>
        </w:rPr>
        <w:t> </w:t>
      </w:r>
      <w:r>
        <w:rPr/>
        <w:t>of</w:t>
      </w:r>
      <w:r>
        <w:rPr>
          <w:spacing w:val="-1"/>
        </w:rPr>
        <w:t> </w:t>
      </w:r>
      <w:r>
        <w:rPr/>
        <w:t>achieving a well-specified model was emphasises in the results. Locally weighted regressions are proposed</w:t>
      </w:r>
      <w:r>
        <w:rPr>
          <w:spacing w:val="-5"/>
        </w:rPr>
        <w:t> </w:t>
      </w:r>
      <w:r>
        <w:rPr/>
        <w:t>because</w:t>
      </w:r>
      <w:r>
        <w:rPr>
          <w:spacing w:val="-3"/>
        </w:rPr>
        <w:t> </w:t>
      </w:r>
      <w:r>
        <w:rPr/>
        <w:t>the</w:t>
      </w:r>
      <w:r>
        <w:rPr>
          <w:spacing w:val="-5"/>
        </w:rPr>
        <w:t> </w:t>
      </w:r>
      <w:r>
        <w:rPr/>
        <w:t>SH</w:t>
      </w:r>
      <w:r>
        <w:rPr>
          <w:spacing w:val="-3"/>
        </w:rPr>
        <w:t> </w:t>
      </w:r>
      <w:r>
        <w:rPr/>
        <w:t>is</w:t>
      </w:r>
      <w:r>
        <w:rPr>
          <w:spacing w:val="-4"/>
        </w:rPr>
        <w:t> </w:t>
      </w:r>
      <w:r>
        <w:rPr/>
        <w:t>beyond</w:t>
      </w:r>
      <w:r>
        <w:rPr>
          <w:spacing w:val="-5"/>
        </w:rPr>
        <w:t> </w:t>
      </w:r>
      <w:r>
        <w:rPr/>
        <w:t>regional</w:t>
      </w:r>
      <w:r>
        <w:rPr>
          <w:spacing w:val="-5"/>
        </w:rPr>
        <w:t> </w:t>
      </w:r>
      <w:r>
        <w:rPr/>
        <w:t>indicators</w:t>
      </w:r>
      <w:r>
        <w:rPr>
          <w:spacing w:val="-5"/>
        </w:rPr>
        <w:t> </w:t>
      </w:r>
      <w:r>
        <w:rPr/>
        <w:t>level.</w:t>
      </w:r>
      <w:r>
        <w:rPr>
          <w:spacing w:val="-2"/>
        </w:rPr>
        <w:t> </w:t>
      </w:r>
      <w:r>
        <w:rPr/>
        <w:t>Limitations</w:t>
      </w:r>
      <w:r>
        <w:rPr>
          <w:spacing w:val="-5"/>
        </w:rPr>
        <w:t> </w:t>
      </w:r>
      <w:r>
        <w:rPr/>
        <w:t>of</w:t>
      </w:r>
      <w:r>
        <w:rPr>
          <w:spacing w:val="-6"/>
        </w:rPr>
        <w:t> </w:t>
      </w:r>
      <w:r>
        <w:rPr/>
        <w:t>fixed</w:t>
      </w:r>
      <w:r>
        <w:rPr>
          <w:spacing w:val="-5"/>
        </w:rPr>
        <w:t> </w:t>
      </w:r>
      <w:r>
        <w:rPr/>
        <w:t>effects were prevented using mixed geographically</w:t>
      </w:r>
      <w:r>
        <w:rPr>
          <w:spacing w:val="-3"/>
        </w:rPr>
        <w:t> </w:t>
      </w:r>
      <w:r>
        <w:rPr/>
        <w:t>weighted regression (MGWR) by exploring spatially stationary and non-stationary price effects. Apart from prediction errors reduction, they found out that complexity of SH of implicit prices is more than those modelled by purely local models or regional indicators.</w:t>
      </w:r>
    </w:p>
    <w:p>
      <w:pPr>
        <w:pStyle w:val="BodyText"/>
        <w:spacing w:line="480" w:lineRule="auto" w:before="249"/>
        <w:ind w:left="305" w:right="512"/>
      </w:pPr>
      <w:r>
        <w:rPr/>
        <w:t>Razali</w:t>
      </w:r>
      <w:r>
        <w:rPr>
          <w:spacing w:val="-13"/>
        </w:rPr>
        <w:t> </w:t>
      </w:r>
      <w:r>
        <w:rPr>
          <w:i/>
        </w:rPr>
        <w:t>et</w:t>
      </w:r>
      <w:r>
        <w:rPr>
          <w:i/>
          <w:spacing w:val="-14"/>
        </w:rPr>
        <w:t> </w:t>
      </w:r>
      <w:r>
        <w:rPr>
          <w:i/>
        </w:rPr>
        <w:t>al</w:t>
      </w:r>
      <w:r>
        <w:rPr/>
        <w:t>.</w:t>
      </w:r>
      <w:r>
        <w:rPr>
          <w:spacing w:val="-14"/>
        </w:rPr>
        <w:t> </w:t>
      </w:r>
      <w:r>
        <w:rPr/>
        <w:t>(2018)</w:t>
      </w:r>
      <w:r>
        <w:rPr>
          <w:spacing w:val="-15"/>
        </w:rPr>
        <w:t> </w:t>
      </w:r>
      <w:r>
        <w:rPr/>
        <w:t>examine</w:t>
      </w:r>
      <w:r>
        <w:rPr>
          <w:spacing w:val="-15"/>
        </w:rPr>
        <w:t> </w:t>
      </w:r>
      <w:r>
        <w:rPr/>
        <w:t>response</w:t>
      </w:r>
      <w:r>
        <w:rPr>
          <w:spacing w:val="-15"/>
        </w:rPr>
        <w:t> </w:t>
      </w:r>
      <w:r>
        <w:rPr/>
        <w:t>of</w:t>
      </w:r>
      <w:r>
        <w:rPr>
          <w:spacing w:val="-15"/>
        </w:rPr>
        <w:t> </w:t>
      </w:r>
      <w:r>
        <w:rPr/>
        <w:t>house</w:t>
      </w:r>
      <w:r>
        <w:rPr>
          <w:spacing w:val="-15"/>
        </w:rPr>
        <w:t> </w:t>
      </w:r>
      <w:r>
        <w:rPr/>
        <w:t>market</w:t>
      </w:r>
      <w:r>
        <w:rPr>
          <w:spacing w:val="-14"/>
        </w:rPr>
        <w:t> </w:t>
      </w:r>
      <w:r>
        <w:rPr/>
        <w:t>price</w:t>
      </w:r>
      <w:r>
        <w:rPr>
          <w:spacing w:val="-15"/>
        </w:rPr>
        <w:t> </w:t>
      </w:r>
      <w:r>
        <w:rPr/>
        <w:t>to</w:t>
      </w:r>
      <w:r>
        <w:rPr>
          <w:spacing w:val="-14"/>
        </w:rPr>
        <w:t> </w:t>
      </w:r>
      <w:r>
        <w:rPr/>
        <w:t>flood</w:t>
      </w:r>
      <w:r>
        <w:rPr>
          <w:rFonts w:ascii="MS Gothic" w:hAnsi="MS Gothic"/>
        </w:rPr>
        <w:t>‑</w:t>
      </w:r>
      <w:r>
        <w:rPr/>
        <w:t>hazard</w:t>
      </w:r>
      <w:r>
        <w:rPr>
          <w:spacing w:val="-13"/>
        </w:rPr>
        <w:t> </w:t>
      </w:r>
      <w:r>
        <w:rPr/>
        <w:t>in</w:t>
      </w:r>
      <w:r>
        <w:rPr>
          <w:spacing w:val="-14"/>
        </w:rPr>
        <w:t> </w:t>
      </w:r>
      <w:r>
        <w:rPr/>
        <w:t>the</w:t>
      </w:r>
      <w:r>
        <w:rPr>
          <w:spacing w:val="-13"/>
        </w:rPr>
        <w:t> </w:t>
      </w:r>
      <w:r>
        <w:rPr/>
        <w:t>Langat River flood area in the State of Selangor, Malaysia. They suggest that environmental attributes are very subjective and relatively new in valuation theory. They argued that population growth has caused vulnerability of more areas, including flood prone areas. The investigation of new sites for development of housing also makes the areas more vulnerable to flood hazard. Determination of house price using valuation calculation needs flood hazard response as it will impact the housing market and investment in the housing market. It is expected that the impact from the flood to property price will be significant</w:t>
      </w:r>
      <w:r>
        <w:rPr>
          <w:spacing w:val="-7"/>
        </w:rPr>
        <w:t> </w:t>
      </w:r>
      <w:r>
        <w:rPr/>
        <w:t>in</w:t>
      </w:r>
      <w:r>
        <w:rPr>
          <w:spacing w:val="-7"/>
        </w:rPr>
        <w:t> </w:t>
      </w:r>
      <w:r>
        <w:rPr/>
        <w:t>future</w:t>
      </w:r>
      <w:r>
        <w:rPr>
          <w:spacing w:val="-8"/>
        </w:rPr>
        <w:t> </w:t>
      </w:r>
      <w:r>
        <w:rPr/>
        <w:t>due</w:t>
      </w:r>
      <w:r>
        <w:rPr>
          <w:spacing w:val="-8"/>
        </w:rPr>
        <w:t> </w:t>
      </w:r>
      <w:r>
        <w:rPr/>
        <w:t>to</w:t>
      </w:r>
      <w:r>
        <w:rPr>
          <w:spacing w:val="-7"/>
        </w:rPr>
        <w:t> </w:t>
      </w:r>
      <w:r>
        <w:rPr/>
        <w:t>changes</w:t>
      </w:r>
      <w:r>
        <w:rPr>
          <w:spacing w:val="-7"/>
        </w:rPr>
        <w:t> </w:t>
      </w:r>
      <w:r>
        <w:rPr/>
        <w:t>in</w:t>
      </w:r>
      <w:r>
        <w:rPr>
          <w:spacing w:val="-7"/>
        </w:rPr>
        <w:t> </w:t>
      </w:r>
      <w:r>
        <w:rPr/>
        <w:t>property</w:t>
      </w:r>
      <w:r>
        <w:rPr>
          <w:spacing w:val="-12"/>
        </w:rPr>
        <w:t> </w:t>
      </w:r>
      <w:r>
        <w:rPr/>
        <w:t>demand</w:t>
      </w:r>
      <w:r>
        <w:rPr>
          <w:spacing w:val="-8"/>
        </w:rPr>
        <w:t> </w:t>
      </w:r>
      <w:r>
        <w:rPr/>
        <w:t>patterns</w:t>
      </w:r>
      <w:r>
        <w:rPr>
          <w:spacing w:val="-8"/>
        </w:rPr>
        <w:t> </w:t>
      </w:r>
      <w:r>
        <w:rPr/>
        <w:t>as</w:t>
      </w:r>
      <w:r>
        <w:rPr>
          <w:spacing w:val="-7"/>
        </w:rPr>
        <w:t> </w:t>
      </w:r>
      <w:r>
        <w:rPr/>
        <w:t>well</w:t>
      </w:r>
      <w:r>
        <w:rPr>
          <w:spacing w:val="-7"/>
        </w:rPr>
        <w:t> </w:t>
      </w:r>
      <w:r>
        <w:rPr/>
        <w:t>as</w:t>
      </w:r>
      <w:r>
        <w:rPr>
          <w:spacing w:val="-7"/>
        </w:rPr>
        <w:t> </w:t>
      </w:r>
      <w:r>
        <w:rPr/>
        <w:t>the</w:t>
      </w:r>
      <w:r>
        <w:rPr>
          <w:spacing w:val="-8"/>
        </w:rPr>
        <w:t> </w:t>
      </w:r>
      <w:r>
        <w:rPr/>
        <w:t>increase</w:t>
      </w:r>
      <w:r>
        <w:rPr>
          <w:spacing w:val="-8"/>
        </w:rPr>
        <w:t> </w:t>
      </w:r>
      <w:r>
        <w:rPr/>
        <w:t>in environmental issues.</w:t>
      </w:r>
    </w:p>
    <w:p>
      <w:pPr>
        <w:pStyle w:val="BodyText"/>
        <w:spacing w:line="480" w:lineRule="auto" w:before="240"/>
        <w:ind w:left="305" w:right="517"/>
      </w:pPr>
      <w:r>
        <w:rPr/>
        <w:t>Cajias</w:t>
      </w:r>
      <w:r>
        <w:rPr>
          <w:spacing w:val="-5"/>
        </w:rPr>
        <w:t> </w:t>
      </w:r>
      <w:r>
        <w:rPr>
          <w:i/>
        </w:rPr>
        <w:t>et</w:t>
      </w:r>
      <w:r>
        <w:rPr>
          <w:i/>
          <w:spacing w:val="-4"/>
        </w:rPr>
        <w:t> </w:t>
      </w:r>
      <w:r>
        <w:rPr>
          <w:i/>
        </w:rPr>
        <w:t>al.</w:t>
      </w:r>
      <w:r>
        <w:rPr>
          <w:i/>
          <w:spacing w:val="-4"/>
        </w:rPr>
        <w:t> </w:t>
      </w:r>
      <w:r>
        <w:rPr/>
        <w:t>(2019)</w:t>
      </w:r>
      <w:r>
        <w:rPr>
          <w:spacing w:val="-5"/>
        </w:rPr>
        <w:t> </w:t>
      </w:r>
      <w:r>
        <w:rPr/>
        <w:t>assess</w:t>
      </w:r>
      <w:r>
        <w:rPr>
          <w:spacing w:val="-5"/>
        </w:rPr>
        <w:t> </w:t>
      </w:r>
      <w:r>
        <w:rPr/>
        <w:t>the</w:t>
      </w:r>
      <w:r>
        <w:rPr>
          <w:spacing w:val="-5"/>
        </w:rPr>
        <w:t> </w:t>
      </w:r>
      <w:r>
        <w:rPr/>
        <w:t>housing</w:t>
      </w:r>
      <w:r>
        <w:rPr>
          <w:spacing w:val="-7"/>
        </w:rPr>
        <w:t> </w:t>
      </w:r>
      <w:r>
        <w:rPr/>
        <w:t>market</w:t>
      </w:r>
      <w:r>
        <w:rPr>
          <w:spacing w:val="-4"/>
        </w:rPr>
        <w:t> </w:t>
      </w:r>
      <w:r>
        <w:rPr/>
        <w:t>stock</w:t>
      </w:r>
      <w:r>
        <w:rPr>
          <w:spacing w:val="-5"/>
        </w:rPr>
        <w:t> </w:t>
      </w:r>
      <w:r>
        <w:rPr/>
        <w:t>in</w:t>
      </w:r>
      <w:r>
        <w:rPr>
          <w:spacing w:val="-4"/>
        </w:rPr>
        <w:t> </w:t>
      </w:r>
      <w:r>
        <w:rPr/>
        <w:t>respect</w:t>
      </w:r>
      <w:r>
        <w:rPr>
          <w:spacing w:val="-4"/>
        </w:rPr>
        <w:t> </w:t>
      </w:r>
      <w:r>
        <w:rPr/>
        <w:t>to</w:t>
      </w:r>
      <w:r>
        <w:rPr>
          <w:spacing w:val="-4"/>
        </w:rPr>
        <w:t> </w:t>
      </w:r>
      <w:r>
        <w:rPr/>
        <w:t>energy</w:t>
      </w:r>
      <w:r>
        <w:rPr>
          <w:spacing w:val="-10"/>
        </w:rPr>
        <w:t> </w:t>
      </w:r>
      <w:r>
        <w:rPr/>
        <w:t>efficiency</w:t>
      </w:r>
      <w:r>
        <w:rPr>
          <w:spacing w:val="-10"/>
        </w:rPr>
        <w:t> </w:t>
      </w:r>
      <w:r>
        <w:rPr/>
        <w:t>levels improvement, where the focus was on private rental market and unequal measure of landlords</w:t>
      </w:r>
      <w:r>
        <w:rPr>
          <w:spacing w:val="-1"/>
        </w:rPr>
        <w:t> </w:t>
      </w:r>
      <w:r>
        <w:rPr/>
        <w:t>and</w:t>
      </w:r>
      <w:r>
        <w:rPr>
          <w:spacing w:val="1"/>
        </w:rPr>
        <w:t> </w:t>
      </w:r>
      <w:r>
        <w:rPr/>
        <w:t>tenants</w:t>
      </w:r>
      <w:r>
        <w:rPr>
          <w:spacing w:val="1"/>
        </w:rPr>
        <w:t> </w:t>
      </w:r>
      <w:r>
        <w:rPr/>
        <w:t>capital</w:t>
      </w:r>
      <w:r>
        <w:rPr>
          <w:spacing w:val="2"/>
        </w:rPr>
        <w:t> </w:t>
      </w:r>
      <w:r>
        <w:rPr/>
        <w:t>costs</w:t>
      </w:r>
      <w:r>
        <w:rPr>
          <w:spacing w:val="1"/>
        </w:rPr>
        <w:t> </w:t>
      </w:r>
      <w:r>
        <w:rPr/>
        <w:t>and</w:t>
      </w:r>
      <w:r>
        <w:rPr>
          <w:spacing w:val="1"/>
        </w:rPr>
        <w:t> </w:t>
      </w:r>
      <w:r>
        <w:rPr/>
        <w:t>utility</w:t>
      </w:r>
      <w:r>
        <w:rPr>
          <w:spacing w:val="-6"/>
        </w:rPr>
        <w:t> </w:t>
      </w:r>
      <w:r>
        <w:rPr/>
        <w:t>cost</w:t>
      </w:r>
      <w:r>
        <w:rPr>
          <w:spacing w:val="1"/>
        </w:rPr>
        <w:t> </w:t>
      </w:r>
      <w:r>
        <w:rPr/>
        <w:t>savings.</w:t>
      </w:r>
      <w:r>
        <w:rPr>
          <w:spacing w:val="1"/>
        </w:rPr>
        <w:t> </w:t>
      </w:r>
      <w:r>
        <w:rPr/>
        <w:t>They</w:t>
      </w:r>
      <w:r>
        <w:rPr>
          <w:spacing w:val="-1"/>
        </w:rPr>
        <w:t> </w:t>
      </w:r>
      <w:r>
        <w:rPr/>
        <w:t>argued</w:t>
      </w:r>
      <w:r>
        <w:rPr>
          <w:spacing w:val="1"/>
        </w:rPr>
        <w:t> </w:t>
      </w:r>
      <w:r>
        <w:rPr/>
        <w:t>that</w:t>
      </w:r>
      <w:r>
        <w:rPr>
          <w:spacing w:val="1"/>
        </w:rPr>
        <w:t> </w:t>
      </w:r>
      <w:r>
        <w:rPr/>
        <w:t>the</w:t>
      </w:r>
      <w:r>
        <w:rPr>
          <w:spacing w:val="1"/>
        </w:rPr>
        <w:t> </w:t>
      </w:r>
      <w:r>
        <w:rPr>
          <w:spacing w:val="-2"/>
        </w:rPr>
        <w:t>German</w:t>
      </w:r>
    </w:p>
    <w:p>
      <w:pPr>
        <w:spacing w:after="0" w:line="480" w:lineRule="auto"/>
        <w:sectPr>
          <w:pgSz w:w="11910" w:h="16840"/>
          <w:pgMar w:header="0" w:footer="1022" w:top="1320" w:bottom="1220" w:left="1680" w:right="900"/>
        </w:sectPr>
      </w:pPr>
    </w:p>
    <w:p>
      <w:pPr>
        <w:pStyle w:val="BodyText"/>
        <w:spacing w:line="480" w:lineRule="auto" w:before="72"/>
        <w:ind w:left="305" w:right="511"/>
      </w:pPr>
      <w:r>
        <w:rPr/>
        <w:t>housing</w:t>
      </w:r>
      <w:r>
        <w:rPr>
          <w:spacing w:val="-14"/>
        </w:rPr>
        <w:t> </w:t>
      </w:r>
      <w:r>
        <w:rPr/>
        <w:t>market</w:t>
      </w:r>
      <w:r>
        <w:rPr>
          <w:spacing w:val="-10"/>
        </w:rPr>
        <w:t> </w:t>
      </w:r>
      <w:r>
        <w:rPr/>
        <w:t>is</w:t>
      </w:r>
      <w:r>
        <w:rPr>
          <w:spacing w:val="-11"/>
        </w:rPr>
        <w:t> </w:t>
      </w:r>
      <w:r>
        <w:rPr/>
        <w:t>characterised</w:t>
      </w:r>
      <w:r>
        <w:rPr>
          <w:spacing w:val="-12"/>
        </w:rPr>
        <w:t> </w:t>
      </w:r>
      <w:r>
        <w:rPr/>
        <w:t>with</w:t>
      </w:r>
      <w:r>
        <w:rPr>
          <w:spacing w:val="-11"/>
        </w:rPr>
        <w:t> </w:t>
      </w:r>
      <w:r>
        <w:rPr/>
        <w:t>the</w:t>
      </w:r>
      <w:r>
        <w:rPr>
          <w:spacing w:val="-12"/>
        </w:rPr>
        <w:t> </w:t>
      </w:r>
      <w:r>
        <w:rPr/>
        <w:t>problem</w:t>
      </w:r>
      <w:r>
        <w:rPr>
          <w:spacing w:val="-11"/>
        </w:rPr>
        <w:t> </w:t>
      </w:r>
      <w:r>
        <w:rPr/>
        <w:t>where</w:t>
      </w:r>
      <w:r>
        <w:rPr>
          <w:spacing w:val="-13"/>
        </w:rPr>
        <w:t> </w:t>
      </w:r>
      <w:r>
        <w:rPr/>
        <w:t>rented</w:t>
      </w:r>
      <w:r>
        <w:rPr>
          <w:spacing w:val="-12"/>
        </w:rPr>
        <w:t> </w:t>
      </w:r>
      <w:r>
        <w:rPr/>
        <w:t>accommodation</w:t>
      </w:r>
      <w:r>
        <w:rPr>
          <w:spacing w:val="-12"/>
        </w:rPr>
        <w:t> </w:t>
      </w:r>
      <w:r>
        <w:rPr/>
        <w:t>dominate over owner occupancy. They argued that their research is so far the largest in terms of rating of the effect of energy efficiency investigation and how it impact rental values. Adopting a semiparametric hedonic model and empirically sampling about 760,000 observations</w:t>
      </w:r>
      <w:r>
        <w:rPr>
          <w:spacing w:val="-7"/>
        </w:rPr>
        <w:t> </w:t>
      </w:r>
      <w:r>
        <w:rPr/>
        <w:t>covering</w:t>
      </w:r>
      <w:r>
        <w:rPr>
          <w:spacing w:val="-7"/>
        </w:rPr>
        <w:t> </w:t>
      </w:r>
      <w:r>
        <w:rPr/>
        <w:t>about</w:t>
      </w:r>
      <w:r>
        <w:rPr>
          <w:spacing w:val="-7"/>
        </w:rPr>
        <w:t> </w:t>
      </w:r>
      <w:r>
        <w:rPr/>
        <w:t>403</w:t>
      </w:r>
      <w:r>
        <w:rPr>
          <w:spacing w:val="-7"/>
        </w:rPr>
        <w:t> </w:t>
      </w:r>
      <w:r>
        <w:rPr/>
        <w:t>Germany’s</w:t>
      </w:r>
      <w:r>
        <w:rPr>
          <w:spacing w:val="-8"/>
        </w:rPr>
        <w:t> </w:t>
      </w:r>
      <w:r>
        <w:rPr/>
        <w:t>local</w:t>
      </w:r>
      <w:r>
        <w:rPr>
          <w:spacing w:val="-4"/>
        </w:rPr>
        <w:t> </w:t>
      </w:r>
      <w:r>
        <w:rPr/>
        <w:t>markets</w:t>
      </w:r>
      <w:r>
        <w:rPr>
          <w:spacing w:val="-7"/>
        </w:rPr>
        <w:t> </w:t>
      </w:r>
      <w:r>
        <w:rPr/>
        <w:t>considering</w:t>
      </w:r>
      <w:r>
        <w:rPr>
          <w:spacing w:val="-10"/>
        </w:rPr>
        <w:t> </w:t>
      </w:r>
      <w:r>
        <w:rPr/>
        <w:t>complete</w:t>
      </w:r>
      <w:r>
        <w:rPr>
          <w:spacing w:val="-8"/>
        </w:rPr>
        <w:t> </w:t>
      </w:r>
      <w:r>
        <w:rPr/>
        <w:t>hedonic feature,</w:t>
      </w:r>
      <w:r>
        <w:rPr>
          <w:spacing w:val="-6"/>
        </w:rPr>
        <w:t> </w:t>
      </w:r>
      <w:r>
        <w:rPr/>
        <w:t>they</w:t>
      </w:r>
      <w:r>
        <w:rPr>
          <w:spacing w:val="-11"/>
        </w:rPr>
        <w:t> </w:t>
      </w:r>
      <w:r>
        <w:rPr/>
        <w:t>observed</w:t>
      </w:r>
      <w:r>
        <w:rPr>
          <w:spacing w:val="-6"/>
        </w:rPr>
        <w:t> </w:t>
      </w:r>
      <w:r>
        <w:rPr/>
        <w:t>that</w:t>
      </w:r>
      <w:r>
        <w:rPr>
          <w:spacing w:val="-4"/>
        </w:rPr>
        <w:t> </w:t>
      </w:r>
      <w:r>
        <w:rPr/>
        <w:t>energy-efficient</w:t>
      </w:r>
      <w:r>
        <w:rPr>
          <w:spacing w:val="-6"/>
        </w:rPr>
        <w:t> </w:t>
      </w:r>
      <w:r>
        <w:rPr/>
        <w:t>rental</w:t>
      </w:r>
      <w:r>
        <w:rPr>
          <w:spacing w:val="-3"/>
        </w:rPr>
        <w:t> </w:t>
      </w:r>
      <w:r>
        <w:rPr/>
        <w:t>units</w:t>
      </w:r>
      <w:r>
        <w:rPr>
          <w:spacing w:val="-6"/>
        </w:rPr>
        <w:t> </w:t>
      </w:r>
      <w:r>
        <w:rPr/>
        <w:t>are</w:t>
      </w:r>
      <w:r>
        <w:rPr>
          <w:spacing w:val="-8"/>
        </w:rPr>
        <w:t> </w:t>
      </w:r>
      <w:r>
        <w:rPr/>
        <w:t>rented</w:t>
      </w:r>
      <w:r>
        <w:rPr>
          <w:spacing w:val="-6"/>
        </w:rPr>
        <w:t> </w:t>
      </w:r>
      <w:r>
        <w:rPr/>
        <w:t>at</w:t>
      </w:r>
      <w:r>
        <w:rPr>
          <w:spacing w:val="-3"/>
        </w:rPr>
        <w:t> </w:t>
      </w:r>
      <w:r>
        <w:rPr/>
        <w:t>a</w:t>
      </w:r>
      <w:r>
        <w:rPr>
          <w:spacing w:val="-6"/>
        </w:rPr>
        <w:t> </w:t>
      </w:r>
      <w:r>
        <w:rPr/>
        <w:t>premium.</w:t>
      </w:r>
      <w:r>
        <w:rPr>
          <w:spacing w:val="-6"/>
        </w:rPr>
        <w:t> </w:t>
      </w:r>
      <w:r>
        <w:rPr/>
        <w:t>Though, confirmation of this effect did not cover the largest metropolitan housing markets. Preceding this, the effect of energy ratings on time-on-market was estimated using survival</w:t>
      </w:r>
      <w:r>
        <w:rPr>
          <w:spacing w:val="-7"/>
        </w:rPr>
        <w:t> </w:t>
      </w:r>
      <w:r>
        <w:rPr/>
        <w:t>hazard</w:t>
      </w:r>
      <w:r>
        <w:rPr>
          <w:spacing w:val="-6"/>
        </w:rPr>
        <w:t> </w:t>
      </w:r>
      <w:r>
        <w:rPr/>
        <w:t>model.</w:t>
      </w:r>
      <w:r>
        <w:rPr>
          <w:spacing w:val="-6"/>
        </w:rPr>
        <w:t> </w:t>
      </w:r>
      <w:r>
        <w:rPr/>
        <w:t>Their</w:t>
      </w:r>
      <w:r>
        <w:rPr>
          <w:spacing w:val="-8"/>
        </w:rPr>
        <w:t> </w:t>
      </w:r>
      <w:r>
        <w:rPr/>
        <w:t>findings</w:t>
      </w:r>
      <w:r>
        <w:rPr>
          <w:spacing w:val="-7"/>
        </w:rPr>
        <w:t> </w:t>
      </w:r>
      <w:r>
        <w:rPr/>
        <w:t>shows</w:t>
      </w:r>
      <w:r>
        <w:rPr>
          <w:spacing w:val="-4"/>
        </w:rPr>
        <w:t> </w:t>
      </w:r>
      <w:r>
        <w:rPr/>
        <w:t>that</w:t>
      </w:r>
      <w:r>
        <w:rPr>
          <w:spacing w:val="-5"/>
        </w:rPr>
        <w:t> </w:t>
      </w:r>
      <w:r>
        <w:rPr/>
        <w:t>energy</w:t>
      </w:r>
      <w:r>
        <w:rPr>
          <w:spacing w:val="-12"/>
        </w:rPr>
        <w:t> </w:t>
      </w:r>
      <w:r>
        <w:rPr/>
        <w:t>inefficient</w:t>
      </w:r>
      <w:r>
        <w:rPr>
          <w:spacing w:val="-5"/>
        </w:rPr>
        <w:t> </w:t>
      </w:r>
      <w:r>
        <w:rPr/>
        <w:t>dwelling</w:t>
      </w:r>
      <w:r>
        <w:rPr>
          <w:spacing w:val="-10"/>
        </w:rPr>
        <w:t> </w:t>
      </w:r>
      <w:r>
        <w:rPr/>
        <w:t>have</w:t>
      </w:r>
      <w:r>
        <w:rPr>
          <w:spacing w:val="-6"/>
        </w:rPr>
        <w:t> </w:t>
      </w:r>
      <w:r>
        <w:rPr/>
        <w:t>longer marketing periods and thereby less liquid than their more energy efficient counterparts.</w:t>
      </w:r>
    </w:p>
    <w:p>
      <w:pPr>
        <w:pStyle w:val="BodyText"/>
        <w:spacing w:line="480" w:lineRule="auto" w:before="241"/>
        <w:ind w:left="305" w:right="514"/>
      </w:pPr>
      <w:r>
        <w:rPr/>
        <w:t>Liebelt </w:t>
      </w:r>
      <w:r>
        <w:rPr>
          <w:i/>
        </w:rPr>
        <w:t>et al. </w:t>
      </w:r>
      <w:r>
        <w:rPr/>
        <w:t>(2018) examined how residential property prices are influenced by Urban Green Spaces (UGS) in Leipzig,</w:t>
      </w:r>
      <w:r>
        <w:rPr>
          <w:spacing w:val="40"/>
        </w:rPr>
        <w:t> </w:t>
      </w:r>
      <w:r>
        <w:rPr/>
        <w:t>Germany, adopting hedonic pricing analysis. Their findings contribute to the existing literature by considering both house rental and sale prices;</w:t>
      </w:r>
      <w:r>
        <w:rPr>
          <w:spacing w:val="-1"/>
        </w:rPr>
        <w:t> </w:t>
      </w:r>
      <w:r>
        <w:rPr/>
        <w:t>UGS</w:t>
      </w:r>
      <w:r>
        <w:rPr>
          <w:spacing w:val="-1"/>
        </w:rPr>
        <w:t> </w:t>
      </w:r>
      <w:r>
        <w:rPr/>
        <w:t>shape</w:t>
      </w:r>
      <w:r>
        <w:rPr>
          <w:spacing w:val="-2"/>
        </w:rPr>
        <w:t> </w:t>
      </w:r>
      <w:r>
        <w:rPr/>
        <w:t>was</w:t>
      </w:r>
      <w:r>
        <w:rPr>
          <w:spacing w:val="-1"/>
        </w:rPr>
        <w:t> </w:t>
      </w:r>
      <w:r>
        <w:rPr/>
        <w:t>considered;</w:t>
      </w:r>
      <w:r>
        <w:rPr>
          <w:spacing w:val="-1"/>
        </w:rPr>
        <w:t> </w:t>
      </w:r>
      <w:r>
        <w:rPr/>
        <w:t>and</w:t>
      </w:r>
      <w:r>
        <w:rPr>
          <w:spacing w:val="-1"/>
        </w:rPr>
        <w:t> </w:t>
      </w:r>
      <w:r>
        <w:rPr/>
        <w:t>argued</w:t>
      </w:r>
      <w:r>
        <w:rPr>
          <w:spacing w:val="-1"/>
        </w:rPr>
        <w:t> </w:t>
      </w:r>
      <w:r>
        <w:rPr/>
        <w:t>that</w:t>
      </w:r>
      <w:r>
        <w:rPr>
          <w:spacing w:val="-1"/>
        </w:rPr>
        <w:t> </w:t>
      </w:r>
      <w:r>
        <w:rPr/>
        <w:t>in</w:t>
      </w:r>
      <w:r>
        <w:rPr>
          <w:spacing w:val="-1"/>
        </w:rPr>
        <w:t> </w:t>
      </w:r>
      <w:r>
        <w:rPr/>
        <w:t>Germany,</w:t>
      </w:r>
      <w:r>
        <w:rPr>
          <w:spacing w:val="-1"/>
        </w:rPr>
        <w:t> </w:t>
      </w:r>
      <w:r>
        <w:rPr/>
        <w:t>their</w:t>
      </w:r>
      <w:r>
        <w:rPr>
          <w:spacing w:val="-2"/>
        </w:rPr>
        <w:t> </w:t>
      </w:r>
      <w:r>
        <w:rPr/>
        <w:t>study</w:t>
      </w:r>
      <w:r>
        <w:rPr>
          <w:spacing w:val="-3"/>
        </w:rPr>
        <w:t> </w:t>
      </w:r>
      <w:r>
        <w:rPr/>
        <w:t>is</w:t>
      </w:r>
      <w:r>
        <w:rPr>
          <w:spacing w:val="-1"/>
        </w:rPr>
        <w:t> </w:t>
      </w:r>
      <w:r>
        <w:rPr/>
        <w:t>first</w:t>
      </w:r>
      <w:r>
        <w:rPr>
          <w:spacing w:val="-1"/>
        </w:rPr>
        <w:t> </w:t>
      </w:r>
      <w:r>
        <w:rPr/>
        <w:t>of</w:t>
      </w:r>
      <w:r>
        <w:rPr>
          <w:spacing w:val="-2"/>
        </w:rPr>
        <w:t> </w:t>
      </w:r>
      <w:r>
        <w:rPr/>
        <w:t>its kind to examine UGS using hedonic approach. Demonstration of their result shows that there</w:t>
      </w:r>
      <w:r>
        <w:rPr>
          <w:spacing w:val="-15"/>
        </w:rPr>
        <w:t> </w:t>
      </w:r>
      <w:r>
        <w:rPr/>
        <w:t>is</w:t>
      </w:r>
      <w:r>
        <w:rPr>
          <w:spacing w:val="-15"/>
        </w:rPr>
        <w:t> </w:t>
      </w:r>
      <w:r>
        <w:rPr/>
        <w:t>stronger</w:t>
      </w:r>
      <w:r>
        <w:rPr>
          <w:spacing w:val="-15"/>
        </w:rPr>
        <w:t> </w:t>
      </w:r>
      <w:r>
        <w:rPr/>
        <w:t>impact</w:t>
      </w:r>
      <w:r>
        <w:rPr>
          <w:spacing w:val="-15"/>
        </w:rPr>
        <w:t> </w:t>
      </w:r>
      <w:r>
        <w:rPr/>
        <w:t>of</w:t>
      </w:r>
      <w:r>
        <w:rPr>
          <w:spacing w:val="-15"/>
        </w:rPr>
        <w:t> </w:t>
      </w:r>
      <w:r>
        <w:rPr/>
        <w:t>size</w:t>
      </w:r>
      <w:r>
        <w:rPr>
          <w:spacing w:val="-15"/>
        </w:rPr>
        <w:t> </w:t>
      </w:r>
      <w:r>
        <w:rPr/>
        <w:t>of</w:t>
      </w:r>
      <w:r>
        <w:rPr>
          <w:spacing w:val="-15"/>
        </w:rPr>
        <w:t> </w:t>
      </w:r>
      <w:r>
        <w:rPr/>
        <w:t>the</w:t>
      </w:r>
      <w:r>
        <w:rPr>
          <w:spacing w:val="-15"/>
        </w:rPr>
        <w:t> </w:t>
      </w:r>
      <w:r>
        <w:rPr/>
        <w:t>nearest</w:t>
      </w:r>
      <w:r>
        <w:rPr>
          <w:spacing w:val="-15"/>
        </w:rPr>
        <w:t> </w:t>
      </w:r>
      <w:r>
        <w:rPr/>
        <w:t>UGS</w:t>
      </w:r>
      <w:r>
        <w:rPr>
          <w:spacing w:val="-15"/>
        </w:rPr>
        <w:t> </w:t>
      </w:r>
      <w:r>
        <w:rPr/>
        <w:t>on</w:t>
      </w:r>
      <w:r>
        <w:rPr>
          <w:spacing w:val="-15"/>
        </w:rPr>
        <w:t> </w:t>
      </w:r>
      <w:r>
        <w:rPr/>
        <w:t>house</w:t>
      </w:r>
      <w:r>
        <w:rPr>
          <w:spacing w:val="-15"/>
        </w:rPr>
        <w:t> </w:t>
      </w:r>
      <w:r>
        <w:rPr/>
        <w:t>prices.</w:t>
      </w:r>
      <w:r>
        <w:rPr>
          <w:spacing w:val="-15"/>
        </w:rPr>
        <w:t> </w:t>
      </w:r>
      <w:r>
        <w:rPr/>
        <w:t>Considering</w:t>
      </w:r>
      <w:r>
        <w:rPr>
          <w:spacing w:val="-15"/>
        </w:rPr>
        <w:t> </w:t>
      </w:r>
      <w:r>
        <w:rPr/>
        <w:t>the</w:t>
      </w:r>
      <w:r>
        <w:rPr>
          <w:spacing w:val="-15"/>
        </w:rPr>
        <w:t> </w:t>
      </w:r>
      <w:r>
        <w:rPr/>
        <w:t>shape, they found that higher house prices are as a result of simple UGS shape. Valuation approach was proposed and results was obtained to inform urban planners concerning new</w:t>
      </w:r>
      <w:r>
        <w:rPr>
          <w:spacing w:val="-1"/>
        </w:rPr>
        <w:t> </w:t>
      </w:r>
      <w:r>
        <w:rPr/>
        <w:t>UGS</w:t>
      </w:r>
      <w:r>
        <w:rPr>
          <w:spacing w:val="-1"/>
        </w:rPr>
        <w:t> </w:t>
      </w:r>
      <w:r>
        <w:rPr/>
        <w:t>designs and</w:t>
      </w:r>
      <w:r>
        <w:rPr>
          <w:spacing w:val="-1"/>
        </w:rPr>
        <w:t> </w:t>
      </w:r>
      <w:r>
        <w:rPr/>
        <w:t>public</w:t>
      </w:r>
      <w:r>
        <w:rPr>
          <w:spacing w:val="-2"/>
        </w:rPr>
        <w:t> </w:t>
      </w:r>
      <w:r>
        <w:rPr/>
        <w:t>awareness of</w:t>
      </w:r>
      <w:r>
        <w:rPr>
          <w:spacing w:val="-1"/>
        </w:rPr>
        <w:t> </w:t>
      </w:r>
      <w:r>
        <w:rPr/>
        <w:t>the</w:t>
      </w:r>
      <w:r>
        <w:rPr>
          <w:spacing w:val="-1"/>
        </w:rPr>
        <w:t> </w:t>
      </w:r>
      <w:r>
        <w:rPr/>
        <w:t>social and</w:t>
      </w:r>
      <w:r>
        <w:rPr>
          <w:spacing w:val="-1"/>
        </w:rPr>
        <w:t> </w:t>
      </w:r>
      <w:r>
        <w:rPr/>
        <w:t>economic</w:t>
      </w:r>
      <w:r>
        <w:rPr>
          <w:spacing w:val="-2"/>
        </w:rPr>
        <w:t> </w:t>
      </w:r>
      <w:r>
        <w:rPr/>
        <w:t>impacts</w:t>
      </w:r>
      <w:r>
        <w:rPr>
          <w:spacing w:val="2"/>
        </w:rPr>
        <w:t> </w:t>
      </w:r>
      <w:r>
        <w:rPr/>
        <w:t>of</w:t>
      </w:r>
      <w:r>
        <w:rPr>
          <w:spacing w:val="-1"/>
        </w:rPr>
        <w:t> </w:t>
      </w:r>
      <w:r>
        <w:rPr/>
        <w:t>the</w:t>
      </w:r>
      <w:r>
        <w:rPr>
          <w:spacing w:val="-2"/>
        </w:rPr>
        <w:t> </w:t>
      </w:r>
      <w:r>
        <w:rPr>
          <w:spacing w:val="-4"/>
        </w:rPr>
        <w:t>UGS.</w:t>
      </w:r>
    </w:p>
    <w:p>
      <w:pPr>
        <w:pStyle w:val="BodyText"/>
        <w:spacing w:line="552" w:lineRule="exact" w:before="22"/>
        <w:ind w:left="305" w:right="515"/>
      </w:pPr>
      <w:r>
        <w:rPr/>
        <w:t>Latinopoulos</w:t>
      </w:r>
      <w:r>
        <w:rPr>
          <w:spacing w:val="-7"/>
        </w:rPr>
        <w:t> </w:t>
      </w:r>
      <w:r>
        <w:rPr/>
        <w:t>(2018)</w:t>
      </w:r>
      <w:r>
        <w:rPr>
          <w:spacing w:val="-7"/>
        </w:rPr>
        <w:t> </w:t>
      </w:r>
      <w:r>
        <w:rPr/>
        <w:t>appraise</w:t>
      </w:r>
      <w:r>
        <w:rPr>
          <w:spacing w:val="-8"/>
        </w:rPr>
        <w:t> </w:t>
      </w:r>
      <w:r>
        <w:rPr/>
        <w:t>the</w:t>
      </w:r>
      <w:r>
        <w:rPr>
          <w:spacing w:val="-8"/>
        </w:rPr>
        <w:t> </w:t>
      </w:r>
      <w:r>
        <w:rPr/>
        <w:t>impact</w:t>
      </w:r>
      <w:r>
        <w:rPr>
          <w:spacing w:val="-8"/>
        </w:rPr>
        <w:t> </w:t>
      </w:r>
      <w:r>
        <w:rPr/>
        <w:t>of</w:t>
      </w:r>
      <w:r>
        <w:rPr>
          <w:spacing w:val="-8"/>
        </w:rPr>
        <w:t> </w:t>
      </w:r>
      <w:r>
        <w:rPr/>
        <w:t>sea</w:t>
      </w:r>
      <w:r>
        <w:rPr>
          <w:spacing w:val="-8"/>
        </w:rPr>
        <w:t> </w:t>
      </w:r>
      <w:r>
        <w:rPr/>
        <w:t>view</w:t>
      </w:r>
      <w:r>
        <w:rPr>
          <w:spacing w:val="-8"/>
        </w:rPr>
        <w:t> </w:t>
      </w:r>
      <w:r>
        <w:rPr/>
        <w:t>on</w:t>
      </w:r>
      <w:r>
        <w:rPr>
          <w:spacing w:val="-8"/>
        </w:rPr>
        <w:t> </w:t>
      </w:r>
      <w:r>
        <w:rPr/>
        <w:t>the</w:t>
      </w:r>
      <w:r>
        <w:rPr>
          <w:spacing w:val="-8"/>
        </w:rPr>
        <w:t> </w:t>
      </w:r>
      <w:r>
        <w:rPr/>
        <w:t>apartment</w:t>
      </w:r>
      <w:r>
        <w:rPr>
          <w:spacing w:val="-8"/>
        </w:rPr>
        <w:t> </w:t>
      </w:r>
      <w:r>
        <w:rPr/>
        <w:t>rates</w:t>
      </w:r>
      <w:r>
        <w:rPr>
          <w:spacing w:val="-6"/>
        </w:rPr>
        <w:t> </w:t>
      </w:r>
      <w:r>
        <w:rPr/>
        <w:t>together</w:t>
      </w:r>
      <w:r>
        <w:rPr>
          <w:spacing w:val="-8"/>
        </w:rPr>
        <w:t> </w:t>
      </w:r>
      <w:r>
        <w:rPr/>
        <w:t>with other</w:t>
      </w:r>
      <w:r>
        <w:rPr>
          <w:spacing w:val="-9"/>
        </w:rPr>
        <w:t> </w:t>
      </w:r>
      <w:r>
        <w:rPr/>
        <w:t>locational</w:t>
      </w:r>
      <w:r>
        <w:rPr>
          <w:spacing w:val="-6"/>
        </w:rPr>
        <w:t> </w:t>
      </w:r>
      <w:r>
        <w:rPr/>
        <w:t>and</w:t>
      </w:r>
      <w:r>
        <w:rPr>
          <w:spacing w:val="-8"/>
        </w:rPr>
        <w:t> </w:t>
      </w:r>
      <w:r>
        <w:rPr/>
        <w:t>structural</w:t>
      </w:r>
      <w:r>
        <w:rPr>
          <w:spacing w:val="-8"/>
        </w:rPr>
        <w:t> </w:t>
      </w:r>
      <w:r>
        <w:rPr/>
        <w:t>characteristics.</w:t>
      </w:r>
      <w:r>
        <w:rPr>
          <w:spacing w:val="-9"/>
        </w:rPr>
        <w:t> </w:t>
      </w:r>
      <w:r>
        <w:rPr/>
        <w:t>The</w:t>
      </w:r>
      <w:r>
        <w:rPr>
          <w:spacing w:val="-5"/>
        </w:rPr>
        <w:t> </w:t>
      </w:r>
      <w:r>
        <w:rPr/>
        <w:t>research</w:t>
      </w:r>
      <w:r>
        <w:rPr>
          <w:spacing w:val="-6"/>
        </w:rPr>
        <w:t> </w:t>
      </w:r>
      <w:r>
        <w:rPr/>
        <w:t>goals</w:t>
      </w:r>
      <w:r>
        <w:rPr>
          <w:spacing w:val="-8"/>
        </w:rPr>
        <w:t> </w:t>
      </w:r>
      <w:r>
        <w:rPr/>
        <w:t>was</w:t>
      </w:r>
      <w:r>
        <w:rPr>
          <w:spacing w:val="-8"/>
        </w:rPr>
        <w:t> </w:t>
      </w:r>
      <w:r>
        <w:rPr/>
        <w:t>to</w:t>
      </w:r>
      <w:r>
        <w:rPr>
          <w:spacing w:val="-8"/>
        </w:rPr>
        <w:t> </w:t>
      </w:r>
      <w:r>
        <w:rPr/>
        <w:t>find</w:t>
      </w:r>
      <w:r>
        <w:rPr>
          <w:spacing w:val="-8"/>
        </w:rPr>
        <w:t> </w:t>
      </w:r>
      <w:r>
        <w:rPr/>
        <w:t>out</w:t>
      </w:r>
      <w:r>
        <w:rPr>
          <w:spacing w:val="-8"/>
        </w:rPr>
        <w:t> </w:t>
      </w:r>
      <w:r>
        <w:rPr/>
        <w:t>whether apartments in the Greek city of</w:t>
      </w:r>
      <w:r>
        <w:rPr>
          <w:spacing w:val="40"/>
        </w:rPr>
        <w:t> </w:t>
      </w:r>
      <w:r>
        <w:rPr/>
        <w:t>Halkidiki with a sea view commands higher price, by quantifying the associated costal area aesthetic values where key economic activity is tourism</w:t>
      </w:r>
      <w:r>
        <w:rPr>
          <w:spacing w:val="-6"/>
        </w:rPr>
        <w:t> </w:t>
      </w:r>
      <w:r>
        <w:rPr/>
        <w:t>related</w:t>
      </w:r>
      <w:r>
        <w:rPr>
          <w:spacing w:val="-7"/>
        </w:rPr>
        <w:t> </w:t>
      </w:r>
      <w:r>
        <w:rPr/>
        <w:t>development.</w:t>
      </w:r>
      <w:r>
        <w:rPr>
          <w:spacing w:val="-6"/>
        </w:rPr>
        <w:t> </w:t>
      </w:r>
      <w:r>
        <w:rPr/>
        <w:t>Then,</w:t>
      </w:r>
      <w:r>
        <w:rPr>
          <w:spacing w:val="-7"/>
        </w:rPr>
        <w:t> </w:t>
      </w:r>
      <w:r>
        <w:rPr/>
        <w:t>these</w:t>
      </w:r>
      <w:r>
        <w:rPr>
          <w:spacing w:val="-8"/>
        </w:rPr>
        <w:t> </w:t>
      </w:r>
      <w:r>
        <w:rPr/>
        <w:t>data</w:t>
      </w:r>
      <w:r>
        <w:rPr>
          <w:spacing w:val="-7"/>
        </w:rPr>
        <w:t> </w:t>
      </w:r>
      <w:r>
        <w:rPr/>
        <w:t>were</w:t>
      </w:r>
      <w:r>
        <w:rPr>
          <w:spacing w:val="-8"/>
        </w:rPr>
        <w:t> </w:t>
      </w:r>
      <w:r>
        <w:rPr/>
        <w:t>integrated</w:t>
      </w:r>
      <w:r>
        <w:rPr>
          <w:spacing w:val="-7"/>
        </w:rPr>
        <w:t> </w:t>
      </w:r>
      <w:r>
        <w:rPr/>
        <w:t>into</w:t>
      </w:r>
      <w:r>
        <w:rPr>
          <w:spacing w:val="-7"/>
        </w:rPr>
        <w:t> </w:t>
      </w:r>
      <w:r>
        <w:rPr/>
        <w:t>a</w:t>
      </w:r>
      <w:r>
        <w:rPr>
          <w:spacing w:val="-8"/>
        </w:rPr>
        <w:t> </w:t>
      </w:r>
      <w:r>
        <w:rPr/>
        <w:t>GIS</w:t>
      </w:r>
      <w:r>
        <w:rPr>
          <w:spacing w:val="-6"/>
        </w:rPr>
        <w:t> </w:t>
      </w:r>
      <w:r>
        <w:rPr/>
        <w:t>environment</w:t>
      </w:r>
      <w:r>
        <w:rPr>
          <w:spacing w:val="-7"/>
        </w:rPr>
        <w:t> </w:t>
      </w:r>
      <w:r>
        <w:rPr/>
        <w:t>to achieve</w:t>
      </w:r>
      <w:r>
        <w:rPr>
          <w:spacing w:val="23"/>
        </w:rPr>
        <w:t> </w:t>
      </w:r>
      <w:r>
        <w:rPr/>
        <w:t>spatial</w:t>
      </w:r>
      <w:r>
        <w:rPr>
          <w:spacing w:val="25"/>
        </w:rPr>
        <w:t> </w:t>
      </w:r>
      <w:r>
        <w:rPr/>
        <w:t>hedonic</w:t>
      </w:r>
      <w:r>
        <w:rPr>
          <w:spacing w:val="27"/>
        </w:rPr>
        <w:t> </w:t>
      </w:r>
      <w:r>
        <w:rPr/>
        <w:t>model.</w:t>
      </w:r>
      <w:r>
        <w:rPr>
          <w:spacing w:val="27"/>
        </w:rPr>
        <w:t> </w:t>
      </w:r>
      <w:r>
        <w:rPr/>
        <w:t>A</w:t>
      </w:r>
      <w:r>
        <w:rPr>
          <w:spacing w:val="24"/>
        </w:rPr>
        <w:t> </w:t>
      </w:r>
      <w:r>
        <w:rPr/>
        <w:t>semi-parametric</w:t>
      </w:r>
      <w:r>
        <w:rPr>
          <w:spacing w:val="27"/>
        </w:rPr>
        <w:t> </w:t>
      </w:r>
      <w:r>
        <w:rPr/>
        <w:t>geographically</w:t>
      </w:r>
      <w:r>
        <w:rPr>
          <w:spacing w:val="22"/>
        </w:rPr>
        <w:t> </w:t>
      </w:r>
      <w:r>
        <w:rPr/>
        <w:t>weighted</w:t>
      </w:r>
      <w:r>
        <w:rPr>
          <w:spacing w:val="26"/>
        </w:rPr>
        <w:t> </w:t>
      </w:r>
      <w:r>
        <w:rPr>
          <w:spacing w:val="-2"/>
        </w:rPr>
        <w:t>regression</w:t>
      </w:r>
    </w:p>
    <w:p>
      <w:pPr>
        <w:spacing w:after="0" w:line="552" w:lineRule="exact"/>
        <w:sectPr>
          <w:pgSz w:w="11910" w:h="16840"/>
          <w:pgMar w:header="0" w:footer="1022" w:top="1320" w:bottom="1220" w:left="1680" w:right="900"/>
        </w:sectPr>
      </w:pPr>
    </w:p>
    <w:p>
      <w:pPr>
        <w:pStyle w:val="BodyText"/>
        <w:spacing w:line="480" w:lineRule="auto" w:before="72"/>
        <w:ind w:left="305" w:right="514"/>
      </w:pPr>
      <w:r>
        <w:rPr/>
        <w:t>model was adopted in assessing the local impacts, also, to examine the spatial inconsistency of the selected features. Their finding revealed a substantial spatial inconsistency regarding the impact of sea view on apartment rates, signifying that local natural and/or tourism resources may substantially influenced the aesthetic value.</w:t>
      </w:r>
    </w:p>
    <w:p>
      <w:pPr>
        <w:pStyle w:val="Heading1"/>
        <w:numPr>
          <w:ilvl w:val="3"/>
          <w:numId w:val="5"/>
        </w:numPr>
        <w:tabs>
          <w:tab w:pos="1024" w:val="left" w:leader="none"/>
        </w:tabs>
        <w:spacing w:line="240" w:lineRule="auto" w:before="247" w:after="0"/>
        <w:ind w:left="1024" w:right="0" w:hanging="719"/>
        <w:jc w:val="both"/>
      </w:pPr>
      <w:r>
        <w:rPr/>
        <w:t>Spatial</w:t>
      </w:r>
      <w:r>
        <w:rPr>
          <w:spacing w:val="1"/>
        </w:rPr>
        <w:t> </w:t>
      </w:r>
      <w:r>
        <w:rPr>
          <w:spacing w:val="-2"/>
        </w:rPr>
        <w:t>approach</w:t>
      </w:r>
    </w:p>
    <w:p>
      <w:pPr>
        <w:pStyle w:val="BodyText"/>
        <w:spacing w:before="233"/>
        <w:jc w:val="left"/>
        <w:rPr>
          <w:b/>
        </w:rPr>
      </w:pPr>
    </w:p>
    <w:p>
      <w:pPr>
        <w:pStyle w:val="BodyText"/>
        <w:spacing w:line="480" w:lineRule="auto"/>
        <w:ind w:left="305" w:right="511"/>
      </w:pPr>
      <w:r>
        <w:rPr/>
        <w:t>One reason house prices may be spatially autocorrelated is that property values in the same neighbourhood capitalize shared location amenities. Location characteristics that influence house prices include neighbourhood characteristics, accessibility, and proximity</w:t>
      </w:r>
      <w:r>
        <w:rPr>
          <w:spacing w:val="-12"/>
        </w:rPr>
        <w:t> </w:t>
      </w:r>
      <w:r>
        <w:rPr/>
        <w:t>externalities</w:t>
      </w:r>
      <w:r>
        <w:rPr>
          <w:spacing w:val="-5"/>
        </w:rPr>
        <w:t> </w:t>
      </w:r>
      <w:r>
        <w:rPr/>
        <w:t>(Basu</w:t>
      </w:r>
      <w:r>
        <w:rPr>
          <w:spacing w:val="-5"/>
        </w:rPr>
        <w:t> </w:t>
      </w:r>
      <w:r>
        <w:rPr/>
        <w:t>&amp;</w:t>
      </w:r>
      <w:r>
        <w:rPr>
          <w:spacing w:val="-9"/>
        </w:rPr>
        <w:t> </w:t>
      </w:r>
      <w:r>
        <w:rPr/>
        <w:t>Thibodeau,</w:t>
      </w:r>
      <w:r>
        <w:rPr>
          <w:spacing w:val="-7"/>
        </w:rPr>
        <w:t> </w:t>
      </w:r>
      <w:r>
        <w:rPr/>
        <w:t>1998).</w:t>
      </w:r>
      <w:r>
        <w:rPr>
          <w:spacing w:val="-7"/>
        </w:rPr>
        <w:t> </w:t>
      </w:r>
      <w:r>
        <w:rPr/>
        <w:t>Spatial</w:t>
      </w:r>
      <w:r>
        <w:rPr>
          <w:spacing w:val="-7"/>
        </w:rPr>
        <w:t> </w:t>
      </w:r>
      <w:r>
        <w:rPr/>
        <w:t>approach</w:t>
      </w:r>
      <w:r>
        <w:rPr>
          <w:spacing w:val="-7"/>
        </w:rPr>
        <w:t> </w:t>
      </w:r>
      <w:r>
        <w:rPr/>
        <w:t>has</w:t>
      </w:r>
      <w:r>
        <w:rPr>
          <w:spacing w:val="-7"/>
        </w:rPr>
        <w:t> </w:t>
      </w:r>
      <w:r>
        <w:rPr/>
        <w:t>been</w:t>
      </w:r>
      <w:r>
        <w:rPr>
          <w:spacing w:val="-5"/>
        </w:rPr>
        <w:t> </w:t>
      </w:r>
      <w:r>
        <w:rPr/>
        <w:t>adopted</w:t>
      </w:r>
      <w:r>
        <w:rPr>
          <w:spacing w:val="-8"/>
        </w:rPr>
        <w:t> </w:t>
      </w:r>
      <w:r>
        <w:rPr/>
        <w:t>by several authors in analysing housing market (Basu &amp; Thibodeau, 1998; Delbari </w:t>
      </w:r>
      <w:r>
        <w:rPr>
          <w:i/>
        </w:rPr>
        <w:t>et al.</w:t>
      </w:r>
      <w:r>
        <w:rPr/>
        <w:t>, 2013; Diao, 2015; Dubin, 1998; Dubin, 1992; McCluskey </w:t>
      </w:r>
      <w:r>
        <w:rPr>
          <w:i/>
        </w:rPr>
        <w:t>et al.</w:t>
      </w:r>
      <w:r>
        <w:rPr/>
        <w:t>, 2000; Moral, 2008; Tu </w:t>
      </w:r>
      <w:r>
        <w:rPr>
          <w:i/>
        </w:rPr>
        <w:t>et al.</w:t>
      </w:r>
      <w:r>
        <w:rPr/>
        <w:t>, 2007; Wang </w:t>
      </w:r>
      <w:r>
        <w:rPr>
          <w:i/>
        </w:rPr>
        <w:t>et al</w:t>
      </w:r>
      <w:r>
        <w:rPr/>
        <w:t>., 2017; Chao Wu </w:t>
      </w:r>
      <w:r>
        <w:rPr>
          <w:i/>
        </w:rPr>
        <w:t>et al.</w:t>
      </w:r>
      <w:r>
        <w:rPr/>
        <w:t>, 2017; Zhang </w:t>
      </w:r>
      <w:r>
        <w:rPr>
          <w:i/>
        </w:rPr>
        <w:t>et al.</w:t>
      </w:r>
      <w:r>
        <w:rPr/>
        <w:t>, 2018).</w:t>
      </w:r>
    </w:p>
    <w:p>
      <w:pPr>
        <w:pStyle w:val="BodyText"/>
        <w:spacing w:line="480" w:lineRule="auto" w:before="242"/>
        <w:ind w:left="305" w:right="512"/>
      </w:pPr>
      <w:r>
        <w:rPr/>
        <w:t>For</w:t>
      </w:r>
      <w:r>
        <w:rPr>
          <w:spacing w:val="-9"/>
        </w:rPr>
        <w:t> </w:t>
      </w:r>
      <w:r>
        <w:rPr/>
        <w:t>example,</w:t>
      </w:r>
      <w:r>
        <w:rPr>
          <w:spacing w:val="-5"/>
        </w:rPr>
        <w:t> </w:t>
      </w:r>
      <w:r>
        <w:rPr/>
        <w:t>Zhang</w:t>
      </w:r>
      <w:r>
        <w:rPr>
          <w:spacing w:val="-8"/>
        </w:rPr>
        <w:t> </w:t>
      </w:r>
      <w:r>
        <w:rPr/>
        <w:t>&amp;</w:t>
      </w:r>
      <w:r>
        <w:rPr>
          <w:spacing w:val="-10"/>
        </w:rPr>
        <w:t> </w:t>
      </w:r>
      <w:r>
        <w:rPr/>
        <w:t>Tang</w:t>
      </w:r>
      <w:r>
        <w:rPr>
          <w:spacing w:val="-8"/>
        </w:rPr>
        <w:t> </w:t>
      </w:r>
      <w:r>
        <w:rPr/>
        <w:t>(2016)</w:t>
      </w:r>
      <w:r>
        <w:rPr>
          <w:spacing w:val="-9"/>
        </w:rPr>
        <w:t> </w:t>
      </w:r>
      <w:r>
        <w:rPr/>
        <w:t>Analyse</w:t>
      </w:r>
      <w:r>
        <w:rPr>
          <w:spacing w:val="-9"/>
        </w:rPr>
        <w:t> </w:t>
      </w:r>
      <w:r>
        <w:rPr/>
        <w:t>Chinese</w:t>
      </w:r>
      <w:r>
        <w:rPr>
          <w:spacing w:val="-9"/>
        </w:rPr>
        <w:t> </w:t>
      </w:r>
      <w:r>
        <w:rPr/>
        <w:t>cities’</w:t>
      </w:r>
      <w:r>
        <w:rPr>
          <w:spacing w:val="-9"/>
        </w:rPr>
        <w:t> </w:t>
      </w:r>
      <w:r>
        <w:rPr/>
        <w:t>housing</w:t>
      </w:r>
      <w:r>
        <w:rPr>
          <w:spacing w:val="-11"/>
        </w:rPr>
        <w:t> </w:t>
      </w:r>
      <w:r>
        <w:rPr/>
        <w:t>prices</w:t>
      </w:r>
      <w:r>
        <w:rPr>
          <w:spacing w:val="-6"/>
        </w:rPr>
        <w:t> </w:t>
      </w:r>
      <w:r>
        <w:rPr/>
        <w:t>to</w:t>
      </w:r>
      <w:r>
        <w:rPr>
          <w:spacing w:val="-8"/>
        </w:rPr>
        <w:t> </w:t>
      </w:r>
      <w:r>
        <w:rPr/>
        <w:t>investigate public attention spatial pattern. They argued that detail data on housing price are not properly documented which also is not available for the public, which in turn poses a great</w:t>
      </w:r>
      <w:r>
        <w:rPr>
          <w:spacing w:val="-15"/>
        </w:rPr>
        <w:t> </w:t>
      </w:r>
      <w:r>
        <w:rPr/>
        <w:t>challenge</w:t>
      </w:r>
      <w:r>
        <w:rPr>
          <w:spacing w:val="-15"/>
        </w:rPr>
        <w:t> </w:t>
      </w:r>
      <w:r>
        <w:rPr/>
        <w:t>to</w:t>
      </w:r>
      <w:r>
        <w:rPr>
          <w:spacing w:val="-15"/>
        </w:rPr>
        <w:t> </w:t>
      </w:r>
      <w:r>
        <w:rPr/>
        <w:t>the</w:t>
      </w:r>
      <w:r>
        <w:rPr>
          <w:spacing w:val="-15"/>
        </w:rPr>
        <w:t> </w:t>
      </w:r>
      <w:r>
        <w:rPr/>
        <w:t>housing</w:t>
      </w:r>
      <w:r>
        <w:rPr>
          <w:spacing w:val="-15"/>
        </w:rPr>
        <w:t> </w:t>
      </w:r>
      <w:r>
        <w:rPr/>
        <w:t>price</w:t>
      </w:r>
      <w:r>
        <w:rPr>
          <w:spacing w:val="-15"/>
        </w:rPr>
        <w:t> </w:t>
      </w:r>
      <w:r>
        <w:rPr/>
        <w:t>studies</w:t>
      </w:r>
      <w:r>
        <w:rPr>
          <w:spacing w:val="-15"/>
        </w:rPr>
        <w:t> </w:t>
      </w:r>
      <w:r>
        <w:rPr/>
        <w:t>in</w:t>
      </w:r>
      <w:r>
        <w:rPr>
          <w:spacing w:val="-15"/>
        </w:rPr>
        <w:t> </w:t>
      </w:r>
      <w:r>
        <w:rPr/>
        <w:t>China.</w:t>
      </w:r>
      <w:r>
        <w:rPr>
          <w:spacing w:val="-15"/>
        </w:rPr>
        <w:t> </w:t>
      </w:r>
      <w:r>
        <w:rPr/>
        <w:t>They</w:t>
      </w:r>
      <w:r>
        <w:rPr>
          <w:spacing w:val="-15"/>
        </w:rPr>
        <w:t> </w:t>
      </w:r>
      <w:r>
        <w:rPr/>
        <w:t>argued</w:t>
      </w:r>
      <w:r>
        <w:rPr>
          <w:spacing w:val="-15"/>
        </w:rPr>
        <w:t> </w:t>
      </w:r>
      <w:r>
        <w:rPr/>
        <w:t>that</w:t>
      </w:r>
      <w:r>
        <w:rPr>
          <w:spacing w:val="-15"/>
        </w:rPr>
        <w:t> </w:t>
      </w:r>
      <w:r>
        <w:rPr/>
        <w:t>web</w:t>
      </w:r>
      <w:r>
        <w:rPr>
          <w:spacing w:val="-15"/>
        </w:rPr>
        <w:t> </w:t>
      </w:r>
      <w:r>
        <w:rPr/>
        <w:t>search</w:t>
      </w:r>
      <w:r>
        <w:rPr>
          <w:spacing w:val="-15"/>
        </w:rPr>
        <w:t> </w:t>
      </w:r>
      <w:r>
        <w:rPr/>
        <w:t>engines can records internet search activities by individuals, the web search activities analysis done</w:t>
      </w:r>
      <w:r>
        <w:rPr>
          <w:spacing w:val="-3"/>
        </w:rPr>
        <w:t> </w:t>
      </w:r>
      <w:r>
        <w:rPr/>
        <w:t>on</w:t>
      </w:r>
      <w:r>
        <w:rPr>
          <w:spacing w:val="-2"/>
        </w:rPr>
        <w:t> </w:t>
      </w:r>
      <w:r>
        <w:rPr/>
        <w:t>the</w:t>
      </w:r>
      <w:r>
        <w:rPr>
          <w:spacing w:val="-2"/>
        </w:rPr>
        <w:t> </w:t>
      </w:r>
      <w:r>
        <w:rPr/>
        <w:t>cyber-space</w:t>
      </w:r>
      <w:r>
        <w:rPr>
          <w:spacing w:val="-3"/>
        </w:rPr>
        <w:t> </w:t>
      </w:r>
      <w:r>
        <w:rPr/>
        <w:t>is</w:t>
      </w:r>
      <w:r>
        <w:rPr>
          <w:spacing w:val="-2"/>
        </w:rPr>
        <w:t> </w:t>
      </w:r>
      <w:r>
        <w:rPr/>
        <w:t>capable</w:t>
      </w:r>
      <w:r>
        <w:rPr>
          <w:spacing w:val="-2"/>
        </w:rPr>
        <w:t> </w:t>
      </w:r>
      <w:r>
        <w:rPr/>
        <w:t>of</w:t>
      </w:r>
      <w:r>
        <w:rPr>
          <w:spacing w:val="-2"/>
        </w:rPr>
        <w:t> </w:t>
      </w:r>
      <w:r>
        <w:rPr/>
        <w:t>providing</w:t>
      </w:r>
      <w:r>
        <w:rPr>
          <w:spacing w:val="-5"/>
        </w:rPr>
        <w:t> </w:t>
      </w:r>
      <w:r>
        <w:rPr/>
        <w:t>means</w:t>
      </w:r>
      <w:r>
        <w:rPr>
          <w:spacing w:val="-2"/>
        </w:rPr>
        <w:t> </w:t>
      </w:r>
      <w:r>
        <w:rPr/>
        <w:t>of</w:t>
      </w:r>
      <w:r>
        <w:rPr>
          <w:spacing w:val="-2"/>
        </w:rPr>
        <w:t> </w:t>
      </w:r>
      <w:r>
        <w:rPr/>
        <w:t>understanding</w:t>
      </w:r>
      <w:r>
        <w:rPr>
          <w:spacing w:val="-5"/>
        </w:rPr>
        <w:t> </w:t>
      </w:r>
      <w:r>
        <w:rPr/>
        <w:t>public</w:t>
      </w:r>
      <w:r>
        <w:rPr>
          <w:spacing w:val="-3"/>
        </w:rPr>
        <w:t> </w:t>
      </w:r>
      <w:r>
        <w:rPr/>
        <w:t>attention better</w:t>
      </w:r>
      <w:r>
        <w:rPr>
          <w:spacing w:val="-14"/>
        </w:rPr>
        <w:t> </w:t>
      </w:r>
      <w:r>
        <w:rPr/>
        <w:t>and</w:t>
      </w:r>
      <w:r>
        <w:rPr>
          <w:spacing w:val="-13"/>
        </w:rPr>
        <w:t> </w:t>
      </w:r>
      <w:r>
        <w:rPr/>
        <w:t>real</w:t>
      </w:r>
      <w:r>
        <w:rPr>
          <w:spacing w:val="-10"/>
        </w:rPr>
        <w:t> </w:t>
      </w:r>
      <w:r>
        <w:rPr/>
        <w:t>geographic</w:t>
      </w:r>
      <w:r>
        <w:rPr>
          <w:spacing w:val="-14"/>
        </w:rPr>
        <w:t> </w:t>
      </w:r>
      <w:r>
        <w:rPr/>
        <w:t>space</w:t>
      </w:r>
      <w:r>
        <w:rPr>
          <w:spacing w:val="-12"/>
        </w:rPr>
        <w:t> </w:t>
      </w:r>
      <w:r>
        <w:rPr/>
        <w:t>concerns.</w:t>
      </w:r>
      <w:r>
        <w:rPr>
          <w:spacing w:val="-13"/>
        </w:rPr>
        <w:t> </w:t>
      </w:r>
      <w:r>
        <w:rPr/>
        <w:t>The</w:t>
      </w:r>
      <w:r>
        <w:rPr>
          <w:spacing w:val="-12"/>
        </w:rPr>
        <w:t> </w:t>
      </w:r>
      <w:r>
        <w:rPr/>
        <w:t>emphasis</w:t>
      </w:r>
      <w:r>
        <w:rPr>
          <w:spacing w:val="-13"/>
        </w:rPr>
        <w:t> </w:t>
      </w:r>
      <w:r>
        <w:rPr/>
        <w:t>on</w:t>
      </w:r>
      <w:r>
        <w:rPr>
          <w:spacing w:val="-13"/>
        </w:rPr>
        <w:t> </w:t>
      </w:r>
      <w:r>
        <w:rPr/>
        <w:t>investigating</w:t>
      </w:r>
      <w:r>
        <w:rPr>
          <w:spacing w:val="-15"/>
        </w:rPr>
        <w:t> </w:t>
      </w:r>
      <w:r>
        <w:rPr/>
        <w:t>public</w:t>
      </w:r>
      <w:r>
        <w:rPr>
          <w:spacing w:val="-14"/>
        </w:rPr>
        <w:t> </w:t>
      </w:r>
      <w:r>
        <w:rPr/>
        <w:t>attention spatial</w:t>
      </w:r>
      <w:r>
        <w:rPr>
          <w:spacing w:val="-3"/>
        </w:rPr>
        <w:t> </w:t>
      </w:r>
      <w:r>
        <w:rPr/>
        <w:t>patterns</w:t>
      </w:r>
      <w:r>
        <w:rPr>
          <w:spacing w:val="-3"/>
        </w:rPr>
        <w:t> </w:t>
      </w:r>
      <w:r>
        <w:rPr/>
        <w:t>on</w:t>
      </w:r>
      <w:r>
        <w:rPr>
          <w:spacing w:val="-1"/>
        </w:rPr>
        <w:t> </w:t>
      </w:r>
      <w:r>
        <w:rPr/>
        <w:t>price</w:t>
      </w:r>
      <w:r>
        <w:rPr>
          <w:spacing w:val="-2"/>
        </w:rPr>
        <w:t> </w:t>
      </w:r>
      <w:r>
        <w:rPr/>
        <w:t>of</w:t>
      </w:r>
      <w:r>
        <w:rPr>
          <w:spacing w:val="-3"/>
        </w:rPr>
        <w:t> </w:t>
      </w:r>
      <w:r>
        <w:rPr/>
        <w:t>housing</w:t>
      </w:r>
      <w:r>
        <w:rPr>
          <w:spacing w:val="-3"/>
        </w:rPr>
        <w:t> </w:t>
      </w:r>
      <w:r>
        <w:rPr/>
        <w:t>through</w:t>
      </w:r>
      <w:r>
        <w:rPr>
          <w:spacing w:val="-1"/>
        </w:rPr>
        <w:t> </w:t>
      </w:r>
      <w:r>
        <w:rPr/>
        <w:t>Baidu</w:t>
      </w:r>
      <w:r>
        <w:rPr>
          <w:spacing w:val="-1"/>
        </w:rPr>
        <w:t> </w:t>
      </w:r>
      <w:r>
        <w:rPr/>
        <w:t>Index</w:t>
      </w:r>
      <w:r>
        <w:rPr>
          <w:spacing w:val="-1"/>
        </w:rPr>
        <w:t> </w:t>
      </w:r>
      <w:r>
        <w:rPr/>
        <w:t>based</w:t>
      </w:r>
      <w:r>
        <w:rPr>
          <w:spacing w:val="-1"/>
        </w:rPr>
        <w:t> </w:t>
      </w:r>
      <w:r>
        <w:rPr/>
        <w:t>analysis</w:t>
      </w:r>
      <w:r>
        <w:rPr>
          <w:spacing w:val="-3"/>
        </w:rPr>
        <w:t> </w:t>
      </w:r>
      <w:r>
        <w:rPr/>
        <w:t>which</w:t>
      </w:r>
      <w:r>
        <w:rPr>
          <w:spacing w:val="-3"/>
        </w:rPr>
        <w:t> </w:t>
      </w:r>
      <w:r>
        <w:rPr/>
        <w:t>is</w:t>
      </w:r>
      <w:r>
        <w:rPr>
          <w:spacing w:val="-3"/>
        </w:rPr>
        <w:t> </w:t>
      </w:r>
      <w:r>
        <w:rPr/>
        <w:t>done</w:t>
      </w:r>
      <w:r>
        <w:rPr>
          <w:spacing w:val="-3"/>
        </w:rPr>
        <w:t> </w:t>
      </w:r>
      <w:r>
        <w:rPr/>
        <w:t>in form of web query, also the Chinese keyword finding medium from Baidu web search engine. A new index was proposed to source data from the Baidu search database based on</w:t>
      </w:r>
      <w:r>
        <w:rPr>
          <w:spacing w:val="-2"/>
        </w:rPr>
        <w:t> </w:t>
      </w:r>
      <w:r>
        <w:rPr/>
        <w:t>the</w:t>
      </w:r>
      <w:r>
        <w:rPr>
          <w:spacing w:val="-2"/>
        </w:rPr>
        <w:t> </w:t>
      </w:r>
      <w:r>
        <w:rPr/>
        <w:t>keyword</w:t>
      </w:r>
      <w:r>
        <w:rPr>
          <w:spacing w:val="-2"/>
        </w:rPr>
        <w:t> </w:t>
      </w:r>
      <w:r>
        <w:rPr/>
        <w:t>query</w:t>
      </w:r>
      <w:r>
        <w:rPr>
          <w:spacing w:val="-7"/>
        </w:rPr>
        <w:t> </w:t>
      </w:r>
      <w:r>
        <w:rPr/>
        <w:t>outcome</w:t>
      </w:r>
      <w:r>
        <w:rPr>
          <w:spacing w:val="-3"/>
        </w:rPr>
        <w:t> </w:t>
      </w:r>
      <w:r>
        <w:rPr/>
        <w:t>to examine</w:t>
      </w:r>
      <w:r>
        <w:rPr>
          <w:spacing w:val="-2"/>
        </w:rPr>
        <w:t> </w:t>
      </w:r>
      <w:r>
        <w:rPr/>
        <w:t>housing</w:t>
      </w:r>
      <w:r>
        <w:rPr>
          <w:spacing w:val="-5"/>
        </w:rPr>
        <w:t> </w:t>
      </w:r>
      <w:r>
        <w:rPr/>
        <w:t>price</w:t>
      </w:r>
      <w:r>
        <w:rPr>
          <w:spacing w:val="-1"/>
        </w:rPr>
        <w:t> </w:t>
      </w:r>
      <w:r>
        <w:rPr/>
        <w:t>attention spatial</w:t>
      </w:r>
      <w:r>
        <w:rPr>
          <w:spacing w:val="-2"/>
        </w:rPr>
        <w:t> </w:t>
      </w:r>
      <w:r>
        <w:rPr/>
        <w:t>heterogeneous patterns</w:t>
      </w:r>
      <w:r>
        <w:rPr>
          <w:spacing w:val="19"/>
        </w:rPr>
        <w:t> </w:t>
      </w:r>
      <w:r>
        <w:rPr/>
        <w:t>which</w:t>
      </w:r>
      <w:r>
        <w:rPr>
          <w:spacing w:val="21"/>
        </w:rPr>
        <w:t> </w:t>
      </w:r>
      <w:r>
        <w:rPr/>
        <w:t>include</w:t>
      </w:r>
      <w:r>
        <w:rPr>
          <w:spacing w:val="20"/>
        </w:rPr>
        <w:t> </w:t>
      </w:r>
      <w:r>
        <w:rPr/>
        <w:t>nineteen</w:t>
      </w:r>
      <w:r>
        <w:rPr>
          <w:spacing w:val="21"/>
        </w:rPr>
        <w:t> </w:t>
      </w:r>
      <w:r>
        <w:rPr/>
        <w:t>medium</w:t>
      </w:r>
      <w:r>
        <w:rPr>
          <w:spacing w:val="21"/>
        </w:rPr>
        <w:t> </w:t>
      </w:r>
      <w:r>
        <w:rPr/>
        <w:t>and</w:t>
      </w:r>
      <w:r>
        <w:rPr>
          <w:spacing w:val="21"/>
        </w:rPr>
        <w:t> </w:t>
      </w:r>
      <w:r>
        <w:rPr/>
        <w:t>large-sized</w:t>
      </w:r>
      <w:r>
        <w:rPr>
          <w:spacing w:val="21"/>
        </w:rPr>
        <w:t> </w:t>
      </w:r>
      <w:r>
        <w:rPr/>
        <w:t>Chinese</w:t>
      </w:r>
      <w:r>
        <w:rPr>
          <w:spacing w:val="20"/>
        </w:rPr>
        <w:t> </w:t>
      </w:r>
      <w:r>
        <w:rPr/>
        <w:t>cities.</w:t>
      </w:r>
      <w:r>
        <w:rPr>
          <w:spacing w:val="21"/>
        </w:rPr>
        <w:t> </w:t>
      </w:r>
      <w:r>
        <w:rPr/>
        <w:t>They</w:t>
      </w:r>
      <w:r>
        <w:rPr>
          <w:spacing w:val="19"/>
        </w:rPr>
        <w:t> </w:t>
      </w:r>
      <w:r>
        <w:rPr>
          <w:spacing w:val="-2"/>
        </w:rPr>
        <w:t>appraise</w:t>
      </w:r>
    </w:p>
    <w:p>
      <w:pPr>
        <w:spacing w:after="0" w:line="480" w:lineRule="auto"/>
        <w:sectPr>
          <w:pgSz w:w="11910" w:h="16840"/>
          <w:pgMar w:header="0" w:footer="1022" w:top="1320" w:bottom="1220" w:left="1680" w:right="900"/>
        </w:sectPr>
      </w:pPr>
    </w:p>
    <w:p>
      <w:pPr>
        <w:pStyle w:val="BodyText"/>
        <w:spacing w:line="480" w:lineRule="auto" w:before="72"/>
        <w:ind w:left="305" w:right="513"/>
      </w:pPr>
      <w:r>
        <w:rPr/>
        <w:t>housing</w:t>
      </w:r>
      <w:r>
        <w:rPr>
          <w:spacing w:val="-1"/>
        </w:rPr>
        <w:t> </w:t>
      </w:r>
      <w:r>
        <w:rPr/>
        <w:t>price attention spatial network structure, and develop a different index to</w:t>
      </w:r>
      <w:r>
        <w:rPr>
          <w:spacing w:val="-1"/>
        </w:rPr>
        <w:t> </w:t>
      </w:r>
      <w:r>
        <w:rPr/>
        <w:t>assess the extent of interactions amongst interested cities. Their finding proved that using the new</w:t>
      </w:r>
      <w:r>
        <w:rPr>
          <w:spacing w:val="-15"/>
        </w:rPr>
        <w:t> </w:t>
      </w:r>
      <w:r>
        <w:rPr/>
        <w:t>method</w:t>
      </w:r>
      <w:r>
        <w:rPr>
          <w:spacing w:val="-15"/>
        </w:rPr>
        <w:t> </w:t>
      </w:r>
      <w:r>
        <w:rPr/>
        <w:t>and</w:t>
      </w:r>
      <w:r>
        <w:rPr>
          <w:spacing w:val="-15"/>
        </w:rPr>
        <w:t> </w:t>
      </w:r>
      <w:r>
        <w:rPr/>
        <w:t>a</w:t>
      </w:r>
      <w:r>
        <w:rPr>
          <w:spacing w:val="-15"/>
        </w:rPr>
        <w:t> </w:t>
      </w:r>
      <w:r>
        <w:rPr/>
        <w:t>gravity</w:t>
      </w:r>
      <w:r>
        <w:rPr>
          <w:spacing w:val="-15"/>
        </w:rPr>
        <w:t> </w:t>
      </w:r>
      <w:r>
        <w:rPr/>
        <w:t>model,</w:t>
      </w:r>
      <w:r>
        <w:rPr>
          <w:spacing w:val="-15"/>
        </w:rPr>
        <w:t> </w:t>
      </w:r>
      <w:r>
        <w:rPr/>
        <w:t>cities</w:t>
      </w:r>
      <w:r>
        <w:rPr>
          <w:spacing w:val="-15"/>
        </w:rPr>
        <w:t> </w:t>
      </w:r>
      <w:r>
        <w:rPr/>
        <w:t>evaluated</w:t>
      </w:r>
      <w:r>
        <w:rPr>
          <w:spacing w:val="-15"/>
        </w:rPr>
        <w:t> </w:t>
      </w:r>
      <w:r>
        <w:rPr/>
        <w:t>on</w:t>
      </w:r>
      <w:r>
        <w:rPr>
          <w:spacing w:val="-15"/>
        </w:rPr>
        <w:t> </w:t>
      </w:r>
      <w:r>
        <w:rPr/>
        <w:t>housing</w:t>
      </w:r>
      <w:r>
        <w:rPr>
          <w:spacing w:val="-15"/>
        </w:rPr>
        <w:t> </w:t>
      </w:r>
      <w:r>
        <w:rPr/>
        <w:t>price</w:t>
      </w:r>
      <w:r>
        <w:rPr>
          <w:spacing w:val="-14"/>
        </w:rPr>
        <w:t> </w:t>
      </w:r>
      <w:r>
        <w:rPr/>
        <w:t>attention</w:t>
      </w:r>
      <w:r>
        <w:rPr>
          <w:spacing w:val="-15"/>
        </w:rPr>
        <w:t> </w:t>
      </w:r>
      <w:r>
        <w:rPr/>
        <w:t>shows</w:t>
      </w:r>
      <w:r>
        <w:rPr>
          <w:spacing w:val="-14"/>
        </w:rPr>
        <w:t> </w:t>
      </w:r>
      <w:r>
        <w:rPr/>
        <w:t>spatial interactions</w:t>
      </w:r>
      <w:r>
        <w:rPr>
          <w:spacing w:val="-4"/>
        </w:rPr>
        <w:t> </w:t>
      </w:r>
      <w:r>
        <w:rPr/>
        <w:t>consistency. Meanwhile,</w:t>
      </w:r>
      <w:r>
        <w:rPr>
          <w:spacing w:val="-2"/>
        </w:rPr>
        <w:t> </w:t>
      </w:r>
      <w:r>
        <w:rPr/>
        <w:t>existence</w:t>
      </w:r>
      <w:r>
        <w:rPr>
          <w:spacing w:val="-5"/>
        </w:rPr>
        <w:t> </w:t>
      </w:r>
      <w:r>
        <w:rPr/>
        <w:t>of</w:t>
      </w:r>
      <w:r>
        <w:rPr>
          <w:spacing w:val="-3"/>
        </w:rPr>
        <w:t> </w:t>
      </w:r>
      <w:r>
        <w:rPr/>
        <w:t>strong</w:t>
      </w:r>
      <w:r>
        <w:rPr>
          <w:spacing w:val="-7"/>
        </w:rPr>
        <w:t> </w:t>
      </w:r>
      <w:r>
        <w:rPr/>
        <w:t>spatial</w:t>
      </w:r>
      <w:r>
        <w:rPr>
          <w:spacing w:val="-4"/>
        </w:rPr>
        <w:t> </w:t>
      </w:r>
      <w:r>
        <w:rPr/>
        <w:t>association</w:t>
      </w:r>
      <w:r>
        <w:rPr>
          <w:spacing w:val="-2"/>
        </w:rPr>
        <w:t> </w:t>
      </w:r>
      <w:r>
        <w:rPr/>
        <w:t>patterns</w:t>
      </w:r>
      <w:r>
        <w:rPr>
          <w:spacing w:val="-4"/>
        </w:rPr>
        <w:t> </w:t>
      </w:r>
      <w:r>
        <w:rPr/>
        <w:t>was revealed</w:t>
      </w:r>
      <w:r>
        <w:rPr>
          <w:spacing w:val="-13"/>
        </w:rPr>
        <w:t> </w:t>
      </w:r>
      <w:r>
        <w:rPr/>
        <w:t>by</w:t>
      </w:r>
      <w:r>
        <w:rPr>
          <w:spacing w:val="-15"/>
        </w:rPr>
        <w:t> </w:t>
      </w:r>
      <w:r>
        <w:rPr/>
        <w:t>the</w:t>
      </w:r>
      <w:r>
        <w:rPr>
          <w:spacing w:val="-13"/>
        </w:rPr>
        <w:t> </w:t>
      </w:r>
      <w:r>
        <w:rPr/>
        <w:t>indicators</w:t>
      </w:r>
      <w:r>
        <w:rPr>
          <w:spacing w:val="-10"/>
        </w:rPr>
        <w:t> </w:t>
      </w:r>
      <w:r>
        <w:rPr/>
        <w:t>of</w:t>
      </w:r>
      <w:r>
        <w:rPr>
          <w:spacing w:val="-13"/>
        </w:rPr>
        <w:t> </w:t>
      </w:r>
      <w:r>
        <w:rPr/>
        <w:t>the</w:t>
      </w:r>
      <w:r>
        <w:rPr>
          <w:spacing w:val="-10"/>
        </w:rPr>
        <w:t> </w:t>
      </w:r>
      <w:r>
        <w:rPr/>
        <w:t>Baidu</w:t>
      </w:r>
      <w:r>
        <w:rPr>
          <w:spacing w:val="-9"/>
        </w:rPr>
        <w:t> </w:t>
      </w:r>
      <w:r>
        <w:rPr/>
        <w:t>Index</w:t>
      </w:r>
      <w:r>
        <w:rPr>
          <w:spacing w:val="-10"/>
        </w:rPr>
        <w:t> </w:t>
      </w:r>
      <w:r>
        <w:rPr/>
        <w:t>which</w:t>
      </w:r>
      <w:r>
        <w:rPr>
          <w:spacing w:val="-12"/>
        </w:rPr>
        <w:t> </w:t>
      </w:r>
      <w:r>
        <w:rPr/>
        <w:t>form</w:t>
      </w:r>
      <w:r>
        <w:rPr>
          <w:spacing w:val="-12"/>
        </w:rPr>
        <w:t> </w:t>
      </w:r>
      <w:r>
        <w:rPr/>
        <w:t>urban</w:t>
      </w:r>
      <w:r>
        <w:rPr>
          <w:spacing w:val="-10"/>
        </w:rPr>
        <w:t> </w:t>
      </w:r>
      <w:r>
        <w:rPr/>
        <w:t>agglomerations.</w:t>
      </w:r>
      <w:r>
        <w:rPr>
          <w:spacing w:val="-12"/>
        </w:rPr>
        <w:t> </w:t>
      </w:r>
      <w:r>
        <w:rPr/>
        <w:t>More</w:t>
      </w:r>
      <w:r>
        <w:rPr>
          <w:spacing w:val="-14"/>
        </w:rPr>
        <w:t> </w:t>
      </w:r>
      <w:r>
        <w:rPr/>
        <w:t>so, their findings prove that cyber-space and geographic space based on the web search engine approach, provides strong backing for the housing price attention studies and spatially explicit patterns associated with it in China.</w:t>
      </w:r>
    </w:p>
    <w:p>
      <w:pPr>
        <w:pStyle w:val="BodyText"/>
        <w:spacing w:line="480" w:lineRule="auto" w:before="241"/>
        <w:ind w:left="305" w:right="510"/>
      </w:pPr>
      <w:r>
        <w:rPr/>
        <w:t>Kuntz &amp; Helbich (2014) make comparative study on univariate kriging variants prediction</w:t>
      </w:r>
      <w:r>
        <w:rPr>
          <w:spacing w:val="-10"/>
        </w:rPr>
        <w:t> </w:t>
      </w:r>
      <w:r>
        <w:rPr/>
        <w:t>accuracy,</w:t>
      </w:r>
      <w:r>
        <w:rPr>
          <w:spacing w:val="-11"/>
        </w:rPr>
        <w:t> </w:t>
      </w:r>
      <w:r>
        <w:rPr/>
        <w:t>specifically</w:t>
      </w:r>
      <w:r>
        <w:rPr>
          <w:spacing w:val="-13"/>
        </w:rPr>
        <w:t> </w:t>
      </w:r>
      <w:r>
        <w:rPr/>
        <w:t>universal</w:t>
      </w:r>
      <w:r>
        <w:rPr>
          <w:spacing w:val="-10"/>
        </w:rPr>
        <w:t> </w:t>
      </w:r>
      <w:r>
        <w:rPr/>
        <w:t>kriging</w:t>
      </w:r>
      <w:r>
        <w:rPr>
          <w:spacing w:val="-11"/>
        </w:rPr>
        <w:t> </w:t>
      </w:r>
      <w:r>
        <w:rPr/>
        <w:t>(UK)</w:t>
      </w:r>
      <w:r>
        <w:rPr>
          <w:spacing w:val="-9"/>
        </w:rPr>
        <w:t> </w:t>
      </w:r>
      <w:r>
        <w:rPr/>
        <w:t>and</w:t>
      </w:r>
      <w:r>
        <w:rPr>
          <w:spacing w:val="-11"/>
        </w:rPr>
        <w:t> </w:t>
      </w:r>
      <w:r>
        <w:rPr/>
        <w:t>detrended</w:t>
      </w:r>
      <w:r>
        <w:rPr>
          <w:spacing w:val="-11"/>
        </w:rPr>
        <w:t> </w:t>
      </w:r>
      <w:r>
        <w:rPr/>
        <w:t>kriging</w:t>
      </w:r>
      <w:r>
        <w:rPr>
          <w:spacing w:val="-10"/>
        </w:rPr>
        <w:t> </w:t>
      </w:r>
      <w:r>
        <w:rPr/>
        <w:t>(DK),</w:t>
      </w:r>
      <w:r>
        <w:rPr>
          <w:spacing w:val="-8"/>
        </w:rPr>
        <w:t> </w:t>
      </w:r>
      <w:r>
        <w:rPr/>
        <w:t>and multivariate extensions, which include universal cokriging (UCK) and detrended cokriging (DCK). Structural and neighbourhood features are considered as auxiliary variables</w:t>
      </w:r>
      <w:r>
        <w:rPr>
          <w:spacing w:val="-4"/>
        </w:rPr>
        <w:t> </w:t>
      </w:r>
      <w:r>
        <w:rPr/>
        <w:t>in</w:t>
      </w:r>
      <w:r>
        <w:rPr>
          <w:spacing w:val="-3"/>
        </w:rPr>
        <w:t> </w:t>
      </w:r>
      <w:r>
        <w:rPr/>
        <w:t>both</w:t>
      </w:r>
      <w:r>
        <w:rPr>
          <w:spacing w:val="-3"/>
        </w:rPr>
        <w:t> </w:t>
      </w:r>
      <w:r>
        <w:rPr/>
        <w:t>latter</w:t>
      </w:r>
      <w:r>
        <w:rPr>
          <w:spacing w:val="-3"/>
        </w:rPr>
        <w:t> </w:t>
      </w:r>
      <w:r>
        <w:rPr/>
        <w:t>methods.</w:t>
      </w:r>
      <w:r>
        <w:rPr>
          <w:spacing w:val="-3"/>
        </w:rPr>
        <w:t> </w:t>
      </w:r>
      <w:r>
        <w:rPr/>
        <w:t>Though</w:t>
      </w:r>
      <w:r>
        <w:rPr>
          <w:spacing w:val="-3"/>
        </w:rPr>
        <w:t> </w:t>
      </w:r>
      <w:r>
        <w:rPr/>
        <w:t>the</w:t>
      </w:r>
      <w:r>
        <w:rPr>
          <w:spacing w:val="-2"/>
        </w:rPr>
        <w:t> </w:t>
      </w:r>
      <w:r>
        <w:rPr/>
        <w:t>UK</w:t>
      </w:r>
      <w:r>
        <w:rPr>
          <w:spacing w:val="-4"/>
        </w:rPr>
        <w:t> </w:t>
      </w:r>
      <w:r>
        <w:rPr/>
        <w:t>and</w:t>
      </w:r>
      <w:r>
        <w:rPr>
          <w:spacing w:val="-3"/>
        </w:rPr>
        <w:t> </w:t>
      </w:r>
      <w:r>
        <w:rPr/>
        <w:t>DK</w:t>
      </w:r>
      <w:r>
        <w:rPr>
          <w:spacing w:val="-3"/>
        </w:rPr>
        <w:t> </w:t>
      </w:r>
      <w:r>
        <w:rPr/>
        <w:t>price</w:t>
      </w:r>
      <w:r>
        <w:rPr>
          <w:spacing w:val="-4"/>
        </w:rPr>
        <w:t> </w:t>
      </w:r>
      <w:r>
        <w:rPr/>
        <w:t>surfaces</w:t>
      </w:r>
      <w:r>
        <w:rPr>
          <w:spacing w:val="-3"/>
        </w:rPr>
        <w:t> </w:t>
      </w:r>
      <w:r>
        <w:rPr/>
        <w:t>indicates</w:t>
      </w:r>
      <w:r>
        <w:rPr>
          <w:spacing w:val="-3"/>
        </w:rPr>
        <w:t> </w:t>
      </w:r>
      <w:r>
        <w:rPr/>
        <w:t>closely identical</w:t>
      </w:r>
      <w:r>
        <w:rPr>
          <w:spacing w:val="-15"/>
        </w:rPr>
        <w:t> </w:t>
      </w:r>
      <w:r>
        <w:rPr/>
        <w:t>cross-validated</w:t>
      </w:r>
      <w:r>
        <w:rPr>
          <w:spacing w:val="-15"/>
        </w:rPr>
        <w:t> </w:t>
      </w:r>
      <w:r>
        <w:rPr/>
        <w:t>accuracies,</w:t>
      </w:r>
      <w:r>
        <w:rPr>
          <w:spacing w:val="-15"/>
        </w:rPr>
        <w:t> </w:t>
      </w:r>
      <w:r>
        <w:rPr/>
        <w:t>the</w:t>
      </w:r>
      <w:r>
        <w:rPr>
          <w:spacing w:val="-15"/>
        </w:rPr>
        <w:t> </w:t>
      </w:r>
      <w:r>
        <w:rPr/>
        <w:t>UCK</w:t>
      </w:r>
      <w:r>
        <w:rPr>
          <w:spacing w:val="-15"/>
        </w:rPr>
        <w:t> </w:t>
      </w:r>
      <w:r>
        <w:rPr/>
        <w:t>and</w:t>
      </w:r>
      <w:r>
        <w:rPr>
          <w:spacing w:val="-15"/>
        </w:rPr>
        <w:t> </w:t>
      </w:r>
      <w:r>
        <w:rPr/>
        <w:t>DCK</w:t>
      </w:r>
      <w:r>
        <w:rPr>
          <w:spacing w:val="-15"/>
        </w:rPr>
        <w:t> </w:t>
      </w:r>
      <w:r>
        <w:rPr/>
        <w:t>cross-validation-based</w:t>
      </w:r>
      <w:r>
        <w:rPr>
          <w:spacing w:val="-15"/>
        </w:rPr>
        <w:t> </w:t>
      </w:r>
      <w:r>
        <w:rPr/>
        <w:t>prediction accuracy vary in favour of the latter. They suggest that whenever there is challenge of univariate sample of property prices by real estate agencies, either UK or DK can be adopted, while in case of multivariate, UCK is recommended, however mathematically more complex.</w:t>
      </w:r>
    </w:p>
    <w:p>
      <w:pPr>
        <w:pStyle w:val="BodyText"/>
        <w:spacing w:line="480" w:lineRule="auto" w:before="238"/>
        <w:ind w:left="305" w:right="513"/>
      </w:pPr>
      <w:r>
        <w:rPr/>
        <w:t>Li </w:t>
      </w:r>
      <w:r>
        <w:rPr>
          <w:i/>
        </w:rPr>
        <w:t>et al. </w:t>
      </w:r>
      <w:r>
        <w:rPr/>
        <w:t>(2017) argued that in recent decades there is fast-paced development in the Chinese real estate industry. However, public attention was attracted by the spatial inequality that exists in urban and rural economic growth and house prices fluctuation and excessive growth in both areas. They also argued that urban and regional economic research focused focuses on these issues in recent times. Accurate and efficient housing price</w:t>
      </w:r>
      <w:r>
        <w:rPr>
          <w:spacing w:val="73"/>
        </w:rPr>
        <w:t> </w:t>
      </w:r>
      <w:r>
        <w:rPr/>
        <w:t>prediction</w:t>
      </w:r>
      <w:r>
        <w:rPr>
          <w:spacing w:val="75"/>
        </w:rPr>
        <w:t> </w:t>
      </w:r>
      <w:r>
        <w:rPr/>
        <w:t>remains</w:t>
      </w:r>
      <w:r>
        <w:rPr>
          <w:spacing w:val="75"/>
        </w:rPr>
        <w:t> </w:t>
      </w:r>
      <w:r>
        <w:rPr/>
        <w:t>an</w:t>
      </w:r>
      <w:r>
        <w:rPr>
          <w:spacing w:val="75"/>
        </w:rPr>
        <w:t> </w:t>
      </w:r>
      <w:r>
        <w:rPr/>
        <w:t>important</w:t>
      </w:r>
      <w:r>
        <w:rPr>
          <w:spacing w:val="75"/>
        </w:rPr>
        <w:t> </w:t>
      </w:r>
      <w:r>
        <w:rPr/>
        <w:t>and</w:t>
      </w:r>
      <w:r>
        <w:rPr>
          <w:spacing w:val="75"/>
        </w:rPr>
        <w:t> </w:t>
      </w:r>
      <w:r>
        <w:rPr/>
        <w:t>debatable</w:t>
      </w:r>
      <w:r>
        <w:rPr>
          <w:spacing w:val="74"/>
        </w:rPr>
        <w:t> </w:t>
      </w:r>
      <w:r>
        <w:rPr/>
        <w:t>issue.</w:t>
      </w:r>
      <w:r>
        <w:rPr>
          <w:spacing w:val="75"/>
        </w:rPr>
        <w:t> </w:t>
      </w:r>
      <w:r>
        <w:rPr/>
        <w:t>Currently,</w:t>
      </w:r>
      <w:r>
        <w:rPr>
          <w:spacing w:val="75"/>
        </w:rPr>
        <w:t> </w:t>
      </w:r>
      <w:r>
        <w:rPr>
          <w:spacing w:val="-2"/>
        </w:rPr>
        <w:t>considering</w:t>
      </w:r>
    </w:p>
    <w:p>
      <w:pPr>
        <w:pStyle w:val="BodyText"/>
        <w:spacing w:before="1"/>
        <w:ind w:left="305"/>
      </w:pPr>
      <w:r>
        <w:rPr/>
        <w:t>financial</w:t>
      </w:r>
      <w:r>
        <w:rPr>
          <w:spacing w:val="39"/>
        </w:rPr>
        <w:t> </w:t>
      </w:r>
      <w:r>
        <w:rPr/>
        <w:t>market</w:t>
      </w:r>
      <w:r>
        <w:rPr>
          <w:spacing w:val="42"/>
        </w:rPr>
        <w:t> </w:t>
      </w:r>
      <w:r>
        <w:rPr/>
        <w:t>changes</w:t>
      </w:r>
      <w:r>
        <w:rPr>
          <w:spacing w:val="42"/>
        </w:rPr>
        <w:t> </w:t>
      </w:r>
      <w:r>
        <w:rPr/>
        <w:t>and</w:t>
      </w:r>
      <w:r>
        <w:rPr>
          <w:spacing w:val="41"/>
        </w:rPr>
        <w:t> </w:t>
      </w:r>
      <w:r>
        <w:rPr/>
        <w:t>trends,</w:t>
      </w:r>
      <w:r>
        <w:rPr>
          <w:spacing w:val="43"/>
        </w:rPr>
        <w:t> </w:t>
      </w:r>
      <w:r>
        <w:rPr/>
        <w:t>processes</w:t>
      </w:r>
      <w:r>
        <w:rPr>
          <w:spacing w:val="44"/>
        </w:rPr>
        <w:t> </w:t>
      </w:r>
      <w:r>
        <w:rPr/>
        <w:t>of</w:t>
      </w:r>
      <w:r>
        <w:rPr>
          <w:spacing w:val="45"/>
        </w:rPr>
        <w:t> </w:t>
      </w:r>
      <w:r>
        <w:rPr/>
        <w:t>urbanisation,</w:t>
      </w:r>
      <w:r>
        <w:rPr>
          <w:spacing w:val="43"/>
        </w:rPr>
        <w:t> </w:t>
      </w:r>
      <w:r>
        <w:rPr/>
        <w:t>migration</w:t>
      </w:r>
      <w:r>
        <w:rPr>
          <w:spacing w:val="41"/>
        </w:rPr>
        <w:t> </w:t>
      </w:r>
      <w:r>
        <w:rPr/>
        <w:t>of</w:t>
      </w:r>
      <w:r>
        <w:rPr>
          <w:spacing w:val="42"/>
        </w:rPr>
        <w:t> </w:t>
      </w:r>
      <w:r>
        <w:rPr>
          <w:spacing w:val="-2"/>
        </w:rPr>
        <w:t>people,</w:t>
      </w:r>
    </w:p>
    <w:p>
      <w:pPr>
        <w:spacing w:after="0"/>
        <w:sectPr>
          <w:pgSz w:w="11910" w:h="16840"/>
          <w:pgMar w:header="0" w:footer="1022" w:top="1320" w:bottom="1220" w:left="1680" w:right="900"/>
        </w:sectPr>
      </w:pPr>
    </w:p>
    <w:p>
      <w:pPr>
        <w:pStyle w:val="BodyText"/>
        <w:spacing w:line="480" w:lineRule="auto" w:before="72"/>
        <w:ind w:left="305" w:right="515"/>
      </w:pPr>
      <w:r>
        <w:rPr/>
        <w:t>several researches have been conducted to examine real estate price fluctuation mechanism. Sourcing data from sofang.com which is the Chinese real estate leading online</w:t>
      </w:r>
      <w:r>
        <w:rPr>
          <w:spacing w:val="-8"/>
        </w:rPr>
        <w:t> </w:t>
      </w:r>
      <w:r>
        <w:rPr/>
        <w:t>platform,</w:t>
      </w:r>
      <w:r>
        <w:rPr>
          <w:spacing w:val="-8"/>
        </w:rPr>
        <w:t> </w:t>
      </w:r>
      <w:r>
        <w:rPr/>
        <w:t>they</w:t>
      </w:r>
      <w:r>
        <w:rPr>
          <w:spacing w:val="-10"/>
        </w:rPr>
        <w:t> </w:t>
      </w:r>
      <w:r>
        <w:rPr/>
        <w:t>examined</w:t>
      </w:r>
      <w:r>
        <w:rPr>
          <w:spacing w:val="-8"/>
        </w:rPr>
        <w:t> </w:t>
      </w:r>
      <w:r>
        <w:rPr/>
        <w:t>the</w:t>
      </w:r>
      <w:r>
        <w:rPr>
          <w:spacing w:val="-8"/>
        </w:rPr>
        <w:t> </w:t>
      </w:r>
      <w:r>
        <w:rPr/>
        <w:t>spatiotemporal</w:t>
      </w:r>
      <w:r>
        <w:rPr>
          <w:spacing w:val="-8"/>
        </w:rPr>
        <w:t> </w:t>
      </w:r>
      <w:r>
        <w:rPr/>
        <w:t>trends</w:t>
      </w:r>
      <w:r>
        <w:rPr>
          <w:spacing w:val="-8"/>
        </w:rPr>
        <w:t> </w:t>
      </w:r>
      <w:r>
        <w:rPr/>
        <w:t>of</w:t>
      </w:r>
      <w:r>
        <w:rPr>
          <w:spacing w:val="-8"/>
        </w:rPr>
        <w:t> </w:t>
      </w:r>
      <w:r>
        <w:rPr/>
        <w:t>housing</w:t>
      </w:r>
      <w:r>
        <w:rPr>
          <w:spacing w:val="-10"/>
        </w:rPr>
        <w:t> </w:t>
      </w:r>
      <w:r>
        <w:rPr/>
        <w:t>price</w:t>
      </w:r>
      <w:r>
        <w:rPr>
          <w:spacing w:val="-8"/>
        </w:rPr>
        <w:t> </w:t>
      </w:r>
      <w:r>
        <w:rPr/>
        <w:t>fluctuations</w:t>
      </w:r>
      <w:r>
        <w:rPr>
          <w:spacing w:val="-8"/>
        </w:rPr>
        <w:t> </w:t>
      </w:r>
      <w:r>
        <w:rPr/>
        <w:t>in big data context. Modelling techniques and spatial data analytics was used to identify housing prices spatial distribution at micro level, appraise the space and time dynamics of</w:t>
      </w:r>
      <w:r>
        <w:rPr>
          <w:spacing w:val="-15"/>
        </w:rPr>
        <w:t> </w:t>
      </w:r>
      <w:r>
        <w:rPr/>
        <w:t>houses</w:t>
      </w:r>
      <w:r>
        <w:rPr>
          <w:spacing w:val="-15"/>
        </w:rPr>
        <w:t> </w:t>
      </w:r>
      <w:r>
        <w:rPr/>
        <w:t>in</w:t>
      </w:r>
      <w:r>
        <w:rPr>
          <w:spacing w:val="-15"/>
        </w:rPr>
        <w:t> </w:t>
      </w:r>
      <w:r>
        <w:rPr/>
        <w:t>the</w:t>
      </w:r>
      <w:r>
        <w:rPr>
          <w:spacing w:val="-15"/>
        </w:rPr>
        <w:t> </w:t>
      </w:r>
      <w:r>
        <w:rPr/>
        <w:t>housing</w:t>
      </w:r>
      <w:r>
        <w:rPr>
          <w:spacing w:val="-15"/>
        </w:rPr>
        <w:t> </w:t>
      </w:r>
      <w:r>
        <w:rPr/>
        <w:t>market,</w:t>
      </w:r>
      <w:r>
        <w:rPr>
          <w:spacing w:val="-15"/>
        </w:rPr>
        <w:t> </w:t>
      </w:r>
      <w:r>
        <w:rPr/>
        <w:t>and</w:t>
      </w:r>
      <w:r>
        <w:rPr>
          <w:spacing w:val="-15"/>
        </w:rPr>
        <w:t> </w:t>
      </w:r>
      <w:r>
        <w:rPr/>
        <w:t>detect</w:t>
      </w:r>
      <w:r>
        <w:rPr>
          <w:spacing w:val="-15"/>
        </w:rPr>
        <w:t> </w:t>
      </w:r>
      <w:r>
        <w:rPr/>
        <w:t>housing</w:t>
      </w:r>
      <w:r>
        <w:rPr>
          <w:spacing w:val="-15"/>
        </w:rPr>
        <w:t> </w:t>
      </w:r>
      <w:r>
        <w:rPr/>
        <w:t>prices</w:t>
      </w:r>
      <w:r>
        <w:rPr>
          <w:spacing w:val="-15"/>
        </w:rPr>
        <w:t> </w:t>
      </w:r>
      <w:r>
        <w:rPr/>
        <w:t>geographic</w:t>
      </w:r>
      <w:r>
        <w:rPr>
          <w:spacing w:val="-15"/>
        </w:rPr>
        <w:t> </w:t>
      </w:r>
      <w:r>
        <w:rPr/>
        <w:t>disparity</w:t>
      </w:r>
      <w:r>
        <w:rPr>
          <w:spacing w:val="-15"/>
        </w:rPr>
        <w:t> </w:t>
      </w:r>
      <w:r>
        <w:rPr/>
        <w:t>if</w:t>
      </w:r>
      <w:r>
        <w:rPr>
          <w:spacing w:val="-15"/>
        </w:rPr>
        <w:t> </w:t>
      </w:r>
      <w:r>
        <w:rPr/>
        <w:t>it</w:t>
      </w:r>
      <w:r>
        <w:rPr>
          <w:spacing w:val="-15"/>
        </w:rPr>
        <w:t> </w:t>
      </w:r>
      <w:r>
        <w:rPr/>
        <w:t>exists. Their findings revealed space and time patterns of large metropolitan housing prices, establishing the importance of big data and how it can be analysed.</w:t>
      </w:r>
    </w:p>
    <w:p>
      <w:pPr>
        <w:pStyle w:val="BodyText"/>
        <w:spacing w:line="480" w:lineRule="auto" w:before="241"/>
        <w:ind w:left="305" w:right="509"/>
      </w:pPr>
      <w:r>
        <w:rPr/>
        <w:t>Iliopoulou</w:t>
      </w:r>
      <w:r>
        <w:rPr>
          <w:spacing w:val="-5"/>
        </w:rPr>
        <w:t> </w:t>
      </w:r>
      <w:r>
        <w:rPr/>
        <w:t>&amp;</w:t>
      </w:r>
      <w:r>
        <w:rPr>
          <w:spacing w:val="-10"/>
        </w:rPr>
        <w:t> </w:t>
      </w:r>
      <w:r>
        <w:rPr/>
        <w:t>Stratakis</w:t>
      </w:r>
      <w:r>
        <w:rPr>
          <w:spacing w:val="-4"/>
        </w:rPr>
        <w:t> </w:t>
      </w:r>
      <w:r>
        <w:rPr/>
        <w:t>(2018)</w:t>
      </w:r>
      <w:r>
        <w:rPr>
          <w:spacing w:val="-9"/>
        </w:rPr>
        <w:t> </w:t>
      </w:r>
      <w:r>
        <w:rPr/>
        <w:t>analyses</w:t>
      </w:r>
      <w:r>
        <w:rPr>
          <w:spacing w:val="-5"/>
        </w:rPr>
        <w:t> </w:t>
      </w:r>
      <w:r>
        <w:rPr/>
        <w:t>Greater</w:t>
      </w:r>
      <w:r>
        <w:rPr>
          <w:spacing w:val="-9"/>
        </w:rPr>
        <w:t> </w:t>
      </w:r>
      <w:r>
        <w:rPr/>
        <w:t>Athens</w:t>
      </w:r>
      <w:r>
        <w:rPr>
          <w:spacing w:val="-8"/>
        </w:rPr>
        <w:t> </w:t>
      </w:r>
      <w:r>
        <w:rPr/>
        <w:t>region</w:t>
      </w:r>
      <w:r>
        <w:rPr>
          <w:spacing w:val="-6"/>
        </w:rPr>
        <w:t> </w:t>
      </w:r>
      <w:r>
        <w:rPr/>
        <w:t>housing</w:t>
      </w:r>
      <w:r>
        <w:rPr>
          <w:spacing w:val="-11"/>
        </w:rPr>
        <w:t> </w:t>
      </w:r>
      <w:r>
        <w:rPr/>
        <w:t>prices</w:t>
      </w:r>
      <w:r>
        <w:rPr>
          <w:spacing w:val="-8"/>
        </w:rPr>
        <w:t> </w:t>
      </w:r>
      <w:r>
        <w:rPr/>
        <w:t>considering locational and structural features of houses. They used 2017 total housing supply as sample which includes numerous thousand houses for sale online by the real estate specialists.</w:t>
      </w:r>
      <w:r>
        <w:rPr>
          <w:spacing w:val="-9"/>
        </w:rPr>
        <w:t> </w:t>
      </w:r>
      <w:r>
        <w:rPr/>
        <w:t>A</w:t>
      </w:r>
      <w:r>
        <w:rPr>
          <w:spacing w:val="-10"/>
        </w:rPr>
        <w:t> </w:t>
      </w:r>
      <w:r>
        <w:rPr/>
        <w:t>provision</w:t>
      </w:r>
      <w:r>
        <w:rPr>
          <w:spacing w:val="-9"/>
        </w:rPr>
        <w:t> </w:t>
      </w:r>
      <w:r>
        <w:rPr/>
        <w:t>of</w:t>
      </w:r>
      <w:r>
        <w:rPr>
          <w:spacing w:val="-10"/>
        </w:rPr>
        <w:t> </w:t>
      </w:r>
      <w:r>
        <w:rPr/>
        <w:t>detailed</w:t>
      </w:r>
      <w:r>
        <w:rPr>
          <w:spacing w:val="-10"/>
        </w:rPr>
        <w:t> </w:t>
      </w:r>
      <w:r>
        <w:rPr/>
        <w:t>account</w:t>
      </w:r>
      <w:r>
        <w:rPr>
          <w:spacing w:val="-9"/>
        </w:rPr>
        <w:t> </w:t>
      </w:r>
      <w:r>
        <w:rPr/>
        <w:t>of</w:t>
      </w:r>
      <w:r>
        <w:rPr>
          <w:spacing w:val="-10"/>
        </w:rPr>
        <w:t> </w:t>
      </w:r>
      <w:r>
        <w:rPr/>
        <w:t>the</w:t>
      </w:r>
      <w:r>
        <w:rPr>
          <w:spacing w:val="-8"/>
        </w:rPr>
        <w:t> </w:t>
      </w:r>
      <w:r>
        <w:rPr/>
        <w:t>houses</w:t>
      </w:r>
      <w:r>
        <w:rPr>
          <w:spacing w:val="-9"/>
        </w:rPr>
        <w:t> </w:t>
      </w:r>
      <w:r>
        <w:rPr/>
        <w:t>in</w:t>
      </w:r>
      <w:r>
        <w:rPr>
          <w:spacing w:val="-9"/>
        </w:rPr>
        <w:t> </w:t>
      </w:r>
      <w:r>
        <w:rPr/>
        <w:t>terms</w:t>
      </w:r>
      <w:r>
        <w:rPr>
          <w:spacing w:val="-9"/>
        </w:rPr>
        <w:t> </w:t>
      </w:r>
      <w:r>
        <w:rPr/>
        <w:t>of</w:t>
      </w:r>
      <w:r>
        <w:rPr>
          <w:spacing w:val="-10"/>
        </w:rPr>
        <w:t> </w:t>
      </w:r>
      <w:r>
        <w:rPr/>
        <w:t>characteristics</w:t>
      </w:r>
      <w:r>
        <w:rPr>
          <w:spacing w:val="-10"/>
        </w:rPr>
        <w:t> </w:t>
      </w:r>
      <w:r>
        <w:rPr/>
        <w:t>of</w:t>
      </w:r>
      <w:r>
        <w:rPr>
          <w:spacing w:val="-10"/>
        </w:rPr>
        <w:t> </w:t>
      </w:r>
      <w:r>
        <w:rPr/>
        <w:t>the structure, housing type, number of bedrooms, floor, size, parking and so on. More so, several</w:t>
      </w:r>
      <w:r>
        <w:rPr>
          <w:spacing w:val="-11"/>
        </w:rPr>
        <w:t> </w:t>
      </w:r>
      <w:r>
        <w:rPr/>
        <w:t>related</w:t>
      </w:r>
      <w:r>
        <w:rPr>
          <w:spacing w:val="-10"/>
        </w:rPr>
        <w:t> </w:t>
      </w:r>
      <w:r>
        <w:rPr/>
        <w:t>housing</w:t>
      </w:r>
      <w:r>
        <w:rPr>
          <w:spacing w:val="-14"/>
        </w:rPr>
        <w:t> </w:t>
      </w:r>
      <w:r>
        <w:rPr/>
        <w:t>locational</w:t>
      </w:r>
      <w:r>
        <w:rPr>
          <w:spacing w:val="-12"/>
        </w:rPr>
        <w:t> </w:t>
      </w:r>
      <w:r>
        <w:rPr/>
        <w:t>features,</w:t>
      </w:r>
      <w:r>
        <w:rPr>
          <w:spacing w:val="-12"/>
        </w:rPr>
        <w:t> </w:t>
      </w:r>
      <w:r>
        <w:rPr/>
        <w:t>such</w:t>
      </w:r>
      <w:r>
        <w:rPr>
          <w:spacing w:val="-12"/>
        </w:rPr>
        <w:t> </w:t>
      </w:r>
      <w:r>
        <w:rPr/>
        <w:t>as</w:t>
      </w:r>
      <w:r>
        <w:rPr>
          <w:spacing w:val="-6"/>
        </w:rPr>
        <w:t> </w:t>
      </w:r>
      <w:r>
        <w:rPr/>
        <w:t>distance</w:t>
      </w:r>
      <w:r>
        <w:rPr>
          <w:spacing w:val="-13"/>
        </w:rPr>
        <w:t> </w:t>
      </w:r>
      <w:r>
        <w:rPr/>
        <w:t>from</w:t>
      </w:r>
      <w:r>
        <w:rPr>
          <w:spacing w:val="-12"/>
        </w:rPr>
        <w:t> </w:t>
      </w:r>
      <w:r>
        <w:rPr/>
        <w:t>the</w:t>
      </w:r>
      <w:r>
        <w:rPr>
          <w:spacing w:val="-13"/>
        </w:rPr>
        <w:t> </w:t>
      </w:r>
      <w:r>
        <w:rPr/>
        <w:t>city</w:t>
      </w:r>
      <w:r>
        <w:rPr>
          <w:spacing w:val="-15"/>
        </w:rPr>
        <w:t> </w:t>
      </w:r>
      <w:r>
        <w:rPr/>
        <w:t>center</w:t>
      </w:r>
      <w:r>
        <w:rPr>
          <w:spacing w:val="-11"/>
        </w:rPr>
        <w:t> </w:t>
      </w:r>
      <w:r>
        <w:rPr/>
        <w:t>or</w:t>
      </w:r>
      <w:r>
        <w:rPr>
          <w:spacing w:val="-10"/>
        </w:rPr>
        <w:t> </w:t>
      </w:r>
      <w:r>
        <w:rPr/>
        <w:t>closest metro station are measured in a GIS environment. As a result Ordinary Least Squares method residuals spatial dependency, Geographically Weighted Regression (a spatial regression model) is also presented in order to improve the prediction accuracy. They conclude that there is no significant locational characteristics contribution to the explanatory power of a regression model as compared to the structural features.</w:t>
      </w:r>
    </w:p>
    <w:p>
      <w:pPr>
        <w:pStyle w:val="BodyText"/>
        <w:spacing w:line="552" w:lineRule="exact" w:before="22"/>
        <w:ind w:left="305" w:right="514"/>
      </w:pPr>
      <w:r>
        <w:rPr/>
        <w:t>Chen</w:t>
      </w:r>
      <w:r>
        <w:rPr>
          <w:spacing w:val="-11"/>
        </w:rPr>
        <w:t> </w:t>
      </w:r>
      <w:r>
        <w:rPr/>
        <w:t>(2018)</w:t>
      </w:r>
      <w:r>
        <w:rPr>
          <w:spacing w:val="-12"/>
        </w:rPr>
        <w:t> </w:t>
      </w:r>
      <w:r>
        <w:rPr/>
        <w:t>examine</w:t>
      </w:r>
      <w:r>
        <w:rPr>
          <w:spacing w:val="-12"/>
        </w:rPr>
        <w:t> </w:t>
      </w:r>
      <w:r>
        <w:rPr/>
        <w:t>urban</w:t>
      </w:r>
      <w:r>
        <w:rPr>
          <w:spacing w:val="-12"/>
        </w:rPr>
        <w:t> </w:t>
      </w:r>
      <w:r>
        <w:rPr/>
        <w:t>housing</w:t>
      </w:r>
      <w:r>
        <w:rPr>
          <w:spacing w:val="-14"/>
        </w:rPr>
        <w:t> </w:t>
      </w:r>
      <w:r>
        <w:rPr/>
        <w:t>prices</w:t>
      </w:r>
      <w:r>
        <w:rPr>
          <w:spacing w:val="-11"/>
        </w:rPr>
        <w:t> </w:t>
      </w:r>
      <w:r>
        <w:rPr/>
        <w:t>spatial</w:t>
      </w:r>
      <w:r>
        <w:rPr>
          <w:spacing w:val="-9"/>
        </w:rPr>
        <w:t> </w:t>
      </w:r>
      <w:r>
        <w:rPr/>
        <w:t>differentiation</w:t>
      </w:r>
      <w:r>
        <w:rPr>
          <w:spacing w:val="-12"/>
        </w:rPr>
        <w:t> </w:t>
      </w:r>
      <w:r>
        <w:rPr/>
        <w:t>in</w:t>
      </w:r>
      <w:r>
        <w:rPr>
          <w:spacing w:val="-11"/>
        </w:rPr>
        <w:t> </w:t>
      </w:r>
      <w:r>
        <w:rPr/>
        <w:t>Guangdong</w:t>
      </w:r>
      <w:r>
        <w:rPr>
          <w:spacing w:val="-14"/>
        </w:rPr>
        <w:t> </w:t>
      </w:r>
      <w:r>
        <w:rPr/>
        <w:t>province in China and factors influencing housing prices. Spatial heterogeneity</w:t>
      </w:r>
      <w:r>
        <w:rPr>
          <w:spacing w:val="-1"/>
        </w:rPr>
        <w:t> </w:t>
      </w:r>
      <w:r>
        <w:rPr/>
        <w:t>of housing prices and</w:t>
      </w:r>
      <w:r>
        <w:rPr>
          <w:spacing w:val="-2"/>
        </w:rPr>
        <w:t> </w:t>
      </w:r>
      <w:r>
        <w:rPr/>
        <w:t>that</w:t>
      </w:r>
      <w:r>
        <w:rPr>
          <w:spacing w:val="-2"/>
        </w:rPr>
        <w:t> </w:t>
      </w:r>
      <w:r>
        <w:rPr/>
        <w:t>of</w:t>
      </w:r>
      <w:r>
        <w:rPr>
          <w:spacing w:val="-3"/>
        </w:rPr>
        <w:t> </w:t>
      </w:r>
      <w:r>
        <w:rPr/>
        <w:t>its</w:t>
      </w:r>
      <w:r>
        <w:rPr>
          <w:spacing w:val="-2"/>
        </w:rPr>
        <w:t> </w:t>
      </w:r>
      <w:r>
        <w:rPr/>
        <w:t>impact</w:t>
      </w:r>
      <w:r>
        <w:rPr>
          <w:spacing w:val="-2"/>
        </w:rPr>
        <w:t> </w:t>
      </w:r>
      <w:r>
        <w:rPr/>
        <w:t>factors</w:t>
      </w:r>
      <w:r>
        <w:rPr>
          <w:spacing w:val="-2"/>
        </w:rPr>
        <w:t> </w:t>
      </w:r>
      <w:r>
        <w:rPr/>
        <w:t>were</w:t>
      </w:r>
      <w:r>
        <w:rPr>
          <w:spacing w:val="-3"/>
        </w:rPr>
        <w:t> </w:t>
      </w:r>
      <w:r>
        <w:rPr/>
        <w:t>examined during</w:t>
      </w:r>
      <w:r>
        <w:rPr>
          <w:spacing w:val="-5"/>
        </w:rPr>
        <w:t> </w:t>
      </w:r>
      <w:r>
        <w:rPr/>
        <w:t>1995</w:t>
      </w:r>
      <w:r>
        <w:rPr>
          <w:spacing w:val="-2"/>
        </w:rPr>
        <w:t> </w:t>
      </w:r>
      <w:r>
        <w:rPr/>
        <w:t>– 2015</w:t>
      </w:r>
      <w:r>
        <w:rPr>
          <w:spacing w:val="-2"/>
        </w:rPr>
        <w:t> </w:t>
      </w:r>
      <w:r>
        <w:rPr/>
        <w:t>using</w:t>
      </w:r>
      <w:r>
        <w:rPr>
          <w:spacing w:val="-2"/>
        </w:rPr>
        <w:t> </w:t>
      </w:r>
      <w:r>
        <w:rPr/>
        <w:t>ESDA</w:t>
      </w:r>
      <w:r>
        <w:rPr>
          <w:spacing w:val="-3"/>
        </w:rPr>
        <w:t> </w:t>
      </w:r>
      <w:r>
        <w:rPr/>
        <w:t>and</w:t>
      </w:r>
      <w:r>
        <w:rPr>
          <w:spacing w:val="-2"/>
        </w:rPr>
        <w:t> </w:t>
      </w:r>
      <w:r>
        <w:rPr/>
        <w:t>GWR models. The study found out that a certain circle structure was shown in the spatial structure</w:t>
      </w:r>
      <w:r>
        <w:rPr>
          <w:spacing w:val="-7"/>
        </w:rPr>
        <w:t> </w:t>
      </w:r>
      <w:r>
        <w:rPr/>
        <w:t>of</w:t>
      </w:r>
      <w:r>
        <w:rPr>
          <w:spacing w:val="-5"/>
        </w:rPr>
        <w:t> </w:t>
      </w:r>
      <w:r>
        <w:rPr/>
        <w:t>housing</w:t>
      </w:r>
      <w:r>
        <w:rPr>
          <w:spacing w:val="-6"/>
        </w:rPr>
        <w:t> </w:t>
      </w:r>
      <w:r>
        <w:rPr/>
        <w:t>prices</w:t>
      </w:r>
      <w:r>
        <w:rPr>
          <w:spacing w:val="-6"/>
        </w:rPr>
        <w:t> </w:t>
      </w:r>
      <w:r>
        <w:rPr/>
        <w:t>in</w:t>
      </w:r>
      <w:r>
        <w:rPr>
          <w:spacing w:val="-6"/>
        </w:rPr>
        <w:t> </w:t>
      </w:r>
      <w:r>
        <w:rPr/>
        <w:t>the</w:t>
      </w:r>
      <w:r>
        <w:rPr>
          <w:spacing w:val="-7"/>
        </w:rPr>
        <w:t> </w:t>
      </w:r>
      <w:r>
        <w:rPr/>
        <w:t>region.</w:t>
      </w:r>
      <w:r>
        <w:rPr>
          <w:spacing w:val="-6"/>
        </w:rPr>
        <w:t> </w:t>
      </w:r>
      <w:r>
        <w:rPr/>
        <w:t>While</w:t>
      </w:r>
      <w:r>
        <w:rPr>
          <w:spacing w:val="-7"/>
        </w:rPr>
        <w:t> </w:t>
      </w:r>
      <w:r>
        <w:rPr/>
        <w:t>relatively</w:t>
      </w:r>
      <w:r>
        <w:rPr>
          <w:spacing w:val="-11"/>
        </w:rPr>
        <w:t> </w:t>
      </w:r>
      <w:r>
        <w:rPr/>
        <w:t>high</w:t>
      </w:r>
      <w:r>
        <w:rPr>
          <w:spacing w:val="-6"/>
        </w:rPr>
        <w:t> </w:t>
      </w:r>
      <w:r>
        <w:rPr/>
        <w:t>housing</w:t>
      </w:r>
      <w:r>
        <w:rPr>
          <w:spacing w:val="-9"/>
        </w:rPr>
        <w:t> </w:t>
      </w:r>
      <w:r>
        <w:rPr/>
        <w:t>price</w:t>
      </w:r>
      <w:r>
        <w:rPr>
          <w:spacing w:val="-7"/>
        </w:rPr>
        <w:t> </w:t>
      </w:r>
      <w:r>
        <w:rPr/>
        <w:t>are</w:t>
      </w:r>
      <w:r>
        <w:rPr>
          <w:spacing w:val="-7"/>
        </w:rPr>
        <w:t> </w:t>
      </w:r>
      <w:r>
        <w:rPr/>
        <w:t>found</w:t>
      </w:r>
      <w:r>
        <w:rPr>
          <w:spacing w:val="-7"/>
        </w:rPr>
        <w:t> </w:t>
      </w:r>
      <w:r>
        <w:rPr/>
        <w:t>in the</w:t>
      </w:r>
      <w:r>
        <w:rPr>
          <w:spacing w:val="-15"/>
        </w:rPr>
        <w:t> </w:t>
      </w:r>
      <w:r>
        <w:rPr/>
        <w:t>Pearl</w:t>
      </w:r>
      <w:r>
        <w:rPr>
          <w:spacing w:val="-13"/>
        </w:rPr>
        <w:t> </w:t>
      </w:r>
      <w:r>
        <w:rPr/>
        <w:t>River</w:t>
      </w:r>
      <w:r>
        <w:rPr>
          <w:spacing w:val="-14"/>
        </w:rPr>
        <w:t> </w:t>
      </w:r>
      <w:r>
        <w:rPr/>
        <w:t>Delta</w:t>
      </w:r>
      <w:r>
        <w:rPr>
          <w:spacing w:val="-13"/>
        </w:rPr>
        <w:t> </w:t>
      </w:r>
      <w:r>
        <w:rPr/>
        <w:t>region,</w:t>
      </w:r>
      <w:r>
        <w:rPr>
          <w:spacing w:val="-12"/>
        </w:rPr>
        <w:t> </w:t>
      </w:r>
      <w:r>
        <w:rPr/>
        <w:t>there</w:t>
      </w:r>
      <w:r>
        <w:rPr>
          <w:spacing w:val="-13"/>
        </w:rPr>
        <w:t> </w:t>
      </w:r>
      <w:r>
        <w:rPr/>
        <w:t>is</w:t>
      </w:r>
      <w:r>
        <w:rPr>
          <w:spacing w:val="-12"/>
        </w:rPr>
        <w:t> </w:t>
      </w:r>
      <w:r>
        <w:rPr/>
        <w:t>high</w:t>
      </w:r>
      <w:r>
        <w:rPr>
          <w:spacing w:val="-12"/>
        </w:rPr>
        <w:t> </w:t>
      </w:r>
      <w:r>
        <w:rPr/>
        <w:t>disparity</w:t>
      </w:r>
      <w:r>
        <w:rPr>
          <w:spacing w:val="-15"/>
        </w:rPr>
        <w:t> </w:t>
      </w:r>
      <w:r>
        <w:rPr/>
        <w:t>between</w:t>
      </w:r>
      <w:r>
        <w:rPr>
          <w:spacing w:val="-12"/>
        </w:rPr>
        <w:t> </w:t>
      </w:r>
      <w:r>
        <w:rPr/>
        <w:t>housing</w:t>
      </w:r>
      <w:r>
        <w:rPr>
          <w:spacing w:val="-15"/>
        </w:rPr>
        <w:t> </w:t>
      </w:r>
      <w:r>
        <w:rPr/>
        <w:t>prices</w:t>
      </w:r>
      <w:r>
        <w:rPr>
          <w:spacing w:val="-12"/>
        </w:rPr>
        <w:t> </w:t>
      </w:r>
      <w:r>
        <w:rPr/>
        <w:t>of</w:t>
      </w:r>
      <w:r>
        <w:rPr>
          <w:spacing w:val="-12"/>
        </w:rPr>
        <w:t> </w:t>
      </w:r>
      <w:r>
        <w:rPr>
          <w:spacing w:val="-2"/>
        </w:rPr>
        <w:t>Zhongshan,</w:t>
      </w:r>
    </w:p>
    <w:p>
      <w:pPr>
        <w:spacing w:after="0" w:line="552" w:lineRule="exact"/>
        <w:sectPr>
          <w:pgSz w:w="11910" w:h="16840"/>
          <w:pgMar w:header="0" w:footer="1022" w:top="1320" w:bottom="1220" w:left="1680" w:right="900"/>
        </w:sectPr>
      </w:pPr>
    </w:p>
    <w:p>
      <w:pPr>
        <w:pStyle w:val="BodyText"/>
        <w:spacing w:line="480" w:lineRule="auto" w:before="72"/>
        <w:ind w:left="305" w:right="520"/>
      </w:pPr>
      <w:r>
        <w:rPr/>
        <w:t>Huizhou and other cities. The price of housing in the cities of northern, western and eastern Guangdong is low, which shows a significant high variation from the housing prices of cities in Pearl River Delta, also Shantou and its surroundings has a high difference between the housing prices.</w:t>
      </w:r>
    </w:p>
    <w:p>
      <w:pPr>
        <w:pStyle w:val="Heading1"/>
        <w:numPr>
          <w:ilvl w:val="3"/>
          <w:numId w:val="5"/>
        </w:numPr>
        <w:tabs>
          <w:tab w:pos="1024" w:val="left" w:leader="none"/>
        </w:tabs>
        <w:spacing w:line="240" w:lineRule="auto" w:before="247" w:after="0"/>
        <w:ind w:left="1024" w:right="0" w:hanging="719"/>
        <w:jc w:val="both"/>
      </w:pPr>
      <w:r>
        <w:rPr/>
        <w:t>Artificial</w:t>
      </w:r>
      <w:r>
        <w:rPr>
          <w:spacing w:val="-4"/>
        </w:rPr>
        <w:t> </w:t>
      </w:r>
      <w:r>
        <w:rPr/>
        <w:t>neural</w:t>
      </w:r>
      <w:r>
        <w:rPr>
          <w:spacing w:val="-2"/>
        </w:rPr>
        <w:t> </w:t>
      </w:r>
      <w:r>
        <w:rPr/>
        <w:t>network</w:t>
      </w:r>
      <w:r>
        <w:rPr>
          <w:spacing w:val="-2"/>
        </w:rPr>
        <w:t> approach</w:t>
      </w:r>
    </w:p>
    <w:p>
      <w:pPr>
        <w:pStyle w:val="BodyText"/>
        <w:spacing w:before="192"/>
        <w:jc w:val="left"/>
        <w:rPr>
          <w:b/>
        </w:rPr>
      </w:pPr>
    </w:p>
    <w:p>
      <w:pPr>
        <w:pStyle w:val="BodyText"/>
        <w:spacing w:line="480" w:lineRule="auto"/>
        <w:ind w:left="305" w:right="509"/>
      </w:pPr>
      <w:r>
        <w:rPr/>
        <w:t>A review of previous research on the aspect of Artificial Neural Network approaches to housing</w:t>
      </w:r>
      <w:r>
        <w:rPr>
          <w:spacing w:val="-10"/>
        </w:rPr>
        <w:t> </w:t>
      </w:r>
      <w:r>
        <w:rPr/>
        <w:t>market</w:t>
      </w:r>
      <w:r>
        <w:rPr>
          <w:spacing w:val="-7"/>
        </w:rPr>
        <w:t> </w:t>
      </w:r>
      <w:r>
        <w:rPr/>
        <w:t>analysis</w:t>
      </w:r>
      <w:r>
        <w:rPr>
          <w:spacing w:val="-7"/>
        </w:rPr>
        <w:t> </w:t>
      </w:r>
      <w:r>
        <w:rPr/>
        <w:t>is</w:t>
      </w:r>
      <w:r>
        <w:rPr>
          <w:spacing w:val="-7"/>
        </w:rPr>
        <w:t> </w:t>
      </w:r>
      <w:r>
        <w:rPr/>
        <w:t>presented</w:t>
      </w:r>
      <w:r>
        <w:rPr>
          <w:spacing w:val="-6"/>
        </w:rPr>
        <w:t> </w:t>
      </w:r>
      <w:r>
        <w:rPr/>
        <w:t>in</w:t>
      </w:r>
      <w:r>
        <w:rPr>
          <w:spacing w:val="-4"/>
        </w:rPr>
        <w:t> </w:t>
      </w:r>
      <w:r>
        <w:rPr/>
        <w:t>this</w:t>
      </w:r>
      <w:r>
        <w:rPr>
          <w:spacing w:val="-7"/>
        </w:rPr>
        <w:t> </w:t>
      </w:r>
      <w:r>
        <w:rPr/>
        <w:t>section.</w:t>
      </w:r>
      <w:r>
        <w:rPr>
          <w:spacing w:val="-6"/>
        </w:rPr>
        <w:t> </w:t>
      </w:r>
      <w:r>
        <w:rPr/>
        <w:t>Several</w:t>
      </w:r>
      <w:r>
        <w:rPr>
          <w:spacing w:val="-3"/>
        </w:rPr>
        <w:t> </w:t>
      </w:r>
      <w:r>
        <w:rPr/>
        <w:t>studies</w:t>
      </w:r>
      <w:r>
        <w:rPr>
          <w:spacing w:val="-7"/>
        </w:rPr>
        <w:t> </w:t>
      </w:r>
      <w:r>
        <w:rPr/>
        <w:t>have</w:t>
      </w:r>
      <w:r>
        <w:rPr>
          <w:spacing w:val="-8"/>
        </w:rPr>
        <w:t> </w:t>
      </w:r>
      <w:r>
        <w:rPr/>
        <w:t>been</w:t>
      </w:r>
      <w:r>
        <w:rPr>
          <w:spacing w:val="-7"/>
        </w:rPr>
        <w:t> </w:t>
      </w:r>
      <w:r>
        <w:rPr/>
        <w:t>conducted on</w:t>
      </w:r>
      <w:r>
        <w:rPr>
          <w:spacing w:val="-3"/>
        </w:rPr>
        <w:t> </w:t>
      </w:r>
      <w:r>
        <w:rPr/>
        <w:t>housing</w:t>
      </w:r>
      <w:r>
        <w:rPr>
          <w:spacing w:val="-6"/>
        </w:rPr>
        <w:t> </w:t>
      </w:r>
      <w:r>
        <w:rPr/>
        <w:t>market</w:t>
      </w:r>
      <w:r>
        <w:rPr>
          <w:spacing w:val="-3"/>
        </w:rPr>
        <w:t> </w:t>
      </w:r>
      <w:r>
        <w:rPr/>
        <w:t>using</w:t>
      </w:r>
      <w:r>
        <w:rPr>
          <w:spacing w:val="-5"/>
        </w:rPr>
        <w:t> </w:t>
      </w:r>
      <w:r>
        <w:rPr/>
        <w:t>Artificial</w:t>
      </w:r>
      <w:r>
        <w:rPr>
          <w:spacing w:val="-3"/>
        </w:rPr>
        <w:t> </w:t>
      </w:r>
      <w:r>
        <w:rPr/>
        <w:t>Neural</w:t>
      </w:r>
      <w:r>
        <w:rPr>
          <w:spacing w:val="-3"/>
        </w:rPr>
        <w:t> </w:t>
      </w:r>
      <w:r>
        <w:rPr/>
        <w:t>Network</w:t>
      </w:r>
      <w:r>
        <w:rPr>
          <w:spacing w:val="-2"/>
        </w:rPr>
        <w:t> </w:t>
      </w:r>
      <w:r>
        <w:rPr/>
        <w:t>(James</w:t>
      </w:r>
      <w:r>
        <w:rPr>
          <w:spacing w:val="-3"/>
        </w:rPr>
        <w:t> </w:t>
      </w:r>
      <w:r>
        <w:rPr/>
        <w:t>&amp;</w:t>
      </w:r>
      <w:r>
        <w:rPr>
          <w:spacing w:val="-6"/>
        </w:rPr>
        <w:t> </w:t>
      </w:r>
      <w:r>
        <w:rPr/>
        <w:t>Carol,</w:t>
      </w:r>
      <w:r>
        <w:rPr>
          <w:spacing w:val="-3"/>
        </w:rPr>
        <w:t> </w:t>
      </w:r>
      <w:r>
        <w:rPr/>
        <w:t>2000;</w:t>
      </w:r>
      <w:r>
        <w:rPr>
          <w:spacing w:val="-8"/>
        </w:rPr>
        <w:t> </w:t>
      </w:r>
      <w:r>
        <w:rPr/>
        <w:t>Kauko,</w:t>
      </w:r>
      <w:r>
        <w:rPr>
          <w:spacing w:val="-6"/>
        </w:rPr>
        <w:t> </w:t>
      </w:r>
      <w:r>
        <w:rPr/>
        <w:t>2003; Kauko</w:t>
      </w:r>
      <w:r>
        <w:rPr>
          <w:spacing w:val="-10"/>
        </w:rPr>
        <w:t> </w:t>
      </w:r>
      <w:r>
        <w:rPr>
          <w:i/>
        </w:rPr>
        <w:t>et</w:t>
      </w:r>
      <w:r>
        <w:rPr>
          <w:i/>
          <w:spacing w:val="-7"/>
        </w:rPr>
        <w:t> </w:t>
      </w:r>
      <w:r>
        <w:rPr>
          <w:i/>
        </w:rPr>
        <w:t>al.</w:t>
      </w:r>
      <w:r>
        <w:rPr/>
        <w:t>,</w:t>
      </w:r>
      <w:r>
        <w:rPr>
          <w:spacing w:val="-10"/>
        </w:rPr>
        <w:t> </w:t>
      </w:r>
      <w:r>
        <w:rPr/>
        <w:t>2002;</w:t>
      </w:r>
      <w:r>
        <w:rPr>
          <w:spacing w:val="-9"/>
        </w:rPr>
        <w:t> </w:t>
      </w:r>
      <w:r>
        <w:rPr/>
        <w:t>Khalafallah,</w:t>
      </w:r>
      <w:r>
        <w:rPr>
          <w:spacing w:val="-10"/>
        </w:rPr>
        <w:t> </w:t>
      </w:r>
      <w:r>
        <w:rPr/>
        <w:t>2008;</w:t>
      </w:r>
      <w:r>
        <w:rPr>
          <w:spacing w:val="-7"/>
        </w:rPr>
        <w:t> </w:t>
      </w:r>
      <w:r>
        <w:rPr/>
        <w:t>Li</w:t>
      </w:r>
      <w:r>
        <w:rPr>
          <w:spacing w:val="-5"/>
        </w:rPr>
        <w:t> </w:t>
      </w:r>
      <w:r>
        <w:rPr>
          <w:i/>
        </w:rPr>
        <w:t>et</w:t>
      </w:r>
      <w:r>
        <w:rPr>
          <w:i/>
          <w:spacing w:val="-9"/>
        </w:rPr>
        <w:t> </w:t>
      </w:r>
      <w:r>
        <w:rPr>
          <w:i/>
        </w:rPr>
        <w:t>al</w:t>
      </w:r>
      <w:r>
        <w:rPr/>
        <w:t>.,</w:t>
      </w:r>
      <w:r>
        <w:rPr>
          <w:spacing w:val="-10"/>
        </w:rPr>
        <w:t> </w:t>
      </w:r>
      <w:r>
        <w:rPr/>
        <w:t>2014;</w:t>
      </w:r>
      <w:r>
        <w:rPr>
          <w:spacing w:val="-7"/>
        </w:rPr>
        <w:t> </w:t>
      </w:r>
      <w:r>
        <w:rPr/>
        <w:t>Limsombunc</w:t>
      </w:r>
      <w:r>
        <w:rPr>
          <w:spacing w:val="-7"/>
        </w:rPr>
        <w:t> </w:t>
      </w:r>
      <w:r>
        <w:rPr>
          <w:i/>
        </w:rPr>
        <w:t>et</w:t>
      </w:r>
      <w:r>
        <w:rPr>
          <w:i/>
          <w:spacing w:val="-9"/>
        </w:rPr>
        <w:t> </w:t>
      </w:r>
      <w:r>
        <w:rPr>
          <w:i/>
        </w:rPr>
        <w:t>al</w:t>
      </w:r>
      <w:r>
        <w:rPr/>
        <w:t>.,</w:t>
      </w:r>
      <w:r>
        <w:rPr>
          <w:spacing w:val="-10"/>
        </w:rPr>
        <w:t> </w:t>
      </w:r>
      <w:r>
        <w:rPr/>
        <w:t>2004;</w:t>
      </w:r>
      <w:r>
        <w:rPr>
          <w:spacing w:val="-9"/>
        </w:rPr>
        <w:t> </w:t>
      </w:r>
      <w:r>
        <w:rPr/>
        <w:t>Moulton &amp; Preece, 2002; Selim, 2009). For example, Kauko </w:t>
      </w:r>
      <w:r>
        <w:rPr>
          <w:i/>
        </w:rPr>
        <w:t>et al</w:t>
      </w:r>
      <w:r>
        <w:rPr/>
        <w:t>. (2002) assesses the housing market of Helsinki in Finland using neural network modelling. Their study shows how various</w:t>
      </w:r>
      <w:r>
        <w:rPr>
          <w:spacing w:val="-15"/>
        </w:rPr>
        <w:t> </w:t>
      </w:r>
      <w:r>
        <w:rPr/>
        <w:t>dimensions</w:t>
      </w:r>
      <w:r>
        <w:rPr>
          <w:spacing w:val="-13"/>
        </w:rPr>
        <w:t> </w:t>
      </w:r>
      <w:r>
        <w:rPr/>
        <w:t>of</w:t>
      </w:r>
      <w:r>
        <w:rPr>
          <w:spacing w:val="-14"/>
        </w:rPr>
        <w:t> </w:t>
      </w:r>
      <w:r>
        <w:rPr/>
        <w:t>housing</w:t>
      </w:r>
      <w:r>
        <w:rPr>
          <w:spacing w:val="-15"/>
        </w:rPr>
        <w:t> </w:t>
      </w:r>
      <w:r>
        <w:rPr/>
        <w:t>submarket</w:t>
      </w:r>
      <w:r>
        <w:rPr>
          <w:spacing w:val="-13"/>
        </w:rPr>
        <w:t> </w:t>
      </w:r>
      <w:r>
        <w:rPr/>
        <w:t>formation</w:t>
      </w:r>
      <w:r>
        <w:rPr>
          <w:spacing w:val="-13"/>
        </w:rPr>
        <w:t> </w:t>
      </w:r>
      <w:r>
        <w:rPr/>
        <w:t>were</w:t>
      </w:r>
      <w:r>
        <w:rPr>
          <w:spacing w:val="-15"/>
        </w:rPr>
        <w:t> </w:t>
      </w:r>
      <w:r>
        <w:rPr/>
        <w:t>identified</w:t>
      </w:r>
      <w:r>
        <w:rPr>
          <w:spacing w:val="-13"/>
        </w:rPr>
        <w:t> </w:t>
      </w:r>
      <w:r>
        <w:rPr/>
        <w:t>by</w:t>
      </w:r>
      <w:r>
        <w:rPr>
          <w:spacing w:val="-15"/>
        </w:rPr>
        <w:t> </w:t>
      </w:r>
      <w:r>
        <w:rPr/>
        <w:t>exploring</w:t>
      </w:r>
      <w:r>
        <w:rPr>
          <w:spacing w:val="-15"/>
        </w:rPr>
        <w:t> </w:t>
      </w:r>
      <w:r>
        <w:rPr/>
        <w:t>patterns in the dataset, and also revealed that classification abilities of two neural network techniques: the Learning Vector Quantisation (LVQ) and Self-Organising Map (SOM). They argued that location and house type relatively determines housing submarket formation in Helsinki.</w:t>
      </w:r>
    </w:p>
    <w:p>
      <w:pPr>
        <w:pStyle w:val="BodyText"/>
        <w:spacing w:line="480" w:lineRule="auto" w:before="242"/>
        <w:ind w:left="305" w:right="513"/>
      </w:pPr>
      <w:r>
        <w:rPr/>
        <w:t>Selim</w:t>
      </w:r>
      <w:r>
        <w:rPr>
          <w:spacing w:val="-13"/>
        </w:rPr>
        <w:t> </w:t>
      </w:r>
      <w:r>
        <w:rPr/>
        <w:t>(2009)</w:t>
      </w:r>
      <w:r>
        <w:rPr>
          <w:spacing w:val="-13"/>
        </w:rPr>
        <w:t> </w:t>
      </w:r>
      <w:r>
        <w:rPr/>
        <w:t>assesses</w:t>
      </w:r>
      <w:r>
        <w:rPr>
          <w:spacing w:val="-13"/>
        </w:rPr>
        <w:t> </w:t>
      </w:r>
      <w:r>
        <w:rPr/>
        <w:t>housing</w:t>
      </w:r>
      <w:r>
        <w:rPr>
          <w:spacing w:val="-15"/>
        </w:rPr>
        <w:t> </w:t>
      </w:r>
      <w:r>
        <w:rPr/>
        <w:t>price</w:t>
      </w:r>
      <w:r>
        <w:rPr>
          <w:spacing w:val="-14"/>
        </w:rPr>
        <w:t> </w:t>
      </w:r>
      <w:r>
        <w:rPr/>
        <w:t>determinants</w:t>
      </w:r>
      <w:r>
        <w:rPr>
          <w:spacing w:val="-13"/>
        </w:rPr>
        <w:t> </w:t>
      </w:r>
      <w:r>
        <w:rPr/>
        <w:t>in</w:t>
      </w:r>
      <w:r>
        <w:rPr>
          <w:spacing w:val="-13"/>
        </w:rPr>
        <w:t> </w:t>
      </w:r>
      <w:r>
        <w:rPr/>
        <w:t>Turkish</w:t>
      </w:r>
      <w:r>
        <w:rPr>
          <w:spacing w:val="-13"/>
        </w:rPr>
        <w:t> </w:t>
      </w:r>
      <w:r>
        <w:rPr/>
        <w:t>housing</w:t>
      </w:r>
      <w:r>
        <w:rPr>
          <w:spacing w:val="-15"/>
        </w:rPr>
        <w:t> </w:t>
      </w:r>
      <w:r>
        <w:rPr/>
        <w:t>market</w:t>
      </w:r>
      <w:r>
        <w:rPr>
          <w:spacing w:val="-13"/>
        </w:rPr>
        <w:t> </w:t>
      </w:r>
      <w:r>
        <w:rPr/>
        <w:t>adopting</w:t>
      </w:r>
      <w:r>
        <w:rPr>
          <w:spacing w:val="-15"/>
        </w:rPr>
        <w:t> </w:t>
      </w:r>
      <w:r>
        <w:rPr/>
        <w:t>the household</w:t>
      </w:r>
      <w:r>
        <w:rPr>
          <w:spacing w:val="-4"/>
        </w:rPr>
        <w:t> </w:t>
      </w:r>
      <w:r>
        <w:rPr/>
        <w:t>budget</w:t>
      </w:r>
      <w:r>
        <w:rPr>
          <w:spacing w:val="-4"/>
        </w:rPr>
        <w:t> </w:t>
      </w:r>
      <w:r>
        <w:rPr/>
        <w:t>survey</w:t>
      </w:r>
      <w:r>
        <w:rPr>
          <w:spacing w:val="-7"/>
        </w:rPr>
        <w:t> </w:t>
      </w:r>
      <w:r>
        <w:rPr/>
        <w:t>data</w:t>
      </w:r>
      <w:r>
        <w:rPr>
          <w:spacing w:val="-5"/>
        </w:rPr>
        <w:t> </w:t>
      </w:r>
      <w:r>
        <w:rPr/>
        <w:t>of</w:t>
      </w:r>
      <w:r>
        <w:rPr>
          <w:spacing w:val="-6"/>
        </w:rPr>
        <w:t> </w:t>
      </w:r>
      <w:r>
        <w:rPr/>
        <w:t>the</w:t>
      </w:r>
      <w:r>
        <w:rPr>
          <w:spacing w:val="-1"/>
        </w:rPr>
        <w:t> </w:t>
      </w:r>
      <w:r>
        <w:rPr/>
        <w:t>year</w:t>
      </w:r>
      <w:r>
        <w:rPr>
          <w:spacing w:val="-6"/>
        </w:rPr>
        <w:t> </w:t>
      </w:r>
      <w:r>
        <w:rPr/>
        <w:t>2004.</w:t>
      </w:r>
      <w:r>
        <w:rPr>
          <w:spacing w:val="-5"/>
        </w:rPr>
        <w:t> </w:t>
      </w:r>
      <w:r>
        <w:rPr/>
        <w:t>He</w:t>
      </w:r>
      <w:r>
        <w:rPr>
          <w:spacing w:val="-4"/>
        </w:rPr>
        <w:t> </w:t>
      </w:r>
      <w:r>
        <w:rPr/>
        <w:t>argued</w:t>
      </w:r>
      <w:r>
        <w:rPr>
          <w:spacing w:val="-5"/>
        </w:rPr>
        <w:t> </w:t>
      </w:r>
      <w:r>
        <w:rPr/>
        <w:t>hedonic</w:t>
      </w:r>
      <w:r>
        <w:rPr>
          <w:spacing w:val="-6"/>
        </w:rPr>
        <w:t> </w:t>
      </w:r>
      <w:r>
        <w:rPr/>
        <w:t>model</w:t>
      </w:r>
      <w:r>
        <w:rPr>
          <w:spacing w:val="-5"/>
        </w:rPr>
        <w:t> </w:t>
      </w:r>
      <w:r>
        <w:rPr/>
        <w:t>mostly</w:t>
      </w:r>
      <w:r>
        <w:rPr>
          <w:spacing w:val="-12"/>
        </w:rPr>
        <w:t> </w:t>
      </w:r>
      <w:r>
        <w:rPr/>
        <w:t>used</w:t>
      </w:r>
      <w:r>
        <w:rPr>
          <w:spacing w:val="-5"/>
        </w:rPr>
        <w:t> </w:t>
      </w:r>
      <w:r>
        <w:rPr/>
        <w:t>in analysing</w:t>
      </w:r>
      <w:r>
        <w:rPr>
          <w:spacing w:val="-15"/>
        </w:rPr>
        <w:t> </w:t>
      </w:r>
      <w:r>
        <w:rPr/>
        <w:t>locational</w:t>
      </w:r>
      <w:r>
        <w:rPr>
          <w:spacing w:val="-15"/>
        </w:rPr>
        <w:t> </w:t>
      </w:r>
      <w:r>
        <w:rPr/>
        <w:t>value</w:t>
      </w:r>
      <w:r>
        <w:rPr>
          <w:spacing w:val="-15"/>
        </w:rPr>
        <w:t> </w:t>
      </w:r>
      <w:r>
        <w:rPr/>
        <w:t>in</w:t>
      </w:r>
      <w:r>
        <w:rPr>
          <w:spacing w:val="-15"/>
        </w:rPr>
        <w:t> </w:t>
      </w:r>
      <w:r>
        <w:rPr/>
        <w:t>the</w:t>
      </w:r>
      <w:r>
        <w:rPr>
          <w:spacing w:val="-15"/>
        </w:rPr>
        <w:t> </w:t>
      </w:r>
      <w:r>
        <w:rPr/>
        <w:t>housing</w:t>
      </w:r>
      <w:r>
        <w:rPr>
          <w:spacing w:val="-14"/>
        </w:rPr>
        <w:t> </w:t>
      </w:r>
      <w:r>
        <w:rPr/>
        <w:t>market</w:t>
      </w:r>
      <w:r>
        <w:rPr>
          <w:spacing w:val="-12"/>
        </w:rPr>
        <w:t> </w:t>
      </w:r>
      <w:r>
        <w:rPr/>
        <w:t>research</w:t>
      </w:r>
      <w:r>
        <w:rPr>
          <w:spacing w:val="-12"/>
        </w:rPr>
        <w:t> </w:t>
      </w:r>
      <w:r>
        <w:rPr/>
        <w:t>which</w:t>
      </w:r>
      <w:r>
        <w:rPr>
          <w:spacing w:val="-12"/>
        </w:rPr>
        <w:t> </w:t>
      </w:r>
      <w:r>
        <w:rPr/>
        <w:t>mostly</w:t>
      </w:r>
      <w:r>
        <w:rPr>
          <w:spacing w:val="-15"/>
        </w:rPr>
        <w:t> </w:t>
      </w:r>
      <w:r>
        <w:rPr/>
        <w:t>based</w:t>
      </w:r>
      <w:r>
        <w:rPr>
          <w:spacing w:val="-14"/>
        </w:rPr>
        <w:t> </w:t>
      </w:r>
      <w:r>
        <w:rPr/>
        <w:t>on</w:t>
      </w:r>
      <w:r>
        <w:rPr>
          <w:spacing w:val="-14"/>
        </w:rPr>
        <w:t> </w:t>
      </w:r>
      <w:r>
        <w:rPr/>
        <w:t>multiple regression techniques on a data set that is huge and formality is required on microeconomic theory in the analyses. He also argued that non-linearity in the hedonic functions potential makes necessary for ANN to employ the research as an alternative approach.</w:t>
      </w:r>
      <w:r>
        <w:rPr>
          <w:spacing w:val="-6"/>
        </w:rPr>
        <w:t> </w:t>
      </w:r>
      <w:r>
        <w:rPr/>
        <w:t>He</w:t>
      </w:r>
      <w:r>
        <w:rPr>
          <w:spacing w:val="-7"/>
        </w:rPr>
        <w:t> </w:t>
      </w:r>
      <w:r>
        <w:rPr/>
        <w:t>made</w:t>
      </w:r>
      <w:r>
        <w:rPr>
          <w:spacing w:val="-7"/>
        </w:rPr>
        <w:t> </w:t>
      </w:r>
      <w:r>
        <w:rPr/>
        <w:t>comparison</w:t>
      </w:r>
      <w:r>
        <w:rPr>
          <w:spacing w:val="-5"/>
        </w:rPr>
        <w:t> </w:t>
      </w:r>
      <w:r>
        <w:rPr/>
        <w:t>between</w:t>
      </w:r>
      <w:r>
        <w:rPr>
          <w:spacing w:val="-3"/>
        </w:rPr>
        <w:t> </w:t>
      </w:r>
      <w:r>
        <w:rPr/>
        <w:t>artificial</w:t>
      </w:r>
      <w:r>
        <w:rPr>
          <w:spacing w:val="-4"/>
        </w:rPr>
        <w:t> </w:t>
      </w:r>
      <w:r>
        <w:rPr/>
        <w:t>neural</w:t>
      </w:r>
      <w:r>
        <w:rPr>
          <w:spacing w:val="-5"/>
        </w:rPr>
        <w:t> </w:t>
      </w:r>
      <w:r>
        <w:rPr/>
        <w:t>network</w:t>
      </w:r>
      <w:r>
        <w:rPr>
          <w:spacing w:val="-5"/>
        </w:rPr>
        <w:t> </w:t>
      </w:r>
      <w:r>
        <w:rPr/>
        <w:t>and</w:t>
      </w:r>
      <w:r>
        <w:rPr>
          <w:spacing w:val="-5"/>
        </w:rPr>
        <w:t> </w:t>
      </w:r>
      <w:r>
        <w:rPr/>
        <w:t>hedonic</w:t>
      </w:r>
      <w:r>
        <w:rPr>
          <w:spacing w:val="-6"/>
        </w:rPr>
        <w:t> </w:t>
      </w:r>
      <w:r>
        <w:rPr>
          <w:spacing w:val="-2"/>
        </w:rPr>
        <w:t>regression</w:t>
      </w:r>
    </w:p>
    <w:p>
      <w:pPr>
        <w:spacing w:after="0" w:line="480" w:lineRule="auto"/>
        <w:sectPr>
          <w:pgSz w:w="11910" w:h="16840"/>
          <w:pgMar w:header="0" w:footer="1022" w:top="1320" w:bottom="1220" w:left="1680" w:right="900"/>
        </w:sectPr>
      </w:pPr>
    </w:p>
    <w:p>
      <w:pPr>
        <w:pStyle w:val="BodyText"/>
        <w:spacing w:line="480" w:lineRule="auto" w:before="72"/>
        <w:ind w:left="305" w:right="522"/>
      </w:pPr>
      <w:r>
        <w:rPr/>
        <w:t>models; he further proves that ANN is the best alternative for housing prices prediction in Turkey.</w:t>
      </w:r>
    </w:p>
    <w:p>
      <w:pPr>
        <w:pStyle w:val="BodyText"/>
        <w:spacing w:line="480" w:lineRule="auto" w:before="240"/>
        <w:ind w:left="305" w:right="512"/>
      </w:pPr>
      <w:r>
        <w:rPr/>
        <w:t>Limsombunc </w:t>
      </w:r>
      <w:r>
        <w:rPr>
          <w:i/>
        </w:rPr>
        <w:t>et al</w:t>
      </w:r>
      <w:r>
        <w:rPr/>
        <w:t>. (2004) conduct a comparative study on the artificial neural network model with hedonic model predictive power on prediction of house price. About 200 houses</w:t>
      </w:r>
      <w:r>
        <w:rPr>
          <w:spacing w:val="-15"/>
        </w:rPr>
        <w:t> </w:t>
      </w:r>
      <w:r>
        <w:rPr/>
        <w:t>in</w:t>
      </w:r>
      <w:r>
        <w:rPr>
          <w:spacing w:val="-15"/>
        </w:rPr>
        <w:t> </w:t>
      </w:r>
      <w:r>
        <w:rPr/>
        <w:t>the</w:t>
      </w:r>
      <w:r>
        <w:rPr>
          <w:spacing w:val="-15"/>
        </w:rPr>
        <w:t> </w:t>
      </w:r>
      <w:r>
        <w:rPr/>
        <w:t>New</w:t>
      </w:r>
      <w:r>
        <w:rPr>
          <w:spacing w:val="-15"/>
        </w:rPr>
        <w:t> </w:t>
      </w:r>
      <w:r>
        <w:rPr/>
        <w:t>Zealand’s</w:t>
      </w:r>
      <w:r>
        <w:rPr>
          <w:spacing w:val="-15"/>
        </w:rPr>
        <w:t> </w:t>
      </w:r>
      <w:r>
        <w:rPr/>
        <w:t>Christchurch</w:t>
      </w:r>
      <w:r>
        <w:rPr>
          <w:spacing w:val="-15"/>
        </w:rPr>
        <w:t> </w:t>
      </w:r>
      <w:r>
        <w:rPr/>
        <w:t>city</w:t>
      </w:r>
      <w:r>
        <w:rPr>
          <w:spacing w:val="-15"/>
        </w:rPr>
        <w:t> </w:t>
      </w:r>
      <w:r>
        <w:rPr/>
        <w:t>were</w:t>
      </w:r>
      <w:r>
        <w:rPr>
          <w:spacing w:val="-15"/>
        </w:rPr>
        <w:t> </w:t>
      </w:r>
      <w:r>
        <w:rPr/>
        <w:t>sampled</w:t>
      </w:r>
      <w:r>
        <w:rPr>
          <w:spacing w:val="-15"/>
        </w:rPr>
        <w:t> </w:t>
      </w:r>
      <w:r>
        <w:rPr/>
        <w:t>randomly</w:t>
      </w:r>
      <w:r>
        <w:rPr>
          <w:spacing w:val="-15"/>
        </w:rPr>
        <w:t> </w:t>
      </w:r>
      <w:r>
        <w:rPr/>
        <w:t>from</w:t>
      </w:r>
      <w:r>
        <w:rPr>
          <w:spacing w:val="-13"/>
        </w:rPr>
        <w:t> </w:t>
      </w:r>
      <w:r>
        <w:rPr/>
        <w:t>the</w:t>
      </w:r>
      <w:r>
        <w:rPr>
          <w:spacing w:val="-15"/>
        </w:rPr>
        <w:t> </w:t>
      </w:r>
      <w:r>
        <w:rPr/>
        <w:t>Harcourt website. Considered factors include size of house, age of house, type of house, number of bedrooms, number of bathrooms, number of garages, housing amenities and location respectively.</w:t>
      </w:r>
      <w:r>
        <w:rPr>
          <w:spacing w:val="-9"/>
        </w:rPr>
        <w:t> </w:t>
      </w:r>
      <w:r>
        <w:rPr/>
        <w:t>They</w:t>
      </w:r>
      <w:r>
        <w:rPr>
          <w:spacing w:val="-12"/>
        </w:rPr>
        <w:t> </w:t>
      </w:r>
      <w:r>
        <w:rPr/>
        <w:t>argue</w:t>
      </w:r>
      <w:r>
        <w:rPr>
          <w:spacing w:val="-9"/>
        </w:rPr>
        <w:t> </w:t>
      </w:r>
      <w:r>
        <w:rPr/>
        <w:t>that</w:t>
      </w:r>
      <w:r>
        <w:rPr>
          <w:spacing w:val="-10"/>
        </w:rPr>
        <w:t> </w:t>
      </w:r>
      <w:r>
        <w:rPr/>
        <w:t>their</w:t>
      </w:r>
      <w:r>
        <w:rPr>
          <w:spacing w:val="-9"/>
        </w:rPr>
        <w:t> </w:t>
      </w:r>
      <w:r>
        <w:rPr/>
        <w:t>findings</w:t>
      </w:r>
      <w:r>
        <w:rPr>
          <w:spacing w:val="-8"/>
        </w:rPr>
        <w:t> </w:t>
      </w:r>
      <w:r>
        <w:rPr/>
        <w:t>indicates</w:t>
      </w:r>
      <w:r>
        <w:rPr>
          <w:spacing w:val="-9"/>
        </w:rPr>
        <w:t> </w:t>
      </w:r>
      <w:r>
        <w:rPr/>
        <w:t>artificial</w:t>
      </w:r>
      <w:r>
        <w:rPr>
          <w:spacing w:val="-10"/>
        </w:rPr>
        <w:t> </w:t>
      </w:r>
      <w:r>
        <w:rPr/>
        <w:t>neural</w:t>
      </w:r>
      <w:r>
        <w:rPr>
          <w:spacing w:val="-10"/>
        </w:rPr>
        <w:t> </w:t>
      </w:r>
      <w:r>
        <w:rPr/>
        <w:t>network</w:t>
      </w:r>
      <w:r>
        <w:rPr>
          <w:spacing w:val="-9"/>
        </w:rPr>
        <w:t> </w:t>
      </w:r>
      <w:r>
        <w:rPr/>
        <w:t>potential</w:t>
      </w:r>
      <w:r>
        <w:rPr>
          <w:spacing w:val="-10"/>
        </w:rPr>
        <w:t> </w:t>
      </w:r>
      <w:r>
        <w:rPr/>
        <w:t>in the predictions of house price.</w:t>
      </w:r>
    </w:p>
    <w:p>
      <w:pPr>
        <w:pStyle w:val="BodyText"/>
        <w:spacing w:line="480" w:lineRule="auto" w:before="241"/>
        <w:ind w:left="305" w:right="511"/>
      </w:pPr>
      <w:r>
        <w:rPr/>
        <w:t>Khalafallah</w:t>
      </w:r>
      <w:r>
        <w:rPr>
          <w:spacing w:val="-2"/>
        </w:rPr>
        <w:t> </w:t>
      </w:r>
      <w:r>
        <w:rPr/>
        <w:t>(2008)</w:t>
      </w:r>
      <w:r>
        <w:rPr>
          <w:spacing w:val="-5"/>
        </w:rPr>
        <w:t> </w:t>
      </w:r>
      <w:r>
        <w:rPr/>
        <w:t>developed</w:t>
      </w:r>
      <w:r>
        <w:rPr>
          <w:spacing w:val="-4"/>
        </w:rPr>
        <w:t> </w:t>
      </w:r>
      <w:r>
        <w:rPr/>
        <w:t>an</w:t>
      </w:r>
      <w:r>
        <w:rPr>
          <w:spacing w:val="-4"/>
        </w:rPr>
        <w:t> </w:t>
      </w:r>
      <w:r>
        <w:rPr/>
        <w:t>artificial</w:t>
      </w:r>
      <w:r>
        <w:rPr>
          <w:spacing w:val="-4"/>
        </w:rPr>
        <w:t> </w:t>
      </w:r>
      <w:r>
        <w:rPr/>
        <w:t>neural</w:t>
      </w:r>
      <w:r>
        <w:rPr>
          <w:spacing w:val="-4"/>
        </w:rPr>
        <w:t> </w:t>
      </w:r>
      <w:r>
        <w:rPr/>
        <w:t>network</w:t>
      </w:r>
      <w:r>
        <w:rPr>
          <w:spacing w:val="-4"/>
        </w:rPr>
        <w:t> </w:t>
      </w:r>
      <w:r>
        <w:rPr/>
        <w:t>based</w:t>
      </w:r>
      <w:r>
        <w:rPr>
          <w:spacing w:val="-4"/>
        </w:rPr>
        <w:t> </w:t>
      </w:r>
      <w:r>
        <w:rPr/>
        <w:t>models</w:t>
      </w:r>
      <w:r>
        <w:rPr>
          <w:spacing w:val="-2"/>
        </w:rPr>
        <w:t> </w:t>
      </w:r>
      <w:r>
        <w:rPr/>
        <w:t>for</w:t>
      </w:r>
      <w:r>
        <w:rPr>
          <w:spacing w:val="-4"/>
        </w:rPr>
        <w:t> </w:t>
      </w:r>
      <w:r>
        <w:rPr/>
        <w:t>the</w:t>
      </w:r>
      <w:r>
        <w:rPr>
          <w:spacing w:val="-6"/>
        </w:rPr>
        <w:t> </w:t>
      </w:r>
      <w:r>
        <w:rPr/>
        <w:t>investors in real estate and housing developers in any difficult task. The design methodology, decision variables, and the model implementation were described. The data set of the historical market performance were utilised to train the artificial neural networks to forecast</w:t>
      </w:r>
      <w:r>
        <w:rPr>
          <w:spacing w:val="-7"/>
        </w:rPr>
        <w:t> </w:t>
      </w:r>
      <w:r>
        <w:rPr/>
        <w:t>performances</w:t>
      </w:r>
      <w:r>
        <w:rPr>
          <w:spacing w:val="-6"/>
        </w:rPr>
        <w:t> </w:t>
      </w:r>
      <w:r>
        <w:rPr/>
        <w:t>in</w:t>
      </w:r>
      <w:r>
        <w:rPr>
          <w:spacing w:val="-3"/>
        </w:rPr>
        <w:t> </w:t>
      </w:r>
      <w:r>
        <w:rPr/>
        <w:t>the</w:t>
      </w:r>
      <w:r>
        <w:rPr>
          <w:spacing w:val="-8"/>
        </w:rPr>
        <w:t> </w:t>
      </w:r>
      <w:r>
        <w:rPr/>
        <w:t>future.</w:t>
      </w:r>
      <w:r>
        <w:rPr>
          <w:spacing w:val="-5"/>
        </w:rPr>
        <w:t> </w:t>
      </w:r>
      <w:r>
        <w:rPr/>
        <w:t>Example</w:t>
      </w:r>
      <w:r>
        <w:rPr>
          <w:spacing w:val="-8"/>
        </w:rPr>
        <w:t> </w:t>
      </w:r>
      <w:r>
        <w:rPr/>
        <w:t>of</w:t>
      </w:r>
      <w:r>
        <w:rPr>
          <w:spacing w:val="-8"/>
        </w:rPr>
        <w:t> </w:t>
      </w:r>
      <w:r>
        <w:rPr/>
        <w:t>the</w:t>
      </w:r>
      <w:r>
        <w:rPr>
          <w:spacing w:val="-8"/>
        </w:rPr>
        <w:t> </w:t>
      </w:r>
      <w:r>
        <w:rPr/>
        <w:t>application</w:t>
      </w:r>
      <w:r>
        <w:rPr>
          <w:spacing w:val="-7"/>
        </w:rPr>
        <w:t> </w:t>
      </w:r>
      <w:r>
        <w:rPr/>
        <w:t>was</w:t>
      </w:r>
      <w:r>
        <w:rPr>
          <w:spacing w:val="-5"/>
        </w:rPr>
        <w:t> </w:t>
      </w:r>
      <w:r>
        <w:rPr/>
        <w:t>analysed</w:t>
      </w:r>
      <w:r>
        <w:rPr>
          <w:spacing w:val="-7"/>
        </w:rPr>
        <w:t> </w:t>
      </w:r>
      <w:r>
        <w:rPr/>
        <w:t>to</w:t>
      </w:r>
      <w:r>
        <w:rPr>
          <w:spacing w:val="-7"/>
        </w:rPr>
        <w:t> </w:t>
      </w:r>
      <w:r>
        <w:rPr/>
        <w:t>establish the</w:t>
      </w:r>
      <w:r>
        <w:rPr>
          <w:spacing w:val="-2"/>
        </w:rPr>
        <w:t> </w:t>
      </w:r>
      <w:r>
        <w:rPr/>
        <w:t>capabilities</w:t>
      </w:r>
      <w:r>
        <w:rPr>
          <w:spacing w:val="-2"/>
        </w:rPr>
        <w:t> </w:t>
      </w:r>
      <w:r>
        <w:rPr/>
        <w:t>of</w:t>
      </w:r>
      <w:r>
        <w:rPr>
          <w:spacing w:val="-2"/>
        </w:rPr>
        <w:t> </w:t>
      </w:r>
      <w:r>
        <w:rPr/>
        <w:t>the</w:t>
      </w:r>
      <w:r>
        <w:rPr>
          <w:spacing w:val="-2"/>
        </w:rPr>
        <w:t> </w:t>
      </w:r>
      <w:r>
        <w:rPr/>
        <w:t>model</w:t>
      </w:r>
      <w:r>
        <w:rPr>
          <w:spacing w:val="-1"/>
        </w:rPr>
        <w:t> </w:t>
      </w:r>
      <w:r>
        <w:rPr/>
        <w:t>in the</w:t>
      </w:r>
      <w:r>
        <w:rPr>
          <w:spacing w:val="-2"/>
        </w:rPr>
        <w:t> </w:t>
      </w:r>
      <w:r>
        <w:rPr/>
        <w:t>market</w:t>
      </w:r>
      <w:r>
        <w:rPr>
          <w:spacing w:val="-1"/>
        </w:rPr>
        <w:t> </w:t>
      </w:r>
      <w:r>
        <w:rPr/>
        <w:t>performance analysis</w:t>
      </w:r>
      <w:r>
        <w:rPr>
          <w:spacing w:val="-1"/>
        </w:rPr>
        <w:t> </w:t>
      </w:r>
      <w:r>
        <w:rPr/>
        <w:t>and</w:t>
      </w:r>
      <w:r>
        <w:rPr>
          <w:spacing w:val="-1"/>
        </w:rPr>
        <w:t> </w:t>
      </w:r>
      <w:r>
        <w:rPr/>
        <w:t>prediction. A</w:t>
      </w:r>
      <w:r>
        <w:rPr>
          <w:spacing w:val="-2"/>
        </w:rPr>
        <w:t> </w:t>
      </w:r>
      <w:r>
        <w:rPr/>
        <w:t>range of between –2% and +2% prediction errors were recorded for testing and validation the </w:t>
      </w:r>
      <w:r>
        <w:rPr>
          <w:spacing w:val="-2"/>
        </w:rPr>
        <w:t>model.</w:t>
      </w:r>
    </w:p>
    <w:p>
      <w:pPr>
        <w:pStyle w:val="BodyText"/>
        <w:spacing w:line="480" w:lineRule="auto" w:before="241"/>
        <w:ind w:left="305" w:right="514"/>
      </w:pPr>
      <w:r>
        <w:rPr/>
        <w:t>Li (2014) adopted artificial neural networks in Chinese real estate cycles identification, and predicted the market development phases accurately with a well-trained artificial neural</w:t>
      </w:r>
      <w:r>
        <w:rPr>
          <w:spacing w:val="-15"/>
        </w:rPr>
        <w:t> </w:t>
      </w:r>
      <w:r>
        <w:rPr/>
        <w:t>network</w:t>
      </w:r>
      <w:r>
        <w:rPr>
          <w:spacing w:val="-15"/>
        </w:rPr>
        <w:t> </w:t>
      </w:r>
      <w:r>
        <w:rPr/>
        <w:t>built</w:t>
      </w:r>
      <w:r>
        <w:rPr>
          <w:spacing w:val="-15"/>
        </w:rPr>
        <w:t> </w:t>
      </w:r>
      <w:r>
        <w:rPr/>
        <w:t>on</w:t>
      </w:r>
      <w:r>
        <w:rPr>
          <w:spacing w:val="-15"/>
        </w:rPr>
        <w:t> </w:t>
      </w:r>
      <w:r>
        <w:rPr/>
        <w:t>historian</w:t>
      </w:r>
      <w:r>
        <w:rPr>
          <w:spacing w:val="-15"/>
        </w:rPr>
        <w:t> </w:t>
      </w:r>
      <w:r>
        <w:rPr/>
        <w:t>training</w:t>
      </w:r>
      <w:r>
        <w:rPr>
          <w:spacing w:val="-15"/>
        </w:rPr>
        <w:t> </w:t>
      </w:r>
      <w:r>
        <w:rPr/>
        <w:t>samples</w:t>
      </w:r>
      <w:r>
        <w:rPr>
          <w:spacing w:val="-15"/>
        </w:rPr>
        <w:t> </w:t>
      </w:r>
      <w:r>
        <w:rPr/>
        <w:t>of</w:t>
      </w:r>
      <w:r>
        <w:rPr>
          <w:spacing w:val="-15"/>
        </w:rPr>
        <w:t> </w:t>
      </w:r>
      <w:r>
        <w:rPr/>
        <w:t>1993</w:t>
      </w:r>
      <w:r>
        <w:rPr>
          <w:spacing w:val="-15"/>
        </w:rPr>
        <w:t> </w:t>
      </w:r>
      <w:r>
        <w:rPr/>
        <w:t>–</w:t>
      </w:r>
      <w:r>
        <w:rPr>
          <w:spacing w:val="-15"/>
        </w:rPr>
        <w:t> </w:t>
      </w:r>
      <w:r>
        <w:rPr/>
        <w:t>2008.</w:t>
      </w:r>
      <w:r>
        <w:rPr>
          <w:spacing w:val="-15"/>
        </w:rPr>
        <w:t> </w:t>
      </w:r>
      <w:r>
        <w:rPr/>
        <w:t>Their</w:t>
      </w:r>
      <w:r>
        <w:rPr>
          <w:spacing w:val="-15"/>
        </w:rPr>
        <w:t> </w:t>
      </w:r>
      <w:r>
        <w:rPr/>
        <w:t>findings</w:t>
      </w:r>
      <w:r>
        <w:rPr>
          <w:spacing w:val="-15"/>
        </w:rPr>
        <w:t> </w:t>
      </w:r>
      <w:r>
        <w:rPr/>
        <w:t>revealed that Chinese real estate market has oscillation features and high accuracy in obtained in the</w:t>
      </w:r>
      <w:r>
        <w:rPr>
          <w:spacing w:val="-15"/>
        </w:rPr>
        <w:t> </w:t>
      </w:r>
      <w:r>
        <w:rPr/>
        <w:t>performance</w:t>
      </w:r>
      <w:r>
        <w:rPr>
          <w:spacing w:val="-15"/>
        </w:rPr>
        <w:t> </w:t>
      </w:r>
      <w:r>
        <w:rPr/>
        <w:t>of</w:t>
      </w:r>
      <w:r>
        <w:rPr>
          <w:spacing w:val="-15"/>
        </w:rPr>
        <w:t> </w:t>
      </w:r>
      <w:r>
        <w:rPr/>
        <w:t>the</w:t>
      </w:r>
      <w:r>
        <w:rPr>
          <w:spacing w:val="-15"/>
        </w:rPr>
        <w:t> </w:t>
      </w:r>
      <w:r>
        <w:rPr/>
        <w:t>artificial</w:t>
      </w:r>
      <w:r>
        <w:rPr>
          <w:spacing w:val="-15"/>
        </w:rPr>
        <w:t> </w:t>
      </w:r>
      <w:r>
        <w:rPr/>
        <w:t>neural</w:t>
      </w:r>
      <w:r>
        <w:rPr>
          <w:spacing w:val="-15"/>
        </w:rPr>
        <w:t> </w:t>
      </w:r>
      <w:r>
        <w:rPr/>
        <w:t>networks.</w:t>
      </w:r>
      <w:r>
        <w:rPr>
          <w:spacing w:val="-15"/>
        </w:rPr>
        <w:t> </w:t>
      </w:r>
      <w:r>
        <w:rPr/>
        <w:t>They</w:t>
      </w:r>
      <w:r>
        <w:rPr>
          <w:spacing w:val="-15"/>
        </w:rPr>
        <w:t> </w:t>
      </w:r>
      <w:r>
        <w:rPr/>
        <w:t>argued</w:t>
      </w:r>
      <w:r>
        <w:rPr>
          <w:spacing w:val="-15"/>
        </w:rPr>
        <w:t> </w:t>
      </w:r>
      <w:r>
        <w:rPr/>
        <w:t>that</w:t>
      </w:r>
      <w:r>
        <w:rPr>
          <w:spacing w:val="-15"/>
        </w:rPr>
        <w:t> </w:t>
      </w:r>
      <w:r>
        <w:rPr/>
        <w:t>in</w:t>
      </w:r>
      <w:r>
        <w:rPr>
          <w:spacing w:val="-15"/>
        </w:rPr>
        <w:t> </w:t>
      </w:r>
      <w:r>
        <w:rPr/>
        <w:t>a</w:t>
      </w:r>
      <w:r>
        <w:rPr>
          <w:spacing w:val="-15"/>
        </w:rPr>
        <w:t> </w:t>
      </w:r>
      <w:r>
        <w:rPr/>
        <w:t>situation</w:t>
      </w:r>
      <w:r>
        <w:rPr>
          <w:spacing w:val="-15"/>
        </w:rPr>
        <w:t> </w:t>
      </w:r>
      <w:r>
        <w:rPr/>
        <w:t>of</w:t>
      </w:r>
      <w:r>
        <w:rPr>
          <w:spacing w:val="-15"/>
        </w:rPr>
        <w:t> </w:t>
      </w:r>
      <w:r>
        <w:rPr/>
        <w:t>serious continuous interventions by</w:t>
      </w:r>
      <w:r>
        <w:rPr>
          <w:spacing w:val="-1"/>
        </w:rPr>
        <w:t> </w:t>
      </w:r>
      <w:r>
        <w:rPr/>
        <w:t>the government, the real estate cycles volatility has become apparent</w:t>
      </w:r>
      <w:r>
        <w:rPr>
          <w:spacing w:val="25"/>
        </w:rPr>
        <w:t> </w:t>
      </w:r>
      <w:r>
        <w:rPr/>
        <w:t>since</w:t>
      </w:r>
      <w:r>
        <w:rPr>
          <w:spacing w:val="26"/>
        </w:rPr>
        <w:t> </w:t>
      </w:r>
      <w:r>
        <w:rPr/>
        <w:t>2008,</w:t>
      </w:r>
      <w:r>
        <w:rPr>
          <w:spacing w:val="29"/>
        </w:rPr>
        <w:t> </w:t>
      </w:r>
      <w:r>
        <w:rPr/>
        <w:t>in</w:t>
      </w:r>
      <w:r>
        <w:rPr>
          <w:spacing w:val="30"/>
        </w:rPr>
        <w:t> </w:t>
      </w:r>
      <w:r>
        <w:rPr/>
        <w:t>the</w:t>
      </w:r>
      <w:r>
        <w:rPr>
          <w:spacing w:val="29"/>
        </w:rPr>
        <w:t> </w:t>
      </w:r>
      <w:r>
        <w:rPr/>
        <w:t>year</w:t>
      </w:r>
      <w:r>
        <w:rPr>
          <w:spacing w:val="26"/>
        </w:rPr>
        <w:t> </w:t>
      </w:r>
      <w:r>
        <w:rPr/>
        <w:t>2009</w:t>
      </w:r>
      <w:r>
        <w:rPr>
          <w:spacing w:val="29"/>
        </w:rPr>
        <w:t> </w:t>
      </w:r>
      <w:r>
        <w:rPr/>
        <w:t>when</w:t>
      </w:r>
      <w:r>
        <w:rPr>
          <w:spacing w:val="27"/>
        </w:rPr>
        <w:t> </w:t>
      </w:r>
      <w:r>
        <w:rPr/>
        <w:t>the</w:t>
      </w:r>
      <w:r>
        <w:rPr>
          <w:spacing w:val="29"/>
        </w:rPr>
        <w:t> </w:t>
      </w:r>
      <w:r>
        <w:rPr/>
        <w:t>market</w:t>
      </w:r>
      <w:r>
        <w:rPr>
          <w:spacing w:val="28"/>
        </w:rPr>
        <w:t> </w:t>
      </w:r>
      <w:r>
        <w:rPr/>
        <w:t>reached</w:t>
      </w:r>
      <w:r>
        <w:rPr>
          <w:spacing w:val="27"/>
        </w:rPr>
        <w:t> </w:t>
      </w:r>
      <w:r>
        <w:rPr/>
        <w:t>its</w:t>
      </w:r>
      <w:r>
        <w:rPr>
          <w:spacing w:val="27"/>
        </w:rPr>
        <w:t> </w:t>
      </w:r>
      <w:r>
        <w:rPr/>
        <w:t>peak,</w:t>
      </w:r>
      <w:r>
        <w:rPr>
          <w:spacing w:val="29"/>
        </w:rPr>
        <w:t> </w:t>
      </w:r>
      <w:r>
        <w:rPr/>
        <w:t>but</w:t>
      </w:r>
      <w:r>
        <w:rPr>
          <w:spacing w:val="28"/>
        </w:rPr>
        <w:t> </w:t>
      </w:r>
      <w:r>
        <w:rPr/>
        <w:t>in</w:t>
      </w:r>
      <w:r>
        <w:rPr>
          <w:spacing w:val="28"/>
        </w:rPr>
        <w:t> </w:t>
      </w:r>
      <w:r>
        <w:rPr>
          <w:spacing w:val="-4"/>
        </w:rPr>
        <w:t>2010</w:t>
      </w:r>
    </w:p>
    <w:p>
      <w:pPr>
        <w:spacing w:after="0" w:line="480" w:lineRule="auto"/>
        <w:sectPr>
          <w:pgSz w:w="11910" w:h="16840"/>
          <w:pgMar w:header="0" w:footer="1022" w:top="1320" w:bottom="1220" w:left="1680" w:right="900"/>
        </w:sectPr>
      </w:pPr>
    </w:p>
    <w:p>
      <w:pPr>
        <w:pStyle w:val="BodyText"/>
        <w:spacing w:line="480" w:lineRule="auto" w:before="72"/>
        <w:ind w:left="305" w:right="514"/>
      </w:pPr>
      <w:r>
        <w:rPr/>
        <w:t>recession came in, and lasted till 2011. They conclude that several macro-control governmental</w:t>
      </w:r>
      <w:r>
        <w:rPr>
          <w:spacing w:val="-8"/>
        </w:rPr>
        <w:t> </w:t>
      </w:r>
      <w:r>
        <w:rPr/>
        <w:t>policies</w:t>
      </w:r>
      <w:r>
        <w:rPr>
          <w:spacing w:val="-10"/>
        </w:rPr>
        <w:t> </w:t>
      </w:r>
      <w:r>
        <w:rPr/>
        <w:t>since</w:t>
      </w:r>
      <w:r>
        <w:rPr>
          <w:spacing w:val="-10"/>
        </w:rPr>
        <w:t> </w:t>
      </w:r>
      <w:r>
        <w:rPr/>
        <w:t>2008</w:t>
      </w:r>
      <w:r>
        <w:rPr>
          <w:spacing w:val="-9"/>
        </w:rPr>
        <w:t> </w:t>
      </w:r>
      <w:r>
        <w:rPr/>
        <w:t>have</w:t>
      </w:r>
      <w:r>
        <w:rPr>
          <w:spacing w:val="-7"/>
        </w:rPr>
        <w:t> </w:t>
      </w:r>
      <w:r>
        <w:rPr/>
        <w:t>great</w:t>
      </w:r>
      <w:r>
        <w:rPr>
          <w:spacing w:val="-9"/>
        </w:rPr>
        <w:t> </w:t>
      </w:r>
      <w:r>
        <w:rPr/>
        <w:t>influences</w:t>
      </w:r>
      <w:r>
        <w:rPr>
          <w:spacing w:val="-9"/>
        </w:rPr>
        <w:t> </w:t>
      </w:r>
      <w:r>
        <w:rPr/>
        <w:t>on</w:t>
      </w:r>
      <w:r>
        <w:rPr>
          <w:spacing w:val="-8"/>
        </w:rPr>
        <w:t> </w:t>
      </w:r>
      <w:r>
        <w:rPr/>
        <w:t>the</w:t>
      </w:r>
      <w:r>
        <w:rPr>
          <w:spacing w:val="-10"/>
        </w:rPr>
        <w:t> </w:t>
      </w:r>
      <w:r>
        <w:rPr/>
        <w:t>Chinese</w:t>
      </w:r>
      <w:r>
        <w:rPr>
          <w:spacing w:val="-10"/>
        </w:rPr>
        <w:t> </w:t>
      </w:r>
      <w:r>
        <w:rPr/>
        <w:t>real</w:t>
      </w:r>
      <w:r>
        <w:rPr>
          <w:spacing w:val="-9"/>
        </w:rPr>
        <w:t> </w:t>
      </w:r>
      <w:r>
        <w:rPr/>
        <w:t>estate</w:t>
      </w:r>
      <w:r>
        <w:rPr>
          <w:spacing w:val="-10"/>
        </w:rPr>
        <w:t> </w:t>
      </w:r>
      <w:r>
        <w:rPr/>
        <w:t>cycle’s duration and frequency, regulating the real estate business growth speed.</w:t>
      </w:r>
    </w:p>
    <w:p>
      <w:pPr>
        <w:pStyle w:val="BodyText"/>
        <w:spacing w:line="480" w:lineRule="auto" w:before="240"/>
        <w:ind w:left="305" w:right="510"/>
      </w:pPr>
      <w:r>
        <w:rPr/>
        <w:t>Del Giudice </w:t>
      </w:r>
      <w:r>
        <w:rPr>
          <w:i/>
        </w:rPr>
        <w:t>et al</w:t>
      </w:r>
      <w:r>
        <w:rPr/>
        <w:t>. (2017) argued that Neural Networks</w:t>
      </w:r>
      <w:r>
        <w:rPr>
          <w:spacing w:val="-1"/>
        </w:rPr>
        <w:t> </w:t>
      </w:r>
      <w:r>
        <w:rPr/>
        <w:t>(NNs) have</w:t>
      </w:r>
      <w:r>
        <w:rPr>
          <w:spacing w:val="-1"/>
        </w:rPr>
        <w:t> </w:t>
      </w:r>
      <w:r>
        <w:rPr/>
        <w:t>been widely</w:t>
      </w:r>
      <w:r>
        <w:rPr>
          <w:spacing w:val="-3"/>
        </w:rPr>
        <w:t> </w:t>
      </w:r>
      <w:r>
        <w:rPr/>
        <w:t>adopted due</w:t>
      </w:r>
      <w:r>
        <w:rPr>
          <w:spacing w:val="-4"/>
        </w:rPr>
        <w:t> </w:t>
      </w:r>
      <w:r>
        <w:rPr/>
        <w:t>successes</w:t>
      </w:r>
      <w:r>
        <w:rPr>
          <w:spacing w:val="-3"/>
        </w:rPr>
        <w:t> </w:t>
      </w:r>
      <w:r>
        <w:rPr/>
        <w:t>recorded</w:t>
      </w:r>
      <w:r>
        <w:rPr>
          <w:spacing w:val="-3"/>
        </w:rPr>
        <w:t> </w:t>
      </w:r>
      <w:r>
        <w:rPr/>
        <w:t>by</w:t>
      </w:r>
      <w:r>
        <w:rPr>
          <w:spacing w:val="-6"/>
        </w:rPr>
        <w:t> </w:t>
      </w:r>
      <w:r>
        <w:rPr/>
        <w:t>studies</w:t>
      </w:r>
      <w:r>
        <w:rPr>
          <w:spacing w:val="-3"/>
        </w:rPr>
        <w:t> </w:t>
      </w:r>
      <w:r>
        <w:rPr/>
        <w:t>from</w:t>
      </w:r>
      <w:r>
        <w:rPr>
          <w:spacing w:val="-3"/>
        </w:rPr>
        <w:t> </w:t>
      </w:r>
      <w:r>
        <w:rPr/>
        <w:t>various</w:t>
      </w:r>
      <w:r>
        <w:rPr>
          <w:spacing w:val="-3"/>
        </w:rPr>
        <w:t> </w:t>
      </w:r>
      <w:r>
        <w:rPr/>
        <w:t>fields</w:t>
      </w:r>
      <w:r>
        <w:rPr>
          <w:spacing w:val="-3"/>
        </w:rPr>
        <w:t> </w:t>
      </w:r>
      <w:r>
        <w:rPr/>
        <w:t>of</w:t>
      </w:r>
      <w:r>
        <w:rPr>
          <w:spacing w:val="-3"/>
        </w:rPr>
        <w:t> </w:t>
      </w:r>
      <w:r>
        <w:rPr/>
        <w:t>research. According</w:t>
      </w:r>
      <w:r>
        <w:rPr>
          <w:spacing w:val="-6"/>
        </w:rPr>
        <w:t> </w:t>
      </w:r>
      <w:r>
        <w:rPr/>
        <w:t>the</w:t>
      </w:r>
      <w:r>
        <w:rPr>
          <w:spacing w:val="-3"/>
        </w:rPr>
        <w:t> </w:t>
      </w:r>
      <w:r>
        <w:rPr/>
        <w:t>authors NNs models are extremely expressive where approximations from input/output of complex functions can be learn, with a specific ability in training huge data sets with stochastic</w:t>
      </w:r>
      <w:r>
        <w:rPr>
          <w:spacing w:val="-9"/>
        </w:rPr>
        <w:t> </w:t>
      </w:r>
      <w:r>
        <w:rPr/>
        <w:t>optimization.</w:t>
      </w:r>
      <w:r>
        <w:rPr>
          <w:spacing w:val="-8"/>
        </w:rPr>
        <w:t> </w:t>
      </w:r>
      <w:r>
        <w:rPr/>
        <w:t>They</w:t>
      </w:r>
      <w:r>
        <w:rPr>
          <w:spacing w:val="-11"/>
        </w:rPr>
        <w:t> </w:t>
      </w:r>
      <w:r>
        <w:rPr/>
        <w:t>also</w:t>
      </w:r>
      <w:r>
        <w:rPr>
          <w:spacing w:val="-8"/>
        </w:rPr>
        <w:t> </w:t>
      </w:r>
      <w:r>
        <w:rPr/>
        <w:t>argued</w:t>
      </w:r>
      <w:r>
        <w:rPr>
          <w:spacing w:val="-8"/>
        </w:rPr>
        <w:t> </w:t>
      </w:r>
      <w:r>
        <w:rPr/>
        <w:t>that</w:t>
      </w:r>
      <w:r>
        <w:rPr>
          <w:spacing w:val="-8"/>
        </w:rPr>
        <w:t> </w:t>
      </w:r>
      <w:r>
        <w:rPr/>
        <w:t>potential</w:t>
      </w:r>
      <w:r>
        <w:rPr>
          <w:spacing w:val="-6"/>
        </w:rPr>
        <w:t> </w:t>
      </w:r>
      <w:r>
        <w:rPr/>
        <w:t>stochastic</w:t>
      </w:r>
      <w:r>
        <w:rPr>
          <w:spacing w:val="-9"/>
        </w:rPr>
        <w:t> </w:t>
      </w:r>
      <w:r>
        <w:rPr/>
        <w:t>optimization</w:t>
      </w:r>
      <w:r>
        <w:rPr>
          <w:spacing w:val="-6"/>
        </w:rPr>
        <w:t> </w:t>
      </w:r>
      <w:r>
        <w:rPr/>
        <w:t>problems can</w:t>
      </w:r>
      <w:r>
        <w:rPr>
          <w:spacing w:val="-14"/>
        </w:rPr>
        <w:t> </w:t>
      </w:r>
      <w:r>
        <w:rPr/>
        <w:t>be</w:t>
      </w:r>
      <w:r>
        <w:rPr>
          <w:spacing w:val="-11"/>
        </w:rPr>
        <w:t> </w:t>
      </w:r>
      <w:r>
        <w:rPr/>
        <w:t>avoided</w:t>
      </w:r>
      <w:r>
        <w:rPr>
          <w:spacing w:val="-13"/>
        </w:rPr>
        <w:t> </w:t>
      </w:r>
      <w:r>
        <w:rPr/>
        <w:t>by</w:t>
      </w:r>
      <w:r>
        <w:rPr>
          <w:spacing w:val="-15"/>
        </w:rPr>
        <w:t> </w:t>
      </w:r>
      <w:r>
        <w:rPr/>
        <w:t>the</w:t>
      </w:r>
      <w:r>
        <w:rPr>
          <w:spacing w:val="-9"/>
        </w:rPr>
        <w:t> </w:t>
      </w:r>
      <w:r>
        <w:rPr/>
        <w:t>Bayesian</w:t>
      </w:r>
      <w:r>
        <w:rPr>
          <w:spacing w:val="-10"/>
        </w:rPr>
        <w:t> </w:t>
      </w:r>
      <w:r>
        <w:rPr/>
        <w:t>approach</w:t>
      </w:r>
      <w:r>
        <w:rPr>
          <w:spacing w:val="-12"/>
        </w:rPr>
        <w:t> </w:t>
      </w:r>
      <w:r>
        <w:rPr/>
        <w:t>to</w:t>
      </w:r>
      <w:r>
        <w:rPr>
          <w:spacing w:val="-12"/>
        </w:rPr>
        <w:t> </w:t>
      </w:r>
      <w:r>
        <w:rPr/>
        <w:t>NNs</w:t>
      </w:r>
      <w:r>
        <w:rPr>
          <w:spacing w:val="-10"/>
        </w:rPr>
        <w:t> </w:t>
      </w:r>
      <w:r>
        <w:rPr/>
        <w:t>and</w:t>
      </w:r>
      <w:r>
        <w:rPr>
          <w:spacing w:val="-12"/>
        </w:rPr>
        <w:t> </w:t>
      </w:r>
      <w:r>
        <w:rPr/>
        <w:t>the</w:t>
      </w:r>
      <w:r>
        <w:rPr>
          <w:spacing w:val="-12"/>
        </w:rPr>
        <w:t> </w:t>
      </w:r>
      <w:r>
        <w:rPr/>
        <w:t>problem</w:t>
      </w:r>
      <w:r>
        <w:rPr>
          <w:spacing w:val="-12"/>
        </w:rPr>
        <w:t> </w:t>
      </w:r>
      <w:r>
        <w:rPr/>
        <w:t>of</w:t>
      </w:r>
      <w:r>
        <w:rPr>
          <w:spacing w:val="-10"/>
        </w:rPr>
        <w:t> </w:t>
      </w:r>
      <w:r>
        <w:rPr/>
        <w:t>real</w:t>
      </w:r>
      <w:r>
        <w:rPr>
          <w:spacing w:val="-9"/>
        </w:rPr>
        <w:t> </w:t>
      </w:r>
      <w:r>
        <w:rPr/>
        <w:t>estate</w:t>
      </w:r>
      <w:r>
        <w:rPr>
          <w:spacing w:val="-13"/>
        </w:rPr>
        <w:t> </w:t>
      </w:r>
      <w:r>
        <w:rPr/>
        <w:t>appraisals is best suited by the use of Bayesian learning, and also that, inference techniques of the Bayesian approach are very exciting in dealing with noisy and small sample in the probabilistic inference field conducted using neural model. As such, they conducted experiment on a NNs model using Bayesian learning. They calculated the output distribution by numerical integration operation on the weights space with the help of Markov Chain Hybrid Monte Carlo Method which they concluded to be the best for housing market analysis.</w:t>
      </w:r>
    </w:p>
    <w:p>
      <w:pPr>
        <w:pStyle w:val="BodyText"/>
        <w:spacing w:line="480" w:lineRule="auto" w:before="242"/>
        <w:ind w:left="305" w:right="512"/>
      </w:pPr>
      <w:r>
        <w:rPr/>
        <w:t>However,</w:t>
      </w:r>
      <w:r>
        <w:rPr>
          <w:spacing w:val="-9"/>
        </w:rPr>
        <w:t> </w:t>
      </w:r>
      <w:r>
        <w:rPr/>
        <w:t>Kauko</w:t>
      </w:r>
      <w:r>
        <w:rPr>
          <w:spacing w:val="-5"/>
        </w:rPr>
        <w:t> </w:t>
      </w:r>
      <w:r>
        <w:rPr/>
        <w:t>(2003)</w:t>
      </w:r>
      <w:r>
        <w:rPr>
          <w:spacing w:val="-7"/>
        </w:rPr>
        <w:t> </w:t>
      </w:r>
      <w:r>
        <w:rPr/>
        <w:t>adopted</w:t>
      </w:r>
      <w:r>
        <w:rPr>
          <w:spacing w:val="-9"/>
        </w:rPr>
        <w:t> </w:t>
      </w:r>
      <w:r>
        <w:rPr/>
        <w:t>spatial</w:t>
      </w:r>
      <w:r>
        <w:rPr>
          <w:spacing w:val="-8"/>
        </w:rPr>
        <w:t> </w:t>
      </w:r>
      <w:r>
        <w:rPr/>
        <w:t>approach</w:t>
      </w:r>
      <w:r>
        <w:rPr>
          <w:spacing w:val="-6"/>
        </w:rPr>
        <w:t> </w:t>
      </w:r>
      <w:r>
        <w:rPr/>
        <w:t>to</w:t>
      </w:r>
      <w:r>
        <w:rPr>
          <w:spacing w:val="-8"/>
        </w:rPr>
        <w:t> </w:t>
      </w:r>
      <w:r>
        <w:rPr/>
        <w:t>neural</w:t>
      </w:r>
      <w:r>
        <w:rPr>
          <w:spacing w:val="-8"/>
        </w:rPr>
        <w:t> </w:t>
      </w:r>
      <w:r>
        <w:rPr/>
        <w:t>network</w:t>
      </w:r>
      <w:r>
        <w:rPr>
          <w:spacing w:val="-9"/>
        </w:rPr>
        <w:t> </w:t>
      </w:r>
      <w:r>
        <w:rPr/>
        <w:t>analysis.</w:t>
      </w:r>
      <w:r>
        <w:rPr>
          <w:spacing w:val="-5"/>
        </w:rPr>
        <w:t> </w:t>
      </w:r>
      <w:r>
        <w:rPr/>
        <w:t>He</w:t>
      </w:r>
      <w:r>
        <w:rPr>
          <w:spacing w:val="-10"/>
        </w:rPr>
        <w:t> </w:t>
      </w:r>
      <w:r>
        <w:rPr/>
        <w:t>worked on</w:t>
      </w:r>
      <w:r>
        <w:rPr>
          <w:spacing w:val="-10"/>
        </w:rPr>
        <w:t> </w:t>
      </w:r>
      <w:r>
        <w:rPr/>
        <w:t>current</w:t>
      </w:r>
      <w:r>
        <w:rPr>
          <w:spacing w:val="-9"/>
        </w:rPr>
        <w:t> </w:t>
      </w:r>
      <w:r>
        <w:rPr/>
        <w:t>neural</w:t>
      </w:r>
      <w:r>
        <w:rPr>
          <w:spacing w:val="-9"/>
        </w:rPr>
        <w:t> </w:t>
      </w:r>
      <w:r>
        <w:rPr/>
        <w:t>network</w:t>
      </w:r>
      <w:r>
        <w:rPr>
          <w:spacing w:val="-10"/>
        </w:rPr>
        <w:t> </w:t>
      </w:r>
      <w:r>
        <w:rPr/>
        <w:t>applications</w:t>
      </w:r>
      <w:r>
        <w:rPr>
          <w:spacing w:val="-9"/>
        </w:rPr>
        <w:t> </w:t>
      </w:r>
      <w:r>
        <w:rPr/>
        <w:t>involving</w:t>
      </w:r>
      <w:r>
        <w:rPr>
          <w:spacing w:val="-12"/>
        </w:rPr>
        <w:t> </w:t>
      </w:r>
      <w:r>
        <w:rPr/>
        <w:t>spatial</w:t>
      </w:r>
      <w:r>
        <w:rPr>
          <w:spacing w:val="-9"/>
        </w:rPr>
        <w:t> </w:t>
      </w:r>
      <w:r>
        <w:rPr/>
        <w:t>modelling</w:t>
      </w:r>
      <w:r>
        <w:rPr>
          <w:spacing w:val="-10"/>
        </w:rPr>
        <w:t> </w:t>
      </w:r>
      <w:r>
        <w:rPr/>
        <w:t>of</w:t>
      </w:r>
      <w:r>
        <w:rPr>
          <w:spacing w:val="-10"/>
        </w:rPr>
        <w:t> </w:t>
      </w:r>
      <w:r>
        <w:rPr/>
        <w:t>property</w:t>
      </w:r>
      <w:r>
        <w:rPr>
          <w:spacing w:val="-12"/>
        </w:rPr>
        <w:t> </w:t>
      </w:r>
      <w:r>
        <w:rPr/>
        <w:t>prices.</w:t>
      </w:r>
      <w:r>
        <w:rPr>
          <w:spacing w:val="-2"/>
        </w:rPr>
        <w:t> </w:t>
      </w:r>
      <w:r>
        <w:rPr/>
        <w:t>He evaluate the pros and cons of neural network models of property valuation (particularly the ‘self-organizing map’, SOM) in comparison with hedonic models, and to provide some examples of the application of the SOM method. His particular interest is how different locational, environmental, and social factors impact housing market segments and house price levels. He argued that these objectives are conveniently handled with a method based on the SOM.</w:t>
      </w:r>
    </w:p>
    <w:p>
      <w:pPr>
        <w:spacing w:after="0" w:line="480" w:lineRule="auto"/>
        <w:sectPr>
          <w:pgSz w:w="11910" w:h="16840"/>
          <w:pgMar w:header="0" w:footer="1022" w:top="1320" w:bottom="1220" w:left="1680" w:right="900"/>
        </w:sectPr>
      </w:pPr>
    </w:p>
    <w:p>
      <w:pPr>
        <w:pStyle w:val="Heading1"/>
        <w:numPr>
          <w:ilvl w:val="1"/>
          <w:numId w:val="5"/>
        </w:numPr>
        <w:tabs>
          <w:tab w:pos="1024" w:val="left" w:leader="none"/>
        </w:tabs>
        <w:spacing w:line="240" w:lineRule="auto" w:before="79" w:after="0"/>
        <w:ind w:left="1024" w:right="0" w:hanging="719"/>
        <w:jc w:val="both"/>
      </w:pPr>
      <w:r>
        <w:rPr/>
        <w:t>Housing</w:t>
      </w:r>
      <w:r>
        <w:rPr>
          <w:spacing w:val="-1"/>
        </w:rPr>
        <w:t> </w:t>
      </w:r>
      <w:r>
        <w:rPr>
          <w:spacing w:val="-2"/>
        </w:rPr>
        <w:t>Submarket</w:t>
      </w:r>
    </w:p>
    <w:p>
      <w:pPr>
        <w:pStyle w:val="BodyText"/>
        <w:spacing w:before="233"/>
        <w:jc w:val="left"/>
        <w:rPr>
          <w:b/>
        </w:rPr>
      </w:pPr>
    </w:p>
    <w:p>
      <w:pPr>
        <w:pStyle w:val="BodyText"/>
        <w:spacing w:line="480" w:lineRule="auto"/>
        <w:ind w:left="305" w:right="515"/>
      </w:pPr>
      <w:r>
        <w:rPr/>
        <w:t>Housing</w:t>
      </w:r>
      <w:r>
        <w:rPr>
          <w:spacing w:val="-7"/>
        </w:rPr>
        <w:t> </w:t>
      </w:r>
      <w:r>
        <w:rPr/>
        <w:t>submarkets</w:t>
      </w:r>
      <w:r>
        <w:rPr>
          <w:spacing w:val="-4"/>
        </w:rPr>
        <w:t> </w:t>
      </w:r>
      <w:r>
        <w:rPr/>
        <w:t>are</w:t>
      </w:r>
      <w:r>
        <w:rPr>
          <w:spacing w:val="-7"/>
        </w:rPr>
        <w:t> </w:t>
      </w:r>
      <w:r>
        <w:rPr/>
        <w:t>typically</w:t>
      </w:r>
      <w:r>
        <w:rPr>
          <w:spacing w:val="-10"/>
        </w:rPr>
        <w:t> </w:t>
      </w:r>
      <w:r>
        <w:rPr/>
        <w:t>defined</w:t>
      </w:r>
      <w:r>
        <w:rPr>
          <w:spacing w:val="-5"/>
        </w:rPr>
        <w:t> </w:t>
      </w:r>
      <w:r>
        <w:rPr/>
        <w:t>as</w:t>
      </w:r>
      <w:r>
        <w:rPr>
          <w:spacing w:val="-2"/>
        </w:rPr>
        <w:t> </w:t>
      </w:r>
      <w:r>
        <w:rPr/>
        <w:t>geographic</w:t>
      </w:r>
      <w:r>
        <w:rPr>
          <w:spacing w:val="-5"/>
        </w:rPr>
        <w:t> </w:t>
      </w:r>
      <w:r>
        <w:rPr/>
        <w:t>areas</w:t>
      </w:r>
      <w:r>
        <w:rPr>
          <w:spacing w:val="-5"/>
        </w:rPr>
        <w:t> </w:t>
      </w:r>
      <w:r>
        <w:rPr/>
        <w:t>where</w:t>
      </w:r>
      <w:r>
        <w:rPr>
          <w:spacing w:val="-7"/>
        </w:rPr>
        <w:t> </w:t>
      </w:r>
      <w:r>
        <w:rPr/>
        <w:t>the</w:t>
      </w:r>
      <w:r>
        <w:rPr>
          <w:spacing w:val="-5"/>
        </w:rPr>
        <w:t> </w:t>
      </w:r>
      <w:r>
        <w:rPr/>
        <w:t>price</w:t>
      </w:r>
      <w:r>
        <w:rPr>
          <w:spacing w:val="-6"/>
        </w:rPr>
        <w:t> </w:t>
      </w:r>
      <w:r>
        <w:rPr/>
        <w:t>per</w:t>
      </w:r>
      <w:r>
        <w:rPr>
          <w:spacing w:val="-6"/>
        </w:rPr>
        <w:t> </w:t>
      </w:r>
      <w:r>
        <w:rPr/>
        <w:t>unit</w:t>
      </w:r>
      <w:r>
        <w:rPr>
          <w:spacing w:val="-4"/>
        </w:rPr>
        <w:t> </w:t>
      </w:r>
      <w:r>
        <w:rPr/>
        <w:t>of housing quantity (defined using some index of housing characteristics) is constant (Goodman</w:t>
      </w:r>
      <w:r>
        <w:rPr>
          <w:spacing w:val="-11"/>
        </w:rPr>
        <w:t> </w:t>
      </w:r>
      <w:r>
        <w:rPr/>
        <w:t>&amp;</w:t>
      </w:r>
      <w:r>
        <w:rPr>
          <w:spacing w:val="-10"/>
        </w:rPr>
        <w:t> </w:t>
      </w:r>
      <w:r>
        <w:rPr/>
        <w:t>Thibodeau,</w:t>
      </w:r>
      <w:r>
        <w:rPr>
          <w:spacing w:val="-9"/>
        </w:rPr>
        <w:t> </w:t>
      </w:r>
      <w:r>
        <w:rPr/>
        <w:t>1998).</w:t>
      </w:r>
      <w:r>
        <w:rPr>
          <w:spacing w:val="-11"/>
        </w:rPr>
        <w:t> </w:t>
      </w:r>
      <w:r>
        <w:rPr/>
        <w:t>Although</w:t>
      </w:r>
      <w:r>
        <w:rPr>
          <w:spacing w:val="-11"/>
        </w:rPr>
        <w:t> </w:t>
      </w:r>
      <w:r>
        <w:rPr/>
        <w:t>as</w:t>
      </w:r>
      <w:r>
        <w:rPr>
          <w:spacing w:val="-8"/>
        </w:rPr>
        <w:t> </w:t>
      </w:r>
      <w:r>
        <w:rPr/>
        <w:t>an</w:t>
      </w:r>
      <w:r>
        <w:rPr>
          <w:spacing w:val="-11"/>
        </w:rPr>
        <w:t> </w:t>
      </w:r>
      <w:r>
        <w:rPr/>
        <w:t>urban</w:t>
      </w:r>
      <w:r>
        <w:rPr>
          <w:spacing w:val="-11"/>
        </w:rPr>
        <w:t> </w:t>
      </w:r>
      <w:r>
        <w:rPr/>
        <w:t>economic,</w:t>
      </w:r>
      <w:r>
        <w:rPr>
          <w:spacing w:val="-11"/>
        </w:rPr>
        <w:t> </w:t>
      </w:r>
      <w:r>
        <w:rPr/>
        <w:t>land</w:t>
      </w:r>
      <w:r>
        <w:rPr>
          <w:spacing w:val="-11"/>
        </w:rPr>
        <w:t> </w:t>
      </w:r>
      <w:r>
        <w:rPr/>
        <w:t>use</w:t>
      </w:r>
      <w:r>
        <w:rPr>
          <w:spacing w:val="-12"/>
        </w:rPr>
        <w:t> </w:t>
      </w:r>
      <w:r>
        <w:rPr/>
        <w:t>and</w:t>
      </w:r>
      <w:r>
        <w:rPr>
          <w:spacing w:val="-11"/>
        </w:rPr>
        <w:t> </w:t>
      </w:r>
      <w:r>
        <w:rPr/>
        <w:t>residential location model – the residential location theory</w:t>
      </w:r>
      <w:r>
        <w:rPr>
          <w:spacing w:val="-1"/>
        </w:rPr>
        <w:t> </w:t>
      </w:r>
      <w:r>
        <w:rPr/>
        <w:t>(Alonso, Muth, Mills) is also applicable to housing</w:t>
      </w:r>
      <w:r>
        <w:rPr>
          <w:spacing w:val="-1"/>
        </w:rPr>
        <w:t> </w:t>
      </w:r>
      <w:r>
        <w:rPr/>
        <w:t>market segmentation. Even without certain factors, segmentation of</w:t>
      </w:r>
      <w:r>
        <w:rPr>
          <w:spacing w:val="-1"/>
        </w:rPr>
        <w:t> </w:t>
      </w:r>
      <w:r>
        <w:rPr/>
        <w:t>an urban area</w:t>
      </w:r>
      <w:r>
        <w:rPr>
          <w:spacing w:val="-8"/>
        </w:rPr>
        <w:t> </w:t>
      </w:r>
      <w:r>
        <w:rPr/>
        <w:t>can</w:t>
      </w:r>
      <w:r>
        <w:rPr>
          <w:spacing w:val="-10"/>
        </w:rPr>
        <w:t> </w:t>
      </w:r>
      <w:r>
        <w:rPr/>
        <w:t>still</w:t>
      </w:r>
      <w:r>
        <w:rPr>
          <w:spacing w:val="-9"/>
        </w:rPr>
        <w:t> </w:t>
      </w:r>
      <w:r>
        <w:rPr/>
        <w:t>be</w:t>
      </w:r>
      <w:r>
        <w:rPr>
          <w:spacing w:val="-8"/>
        </w:rPr>
        <w:t> </w:t>
      </w:r>
      <w:r>
        <w:rPr/>
        <w:t>carried</w:t>
      </w:r>
      <w:r>
        <w:rPr>
          <w:spacing w:val="-10"/>
        </w:rPr>
        <w:t> </w:t>
      </w:r>
      <w:r>
        <w:rPr/>
        <w:t>out,</w:t>
      </w:r>
      <w:r>
        <w:rPr>
          <w:spacing w:val="-9"/>
        </w:rPr>
        <w:t> </w:t>
      </w:r>
      <w:r>
        <w:rPr/>
        <w:t>if</w:t>
      </w:r>
      <w:r>
        <w:rPr>
          <w:spacing w:val="-10"/>
        </w:rPr>
        <w:t> </w:t>
      </w:r>
      <w:r>
        <w:rPr/>
        <w:t>there</w:t>
      </w:r>
      <w:r>
        <w:rPr>
          <w:spacing w:val="-11"/>
        </w:rPr>
        <w:t> </w:t>
      </w:r>
      <w:r>
        <w:rPr/>
        <w:t>is</w:t>
      </w:r>
      <w:r>
        <w:rPr>
          <w:spacing w:val="-9"/>
        </w:rPr>
        <w:t> </w:t>
      </w:r>
      <w:r>
        <w:rPr/>
        <w:t>disparity</w:t>
      </w:r>
      <w:r>
        <w:rPr>
          <w:spacing w:val="-14"/>
        </w:rPr>
        <w:t> </w:t>
      </w:r>
      <w:r>
        <w:rPr/>
        <w:t>in</w:t>
      </w:r>
      <w:r>
        <w:rPr>
          <w:spacing w:val="-5"/>
        </w:rPr>
        <w:t> </w:t>
      </w:r>
      <w:r>
        <w:rPr/>
        <w:t>households’</w:t>
      </w:r>
      <w:r>
        <w:rPr>
          <w:spacing w:val="-10"/>
        </w:rPr>
        <w:t> </w:t>
      </w:r>
      <w:r>
        <w:rPr/>
        <w:t>preferences</w:t>
      </w:r>
      <w:r>
        <w:rPr>
          <w:spacing w:val="-7"/>
        </w:rPr>
        <w:t> </w:t>
      </w:r>
      <w:r>
        <w:rPr/>
        <w:t>and/or</w:t>
      </w:r>
      <w:r>
        <w:rPr>
          <w:spacing w:val="-10"/>
        </w:rPr>
        <w:t> </w:t>
      </w:r>
      <w:r>
        <w:rPr/>
        <w:t>income with respect to accessibility and space (Kauko </w:t>
      </w:r>
      <w:r>
        <w:rPr>
          <w:i/>
        </w:rPr>
        <w:t>et al</w:t>
      </w:r>
      <w:r>
        <w:rPr/>
        <w:t>., 2002).</w:t>
      </w:r>
    </w:p>
    <w:p>
      <w:pPr>
        <w:pStyle w:val="BodyText"/>
        <w:spacing w:line="480" w:lineRule="auto" w:before="241"/>
        <w:ind w:left="305" w:right="517"/>
      </w:pPr>
      <w:r>
        <w:rPr/>
        <w:t>Although, there is agreement by several researchers on using locational and structure features</w:t>
      </w:r>
      <w:r>
        <w:rPr>
          <w:spacing w:val="-3"/>
        </w:rPr>
        <w:t> </w:t>
      </w:r>
      <w:r>
        <w:rPr/>
        <w:t>to</w:t>
      </w:r>
      <w:r>
        <w:rPr>
          <w:spacing w:val="-3"/>
        </w:rPr>
        <w:t> </w:t>
      </w:r>
      <w:r>
        <w:rPr/>
        <w:t>define</w:t>
      </w:r>
      <w:r>
        <w:rPr>
          <w:spacing w:val="-3"/>
        </w:rPr>
        <w:t> </w:t>
      </w:r>
      <w:r>
        <w:rPr/>
        <w:t>a</w:t>
      </w:r>
      <w:r>
        <w:rPr>
          <w:spacing w:val="-4"/>
        </w:rPr>
        <w:t> </w:t>
      </w:r>
      <w:r>
        <w:rPr/>
        <w:t>submarket,</w:t>
      </w:r>
      <w:r>
        <w:rPr>
          <w:spacing w:val="-3"/>
        </w:rPr>
        <w:t> </w:t>
      </w:r>
      <w:r>
        <w:rPr/>
        <w:t>identifying</w:t>
      </w:r>
      <w:r>
        <w:rPr>
          <w:spacing w:val="-6"/>
        </w:rPr>
        <w:t> </w:t>
      </w:r>
      <w:r>
        <w:rPr/>
        <w:t>a</w:t>
      </w:r>
      <w:r>
        <w:rPr>
          <w:spacing w:val="-4"/>
        </w:rPr>
        <w:t> </w:t>
      </w:r>
      <w:r>
        <w:rPr/>
        <w:t>submarket</w:t>
      </w:r>
      <w:r>
        <w:rPr>
          <w:spacing w:val="-3"/>
        </w:rPr>
        <w:t> </w:t>
      </w:r>
      <w:r>
        <w:rPr/>
        <w:t>and</w:t>
      </w:r>
      <w:r>
        <w:rPr>
          <w:spacing w:val="-2"/>
        </w:rPr>
        <w:t> </w:t>
      </w:r>
      <w:r>
        <w:rPr/>
        <w:t>approach</w:t>
      </w:r>
      <w:r>
        <w:rPr>
          <w:spacing w:val="-3"/>
        </w:rPr>
        <w:t> </w:t>
      </w:r>
      <w:r>
        <w:rPr/>
        <w:t>to</w:t>
      </w:r>
      <w:r>
        <w:rPr>
          <w:spacing w:val="-3"/>
        </w:rPr>
        <w:t> </w:t>
      </w:r>
      <w:r>
        <w:rPr/>
        <w:t>be</w:t>
      </w:r>
      <w:r>
        <w:rPr>
          <w:spacing w:val="-2"/>
        </w:rPr>
        <w:t> </w:t>
      </w:r>
      <w:r>
        <w:rPr/>
        <w:t>adopted</w:t>
      </w:r>
      <w:r>
        <w:rPr>
          <w:spacing w:val="-3"/>
        </w:rPr>
        <w:t> </w:t>
      </w:r>
      <w:r>
        <w:rPr/>
        <w:t>have little consensus (Xiao, 2012). Usually, spatial and non-spatial specifications for housing submarket are the main two methods (Islam &amp; Asami, 2009; Xiao, 2017b).</w:t>
      </w:r>
    </w:p>
    <w:p>
      <w:pPr>
        <w:pStyle w:val="Heading1"/>
        <w:numPr>
          <w:ilvl w:val="2"/>
          <w:numId w:val="5"/>
        </w:numPr>
        <w:tabs>
          <w:tab w:pos="1024" w:val="left" w:leader="none"/>
        </w:tabs>
        <w:spacing w:line="240" w:lineRule="auto" w:before="248" w:after="0"/>
        <w:ind w:left="1024" w:right="0" w:hanging="719"/>
        <w:jc w:val="both"/>
      </w:pPr>
      <w:r>
        <w:rPr/>
        <w:t>Spatial approach to</w:t>
      </w:r>
      <w:r>
        <w:rPr>
          <w:spacing w:val="-2"/>
        </w:rPr>
        <w:t> </w:t>
      </w:r>
      <w:r>
        <w:rPr/>
        <w:t>housing </w:t>
      </w:r>
      <w:r>
        <w:rPr>
          <w:spacing w:val="-2"/>
        </w:rPr>
        <w:t>submarket</w:t>
      </w:r>
    </w:p>
    <w:p>
      <w:pPr>
        <w:pStyle w:val="BodyText"/>
        <w:spacing w:before="192"/>
        <w:jc w:val="left"/>
        <w:rPr>
          <w:b/>
        </w:rPr>
      </w:pPr>
    </w:p>
    <w:p>
      <w:pPr>
        <w:pStyle w:val="BodyText"/>
        <w:spacing w:line="480" w:lineRule="auto"/>
        <w:ind w:left="305" w:right="512"/>
      </w:pPr>
      <w:r>
        <w:rPr/>
        <w:t>Peopele’s housing choice of homogenous preferences based on geographic predefined areas are enphasised by spatial specifications which is the main index (e.g. political districts, north/south, inner/outer city, and postcode districts) (Xiao, 2012).</w:t>
      </w:r>
    </w:p>
    <w:p>
      <w:pPr>
        <w:pStyle w:val="BodyText"/>
        <w:spacing w:line="480" w:lineRule="auto" w:before="240"/>
        <w:ind w:left="305" w:right="514"/>
      </w:pPr>
      <w:r>
        <w:rPr/>
        <w:t>Hitherto,</w:t>
      </w:r>
      <w:r>
        <w:rPr>
          <w:spacing w:val="-3"/>
        </w:rPr>
        <w:t> </w:t>
      </w:r>
      <w:r>
        <w:rPr/>
        <w:t>several</w:t>
      </w:r>
      <w:r>
        <w:rPr>
          <w:spacing w:val="-3"/>
        </w:rPr>
        <w:t> </w:t>
      </w:r>
      <w:r>
        <w:rPr/>
        <w:t>studies</w:t>
      </w:r>
      <w:r>
        <w:rPr>
          <w:spacing w:val="-2"/>
        </w:rPr>
        <w:t> </w:t>
      </w:r>
      <w:r>
        <w:rPr/>
        <w:t>has</w:t>
      </w:r>
      <w:r>
        <w:rPr>
          <w:spacing w:val="-3"/>
        </w:rPr>
        <w:t> </w:t>
      </w:r>
      <w:r>
        <w:rPr/>
        <w:t>formed</w:t>
      </w:r>
      <w:r>
        <w:rPr>
          <w:spacing w:val="-2"/>
        </w:rPr>
        <w:t> </w:t>
      </w:r>
      <w:r>
        <w:rPr/>
        <w:t>housing</w:t>
      </w:r>
      <w:r>
        <w:rPr>
          <w:spacing w:val="-3"/>
        </w:rPr>
        <w:t> </w:t>
      </w:r>
      <w:r>
        <w:rPr/>
        <w:t>segmentation</w:t>
      </w:r>
      <w:r>
        <w:rPr>
          <w:spacing w:val="-3"/>
        </w:rPr>
        <w:t> </w:t>
      </w:r>
      <w:r>
        <w:rPr/>
        <w:t>based</w:t>
      </w:r>
      <w:r>
        <w:rPr>
          <w:spacing w:val="-3"/>
        </w:rPr>
        <w:t> </w:t>
      </w:r>
      <w:r>
        <w:rPr/>
        <w:t>on</w:t>
      </w:r>
      <w:r>
        <w:rPr>
          <w:spacing w:val="-3"/>
        </w:rPr>
        <w:t> </w:t>
      </w:r>
      <w:r>
        <w:rPr/>
        <w:t>spatial</w:t>
      </w:r>
      <w:r>
        <w:rPr>
          <w:spacing w:val="-3"/>
        </w:rPr>
        <w:t> </w:t>
      </w:r>
      <w:r>
        <w:rPr/>
        <w:t>specification For example, McCluskey &amp; Borst (2011) uses utilises Geographically Weighted Regression (GWR), a geostatistical modeling methods to identify and demarcate the housing submarkets. The procedure effectiveness was established by improving the accuracy of the predictive model for housing market segmentation as compared to standard universal unsegmented model for the study areas. Measures of predictive accuracy</w:t>
      </w:r>
      <w:r>
        <w:rPr>
          <w:spacing w:val="25"/>
        </w:rPr>
        <w:t> </w:t>
      </w:r>
      <w:r>
        <w:rPr/>
        <w:t>provides</w:t>
      </w:r>
      <w:r>
        <w:rPr>
          <w:spacing w:val="32"/>
        </w:rPr>
        <w:t> </w:t>
      </w:r>
      <w:r>
        <w:rPr/>
        <w:t>optimal</w:t>
      </w:r>
      <w:r>
        <w:rPr>
          <w:spacing w:val="32"/>
        </w:rPr>
        <w:t> </w:t>
      </w:r>
      <w:r>
        <w:rPr/>
        <w:t>number</w:t>
      </w:r>
      <w:r>
        <w:rPr>
          <w:spacing w:val="31"/>
        </w:rPr>
        <w:t> </w:t>
      </w:r>
      <w:r>
        <w:rPr/>
        <w:t>of</w:t>
      </w:r>
      <w:r>
        <w:rPr>
          <w:spacing w:val="31"/>
        </w:rPr>
        <w:t> </w:t>
      </w:r>
      <w:r>
        <w:rPr/>
        <w:t>segments,</w:t>
      </w:r>
      <w:r>
        <w:rPr>
          <w:spacing w:val="37"/>
        </w:rPr>
        <w:t> </w:t>
      </w:r>
      <w:r>
        <w:rPr/>
        <w:t>the</w:t>
      </w:r>
      <w:r>
        <w:rPr>
          <w:spacing w:val="31"/>
        </w:rPr>
        <w:t> </w:t>
      </w:r>
      <w:r>
        <w:rPr/>
        <w:t>Akaike</w:t>
      </w:r>
      <w:r>
        <w:rPr>
          <w:spacing w:val="31"/>
        </w:rPr>
        <w:t> </w:t>
      </w:r>
      <w:r>
        <w:rPr/>
        <w:t>information</w:t>
      </w:r>
      <w:r>
        <w:rPr>
          <w:spacing w:val="32"/>
        </w:rPr>
        <w:t> </w:t>
      </w:r>
      <w:r>
        <w:rPr/>
        <w:t>criterion</w:t>
      </w:r>
      <w:r>
        <w:rPr>
          <w:spacing w:val="34"/>
        </w:rPr>
        <w:t> </w:t>
      </w:r>
      <w:r>
        <w:rPr>
          <w:spacing w:val="-5"/>
        </w:rPr>
        <w:t>and</w:t>
      </w:r>
    </w:p>
    <w:p>
      <w:pPr>
        <w:spacing w:after="0" w:line="480" w:lineRule="auto"/>
        <w:sectPr>
          <w:pgSz w:w="11910" w:h="16840"/>
          <w:pgMar w:header="0" w:footer="1022" w:top="1320" w:bottom="1220" w:left="1680" w:right="900"/>
        </w:sectPr>
      </w:pPr>
    </w:p>
    <w:p>
      <w:pPr>
        <w:pStyle w:val="BodyText"/>
        <w:spacing w:line="480" w:lineRule="auto" w:before="72"/>
        <w:ind w:left="305" w:right="515"/>
      </w:pPr>
      <w:r>
        <w:rPr/>
        <w:t>spatial autocorrelation in the residual errors. Their results demonstrate that housing submarket segmentation did not require an arbitrary process any more.</w:t>
      </w:r>
    </w:p>
    <w:p>
      <w:pPr>
        <w:pStyle w:val="BodyText"/>
        <w:spacing w:line="480" w:lineRule="auto" w:before="240"/>
        <w:ind w:left="305" w:right="514"/>
      </w:pPr>
      <w:r>
        <w:rPr/>
        <w:t>Goodman &amp; Thibodeau (1998) describes housing submarkets as a geographical area where</w:t>
      </w:r>
      <w:r>
        <w:rPr>
          <w:spacing w:val="-6"/>
        </w:rPr>
        <w:t> </w:t>
      </w:r>
      <w:r>
        <w:rPr/>
        <w:t>housing</w:t>
      </w:r>
      <w:r>
        <w:rPr>
          <w:spacing w:val="-7"/>
        </w:rPr>
        <w:t> </w:t>
      </w:r>
      <w:r>
        <w:rPr/>
        <w:t>price</w:t>
      </w:r>
      <w:r>
        <w:rPr>
          <w:spacing w:val="-5"/>
        </w:rPr>
        <w:t> </w:t>
      </w:r>
      <w:r>
        <w:rPr/>
        <w:t>per</w:t>
      </w:r>
      <w:r>
        <w:rPr>
          <w:spacing w:val="-3"/>
        </w:rPr>
        <w:t> </w:t>
      </w:r>
      <w:r>
        <w:rPr/>
        <w:t>service</w:t>
      </w:r>
      <w:r>
        <w:rPr>
          <w:spacing w:val="-5"/>
        </w:rPr>
        <w:t> </w:t>
      </w:r>
      <w:r>
        <w:rPr/>
        <w:t>unit</w:t>
      </w:r>
      <w:r>
        <w:rPr>
          <w:spacing w:val="-4"/>
        </w:rPr>
        <w:t> </w:t>
      </w:r>
      <w:r>
        <w:rPr/>
        <w:t>is</w:t>
      </w:r>
      <w:r>
        <w:rPr>
          <w:spacing w:val="-4"/>
        </w:rPr>
        <w:t> </w:t>
      </w:r>
      <w:r>
        <w:rPr/>
        <w:t>constant</w:t>
      </w:r>
      <w:r>
        <w:rPr>
          <w:spacing w:val="-4"/>
        </w:rPr>
        <w:t> </w:t>
      </w:r>
      <w:r>
        <w:rPr/>
        <w:t>and</w:t>
      </w:r>
      <w:r>
        <w:rPr>
          <w:spacing w:val="-4"/>
        </w:rPr>
        <w:t> </w:t>
      </w:r>
      <w:r>
        <w:rPr/>
        <w:t>characteristics</w:t>
      </w:r>
      <w:r>
        <w:rPr>
          <w:spacing w:val="-4"/>
        </w:rPr>
        <w:t> </w:t>
      </w:r>
      <w:r>
        <w:rPr/>
        <w:t>of</w:t>
      </w:r>
      <w:r>
        <w:rPr>
          <w:spacing w:val="-4"/>
        </w:rPr>
        <w:t> </w:t>
      </w:r>
      <w:r>
        <w:rPr/>
        <w:t>individual</w:t>
      </w:r>
      <w:r>
        <w:rPr>
          <w:spacing w:val="-4"/>
        </w:rPr>
        <w:t> </w:t>
      </w:r>
      <w:r>
        <w:rPr/>
        <w:t>housing are available for purchase. They assess segmentation of housing market Dallas metropolitan</w:t>
      </w:r>
      <w:r>
        <w:rPr>
          <w:spacing w:val="-3"/>
        </w:rPr>
        <w:t> </w:t>
      </w:r>
      <w:r>
        <w:rPr/>
        <w:t>area</w:t>
      </w:r>
      <w:r>
        <w:rPr>
          <w:spacing w:val="-4"/>
        </w:rPr>
        <w:t> </w:t>
      </w:r>
      <w:r>
        <w:rPr/>
        <w:t>adopting</w:t>
      </w:r>
      <w:r>
        <w:rPr>
          <w:spacing w:val="-4"/>
        </w:rPr>
        <w:t> </w:t>
      </w:r>
      <w:r>
        <w:rPr/>
        <w:t>hierarchical</w:t>
      </w:r>
      <w:r>
        <w:rPr>
          <w:spacing w:val="-3"/>
        </w:rPr>
        <w:t> </w:t>
      </w:r>
      <w:r>
        <w:rPr/>
        <w:t>models</w:t>
      </w:r>
      <w:r>
        <w:rPr>
          <w:spacing w:val="-1"/>
        </w:rPr>
        <w:t> </w:t>
      </w:r>
      <w:r>
        <w:rPr/>
        <w:t>and</w:t>
      </w:r>
      <w:r>
        <w:rPr>
          <w:spacing w:val="-3"/>
        </w:rPr>
        <w:t> </w:t>
      </w:r>
      <w:r>
        <w:rPr/>
        <w:t>transaction</w:t>
      </w:r>
      <w:r>
        <w:rPr>
          <w:spacing w:val="-3"/>
        </w:rPr>
        <w:t> </w:t>
      </w:r>
      <w:r>
        <w:rPr/>
        <w:t>of</w:t>
      </w:r>
      <w:r>
        <w:rPr>
          <w:spacing w:val="-4"/>
        </w:rPr>
        <w:t> </w:t>
      </w:r>
      <w:r>
        <w:rPr/>
        <w:t>single</w:t>
      </w:r>
      <w:r>
        <w:rPr>
          <w:spacing w:val="-3"/>
        </w:rPr>
        <w:t> </w:t>
      </w:r>
      <w:r>
        <w:rPr/>
        <w:t>family</w:t>
      </w:r>
      <w:r>
        <w:rPr>
          <w:spacing w:val="-8"/>
        </w:rPr>
        <w:t> </w:t>
      </w:r>
      <w:r>
        <w:rPr/>
        <w:t>property between years</w:t>
      </w:r>
      <w:r>
        <w:rPr>
          <w:spacing w:val="-3"/>
        </w:rPr>
        <w:t> </w:t>
      </w:r>
      <w:r>
        <w:rPr/>
        <w:t>1995</w:t>
      </w:r>
      <w:r>
        <w:rPr>
          <w:spacing w:val="-2"/>
        </w:rPr>
        <w:t> </w:t>
      </w:r>
      <w:r>
        <w:rPr/>
        <w:t>to</w:t>
      </w:r>
      <w:r>
        <w:rPr>
          <w:spacing w:val="-3"/>
        </w:rPr>
        <w:t> </w:t>
      </w:r>
      <w:r>
        <w:rPr/>
        <w:t>1997.</w:t>
      </w:r>
      <w:r>
        <w:rPr>
          <w:spacing w:val="-3"/>
        </w:rPr>
        <w:t> </w:t>
      </w:r>
      <w:r>
        <w:rPr/>
        <w:t>Performance</w:t>
      </w:r>
      <w:r>
        <w:rPr>
          <w:spacing w:val="-2"/>
        </w:rPr>
        <w:t> </w:t>
      </w:r>
      <w:r>
        <w:rPr/>
        <w:t>of</w:t>
      </w:r>
      <w:r>
        <w:rPr>
          <w:spacing w:val="-2"/>
        </w:rPr>
        <w:t> </w:t>
      </w:r>
      <w:r>
        <w:rPr/>
        <w:t>elementary</w:t>
      </w:r>
      <w:r>
        <w:rPr>
          <w:spacing w:val="-8"/>
        </w:rPr>
        <w:t> </w:t>
      </w:r>
      <w:r>
        <w:rPr/>
        <w:t>school</w:t>
      </w:r>
      <w:r>
        <w:rPr>
          <w:spacing w:val="-1"/>
        </w:rPr>
        <w:t> </w:t>
      </w:r>
      <w:r>
        <w:rPr/>
        <w:t>student</w:t>
      </w:r>
      <w:r>
        <w:rPr>
          <w:spacing w:val="-3"/>
        </w:rPr>
        <w:t> </w:t>
      </w:r>
      <w:r>
        <w:rPr/>
        <w:t>information</w:t>
      </w:r>
      <w:r>
        <w:rPr>
          <w:spacing w:val="-1"/>
        </w:rPr>
        <w:t> </w:t>
      </w:r>
      <w:r>
        <w:rPr/>
        <w:t>was supplemented by</w:t>
      </w:r>
      <w:r>
        <w:rPr>
          <w:spacing w:val="-3"/>
        </w:rPr>
        <w:t> </w:t>
      </w:r>
      <w:r>
        <w:rPr/>
        <w:t>the transaction data. The technique demonstrate that using Carrollton– Farmers Branch Independent School District proposes that housing market of Dallas metropolitan area is segmented by the public education quality (standardized tests measuring</w:t>
      </w:r>
      <w:r>
        <w:rPr>
          <w:spacing w:val="-8"/>
        </w:rPr>
        <w:t> </w:t>
      </w:r>
      <w:r>
        <w:rPr/>
        <w:t>the</w:t>
      </w:r>
      <w:r>
        <w:rPr>
          <w:spacing w:val="-5"/>
        </w:rPr>
        <w:t> </w:t>
      </w:r>
      <w:r>
        <w:rPr/>
        <w:t>student</w:t>
      </w:r>
      <w:r>
        <w:rPr>
          <w:spacing w:val="-6"/>
        </w:rPr>
        <w:t> </w:t>
      </w:r>
      <w:r>
        <w:rPr/>
        <w:t>performance).</w:t>
      </w:r>
      <w:r>
        <w:rPr>
          <w:spacing w:val="-7"/>
        </w:rPr>
        <w:t> </w:t>
      </w:r>
      <w:r>
        <w:rPr/>
        <w:t>They</w:t>
      </w:r>
      <w:r>
        <w:rPr>
          <w:spacing w:val="-10"/>
        </w:rPr>
        <w:t> </w:t>
      </w:r>
      <w:r>
        <w:rPr/>
        <w:t>argue</w:t>
      </w:r>
      <w:r>
        <w:rPr>
          <w:spacing w:val="-7"/>
        </w:rPr>
        <w:t> </w:t>
      </w:r>
      <w:r>
        <w:rPr/>
        <w:t>that</w:t>
      </w:r>
      <w:r>
        <w:rPr>
          <w:spacing w:val="-4"/>
        </w:rPr>
        <w:t> </w:t>
      </w:r>
      <w:r>
        <w:rPr/>
        <w:t>hierarchical</w:t>
      </w:r>
      <w:r>
        <w:rPr>
          <w:spacing w:val="-5"/>
        </w:rPr>
        <w:t> </w:t>
      </w:r>
      <w:r>
        <w:rPr/>
        <w:t>models</w:t>
      </w:r>
      <w:r>
        <w:rPr>
          <w:spacing w:val="-4"/>
        </w:rPr>
        <w:t> </w:t>
      </w:r>
      <w:r>
        <w:rPr/>
        <w:t>offer</w:t>
      </w:r>
      <w:r>
        <w:rPr>
          <w:spacing w:val="-3"/>
        </w:rPr>
        <w:t> </w:t>
      </w:r>
      <w:r>
        <w:rPr/>
        <w:t>a</w:t>
      </w:r>
      <w:r>
        <w:rPr>
          <w:spacing w:val="-8"/>
        </w:rPr>
        <w:t> </w:t>
      </w:r>
      <w:r>
        <w:rPr/>
        <w:t>suitable framework for housing submarkets delineation.</w:t>
      </w:r>
    </w:p>
    <w:p>
      <w:pPr>
        <w:pStyle w:val="BodyText"/>
        <w:spacing w:line="480" w:lineRule="auto" w:before="241"/>
        <w:ind w:left="305" w:right="510"/>
      </w:pPr>
      <w:r>
        <w:rPr/>
        <w:t>Wu &amp; Sharma (2012) developed a methodology for submarket classification based on spatially</w:t>
      </w:r>
      <w:r>
        <w:rPr>
          <w:spacing w:val="-15"/>
        </w:rPr>
        <w:t> </w:t>
      </w:r>
      <w:r>
        <w:rPr/>
        <w:t>constrained</w:t>
      </w:r>
      <w:r>
        <w:rPr>
          <w:spacing w:val="-15"/>
        </w:rPr>
        <w:t> </w:t>
      </w:r>
      <w:r>
        <w:rPr/>
        <w:t>data-driven</w:t>
      </w:r>
      <w:r>
        <w:rPr>
          <w:spacing w:val="-15"/>
        </w:rPr>
        <w:t> </w:t>
      </w:r>
      <w:r>
        <w:rPr/>
        <w:t>to</w:t>
      </w:r>
      <w:r>
        <w:rPr>
          <w:spacing w:val="-15"/>
        </w:rPr>
        <w:t> </w:t>
      </w:r>
      <w:r>
        <w:rPr/>
        <w:t>achieve</w:t>
      </w:r>
      <w:r>
        <w:rPr>
          <w:spacing w:val="-15"/>
        </w:rPr>
        <w:t> </w:t>
      </w:r>
      <w:r>
        <w:rPr/>
        <w:t>spatially</w:t>
      </w:r>
      <w:r>
        <w:rPr>
          <w:spacing w:val="-15"/>
        </w:rPr>
        <w:t> </w:t>
      </w:r>
      <w:r>
        <w:rPr/>
        <w:t>integrated</w:t>
      </w:r>
      <w:r>
        <w:rPr>
          <w:spacing w:val="-15"/>
        </w:rPr>
        <w:t> </w:t>
      </w:r>
      <w:r>
        <w:rPr/>
        <w:t>housing</w:t>
      </w:r>
      <w:r>
        <w:rPr>
          <w:spacing w:val="-15"/>
        </w:rPr>
        <w:t> </w:t>
      </w:r>
      <w:r>
        <w:rPr/>
        <w:t>market</w:t>
      </w:r>
      <w:r>
        <w:rPr>
          <w:spacing w:val="-15"/>
        </w:rPr>
        <w:t> </w:t>
      </w:r>
      <w:r>
        <w:rPr/>
        <w:t>segments. Precisely, a datadriven model on cluster analysis and principal component analysis was built for housing submarkets delineation. Inside the model, several location characteristics were adopted in the principal component analysis, and in the cluster analysis, houses geographic locations were equally incorporated. The method performance</w:t>
      </w:r>
      <w:r>
        <w:rPr>
          <w:spacing w:val="-5"/>
        </w:rPr>
        <w:t> </w:t>
      </w:r>
      <w:r>
        <w:rPr/>
        <w:t>was</w:t>
      </w:r>
      <w:r>
        <w:rPr>
          <w:spacing w:val="-3"/>
        </w:rPr>
        <w:t> </w:t>
      </w:r>
      <w:r>
        <w:rPr/>
        <w:t>compared</w:t>
      </w:r>
      <w:r>
        <w:rPr>
          <w:spacing w:val="-4"/>
        </w:rPr>
        <w:t> </w:t>
      </w:r>
      <w:r>
        <w:rPr/>
        <w:t>with</w:t>
      </w:r>
      <w:r>
        <w:rPr>
          <w:spacing w:val="-5"/>
        </w:rPr>
        <w:t> </w:t>
      </w:r>
      <w:r>
        <w:rPr/>
        <w:t>techniques</w:t>
      </w:r>
      <w:r>
        <w:rPr>
          <w:spacing w:val="-5"/>
        </w:rPr>
        <w:t> </w:t>
      </w:r>
      <w:r>
        <w:rPr/>
        <w:t>of</w:t>
      </w:r>
      <w:r>
        <w:rPr>
          <w:spacing w:val="-6"/>
        </w:rPr>
        <w:t> </w:t>
      </w:r>
      <w:r>
        <w:rPr/>
        <w:t>other</w:t>
      </w:r>
      <w:r>
        <w:rPr>
          <w:spacing w:val="-7"/>
        </w:rPr>
        <w:t> </w:t>
      </w:r>
      <w:r>
        <w:rPr/>
        <w:t>unconstrained</w:t>
      </w:r>
      <w:r>
        <w:rPr>
          <w:spacing w:val="-4"/>
        </w:rPr>
        <w:t> </w:t>
      </w:r>
      <w:r>
        <w:rPr/>
        <w:t>data-drivenand</w:t>
      </w:r>
      <w:r>
        <w:rPr>
          <w:spacing w:val="-3"/>
        </w:rPr>
        <w:t> </w:t>
      </w:r>
      <w:r>
        <w:rPr/>
        <w:t>and</w:t>
      </w:r>
      <w:r>
        <w:rPr>
          <w:spacing w:val="-3"/>
        </w:rPr>
        <w:t> </w:t>
      </w:r>
      <w:r>
        <w:rPr/>
        <w:t>a priori classifications using three measurements: spatial integrity, substitutability, and similarity. Their findings show that spatially contiguous submarkets can be obtained without compromising housing hedonic model accuracy and attribute homogeneity.</w:t>
      </w:r>
    </w:p>
    <w:p>
      <w:pPr>
        <w:pStyle w:val="BodyText"/>
        <w:spacing w:line="480" w:lineRule="auto" w:before="239"/>
        <w:ind w:left="305" w:right="514"/>
      </w:pPr>
      <w:r>
        <w:rPr/>
        <w:t>Park</w:t>
      </w:r>
      <w:r>
        <w:rPr>
          <w:spacing w:val="-9"/>
        </w:rPr>
        <w:t> </w:t>
      </w:r>
      <w:r>
        <w:rPr/>
        <w:t>(2013)</w:t>
      </w:r>
      <w:r>
        <w:rPr>
          <w:spacing w:val="-9"/>
        </w:rPr>
        <w:t> </w:t>
      </w:r>
      <w:r>
        <w:rPr/>
        <w:t>proposes</w:t>
      </w:r>
      <w:r>
        <w:rPr>
          <w:spacing w:val="-7"/>
        </w:rPr>
        <w:t> </w:t>
      </w:r>
      <w:r>
        <w:rPr/>
        <w:t>spatial</w:t>
      </w:r>
      <w:r>
        <w:rPr>
          <w:spacing w:val="-8"/>
        </w:rPr>
        <w:t> </w:t>
      </w:r>
      <w:r>
        <w:rPr/>
        <w:t>housing</w:t>
      </w:r>
      <w:r>
        <w:rPr>
          <w:spacing w:val="-11"/>
        </w:rPr>
        <w:t> </w:t>
      </w:r>
      <w:r>
        <w:rPr/>
        <w:t>submarkets</w:t>
      </w:r>
      <w:r>
        <w:rPr>
          <w:spacing w:val="-6"/>
        </w:rPr>
        <w:t> </w:t>
      </w:r>
      <w:r>
        <w:rPr/>
        <w:t>division</w:t>
      </w:r>
      <w:r>
        <w:rPr>
          <w:spacing w:val="-7"/>
        </w:rPr>
        <w:t> </w:t>
      </w:r>
      <w:r>
        <w:rPr/>
        <w:t>basis</w:t>
      </w:r>
      <w:r>
        <w:rPr>
          <w:spacing w:val="-8"/>
        </w:rPr>
        <w:t> </w:t>
      </w:r>
      <w:r>
        <w:rPr/>
        <w:t>in</w:t>
      </w:r>
      <w:r>
        <w:rPr>
          <w:spacing w:val="-8"/>
        </w:rPr>
        <w:t> </w:t>
      </w:r>
      <w:r>
        <w:rPr/>
        <w:t>enhancing</w:t>
      </w:r>
      <w:r>
        <w:rPr>
          <w:spacing w:val="-11"/>
        </w:rPr>
        <w:t> </w:t>
      </w:r>
      <w:r>
        <w:rPr/>
        <w:t>the</w:t>
      </w:r>
      <w:r>
        <w:rPr>
          <w:spacing w:val="-7"/>
        </w:rPr>
        <w:t> </w:t>
      </w:r>
      <w:r>
        <w:rPr/>
        <w:t>housing market</w:t>
      </w:r>
      <w:r>
        <w:rPr>
          <w:spacing w:val="40"/>
        </w:rPr>
        <w:t> </w:t>
      </w:r>
      <w:r>
        <w:rPr/>
        <w:t>understanding.</w:t>
      </w:r>
      <w:r>
        <w:rPr>
          <w:spacing w:val="39"/>
        </w:rPr>
        <w:t> </w:t>
      </w:r>
      <w:r>
        <w:rPr/>
        <w:t>The</w:t>
      </w:r>
      <w:r>
        <w:rPr>
          <w:spacing w:val="38"/>
        </w:rPr>
        <w:t> </w:t>
      </w:r>
      <w:r>
        <w:rPr/>
        <w:t>division’s</w:t>
      </w:r>
      <w:r>
        <w:rPr>
          <w:spacing w:val="42"/>
        </w:rPr>
        <w:t> </w:t>
      </w:r>
      <w:r>
        <w:rPr/>
        <w:t>theoretical</w:t>
      </w:r>
      <w:r>
        <w:rPr>
          <w:spacing w:val="42"/>
        </w:rPr>
        <w:t> </w:t>
      </w:r>
      <w:r>
        <w:rPr/>
        <w:t>background</w:t>
      </w:r>
      <w:r>
        <w:rPr>
          <w:spacing w:val="40"/>
        </w:rPr>
        <w:t> </w:t>
      </w:r>
      <w:r>
        <w:rPr/>
        <w:t>is</w:t>
      </w:r>
      <w:r>
        <w:rPr>
          <w:spacing w:val="40"/>
        </w:rPr>
        <w:t> </w:t>
      </w:r>
      <w:r>
        <w:rPr/>
        <w:t>built</w:t>
      </w:r>
      <w:r>
        <w:rPr>
          <w:spacing w:val="40"/>
        </w:rPr>
        <w:t> </w:t>
      </w:r>
      <w:r>
        <w:rPr/>
        <w:t>upon</w:t>
      </w:r>
      <w:r>
        <w:rPr>
          <w:spacing w:val="40"/>
        </w:rPr>
        <w:t> </w:t>
      </w:r>
      <w:r>
        <w:rPr/>
        <w:t>the</w:t>
      </w:r>
      <w:r>
        <w:rPr>
          <w:spacing w:val="39"/>
        </w:rPr>
        <w:t> </w:t>
      </w:r>
      <w:r>
        <w:rPr>
          <w:spacing w:val="-2"/>
        </w:rPr>
        <w:t>nexus</w:t>
      </w:r>
    </w:p>
    <w:p>
      <w:pPr>
        <w:spacing w:after="0" w:line="480" w:lineRule="auto"/>
        <w:sectPr>
          <w:pgSz w:w="11910" w:h="16840"/>
          <w:pgMar w:header="0" w:footer="1022" w:top="1320" w:bottom="1220" w:left="1680" w:right="900"/>
        </w:sectPr>
      </w:pPr>
    </w:p>
    <w:p>
      <w:pPr>
        <w:pStyle w:val="BodyText"/>
        <w:spacing w:line="480" w:lineRule="auto" w:before="72"/>
        <w:ind w:left="305" w:right="512"/>
      </w:pPr>
      <w:r>
        <w:rPr/>
        <w:t>between</w:t>
      </w:r>
      <w:r>
        <w:rPr>
          <w:spacing w:val="-12"/>
        </w:rPr>
        <w:t> </w:t>
      </w:r>
      <w:r>
        <w:rPr/>
        <w:t>the</w:t>
      </w:r>
      <w:r>
        <w:rPr>
          <w:spacing w:val="-13"/>
        </w:rPr>
        <w:t> </w:t>
      </w:r>
      <w:r>
        <w:rPr/>
        <w:t>structure</w:t>
      </w:r>
      <w:r>
        <w:rPr>
          <w:spacing w:val="-13"/>
        </w:rPr>
        <w:t> </w:t>
      </w:r>
      <w:r>
        <w:rPr/>
        <w:t>house</w:t>
      </w:r>
      <w:r>
        <w:rPr>
          <w:spacing w:val="-13"/>
        </w:rPr>
        <w:t> </w:t>
      </w:r>
      <w:r>
        <w:rPr/>
        <w:t>prices</w:t>
      </w:r>
      <w:r>
        <w:rPr>
          <w:spacing w:val="-10"/>
        </w:rPr>
        <w:t> </w:t>
      </w:r>
      <w:r>
        <w:rPr/>
        <w:t>and</w:t>
      </w:r>
      <w:r>
        <w:rPr>
          <w:spacing w:val="-12"/>
        </w:rPr>
        <w:t> </w:t>
      </w:r>
      <w:r>
        <w:rPr/>
        <w:t>commuting</w:t>
      </w:r>
      <w:r>
        <w:rPr>
          <w:spacing w:val="-12"/>
        </w:rPr>
        <w:t> </w:t>
      </w:r>
      <w:r>
        <w:rPr/>
        <w:t>patterns.</w:t>
      </w:r>
      <w:r>
        <w:rPr>
          <w:spacing w:val="-13"/>
        </w:rPr>
        <w:t> </w:t>
      </w:r>
      <w:r>
        <w:rPr/>
        <w:t>An</w:t>
      </w:r>
      <w:r>
        <w:rPr>
          <w:spacing w:val="-13"/>
        </w:rPr>
        <w:t> </w:t>
      </w:r>
      <w:r>
        <w:rPr/>
        <w:t>assessment</w:t>
      </w:r>
      <w:r>
        <w:rPr>
          <w:spacing w:val="-12"/>
        </w:rPr>
        <w:t> </w:t>
      </w:r>
      <w:r>
        <w:rPr/>
        <w:t>of</w:t>
      </w:r>
      <w:r>
        <w:rPr>
          <w:spacing w:val="-13"/>
        </w:rPr>
        <w:t> </w:t>
      </w:r>
      <w:r>
        <w:rPr/>
        <w:t>the</w:t>
      </w:r>
      <w:r>
        <w:rPr>
          <w:spacing w:val="-11"/>
        </w:rPr>
        <w:t> </w:t>
      </w:r>
      <w:r>
        <w:rPr/>
        <w:t>process of</w:t>
      </w:r>
      <w:r>
        <w:rPr>
          <w:spacing w:val="-1"/>
        </w:rPr>
        <w:t> </w:t>
      </w:r>
      <w:r>
        <w:rPr/>
        <w:t>'expansion-overiap-merging'</w:t>
      </w:r>
      <w:r>
        <w:rPr>
          <w:spacing w:val="-2"/>
        </w:rPr>
        <w:t> </w:t>
      </w:r>
      <w:r>
        <w:rPr/>
        <w:t>between residential spheres, defined as a</w:t>
      </w:r>
      <w:r>
        <w:rPr>
          <w:spacing w:val="-1"/>
        </w:rPr>
        <w:t> </w:t>
      </w:r>
      <w:r>
        <w:rPr/>
        <w:t>unit containing of</w:t>
      </w:r>
      <w:r>
        <w:rPr>
          <w:spacing w:val="-1"/>
        </w:rPr>
        <w:t> </w:t>
      </w:r>
      <w:r>
        <w:rPr/>
        <w:t>a</w:t>
      </w:r>
      <w:r>
        <w:rPr>
          <w:spacing w:val="-1"/>
        </w:rPr>
        <w:t> </w:t>
      </w:r>
      <w:r>
        <w:rPr/>
        <w:t>centre</w:t>
      </w:r>
      <w:r>
        <w:rPr>
          <w:spacing w:val="-1"/>
        </w:rPr>
        <w:t> </w:t>
      </w:r>
      <w:r>
        <w:rPr/>
        <w:t>of</w:t>
      </w:r>
      <w:r>
        <w:rPr>
          <w:spacing w:val="-1"/>
        </w:rPr>
        <w:t> </w:t>
      </w:r>
      <w:r>
        <w:rPr/>
        <w:t>employment and the</w:t>
      </w:r>
      <w:r>
        <w:rPr>
          <w:spacing w:val="-1"/>
        </w:rPr>
        <w:t> </w:t>
      </w:r>
      <w:r>
        <w:rPr/>
        <w:t>surrounding</w:t>
      </w:r>
      <w:r>
        <w:rPr>
          <w:spacing w:val="-2"/>
        </w:rPr>
        <w:t> </w:t>
      </w:r>
      <w:r>
        <w:rPr/>
        <w:t>residential area, provides an overview</w:t>
      </w:r>
      <w:r>
        <w:rPr>
          <w:spacing w:val="-1"/>
        </w:rPr>
        <w:t> </w:t>
      </w:r>
      <w:r>
        <w:rPr/>
        <w:t>of a probable form of merged residential spheres in big cities. An empirical study of the Seoul</w:t>
      </w:r>
      <w:r>
        <w:rPr>
          <w:spacing w:val="-2"/>
        </w:rPr>
        <w:t> </w:t>
      </w:r>
      <w:r>
        <w:rPr/>
        <w:t>spatial</w:t>
      </w:r>
      <w:r>
        <w:rPr>
          <w:spacing w:val="-2"/>
        </w:rPr>
        <w:t> </w:t>
      </w:r>
      <w:r>
        <w:rPr/>
        <w:t>housing</w:t>
      </w:r>
      <w:r>
        <w:rPr>
          <w:spacing w:val="-1"/>
        </w:rPr>
        <w:t> </w:t>
      </w:r>
      <w:r>
        <w:rPr/>
        <w:t>submarkets</w:t>
      </w:r>
      <w:r>
        <w:rPr>
          <w:spacing w:val="-2"/>
        </w:rPr>
        <w:t> </w:t>
      </w:r>
      <w:r>
        <w:rPr/>
        <w:t>were</w:t>
      </w:r>
      <w:r>
        <w:rPr>
          <w:spacing w:val="-2"/>
        </w:rPr>
        <w:t> </w:t>
      </w:r>
      <w:r>
        <w:rPr/>
        <w:t>identified</w:t>
      </w:r>
      <w:r>
        <w:rPr>
          <w:spacing w:val="-2"/>
        </w:rPr>
        <w:t> </w:t>
      </w:r>
      <w:r>
        <w:rPr/>
        <w:t>on</w:t>
      </w:r>
      <w:r>
        <w:rPr>
          <w:spacing w:val="-2"/>
        </w:rPr>
        <w:t> </w:t>
      </w:r>
      <w:r>
        <w:rPr/>
        <w:t>the</w:t>
      </w:r>
      <w:r>
        <w:rPr>
          <w:spacing w:val="-2"/>
        </w:rPr>
        <w:t> </w:t>
      </w:r>
      <w:r>
        <w:rPr/>
        <w:t>basis of</w:t>
      </w:r>
      <w:r>
        <w:rPr>
          <w:spacing w:val="-2"/>
        </w:rPr>
        <w:t> </w:t>
      </w:r>
      <w:r>
        <w:rPr/>
        <w:t>the</w:t>
      </w:r>
      <w:r>
        <w:rPr>
          <w:spacing w:val="-3"/>
        </w:rPr>
        <w:t> </w:t>
      </w:r>
      <w:r>
        <w:rPr/>
        <w:t>hierarchies</w:t>
      </w:r>
      <w:r>
        <w:rPr>
          <w:spacing w:val="-2"/>
        </w:rPr>
        <w:t> </w:t>
      </w:r>
      <w:r>
        <w:rPr/>
        <w:t>between the local authorities from commuting patterns. According to the author, the division’s relevance</w:t>
      </w:r>
      <w:r>
        <w:rPr>
          <w:spacing w:val="-3"/>
        </w:rPr>
        <w:t> </w:t>
      </w:r>
      <w:r>
        <w:rPr/>
        <w:t>was</w:t>
      </w:r>
      <w:r>
        <w:rPr>
          <w:spacing w:val="-2"/>
        </w:rPr>
        <w:t> </w:t>
      </w:r>
      <w:r>
        <w:rPr/>
        <w:t>verified</w:t>
      </w:r>
      <w:r>
        <w:rPr>
          <w:spacing w:val="-2"/>
        </w:rPr>
        <w:t> </w:t>
      </w:r>
      <w:r>
        <w:rPr/>
        <w:t>with three</w:t>
      </w:r>
      <w:r>
        <w:rPr>
          <w:spacing w:val="-3"/>
        </w:rPr>
        <w:t> </w:t>
      </w:r>
      <w:r>
        <w:rPr/>
        <w:t>statistical</w:t>
      </w:r>
      <w:r>
        <w:rPr>
          <w:spacing w:val="-2"/>
        </w:rPr>
        <w:t> </w:t>
      </w:r>
      <w:r>
        <w:rPr/>
        <w:t>processes: Chow</w:t>
      </w:r>
      <w:r>
        <w:rPr>
          <w:spacing w:val="-3"/>
        </w:rPr>
        <w:t> </w:t>
      </w:r>
      <w:r>
        <w:rPr/>
        <w:t>tests,</w:t>
      </w:r>
      <w:r>
        <w:rPr>
          <w:spacing w:val="-4"/>
        </w:rPr>
        <w:t> </w:t>
      </w:r>
      <w:r>
        <w:rPr/>
        <w:t>hedonic</w:t>
      </w:r>
      <w:r>
        <w:rPr>
          <w:spacing w:val="-3"/>
        </w:rPr>
        <w:t> </w:t>
      </w:r>
      <w:r>
        <w:rPr/>
        <w:t>price</w:t>
      </w:r>
      <w:r>
        <w:rPr>
          <w:spacing w:val="-3"/>
        </w:rPr>
        <w:t> </w:t>
      </w:r>
      <w:r>
        <w:rPr/>
        <w:t>models and weighted standard error tests. The empirical study recommended that the Seoul’s housing market can be alienated into three separate spatial submarkets, which supports the reasoning of the division technique recommended in their study.</w:t>
      </w:r>
    </w:p>
    <w:p>
      <w:pPr>
        <w:pStyle w:val="BodyText"/>
        <w:spacing w:line="480" w:lineRule="auto" w:before="241"/>
        <w:ind w:left="305" w:right="513"/>
      </w:pPr>
      <w:r>
        <w:rPr/>
        <w:t>Manganelli </w:t>
      </w:r>
      <w:r>
        <w:rPr>
          <w:i/>
        </w:rPr>
        <w:t>et al</w:t>
      </w:r>
      <w:r>
        <w:rPr/>
        <w:t>. (2014) adopted Geographically Weighted Regression (GWR) in housing market analysis, in homogeneous areas identification and defining a single location marginal contribution to the property’s value at the housing market. About 280 sample data was used to build the model, in relation to the residential real estate units trades that occurred between 2008 and 2010 Potenza city of Basilicata, southern Italy. Their results of territory zone the housing market into homogeneous market areas, they concludes that the findings has useful implications in terms of taxation, programming territorial transformations and checking ongoing or ex post planning decisions.</w:t>
      </w:r>
    </w:p>
    <w:p>
      <w:pPr>
        <w:pStyle w:val="Heading1"/>
        <w:numPr>
          <w:ilvl w:val="2"/>
          <w:numId w:val="5"/>
        </w:numPr>
        <w:tabs>
          <w:tab w:pos="1024" w:val="left" w:leader="none"/>
        </w:tabs>
        <w:spacing w:line="240" w:lineRule="auto" w:before="246" w:after="0"/>
        <w:ind w:left="1024" w:right="0" w:hanging="719"/>
        <w:jc w:val="both"/>
      </w:pPr>
      <w:r>
        <w:rPr/>
        <w:t>Non-spatial approach to</w:t>
      </w:r>
      <w:r>
        <w:rPr>
          <w:spacing w:val="-1"/>
        </w:rPr>
        <w:t> </w:t>
      </w:r>
      <w:r>
        <w:rPr/>
        <w:t>housing</w:t>
      </w:r>
      <w:r>
        <w:rPr>
          <w:spacing w:val="-3"/>
        </w:rPr>
        <w:t> </w:t>
      </w:r>
      <w:r>
        <w:rPr>
          <w:spacing w:val="-2"/>
        </w:rPr>
        <w:t>submarket</w:t>
      </w:r>
    </w:p>
    <w:p>
      <w:pPr>
        <w:pStyle w:val="BodyText"/>
        <w:spacing w:before="235"/>
        <w:jc w:val="left"/>
        <w:rPr>
          <w:b/>
        </w:rPr>
      </w:pPr>
    </w:p>
    <w:p>
      <w:pPr>
        <w:pStyle w:val="BodyText"/>
        <w:spacing w:line="480" w:lineRule="auto" w:before="1"/>
        <w:ind w:left="305" w:right="512"/>
      </w:pPr>
      <w:r>
        <w:rPr/>
        <w:t>Accuracy</w:t>
      </w:r>
      <w:r>
        <w:rPr>
          <w:spacing w:val="-15"/>
        </w:rPr>
        <w:t> </w:t>
      </w:r>
      <w:r>
        <w:rPr/>
        <w:t>of</w:t>
      </w:r>
      <w:r>
        <w:rPr>
          <w:spacing w:val="-15"/>
        </w:rPr>
        <w:t> </w:t>
      </w:r>
      <w:r>
        <w:rPr/>
        <w:t>estimation</w:t>
      </w:r>
      <w:r>
        <w:rPr>
          <w:spacing w:val="-15"/>
        </w:rPr>
        <w:t> </w:t>
      </w:r>
      <w:r>
        <w:rPr/>
        <w:t>is</w:t>
      </w:r>
      <w:r>
        <w:rPr>
          <w:spacing w:val="-15"/>
        </w:rPr>
        <w:t> </w:t>
      </w:r>
      <w:r>
        <w:rPr/>
        <w:t>emphasised</w:t>
      </w:r>
      <w:r>
        <w:rPr>
          <w:spacing w:val="-15"/>
        </w:rPr>
        <w:t> </w:t>
      </w:r>
      <w:r>
        <w:rPr/>
        <w:t>by</w:t>
      </w:r>
      <w:r>
        <w:rPr>
          <w:spacing w:val="-15"/>
        </w:rPr>
        <w:t> </w:t>
      </w:r>
      <w:r>
        <w:rPr/>
        <w:t>non-spatial</w:t>
      </w:r>
      <w:r>
        <w:rPr>
          <w:spacing w:val="-15"/>
        </w:rPr>
        <w:t> </w:t>
      </w:r>
      <w:r>
        <w:rPr/>
        <w:t>submarket</w:t>
      </w:r>
      <w:r>
        <w:rPr>
          <w:spacing w:val="-15"/>
        </w:rPr>
        <w:t> </w:t>
      </w:r>
      <w:r>
        <w:rPr/>
        <w:t>specifications,</w:t>
      </w:r>
      <w:r>
        <w:rPr>
          <w:spacing w:val="-15"/>
        </w:rPr>
        <w:t> </w:t>
      </w:r>
      <w:r>
        <w:rPr/>
        <w:t>promoting a data driven method, without considering the pre-defined geographic area. Statistical hierarchical</w:t>
      </w:r>
      <w:r>
        <w:rPr>
          <w:spacing w:val="-3"/>
        </w:rPr>
        <w:t> </w:t>
      </w:r>
      <w:r>
        <w:rPr/>
        <w:t>clustering</w:t>
      </w:r>
      <w:r>
        <w:rPr>
          <w:spacing w:val="-6"/>
        </w:rPr>
        <w:t> </w:t>
      </w:r>
      <w:r>
        <w:rPr/>
        <w:t>techniques</w:t>
      </w:r>
      <w:r>
        <w:rPr>
          <w:spacing w:val="-2"/>
        </w:rPr>
        <w:t> </w:t>
      </w:r>
      <w:r>
        <w:rPr/>
        <w:t>is</w:t>
      </w:r>
      <w:r>
        <w:rPr>
          <w:spacing w:val="-3"/>
        </w:rPr>
        <w:t> </w:t>
      </w:r>
      <w:r>
        <w:rPr/>
        <w:t>the</w:t>
      </w:r>
      <w:r>
        <w:rPr>
          <w:spacing w:val="-4"/>
        </w:rPr>
        <w:t> </w:t>
      </w:r>
      <w:r>
        <w:rPr/>
        <w:t>basis</w:t>
      </w:r>
      <w:r>
        <w:rPr>
          <w:spacing w:val="-3"/>
        </w:rPr>
        <w:t> </w:t>
      </w:r>
      <w:r>
        <w:rPr/>
        <w:t>for</w:t>
      </w:r>
      <w:r>
        <w:rPr>
          <w:spacing w:val="-5"/>
        </w:rPr>
        <w:t> </w:t>
      </w:r>
      <w:r>
        <w:rPr/>
        <w:t>these</w:t>
      </w:r>
      <w:r>
        <w:rPr>
          <w:spacing w:val="-5"/>
        </w:rPr>
        <w:t> </w:t>
      </w:r>
      <w:r>
        <w:rPr/>
        <w:t>specifications</w:t>
      </w:r>
      <w:r>
        <w:rPr>
          <w:spacing w:val="-3"/>
        </w:rPr>
        <w:t> </w:t>
      </w:r>
      <w:r>
        <w:rPr/>
        <w:t>to</w:t>
      </w:r>
      <w:r>
        <w:rPr>
          <w:spacing w:val="-3"/>
        </w:rPr>
        <w:t> </w:t>
      </w:r>
      <w:r>
        <w:rPr/>
        <w:t>explore</w:t>
      </w:r>
      <w:r>
        <w:rPr>
          <w:spacing w:val="-2"/>
        </w:rPr>
        <w:t> </w:t>
      </w:r>
      <w:r>
        <w:rPr/>
        <w:t>people’s homogeneous demand pattern such as socioeconomic status, income and household mobility (Goodman &amp; Thibodeau, 1995; Xiao, 2012).</w:t>
      </w:r>
    </w:p>
    <w:p>
      <w:pPr>
        <w:spacing w:after="0" w:line="480" w:lineRule="auto"/>
        <w:sectPr>
          <w:pgSz w:w="11910" w:h="16840"/>
          <w:pgMar w:header="0" w:footer="1022" w:top="1320" w:bottom="1220" w:left="1680" w:right="900"/>
        </w:sectPr>
      </w:pPr>
    </w:p>
    <w:p>
      <w:pPr>
        <w:pStyle w:val="BodyText"/>
        <w:spacing w:line="480" w:lineRule="auto" w:before="72"/>
        <w:ind w:left="305" w:right="512"/>
      </w:pPr>
      <w:r>
        <w:rPr/>
        <w:t>This</w:t>
      </w:r>
      <w:r>
        <w:rPr>
          <w:spacing w:val="-7"/>
        </w:rPr>
        <w:t> </w:t>
      </w:r>
      <w:r>
        <w:rPr/>
        <w:t>techniques</w:t>
      </w:r>
      <w:r>
        <w:rPr>
          <w:spacing w:val="-8"/>
        </w:rPr>
        <w:t> </w:t>
      </w:r>
      <w:r>
        <w:rPr/>
        <w:t>used</w:t>
      </w:r>
      <w:r>
        <w:rPr>
          <w:spacing w:val="-7"/>
        </w:rPr>
        <w:t> </w:t>
      </w:r>
      <w:r>
        <w:rPr/>
        <w:t>in</w:t>
      </w:r>
      <w:r>
        <w:rPr>
          <w:spacing w:val="-7"/>
        </w:rPr>
        <w:t> </w:t>
      </w:r>
      <w:r>
        <w:rPr/>
        <w:t>building</w:t>
      </w:r>
      <w:r>
        <w:rPr>
          <w:spacing w:val="-9"/>
        </w:rPr>
        <w:t> </w:t>
      </w:r>
      <w:r>
        <w:rPr/>
        <w:t>the</w:t>
      </w:r>
      <w:r>
        <w:rPr>
          <w:spacing w:val="-8"/>
        </w:rPr>
        <w:t> </w:t>
      </w:r>
      <w:r>
        <w:rPr/>
        <w:t>submarket</w:t>
      </w:r>
      <w:r>
        <w:rPr>
          <w:spacing w:val="-7"/>
        </w:rPr>
        <w:t> </w:t>
      </w:r>
      <w:r>
        <w:rPr/>
        <w:t>emphasis</w:t>
      </w:r>
      <w:r>
        <w:rPr>
          <w:spacing w:val="-7"/>
        </w:rPr>
        <w:t> </w:t>
      </w:r>
      <w:r>
        <w:rPr/>
        <w:t>on</w:t>
      </w:r>
      <w:r>
        <w:rPr>
          <w:spacing w:val="-7"/>
        </w:rPr>
        <w:t> </w:t>
      </w:r>
      <w:r>
        <w:rPr/>
        <w:t>the</w:t>
      </w:r>
      <w:r>
        <w:rPr>
          <w:spacing w:val="-6"/>
        </w:rPr>
        <w:t> </w:t>
      </w:r>
      <w:r>
        <w:rPr/>
        <w:t>house</w:t>
      </w:r>
      <w:r>
        <w:rPr>
          <w:spacing w:val="-8"/>
        </w:rPr>
        <w:t> </w:t>
      </w:r>
      <w:r>
        <w:rPr/>
        <w:t>prices</w:t>
      </w:r>
      <w:r>
        <w:rPr>
          <w:spacing w:val="-6"/>
        </w:rPr>
        <w:t> </w:t>
      </w:r>
      <w:r>
        <w:rPr/>
        <w:t>supply-side and uses housing stock characteristics (e.g., square feet of living area, dwelling type, dwelling age) to build the submarkets and/or neighbourhood characteristics (e.g., neighbourhood schools quality, local police quality). Other techniques in delineating submarket emphasis on demand-side of house prices determinants and form housing submarkets based on household incomes or other socioeconomic/demographic characteristics (Goodman &amp; Thibodeau, 2007; Xiao </w:t>
      </w:r>
      <w:r>
        <w:rPr>
          <w:i/>
        </w:rPr>
        <w:t>et al</w:t>
      </w:r>
      <w:r>
        <w:rPr/>
        <w:t>., 2016a).</w:t>
      </w:r>
    </w:p>
    <w:p>
      <w:pPr>
        <w:pStyle w:val="BodyText"/>
        <w:spacing w:line="480" w:lineRule="auto" w:before="241"/>
        <w:ind w:left="305" w:right="513"/>
      </w:pPr>
      <w:r>
        <w:rPr/>
        <w:t>Day</w:t>
      </w:r>
      <w:r>
        <w:rPr>
          <w:spacing w:val="-2"/>
        </w:rPr>
        <w:t> </w:t>
      </w:r>
      <w:r>
        <w:rPr/>
        <w:t>(2003) presents a hedonic housing price model for the city</w:t>
      </w:r>
      <w:r>
        <w:rPr>
          <w:spacing w:val="-3"/>
        </w:rPr>
        <w:t> </w:t>
      </w:r>
      <w:r>
        <w:rPr/>
        <w:t>of Glasgow in Scotland. He use hierarchical clustering techniques to identify property submarkets defined by a combination of property types, locations and socioeconomic characteristics of inhabitants. Separate hedonic price functions were estimated for each submarket and these functions were presented to differ significantly across submarkets.</w:t>
      </w:r>
    </w:p>
    <w:p>
      <w:pPr>
        <w:pStyle w:val="BodyText"/>
        <w:spacing w:line="480" w:lineRule="auto" w:before="240"/>
        <w:ind w:left="305" w:right="510"/>
      </w:pPr>
      <w:r>
        <w:rPr/>
        <w:t>Royuela Mora &amp; Vargas (2007) Use regional data from Catalonia, Spain, where they computed housing market areas with both commuting data and migration data. They looked at uniformity of prices within areas. Their main finding is that commuting algorithms present more homogeneous areas in terms of housing prices.</w:t>
      </w:r>
    </w:p>
    <w:p>
      <w:pPr>
        <w:pStyle w:val="Heading1"/>
        <w:numPr>
          <w:ilvl w:val="2"/>
          <w:numId w:val="5"/>
        </w:numPr>
        <w:tabs>
          <w:tab w:pos="1024" w:val="left" w:leader="none"/>
        </w:tabs>
        <w:spacing w:line="240" w:lineRule="auto" w:before="248" w:after="0"/>
        <w:ind w:left="1024" w:right="0" w:hanging="719"/>
        <w:jc w:val="both"/>
      </w:pPr>
      <w:r>
        <w:rPr/>
        <w:t>Criticisms</w:t>
      </w:r>
      <w:r>
        <w:rPr>
          <w:spacing w:val="-2"/>
        </w:rPr>
        <w:t> </w:t>
      </w:r>
      <w:r>
        <w:rPr/>
        <w:t>of</w:t>
      </w:r>
      <w:r>
        <w:rPr>
          <w:spacing w:val="1"/>
        </w:rPr>
        <w:t> </w:t>
      </w:r>
      <w:r>
        <w:rPr/>
        <w:t>spatial</w:t>
      </w:r>
      <w:r>
        <w:rPr>
          <w:spacing w:val="-2"/>
        </w:rPr>
        <w:t> </w:t>
      </w:r>
      <w:r>
        <w:rPr/>
        <w:t>and</w:t>
      </w:r>
      <w:r>
        <w:rPr>
          <w:spacing w:val="-1"/>
        </w:rPr>
        <w:t> </w:t>
      </w:r>
      <w:r>
        <w:rPr/>
        <w:t>non-spatial</w:t>
      </w:r>
      <w:r>
        <w:rPr>
          <w:spacing w:val="-1"/>
        </w:rPr>
        <w:t> </w:t>
      </w:r>
      <w:r>
        <w:rPr>
          <w:spacing w:val="-2"/>
        </w:rPr>
        <w:t>approach</w:t>
      </w:r>
    </w:p>
    <w:p>
      <w:pPr>
        <w:pStyle w:val="BodyText"/>
        <w:spacing w:before="230"/>
        <w:jc w:val="left"/>
        <w:rPr>
          <w:b/>
        </w:rPr>
      </w:pPr>
    </w:p>
    <w:p>
      <w:pPr>
        <w:pStyle w:val="BodyText"/>
        <w:spacing w:line="480" w:lineRule="auto"/>
        <w:ind w:left="305" w:right="516"/>
      </w:pPr>
      <w:r>
        <w:rPr/>
        <w:t>Both spatial and non-spatial approaches to housing market segmentation have received wide</w:t>
      </w:r>
      <w:r>
        <w:rPr>
          <w:spacing w:val="-13"/>
        </w:rPr>
        <w:t> </w:t>
      </w:r>
      <w:r>
        <w:rPr/>
        <w:t>range</w:t>
      </w:r>
      <w:r>
        <w:rPr>
          <w:spacing w:val="-13"/>
        </w:rPr>
        <w:t> </w:t>
      </w:r>
      <w:r>
        <w:rPr/>
        <w:t>criticism.</w:t>
      </w:r>
      <w:r>
        <w:rPr>
          <w:spacing w:val="-10"/>
        </w:rPr>
        <w:t> </w:t>
      </w:r>
      <w:r>
        <w:rPr/>
        <w:t>Spatial-based</w:t>
      </w:r>
      <w:r>
        <w:rPr>
          <w:spacing w:val="-12"/>
        </w:rPr>
        <w:t> </w:t>
      </w:r>
      <w:r>
        <w:rPr/>
        <w:t>determinations</w:t>
      </w:r>
      <w:r>
        <w:rPr>
          <w:spacing w:val="-9"/>
        </w:rPr>
        <w:t> </w:t>
      </w:r>
      <w:r>
        <w:rPr/>
        <w:t>have</w:t>
      </w:r>
      <w:r>
        <w:rPr>
          <w:spacing w:val="-13"/>
        </w:rPr>
        <w:t> </w:t>
      </w:r>
      <w:r>
        <w:rPr/>
        <w:t>been</w:t>
      </w:r>
      <w:r>
        <w:rPr>
          <w:spacing w:val="-12"/>
        </w:rPr>
        <w:t> </w:t>
      </w:r>
      <w:r>
        <w:rPr/>
        <w:t>reprimanded</w:t>
      </w:r>
      <w:r>
        <w:rPr>
          <w:spacing w:val="-12"/>
        </w:rPr>
        <w:t> </w:t>
      </w:r>
      <w:r>
        <w:rPr/>
        <w:t>for</w:t>
      </w:r>
      <w:r>
        <w:rPr>
          <w:spacing w:val="-12"/>
        </w:rPr>
        <w:t> </w:t>
      </w:r>
      <w:r>
        <w:rPr/>
        <w:t>their</w:t>
      </w:r>
      <w:r>
        <w:rPr>
          <w:spacing w:val="-12"/>
        </w:rPr>
        <w:t> </w:t>
      </w:r>
      <w:r>
        <w:rPr/>
        <w:t>error. Because of fast urbanization and the rise of polycentricity, the urban framework has turned</w:t>
      </w:r>
      <w:r>
        <w:rPr>
          <w:spacing w:val="-5"/>
        </w:rPr>
        <w:t> </w:t>
      </w:r>
      <w:r>
        <w:rPr/>
        <w:t>out</w:t>
      </w:r>
      <w:r>
        <w:rPr>
          <w:spacing w:val="-4"/>
        </w:rPr>
        <w:t> </w:t>
      </w:r>
      <w:r>
        <w:rPr/>
        <w:t>to</w:t>
      </w:r>
      <w:r>
        <w:rPr>
          <w:spacing w:val="-4"/>
        </w:rPr>
        <w:t> </w:t>
      </w:r>
      <w:r>
        <w:rPr/>
        <w:t>be</w:t>
      </w:r>
      <w:r>
        <w:rPr>
          <w:spacing w:val="-6"/>
        </w:rPr>
        <w:t> </w:t>
      </w:r>
      <w:r>
        <w:rPr/>
        <w:t>more</w:t>
      </w:r>
      <w:r>
        <w:rPr>
          <w:spacing w:val="-6"/>
        </w:rPr>
        <w:t> </w:t>
      </w:r>
      <w:r>
        <w:rPr/>
        <w:t>intricate</w:t>
      </w:r>
      <w:r>
        <w:rPr>
          <w:spacing w:val="-2"/>
        </w:rPr>
        <w:t> </w:t>
      </w:r>
      <w:r>
        <w:rPr/>
        <w:t>and</w:t>
      </w:r>
      <w:r>
        <w:rPr>
          <w:spacing w:val="-5"/>
        </w:rPr>
        <w:t> </w:t>
      </w:r>
      <w:r>
        <w:rPr/>
        <w:t>thus</w:t>
      </w:r>
      <w:r>
        <w:rPr>
          <w:spacing w:val="-4"/>
        </w:rPr>
        <w:t> </w:t>
      </w:r>
      <w:r>
        <w:rPr/>
        <w:t>the</w:t>
      </w:r>
      <w:r>
        <w:rPr>
          <w:spacing w:val="-3"/>
        </w:rPr>
        <w:t> </w:t>
      </w:r>
      <w:r>
        <w:rPr/>
        <w:t>social</w:t>
      </w:r>
      <w:r>
        <w:rPr>
          <w:spacing w:val="-5"/>
        </w:rPr>
        <w:t> </w:t>
      </w:r>
      <w:r>
        <w:rPr/>
        <w:t>spatial</w:t>
      </w:r>
      <w:r>
        <w:rPr>
          <w:spacing w:val="-4"/>
        </w:rPr>
        <w:t> </w:t>
      </w:r>
      <w:r>
        <w:rPr/>
        <w:t>structure</w:t>
      </w:r>
      <w:r>
        <w:rPr>
          <w:spacing w:val="-4"/>
        </w:rPr>
        <w:t> </w:t>
      </w:r>
      <w:r>
        <w:rPr/>
        <w:t>is</w:t>
      </w:r>
      <w:r>
        <w:rPr>
          <w:spacing w:val="-4"/>
        </w:rPr>
        <w:t> </w:t>
      </w:r>
      <w:r>
        <w:rPr/>
        <w:t>changing</w:t>
      </w:r>
      <w:r>
        <w:rPr>
          <w:spacing w:val="-5"/>
        </w:rPr>
        <w:t> </w:t>
      </w:r>
      <w:r>
        <w:rPr/>
        <w:t>and</w:t>
      </w:r>
      <w:r>
        <w:rPr>
          <w:spacing w:val="-5"/>
        </w:rPr>
        <w:t> </w:t>
      </w:r>
      <w:r>
        <w:rPr/>
        <w:t>social spatial isolation has been</w:t>
      </w:r>
      <w:r>
        <w:rPr>
          <w:spacing w:val="-2"/>
        </w:rPr>
        <w:t> </w:t>
      </w:r>
      <w:r>
        <w:rPr/>
        <w:t>upgraded. The</w:t>
      </w:r>
      <w:r>
        <w:rPr>
          <w:spacing w:val="-1"/>
        </w:rPr>
        <w:t> </w:t>
      </w:r>
      <w:r>
        <w:rPr/>
        <w:t>main spatial models adopted to characterise</w:t>
      </w:r>
      <w:r>
        <w:rPr>
          <w:spacing w:val="-1"/>
        </w:rPr>
        <w:t> </w:t>
      </w:r>
      <w:r>
        <w:rPr/>
        <w:t>the preferences spatial divisions appears to be less effective in peoples preference reflection and</w:t>
      </w:r>
      <w:r>
        <w:rPr>
          <w:spacing w:val="13"/>
        </w:rPr>
        <w:t> </w:t>
      </w:r>
      <w:r>
        <w:rPr/>
        <w:t>each</w:t>
      </w:r>
      <w:r>
        <w:rPr>
          <w:spacing w:val="17"/>
        </w:rPr>
        <w:t> </w:t>
      </w:r>
      <w:r>
        <w:rPr/>
        <w:t>characteristic</w:t>
      </w:r>
      <w:r>
        <w:rPr>
          <w:spacing w:val="14"/>
        </w:rPr>
        <w:t> </w:t>
      </w:r>
      <w:r>
        <w:rPr/>
        <w:t>choice</w:t>
      </w:r>
      <w:r>
        <w:rPr>
          <w:spacing w:val="15"/>
        </w:rPr>
        <w:t> </w:t>
      </w:r>
      <w:r>
        <w:rPr/>
        <w:t>in</w:t>
      </w:r>
      <w:r>
        <w:rPr>
          <w:spacing w:val="16"/>
        </w:rPr>
        <w:t> </w:t>
      </w:r>
      <w:r>
        <w:rPr/>
        <w:t>these</w:t>
      </w:r>
      <w:r>
        <w:rPr>
          <w:spacing w:val="14"/>
        </w:rPr>
        <w:t> </w:t>
      </w:r>
      <w:r>
        <w:rPr/>
        <w:t>type</w:t>
      </w:r>
      <w:r>
        <w:rPr>
          <w:spacing w:val="15"/>
        </w:rPr>
        <w:t> </w:t>
      </w:r>
      <w:r>
        <w:rPr/>
        <w:t>of</w:t>
      </w:r>
      <w:r>
        <w:rPr>
          <w:spacing w:val="14"/>
        </w:rPr>
        <w:t> </w:t>
      </w:r>
      <w:r>
        <w:rPr/>
        <w:t>cities.</w:t>
      </w:r>
      <w:r>
        <w:rPr>
          <w:spacing w:val="15"/>
        </w:rPr>
        <w:t> </w:t>
      </w:r>
      <w:r>
        <w:rPr/>
        <w:t>The</w:t>
      </w:r>
      <w:r>
        <w:rPr>
          <w:spacing w:val="15"/>
        </w:rPr>
        <w:t> </w:t>
      </w:r>
      <w:r>
        <w:rPr/>
        <w:t>traditional</w:t>
      </w:r>
      <w:r>
        <w:rPr>
          <w:spacing w:val="15"/>
        </w:rPr>
        <w:t> </w:t>
      </w:r>
      <w:r>
        <w:rPr/>
        <w:t>approaches</w:t>
      </w:r>
      <w:r>
        <w:rPr>
          <w:spacing w:val="15"/>
        </w:rPr>
        <w:t> </w:t>
      </w:r>
      <w:r>
        <w:rPr/>
        <w:t>risk</w:t>
      </w:r>
      <w:r>
        <w:rPr>
          <w:spacing w:val="16"/>
        </w:rPr>
        <w:t> </w:t>
      </w:r>
      <w:r>
        <w:rPr>
          <w:spacing w:val="-5"/>
        </w:rPr>
        <w:t>is</w:t>
      </w:r>
    </w:p>
    <w:p>
      <w:pPr>
        <w:spacing w:after="0" w:line="480" w:lineRule="auto"/>
        <w:sectPr>
          <w:pgSz w:w="11910" w:h="16840"/>
          <w:pgMar w:header="0" w:footer="1022" w:top="1320" w:bottom="1220" w:left="1680" w:right="900"/>
        </w:sectPr>
      </w:pPr>
    </w:p>
    <w:p>
      <w:pPr>
        <w:pStyle w:val="BodyText"/>
        <w:spacing w:line="480" w:lineRule="auto" w:before="72"/>
        <w:ind w:left="305" w:right="507"/>
      </w:pPr>
      <w:r>
        <w:rPr/>
        <w:t>that it underestimates the amount in the submarkets. More so, the spatial based specification</w:t>
      </w:r>
      <w:r>
        <w:rPr>
          <w:spacing w:val="-7"/>
        </w:rPr>
        <w:t> </w:t>
      </w:r>
      <w:r>
        <w:rPr/>
        <w:t>often</w:t>
      </w:r>
      <w:r>
        <w:rPr>
          <w:spacing w:val="-8"/>
        </w:rPr>
        <w:t> </w:t>
      </w:r>
      <w:r>
        <w:rPr/>
        <w:t>looks</w:t>
      </w:r>
      <w:r>
        <w:rPr>
          <w:spacing w:val="-4"/>
        </w:rPr>
        <w:t> </w:t>
      </w:r>
      <w:r>
        <w:rPr/>
        <w:t>like</w:t>
      </w:r>
      <w:r>
        <w:rPr>
          <w:spacing w:val="-8"/>
        </w:rPr>
        <w:t> </w:t>
      </w:r>
      <w:r>
        <w:rPr/>
        <w:t>an</w:t>
      </w:r>
      <w:r>
        <w:rPr>
          <w:spacing w:val="-7"/>
        </w:rPr>
        <w:t> </w:t>
      </w:r>
      <w:r>
        <w:rPr>
          <w:i/>
        </w:rPr>
        <w:t>ad</w:t>
      </w:r>
      <w:r>
        <w:rPr>
          <w:i/>
          <w:spacing w:val="-7"/>
        </w:rPr>
        <w:t> </w:t>
      </w:r>
      <w:r>
        <w:rPr>
          <w:i/>
        </w:rPr>
        <w:t>hoc</w:t>
      </w:r>
      <w:r>
        <w:rPr>
          <w:i/>
          <w:spacing w:val="-8"/>
        </w:rPr>
        <w:t> </w:t>
      </w:r>
      <w:r>
        <w:rPr/>
        <w:t>reason</w:t>
      </w:r>
      <w:r>
        <w:rPr>
          <w:spacing w:val="-7"/>
        </w:rPr>
        <w:t> </w:t>
      </w:r>
      <w:r>
        <w:rPr/>
        <w:t>be</w:t>
      </w:r>
      <w:r>
        <w:rPr>
          <w:spacing w:val="-8"/>
        </w:rPr>
        <w:t> </w:t>
      </w:r>
      <w:r>
        <w:rPr/>
        <w:t>that</w:t>
      </w:r>
      <w:r>
        <w:rPr>
          <w:spacing w:val="-7"/>
        </w:rPr>
        <w:t> </w:t>
      </w:r>
      <w:r>
        <w:rPr/>
        <w:t>the</w:t>
      </w:r>
      <w:r>
        <w:rPr>
          <w:spacing w:val="-8"/>
        </w:rPr>
        <w:t> </w:t>
      </w:r>
      <w:r>
        <w:rPr/>
        <w:t>use</w:t>
      </w:r>
      <w:r>
        <w:rPr>
          <w:spacing w:val="-8"/>
        </w:rPr>
        <w:t> </w:t>
      </w:r>
      <w:r>
        <w:rPr/>
        <w:t>of</w:t>
      </w:r>
      <w:r>
        <w:rPr>
          <w:spacing w:val="-4"/>
        </w:rPr>
        <w:t> </w:t>
      </w:r>
      <w:r>
        <w:rPr/>
        <w:t>geographical</w:t>
      </w:r>
      <w:r>
        <w:rPr>
          <w:spacing w:val="-7"/>
        </w:rPr>
        <w:t> </w:t>
      </w:r>
      <w:r>
        <w:rPr/>
        <w:t>boundaries that are pre-identified. The requirements also include a prior acknowledgement of the local context and consequently make scientific research complex and not simply replicated (Xiao, 2012).</w:t>
      </w:r>
    </w:p>
    <w:p>
      <w:pPr>
        <w:pStyle w:val="BodyText"/>
        <w:spacing w:line="480" w:lineRule="auto" w:before="240"/>
        <w:ind w:left="305" w:right="515"/>
      </w:pPr>
      <w:r>
        <w:rPr>
          <w:color w:val="212121"/>
        </w:rPr>
        <w:t>As</w:t>
      </w:r>
      <w:r>
        <w:rPr>
          <w:color w:val="212121"/>
          <w:spacing w:val="-3"/>
        </w:rPr>
        <w:t> </w:t>
      </w:r>
      <w:r>
        <w:rPr>
          <w:color w:val="212121"/>
        </w:rPr>
        <w:t>being</w:t>
      </w:r>
      <w:r>
        <w:rPr>
          <w:color w:val="212121"/>
          <w:spacing w:val="-5"/>
        </w:rPr>
        <w:t> </w:t>
      </w:r>
      <w:r>
        <w:rPr>
          <w:color w:val="212121"/>
        </w:rPr>
        <w:t>arbitrary</w:t>
      </w:r>
      <w:r>
        <w:rPr>
          <w:color w:val="212121"/>
          <w:spacing w:val="-7"/>
        </w:rPr>
        <w:t> </w:t>
      </w:r>
      <w:r>
        <w:rPr>
          <w:color w:val="212121"/>
        </w:rPr>
        <w:t>is</w:t>
      </w:r>
      <w:r>
        <w:rPr>
          <w:color w:val="212121"/>
          <w:spacing w:val="-3"/>
        </w:rPr>
        <w:t> </w:t>
      </w:r>
      <w:r>
        <w:rPr>
          <w:color w:val="212121"/>
        </w:rPr>
        <w:t>the</w:t>
      </w:r>
      <w:r>
        <w:rPr>
          <w:color w:val="212121"/>
          <w:spacing w:val="-4"/>
        </w:rPr>
        <w:t> </w:t>
      </w:r>
      <w:r>
        <w:rPr>
          <w:color w:val="212121"/>
        </w:rPr>
        <w:t>criticism</w:t>
      </w:r>
      <w:r>
        <w:rPr>
          <w:color w:val="212121"/>
          <w:spacing w:val="-3"/>
        </w:rPr>
        <w:t> </w:t>
      </w:r>
      <w:r>
        <w:rPr>
          <w:color w:val="212121"/>
        </w:rPr>
        <w:t>of</w:t>
      </w:r>
      <w:r>
        <w:rPr>
          <w:color w:val="212121"/>
          <w:spacing w:val="-3"/>
        </w:rPr>
        <w:t> </w:t>
      </w:r>
      <w:r>
        <w:rPr>
          <w:color w:val="212121"/>
        </w:rPr>
        <w:t>the</w:t>
      </w:r>
      <w:r>
        <w:rPr>
          <w:color w:val="212121"/>
          <w:spacing w:val="-5"/>
        </w:rPr>
        <w:t> </w:t>
      </w:r>
      <w:r>
        <w:rPr>
          <w:color w:val="212121"/>
        </w:rPr>
        <w:t>spatial</w:t>
      </w:r>
      <w:r>
        <w:rPr>
          <w:color w:val="212121"/>
          <w:spacing w:val="-3"/>
        </w:rPr>
        <w:t> </w:t>
      </w:r>
      <w:r>
        <w:rPr>
          <w:color w:val="212121"/>
        </w:rPr>
        <w:t>approach,</w:t>
      </w:r>
      <w:r>
        <w:rPr>
          <w:color w:val="212121"/>
          <w:spacing w:val="-3"/>
        </w:rPr>
        <w:t> </w:t>
      </w:r>
      <w:r>
        <w:rPr>
          <w:color w:val="212121"/>
        </w:rPr>
        <w:t>the</w:t>
      </w:r>
      <w:r>
        <w:rPr>
          <w:color w:val="212121"/>
          <w:spacing w:val="-3"/>
        </w:rPr>
        <w:t> </w:t>
      </w:r>
      <w:r>
        <w:rPr>
          <w:color w:val="212121"/>
        </w:rPr>
        <w:t>criticism</w:t>
      </w:r>
      <w:r>
        <w:rPr>
          <w:color w:val="212121"/>
          <w:spacing w:val="-3"/>
        </w:rPr>
        <w:t> </w:t>
      </w:r>
      <w:r>
        <w:rPr>
          <w:color w:val="212121"/>
        </w:rPr>
        <w:t>of</w:t>
      </w:r>
      <w:r>
        <w:rPr>
          <w:color w:val="212121"/>
          <w:spacing w:val="-3"/>
        </w:rPr>
        <w:t> </w:t>
      </w:r>
      <w:r>
        <w:rPr>
          <w:color w:val="212121"/>
        </w:rPr>
        <w:t>the</w:t>
      </w:r>
      <w:r>
        <w:rPr>
          <w:color w:val="212121"/>
          <w:spacing w:val="-4"/>
        </w:rPr>
        <w:t> </w:t>
      </w:r>
      <w:r>
        <w:rPr>
          <w:color w:val="212121"/>
        </w:rPr>
        <w:t>non-spatial specification</w:t>
      </w:r>
      <w:r>
        <w:rPr>
          <w:color w:val="212121"/>
          <w:spacing w:val="-6"/>
        </w:rPr>
        <w:t> </w:t>
      </w:r>
      <w:r>
        <w:rPr>
          <w:color w:val="212121"/>
        </w:rPr>
        <w:t>being</w:t>
      </w:r>
      <w:r>
        <w:rPr>
          <w:color w:val="212121"/>
          <w:spacing w:val="-7"/>
        </w:rPr>
        <w:t> </w:t>
      </w:r>
      <w:r>
        <w:rPr>
          <w:color w:val="212121"/>
        </w:rPr>
        <w:t>unstable</w:t>
      </w:r>
      <w:r>
        <w:rPr>
          <w:color w:val="212121"/>
          <w:spacing w:val="-8"/>
        </w:rPr>
        <w:t> </w:t>
      </w:r>
      <w:r>
        <w:rPr>
          <w:color w:val="212121"/>
        </w:rPr>
        <w:t>over</w:t>
      </w:r>
      <w:r>
        <w:rPr>
          <w:color w:val="212121"/>
          <w:spacing w:val="-6"/>
        </w:rPr>
        <w:t> </w:t>
      </w:r>
      <w:r>
        <w:rPr>
          <w:color w:val="212121"/>
        </w:rPr>
        <w:t>time.</w:t>
      </w:r>
      <w:r>
        <w:rPr>
          <w:color w:val="212121"/>
          <w:spacing w:val="-8"/>
        </w:rPr>
        <w:t> </w:t>
      </w:r>
      <w:r>
        <w:rPr>
          <w:color w:val="212121"/>
        </w:rPr>
        <w:t>For</w:t>
      </w:r>
      <w:r>
        <w:rPr>
          <w:color w:val="212121"/>
          <w:spacing w:val="-8"/>
        </w:rPr>
        <w:t> </w:t>
      </w:r>
      <w:r>
        <w:rPr>
          <w:color w:val="212121"/>
        </w:rPr>
        <w:t>being</w:t>
      </w:r>
      <w:r>
        <w:rPr>
          <w:color w:val="212121"/>
          <w:spacing w:val="-5"/>
        </w:rPr>
        <w:t> </w:t>
      </w:r>
      <w:r>
        <w:rPr>
          <w:color w:val="212121"/>
        </w:rPr>
        <w:t>a</w:t>
      </w:r>
      <w:r>
        <w:rPr>
          <w:color w:val="212121"/>
          <w:spacing w:val="-8"/>
        </w:rPr>
        <w:t> </w:t>
      </w:r>
      <w:r>
        <w:rPr>
          <w:color w:val="212121"/>
        </w:rPr>
        <w:t>non-spatial</w:t>
      </w:r>
      <w:r>
        <w:rPr>
          <w:color w:val="212121"/>
          <w:spacing w:val="-5"/>
        </w:rPr>
        <w:t> </w:t>
      </w:r>
      <w:r>
        <w:rPr>
          <w:color w:val="212121"/>
        </w:rPr>
        <w:t>nature</w:t>
      </w:r>
      <w:r>
        <w:rPr>
          <w:color w:val="212121"/>
          <w:spacing w:val="-6"/>
        </w:rPr>
        <w:t> </w:t>
      </w:r>
      <w:r>
        <w:rPr>
          <w:color w:val="212121"/>
        </w:rPr>
        <w:t>is</w:t>
      </w:r>
      <w:r>
        <w:rPr>
          <w:color w:val="212121"/>
          <w:spacing w:val="-7"/>
        </w:rPr>
        <w:t> </w:t>
      </w:r>
      <w:r>
        <w:rPr>
          <w:color w:val="212121"/>
        </w:rPr>
        <w:t>another</w:t>
      </w:r>
      <w:r>
        <w:rPr>
          <w:color w:val="212121"/>
          <w:spacing w:val="-8"/>
        </w:rPr>
        <w:t> </w:t>
      </w:r>
      <w:r>
        <w:rPr>
          <w:color w:val="212121"/>
        </w:rPr>
        <w:t>criticism of the approach and its ambiguities in presentation for interventions of policy </w:t>
      </w:r>
      <w:r>
        <w:rPr/>
        <w:t>(Xiao, </w:t>
      </w:r>
      <w:r>
        <w:rPr>
          <w:spacing w:val="-2"/>
        </w:rPr>
        <w:t>2017b)</w:t>
      </w:r>
      <w:r>
        <w:rPr>
          <w:color w:val="212121"/>
          <w:spacing w:val="-2"/>
        </w:rPr>
        <w:t>.</w:t>
      </w:r>
    </w:p>
    <w:p>
      <w:pPr>
        <w:pStyle w:val="BodyText"/>
        <w:spacing w:line="480" w:lineRule="auto" w:before="241"/>
        <w:ind w:left="305" w:right="513"/>
      </w:pPr>
      <w:r>
        <w:rPr>
          <w:color w:val="212121"/>
        </w:rPr>
        <w:t>This indicates that both spatial and non-spatial approaches of housing submarket delineation</w:t>
      </w:r>
      <w:r>
        <w:rPr>
          <w:color w:val="212121"/>
          <w:spacing w:val="-10"/>
        </w:rPr>
        <w:t> </w:t>
      </w:r>
      <w:r>
        <w:rPr>
          <w:color w:val="212121"/>
        </w:rPr>
        <w:t>cannot</w:t>
      </w:r>
      <w:r>
        <w:rPr>
          <w:color w:val="212121"/>
          <w:spacing w:val="-9"/>
        </w:rPr>
        <w:t> </w:t>
      </w:r>
      <w:r>
        <w:rPr>
          <w:color w:val="212121"/>
        </w:rPr>
        <w:t>effectively</w:t>
      </w:r>
      <w:r>
        <w:rPr>
          <w:color w:val="212121"/>
          <w:spacing w:val="-12"/>
        </w:rPr>
        <w:t> </w:t>
      </w:r>
      <w:r>
        <w:rPr>
          <w:color w:val="212121"/>
        </w:rPr>
        <w:t>represent</w:t>
      </w:r>
      <w:r>
        <w:rPr>
          <w:color w:val="212121"/>
          <w:spacing w:val="-7"/>
        </w:rPr>
        <w:t> </w:t>
      </w:r>
      <w:r>
        <w:rPr>
          <w:color w:val="212121"/>
        </w:rPr>
        <w:t>true</w:t>
      </w:r>
      <w:r>
        <w:rPr>
          <w:color w:val="212121"/>
          <w:spacing w:val="-9"/>
        </w:rPr>
        <w:t> </w:t>
      </w:r>
      <w:r>
        <w:rPr>
          <w:color w:val="212121"/>
        </w:rPr>
        <w:t>nature</w:t>
      </w:r>
      <w:r>
        <w:rPr>
          <w:color w:val="212121"/>
          <w:spacing w:val="-8"/>
        </w:rPr>
        <w:t> </w:t>
      </w:r>
      <w:r>
        <w:rPr>
          <w:color w:val="212121"/>
        </w:rPr>
        <w:t>of</w:t>
      </w:r>
      <w:r>
        <w:rPr>
          <w:color w:val="212121"/>
          <w:spacing w:val="-10"/>
        </w:rPr>
        <w:t> </w:t>
      </w:r>
      <w:r>
        <w:rPr>
          <w:color w:val="212121"/>
        </w:rPr>
        <w:t>the</w:t>
      </w:r>
      <w:r>
        <w:rPr>
          <w:color w:val="212121"/>
          <w:spacing w:val="-8"/>
        </w:rPr>
        <w:t> </w:t>
      </w:r>
      <w:r>
        <w:rPr>
          <w:color w:val="212121"/>
        </w:rPr>
        <w:t>submarket.</w:t>
      </w:r>
      <w:r>
        <w:rPr>
          <w:color w:val="212121"/>
          <w:spacing w:val="-7"/>
        </w:rPr>
        <w:t> </w:t>
      </w:r>
      <w:r>
        <w:rPr>
          <w:color w:val="212121"/>
        </w:rPr>
        <w:t>It</w:t>
      </w:r>
      <w:r>
        <w:rPr>
          <w:color w:val="212121"/>
          <w:spacing w:val="-8"/>
        </w:rPr>
        <w:t> </w:t>
      </w:r>
      <w:r>
        <w:rPr>
          <w:color w:val="212121"/>
        </w:rPr>
        <w:t>is</w:t>
      </w:r>
      <w:r>
        <w:rPr>
          <w:color w:val="212121"/>
          <w:spacing w:val="-9"/>
        </w:rPr>
        <w:t> </w:t>
      </w:r>
      <w:r>
        <w:rPr>
          <w:color w:val="212121"/>
        </w:rPr>
        <w:t>therefore</w:t>
      </w:r>
      <w:r>
        <w:rPr>
          <w:color w:val="212121"/>
          <w:spacing w:val="-9"/>
        </w:rPr>
        <w:t> </w:t>
      </w:r>
      <w:r>
        <w:rPr>
          <w:color w:val="212121"/>
        </w:rPr>
        <w:t>better to</w:t>
      </w:r>
      <w:r>
        <w:rPr>
          <w:color w:val="212121"/>
          <w:spacing w:val="-2"/>
        </w:rPr>
        <w:t> </w:t>
      </w:r>
      <w:r>
        <w:rPr>
          <w:color w:val="212121"/>
        </w:rPr>
        <w:t>combine</w:t>
      </w:r>
      <w:r>
        <w:rPr>
          <w:color w:val="212121"/>
          <w:spacing w:val="-2"/>
        </w:rPr>
        <w:t> </w:t>
      </w:r>
      <w:r>
        <w:rPr>
          <w:color w:val="212121"/>
        </w:rPr>
        <w:t>both</w:t>
      </w:r>
      <w:r>
        <w:rPr>
          <w:color w:val="212121"/>
          <w:spacing w:val="-2"/>
        </w:rPr>
        <w:t> </w:t>
      </w:r>
      <w:r>
        <w:rPr>
          <w:color w:val="212121"/>
        </w:rPr>
        <w:t>methods in</w:t>
      </w:r>
      <w:r>
        <w:rPr>
          <w:color w:val="212121"/>
          <w:spacing w:val="-2"/>
        </w:rPr>
        <w:t> </w:t>
      </w:r>
      <w:r>
        <w:rPr>
          <w:color w:val="212121"/>
        </w:rPr>
        <w:t>delineating</w:t>
      </w:r>
      <w:r>
        <w:rPr>
          <w:color w:val="212121"/>
          <w:spacing w:val="-5"/>
        </w:rPr>
        <w:t> </w:t>
      </w:r>
      <w:r>
        <w:rPr>
          <w:color w:val="212121"/>
        </w:rPr>
        <w:t>housing</w:t>
      </w:r>
      <w:r>
        <w:rPr>
          <w:color w:val="212121"/>
          <w:spacing w:val="-5"/>
        </w:rPr>
        <w:t> </w:t>
      </w:r>
      <w:r>
        <w:rPr>
          <w:color w:val="212121"/>
        </w:rPr>
        <w:t>submarket. It is</w:t>
      </w:r>
      <w:r>
        <w:rPr>
          <w:color w:val="212121"/>
          <w:spacing w:val="-2"/>
        </w:rPr>
        <w:t> </w:t>
      </w:r>
      <w:r>
        <w:rPr>
          <w:color w:val="212121"/>
        </w:rPr>
        <w:t>on</w:t>
      </w:r>
      <w:r>
        <w:rPr>
          <w:color w:val="212121"/>
          <w:spacing w:val="-2"/>
        </w:rPr>
        <w:t> </w:t>
      </w:r>
      <w:r>
        <w:rPr>
          <w:color w:val="212121"/>
        </w:rPr>
        <w:t>this</w:t>
      </w:r>
      <w:r>
        <w:rPr>
          <w:color w:val="212121"/>
          <w:spacing w:val="-2"/>
        </w:rPr>
        <w:t> </w:t>
      </w:r>
      <w:r>
        <w:rPr>
          <w:color w:val="212121"/>
        </w:rPr>
        <w:t>background</w:t>
      </w:r>
      <w:r>
        <w:rPr>
          <w:color w:val="212121"/>
          <w:spacing w:val="-2"/>
        </w:rPr>
        <w:t> </w:t>
      </w:r>
      <w:r>
        <w:rPr>
          <w:color w:val="212121"/>
        </w:rPr>
        <w:t>that this study intends to adopt both spatial and non-spatial approaches to delineate housing </w:t>
      </w:r>
      <w:r>
        <w:rPr>
          <w:color w:val="212121"/>
          <w:spacing w:val="-2"/>
        </w:rPr>
        <w:t>submarket.</w:t>
      </w:r>
    </w:p>
    <w:p>
      <w:pPr>
        <w:pStyle w:val="Heading1"/>
        <w:numPr>
          <w:ilvl w:val="1"/>
          <w:numId w:val="5"/>
        </w:numPr>
        <w:tabs>
          <w:tab w:pos="1024" w:val="left" w:leader="none"/>
        </w:tabs>
        <w:spacing w:line="240" w:lineRule="auto" w:before="248" w:after="0"/>
        <w:ind w:left="1024" w:right="0" w:hanging="719"/>
        <w:jc w:val="both"/>
      </w:pPr>
      <w:r>
        <w:rPr/>
        <w:t>Urban</w:t>
      </w:r>
      <w:r>
        <w:rPr>
          <w:spacing w:val="-2"/>
        </w:rPr>
        <w:t> Densification</w:t>
      </w:r>
    </w:p>
    <w:p>
      <w:pPr>
        <w:pStyle w:val="BodyText"/>
        <w:spacing w:before="233"/>
        <w:jc w:val="left"/>
        <w:rPr>
          <w:b/>
        </w:rPr>
      </w:pPr>
    </w:p>
    <w:p>
      <w:pPr>
        <w:pStyle w:val="BodyText"/>
        <w:spacing w:line="480" w:lineRule="auto"/>
        <w:ind w:left="305" w:right="512"/>
      </w:pPr>
      <w:r>
        <w:rPr/>
        <w:t>The on-going debate over the environmental sustainability of different urban forms is both</w:t>
      </w:r>
      <w:r>
        <w:rPr>
          <w:spacing w:val="-3"/>
        </w:rPr>
        <w:t> </w:t>
      </w:r>
      <w:r>
        <w:rPr/>
        <w:t>high</w:t>
      </w:r>
      <w:r>
        <w:rPr>
          <w:spacing w:val="-3"/>
        </w:rPr>
        <w:t> </w:t>
      </w:r>
      <w:r>
        <w:rPr/>
        <w:t>profile</w:t>
      </w:r>
      <w:r>
        <w:rPr>
          <w:spacing w:val="-4"/>
        </w:rPr>
        <w:t> </w:t>
      </w:r>
      <w:r>
        <w:rPr/>
        <w:t>and</w:t>
      </w:r>
      <w:r>
        <w:rPr>
          <w:spacing w:val="-1"/>
        </w:rPr>
        <w:t> </w:t>
      </w:r>
      <w:r>
        <w:rPr/>
        <w:t>contentious.</w:t>
      </w:r>
      <w:r>
        <w:rPr>
          <w:spacing w:val="-1"/>
        </w:rPr>
        <w:t> </w:t>
      </w:r>
      <w:r>
        <w:rPr/>
        <w:t>In</w:t>
      </w:r>
      <w:r>
        <w:rPr>
          <w:spacing w:val="-3"/>
        </w:rPr>
        <w:t> </w:t>
      </w:r>
      <w:r>
        <w:rPr/>
        <w:t>the</w:t>
      </w:r>
      <w:r>
        <w:rPr>
          <w:spacing w:val="-4"/>
        </w:rPr>
        <w:t> </w:t>
      </w:r>
      <w:r>
        <w:rPr/>
        <w:t>context</w:t>
      </w:r>
      <w:r>
        <w:rPr>
          <w:spacing w:val="-3"/>
        </w:rPr>
        <w:t> </w:t>
      </w:r>
      <w:r>
        <w:rPr/>
        <w:t>of</w:t>
      </w:r>
      <w:r>
        <w:rPr>
          <w:spacing w:val="-3"/>
        </w:rPr>
        <w:t> </w:t>
      </w:r>
      <w:r>
        <w:rPr/>
        <w:t>urban</w:t>
      </w:r>
      <w:r>
        <w:rPr>
          <w:spacing w:val="-3"/>
        </w:rPr>
        <w:t> </w:t>
      </w:r>
      <w:r>
        <w:rPr/>
        <w:t>planning</w:t>
      </w:r>
      <w:r>
        <w:rPr>
          <w:spacing w:val="-3"/>
        </w:rPr>
        <w:t> </w:t>
      </w:r>
      <w:r>
        <w:rPr/>
        <w:t>(of</w:t>
      </w:r>
      <w:r>
        <w:rPr>
          <w:spacing w:val="-4"/>
        </w:rPr>
        <w:t> </w:t>
      </w:r>
      <w:r>
        <w:rPr/>
        <w:t>the Global</w:t>
      </w:r>
      <w:r>
        <w:rPr>
          <w:spacing w:val="-3"/>
        </w:rPr>
        <w:t> </w:t>
      </w:r>
      <w:r>
        <w:rPr/>
        <w:t>North) the discussion however seems to be primarily focused around the issue of densification (Schmidt-Thomé </w:t>
      </w:r>
      <w:r>
        <w:rPr>
          <w:i/>
        </w:rPr>
        <w:t>et al</w:t>
      </w:r>
      <w:r>
        <w:rPr/>
        <w:t>., 2013). </w:t>
      </w:r>
      <w:r>
        <w:rPr>
          <w:color w:val="212121"/>
        </w:rPr>
        <w:t>Several policies promotes urban densification (i.e. compact city forms creation or the </w:t>
      </w:r>
      <w:r>
        <w:rPr/>
        <w:t>densification of existing cities) in order to achieve reduction in urban sprawl. Urban densification denotes upsurge</w:t>
      </w:r>
      <w:r>
        <w:rPr>
          <w:spacing w:val="-1"/>
        </w:rPr>
        <w:t> </w:t>
      </w:r>
      <w:r>
        <w:rPr/>
        <w:t>in the urbanisation level of</w:t>
      </w:r>
      <w:r>
        <w:rPr>
          <w:spacing w:val="-15"/>
        </w:rPr>
        <w:t> </w:t>
      </w:r>
      <w:r>
        <w:rPr/>
        <w:t>a</w:t>
      </w:r>
      <w:r>
        <w:rPr>
          <w:spacing w:val="-15"/>
        </w:rPr>
        <w:t> </w:t>
      </w:r>
      <w:r>
        <w:rPr/>
        <w:t>limited</w:t>
      </w:r>
      <w:r>
        <w:rPr>
          <w:spacing w:val="-15"/>
        </w:rPr>
        <w:t> </w:t>
      </w:r>
      <w:r>
        <w:rPr/>
        <w:t>area,</w:t>
      </w:r>
      <w:r>
        <w:rPr>
          <w:spacing w:val="-15"/>
        </w:rPr>
        <w:t> </w:t>
      </w:r>
      <w:r>
        <w:rPr/>
        <w:t>which</w:t>
      </w:r>
      <w:r>
        <w:rPr>
          <w:spacing w:val="-15"/>
        </w:rPr>
        <w:t> </w:t>
      </w:r>
      <w:r>
        <w:rPr/>
        <w:t>could</w:t>
      </w:r>
      <w:r>
        <w:rPr>
          <w:spacing w:val="-15"/>
        </w:rPr>
        <w:t> </w:t>
      </w:r>
      <w:r>
        <w:rPr/>
        <w:t>have</w:t>
      </w:r>
      <w:r>
        <w:rPr>
          <w:spacing w:val="-15"/>
        </w:rPr>
        <w:t> </w:t>
      </w:r>
      <w:r>
        <w:rPr/>
        <w:t>negative</w:t>
      </w:r>
      <w:r>
        <w:rPr>
          <w:spacing w:val="-15"/>
        </w:rPr>
        <w:t> </w:t>
      </w:r>
      <w:r>
        <w:rPr/>
        <w:t>impact</w:t>
      </w:r>
      <w:r>
        <w:rPr>
          <w:spacing w:val="-15"/>
        </w:rPr>
        <w:t> </w:t>
      </w:r>
      <w:r>
        <w:rPr/>
        <w:t>on</w:t>
      </w:r>
      <w:r>
        <w:rPr>
          <w:spacing w:val="-15"/>
        </w:rPr>
        <w:t> </w:t>
      </w:r>
      <w:r>
        <w:rPr/>
        <w:t>the</w:t>
      </w:r>
      <w:r>
        <w:rPr>
          <w:spacing w:val="-15"/>
        </w:rPr>
        <w:t> </w:t>
      </w:r>
      <w:r>
        <w:rPr/>
        <w:t>urban</w:t>
      </w:r>
      <w:r>
        <w:rPr>
          <w:spacing w:val="-15"/>
        </w:rPr>
        <w:t> </w:t>
      </w:r>
      <w:r>
        <w:rPr/>
        <w:t>green</w:t>
      </w:r>
      <w:r>
        <w:rPr>
          <w:spacing w:val="-15"/>
        </w:rPr>
        <w:t> </w:t>
      </w:r>
      <w:r>
        <w:rPr/>
        <w:t>spaces</w:t>
      </w:r>
      <w:r>
        <w:rPr>
          <w:spacing w:val="-15"/>
        </w:rPr>
        <w:t> </w:t>
      </w:r>
      <w:r>
        <w:rPr/>
        <w:t>biodiversity through</w:t>
      </w:r>
      <w:r>
        <w:rPr>
          <w:spacing w:val="-14"/>
        </w:rPr>
        <w:t> </w:t>
      </w:r>
      <w:r>
        <w:rPr/>
        <w:t>habitats</w:t>
      </w:r>
      <w:r>
        <w:rPr>
          <w:spacing w:val="-10"/>
        </w:rPr>
        <w:t> </w:t>
      </w:r>
      <w:r>
        <w:rPr/>
        <w:t>destruction,</w:t>
      </w:r>
      <w:r>
        <w:rPr>
          <w:spacing w:val="-12"/>
        </w:rPr>
        <w:t> </w:t>
      </w:r>
      <w:r>
        <w:rPr/>
        <w:t>pollutions</w:t>
      </w:r>
      <w:r>
        <w:rPr>
          <w:spacing w:val="-13"/>
        </w:rPr>
        <w:t> </w:t>
      </w:r>
      <w:r>
        <w:rPr/>
        <w:t>or</w:t>
      </w:r>
      <w:r>
        <w:rPr>
          <w:spacing w:val="-10"/>
        </w:rPr>
        <w:t> </w:t>
      </w:r>
      <w:r>
        <w:rPr/>
        <w:t>increase</w:t>
      </w:r>
      <w:r>
        <w:rPr>
          <w:spacing w:val="-12"/>
        </w:rPr>
        <w:t> </w:t>
      </w:r>
      <w:r>
        <w:rPr/>
        <w:t>of</w:t>
      </w:r>
      <w:r>
        <w:rPr>
          <w:spacing w:val="-12"/>
        </w:rPr>
        <w:t> </w:t>
      </w:r>
      <w:r>
        <w:rPr/>
        <w:t>soil</w:t>
      </w:r>
      <w:r>
        <w:rPr>
          <w:spacing w:val="-11"/>
        </w:rPr>
        <w:t> </w:t>
      </w:r>
      <w:r>
        <w:rPr/>
        <w:t>temperature,</w:t>
      </w:r>
      <w:r>
        <w:rPr>
          <w:spacing w:val="-11"/>
        </w:rPr>
        <w:t> </w:t>
      </w:r>
      <w:r>
        <w:rPr/>
        <w:t>fragmentation</w:t>
      </w:r>
      <w:r>
        <w:rPr>
          <w:spacing w:val="-11"/>
        </w:rPr>
        <w:t> </w:t>
      </w:r>
      <w:r>
        <w:rPr>
          <w:spacing w:val="-5"/>
        </w:rPr>
        <w:t>and</w:t>
      </w:r>
    </w:p>
    <w:p>
      <w:pPr>
        <w:spacing w:after="0" w:line="480" w:lineRule="auto"/>
        <w:sectPr>
          <w:pgSz w:w="11910" w:h="16840"/>
          <w:pgMar w:header="0" w:footer="1022" w:top="1320" w:bottom="1220" w:left="1680" w:right="900"/>
        </w:sectPr>
      </w:pPr>
    </w:p>
    <w:p>
      <w:pPr>
        <w:pStyle w:val="BodyText"/>
        <w:spacing w:line="480" w:lineRule="auto" w:before="72"/>
        <w:ind w:left="305" w:right="515"/>
      </w:pPr>
      <w:r>
        <w:rPr/>
        <w:t>alteration of sociospatial structure (Vergnes </w:t>
      </w:r>
      <w:r>
        <w:rPr>
          <w:i/>
        </w:rPr>
        <w:t>et al</w:t>
      </w:r>
      <w:r>
        <w:rPr/>
        <w:t>., 2014). Although, urban densification is also viewed as problem solving approach (Leffers &amp; Ballamingie, 2013).</w:t>
      </w:r>
    </w:p>
    <w:p>
      <w:pPr>
        <w:pStyle w:val="BodyText"/>
        <w:spacing w:line="480" w:lineRule="auto" w:before="240"/>
        <w:ind w:left="305" w:right="515"/>
      </w:pPr>
      <w:r>
        <w:rPr/>
        <w:t>However, urban densification conceived as intensification of built-up area as a result of concentrated</w:t>
      </w:r>
      <w:r>
        <w:rPr>
          <w:spacing w:val="-4"/>
        </w:rPr>
        <w:t> </w:t>
      </w:r>
      <w:r>
        <w:rPr/>
        <w:t>urbanisation.</w:t>
      </w:r>
      <w:r>
        <w:rPr>
          <w:spacing w:val="-3"/>
        </w:rPr>
        <w:t> </w:t>
      </w:r>
      <w:r>
        <w:rPr/>
        <w:t>This</w:t>
      </w:r>
      <w:r>
        <w:rPr>
          <w:spacing w:val="-4"/>
        </w:rPr>
        <w:t> </w:t>
      </w:r>
      <w:r>
        <w:rPr/>
        <w:t>has</w:t>
      </w:r>
      <w:r>
        <w:rPr>
          <w:spacing w:val="-4"/>
        </w:rPr>
        <w:t> </w:t>
      </w:r>
      <w:r>
        <w:rPr/>
        <w:t>great</w:t>
      </w:r>
      <w:r>
        <w:rPr>
          <w:spacing w:val="-4"/>
        </w:rPr>
        <w:t> </w:t>
      </w:r>
      <w:r>
        <w:rPr/>
        <w:t>impact</w:t>
      </w:r>
      <w:r>
        <w:rPr>
          <w:spacing w:val="-4"/>
        </w:rPr>
        <w:t> </w:t>
      </w:r>
      <w:r>
        <w:rPr/>
        <w:t>on</w:t>
      </w:r>
      <w:r>
        <w:rPr>
          <w:spacing w:val="-4"/>
        </w:rPr>
        <w:t> </w:t>
      </w:r>
      <w:r>
        <w:rPr/>
        <w:t>urban</w:t>
      </w:r>
      <w:r>
        <w:rPr>
          <w:spacing w:val="-4"/>
        </w:rPr>
        <w:t> </w:t>
      </w:r>
      <w:r>
        <w:rPr/>
        <w:t>forms</w:t>
      </w:r>
      <w:r>
        <w:rPr>
          <w:spacing w:val="-4"/>
        </w:rPr>
        <w:t> </w:t>
      </w:r>
      <w:r>
        <w:rPr/>
        <w:t>and</w:t>
      </w:r>
      <w:r>
        <w:rPr>
          <w:spacing w:val="-4"/>
        </w:rPr>
        <w:t> </w:t>
      </w:r>
      <w:r>
        <w:rPr/>
        <w:t>has</w:t>
      </w:r>
      <w:r>
        <w:rPr>
          <w:spacing w:val="-4"/>
        </w:rPr>
        <w:t> </w:t>
      </w:r>
      <w:r>
        <w:rPr/>
        <w:t>caused</w:t>
      </w:r>
      <w:r>
        <w:rPr>
          <w:spacing w:val="-4"/>
        </w:rPr>
        <w:t> </w:t>
      </w:r>
      <w:r>
        <w:rPr/>
        <w:t>changes in the housing sector most especially the housing market. Density has wide range application</w:t>
      </w:r>
      <w:r>
        <w:rPr>
          <w:spacing w:val="-12"/>
        </w:rPr>
        <w:t> </w:t>
      </w:r>
      <w:r>
        <w:rPr/>
        <w:t>of</w:t>
      </w:r>
      <w:r>
        <w:rPr>
          <w:spacing w:val="-12"/>
        </w:rPr>
        <w:t> </w:t>
      </w:r>
      <w:r>
        <w:rPr/>
        <w:t>application,</w:t>
      </w:r>
      <w:r>
        <w:rPr>
          <w:spacing w:val="-12"/>
        </w:rPr>
        <w:t> </w:t>
      </w:r>
      <w:r>
        <w:rPr/>
        <w:t>in</w:t>
      </w:r>
      <w:r>
        <w:rPr>
          <w:spacing w:val="-11"/>
        </w:rPr>
        <w:t> </w:t>
      </w:r>
      <w:r>
        <w:rPr/>
        <w:t>urban</w:t>
      </w:r>
      <w:r>
        <w:rPr>
          <w:spacing w:val="-12"/>
        </w:rPr>
        <w:t> </w:t>
      </w:r>
      <w:r>
        <w:rPr/>
        <w:t>form,</w:t>
      </w:r>
      <w:r>
        <w:rPr>
          <w:spacing w:val="-11"/>
        </w:rPr>
        <w:t> </w:t>
      </w:r>
      <w:r>
        <w:rPr/>
        <w:t>population</w:t>
      </w:r>
      <w:r>
        <w:rPr>
          <w:spacing w:val="-12"/>
        </w:rPr>
        <w:t> </w:t>
      </w:r>
      <w:r>
        <w:rPr/>
        <w:t>studies,</w:t>
      </w:r>
      <w:r>
        <w:rPr>
          <w:spacing w:val="-11"/>
        </w:rPr>
        <w:t> </w:t>
      </w:r>
      <w:r>
        <w:rPr/>
        <w:t>transport</w:t>
      </w:r>
      <w:r>
        <w:rPr>
          <w:spacing w:val="-12"/>
        </w:rPr>
        <w:t> </w:t>
      </w:r>
      <w:r>
        <w:rPr/>
        <w:t>studies,</w:t>
      </w:r>
      <w:r>
        <w:rPr>
          <w:spacing w:val="-11"/>
        </w:rPr>
        <w:t> </w:t>
      </w:r>
      <w:r>
        <w:rPr/>
        <w:t>residential development,</w:t>
      </w:r>
      <w:r>
        <w:rPr>
          <w:spacing w:val="-6"/>
        </w:rPr>
        <w:t> </w:t>
      </w:r>
      <w:r>
        <w:rPr/>
        <w:t>commercial</w:t>
      </w:r>
      <w:r>
        <w:rPr>
          <w:spacing w:val="-6"/>
        </w:rPr>
        <w:t> </w:t>
      </w:r>
      <w:r>
        <w:rPr/>
        <w:t>development,</w:t>
      </w:r>
      <w:r>
        <w:rPr>
          <w:spacing w:val="-6"/>
        </w:rPr>
        <w:t> </w:t>
      </w:r>
      <w:r>
        <w:rPr/>
        <w:t>in</w:t>
      </w:r>
      <w:r>
        <w:rPr>
          <w:spacing w:val="-6"/>
        </w:rPr>
        <w:t> </w:t>
      </w:r>
      <w:r>
        <w:rPr/>
        <w:t>architecture</w:t>
      </w:r>
      <w:r>
        <w:rPr>
          <w:spacing w:val="-8"/>
        </w:rPr>
        <w:t> </w:t>
      </w:r>
      <w:r>
        <w:rPr/>
        <w:t>and</w:t>
      </w:r>
      <w:r>
        <w:rPr>
          <w:spacing w:val="-7"/>
        </w:rPr>
        <w:t> </w:t>
      </w:r>
      <w:r>
        <w:rPr/>
        <w:t>a</w:t>
      </w:r>
      <w:r>
        <w:rPr>
          <w:spacing w:val="-8"/>
        </w:rPr>
        <w:t> </w:t>
      </w:r>
      <w:r>
        <w:rPr/>
        <w:t>varied</w:t>
      </w:r>
      <w:r>
        <w:rPr>
          <w:spacing w:val="-4"/>
        </w:rPr>
        <w:t> </w:t>
      </w:r>
      <w:r>
        <w:rPr/>
        <w:t>range</w:t>
      </w:r>
      <w:r>
        <w:rPr>
          <w:spacing w:val="-5"/>
        </w:rPr>
        <w:t> </w:t>
      </w:r>
      <w:r>
        <w:rPr/>
        <w:t>of</w:t>
      </w:r>
      <w:r>
        <w:rPr>
          <w:spacing w:val="-8"/>
        </w:rPr>
        <w:t> </w:t>
      </w:r>
      <w:r>
        <w:rPr/>
        <w:t>professions (Medayese </w:t>
      </w:r>
      <w:r>
        <w:rPr>
          <w:i/>
        </w:rPr>
        <w:t>et al</w:t>
      </w:r>
      <w:r>
        <w:rPr/>
        <w:t>., 2015). According to Obateru (2005) density in urban forms can be measured in various ways; residential density, population density, housing density, occupancy rate, accommodation density, bedspace density and floor spare rate.</w:t>
      </w:r>
    </w:p>
    <w:p>
      <w:pPr>
        <w:pStyle w:val="BodyText"/>
        <w:spacing w:line="480" w:lineRule="auto" w:before="241"/>
        <w:ind w:left="305" w:right="514"/>
      </w:pPr>
      <w:r>
        <w:rPr/>
        <w:t>Residential density</w:t>
      </w:r>
      <w:r>
        <w:rPr>
          <w:spacing w:val="-5"/>
        </w:rPr>
        <w:t> </w:t>
      </w:r>
      <w:r>
        <w:rPr/>
        <w:t>is the ratio of a population to residential land area. This measure</w:t>
      </w:r>
      <w:r>
        <w:rPr>
          <w:spacing w:val="-1"/>
        </w:rPr>
        <w:t> </w:t>
      </w:r>
      <w:r>
        <w:rPr/>
        <w:t>can be</w:t>
      </w:r>
      <w:r>
        <w:rPr>
          <w:spacing w:val="-7"/>
        </w:rPr>
        <w:t> </w:t>
      </w:r>
      <w:r>
        <w:rPr/>
        <w:t>further</w:t>
      </w:r>
      <w:r>
        <w:rPr>
          <w:spacing w:val="-7"/>
        </w:rPr>
        <w:t> </w:t>
      </w:r>
      <w:r>
        <w:rPr/>
        <w:t>classified</w:t>
      </w:r>
      <w:r>
        <w:rPr>
          <w:spacing w:val="-6"/>
        </w:rPr>
        <w:t> </w:t>
      </w:r>
      <w:r>
        <w:rPr/>
        <w:t>in</w:t>
      </w:r>
      <w:r>
        <w:rPr>
          <w:spacing w:val="-5"/>
        </w:rPr>
        <w:t> </w:t>
      </w:r>
      <w:r>
        <w:rPr/>
        <w:t>terms</w:t>
      </w:r>
      <w:r>
        <w:rPr>
          <w:spacing w:val="-5"/>
        </w:rPr>
        <w:t> </w:t>
      </w:r>
      <w:r>
        <w:rPr/>
        <w:t>of</w:t>
      </w:r>
      <w:r>
        <w:rPr>
          <w:spacing w:val="-7"/>
        </w:rPr>
        <w:t> </w:t>
      </w:r>
      <w:r>
        <w:rPr/>
        <w:t>net</w:t>
      </w:r>
      <w:r>
        <w:rPr>
          <w:spacing w:val="-5"/>
        </w:rPr>
        <w:t> </w:t>
      </w:r>
      <w:r>
        <w:rPr/>
        <w:t>and</w:t>
      </w:r>
      <w:r>
        <w:rPr>
          <w:spacing w:val="-6"/>
        </w:rPr>
        <w:t> </w:t>
      </w:r>
      <w:r>
        <w:rPr/>
        <w:t>gross</w:t>
      </w:r>
      <w:r>
        <w:rPr>
          <w:spacing w:val="-6"/>
        </w:rPr>
        <w:t> </w:t>
      </w:r>
      <w:r>
        <w:rPr/>
        <w:t>residential</w:t>
      </w:r>
      <w:r>
        <w:rPr>
          <w:spacing w:val="-5"/>
        </w:rPr>
        <w:t> </w:t>
      </w:r>
      <w:r>
        <w:rPr/>
        <w:t>densities</w:t>
      </w:r>
      <w:r>
        <w:rPr>
          <w:spacing w:val="-6"/>
        </w:rPr>
        <w:t> </w:t>
      </w:r>
      <w:r>
        <w:rPr/>
        <w:t>based</w:t>
      </w:r>
      <w:r>
        <w:rPr>
          <w:spacing w:val="-6"/>
        </w:rPr>
        <w:t> </w:t>
      </w:r>
      <w:r>
        <w:rPr/>
        <w:t>on</w:t>
      </w:r>
      <w:r>
        <w:rPr>
          <w:spacing w:val="-6"/>
        </w:rPr>
        <w:t> </w:t>
      </w:r>
      <w:r>
        <w:rPr/>
        <w:t>the</w:t>
      </w:r>
      <w:r>
        <w:rPr>
          <w:spacing w:val="-6"/>
        </w:rPr>
        <w:t> </w:t>
      </w:r>
      <w:r>
        <w:rPr/>
        <w:t>definition of the reference area. However, there is no consensus on the definitions of</w:t>
      </w:r>
      <w:r>
        <w:rPr>
          <w:spacing w:val="-3"/>
        </w:rPr>
        <w:t> </w:t>
      </w:r>
      <w:r>
        <w:rPr/>
        <w:t>net and gross areas; they vary across cities and countries (Medayese </w:t>
      </w:r>
      <w:r>
        <w:rPr>
          <w:i/>
        </w:rPr>
        <w:t>et al</w:t>
      </w:r>
      <w:r>
        <w:rPr/>
        <w:t>., 2015). Obateru (2005) conceived</w:t>
      </w:r>
      <w:r>
        <w:rPr>
          <w:spacing w:val="-13"/>
        </w:rPr>
        <w:t> </w:t>
      </w:r>
      <w:r>
        <w:rPr/>
        <w:t>residential</w:t>
      </w:r>
      <w:r>
        <w:rPr>
          <w:spacing w:val="-10"/>
        </w:rPr>
        <w:t> </w:t>
      </w:r>
      <w:r>
        <w:rPr/>
        <w:t>density</w:t>
      </w:r>
      <w:r>
        <w:rPr>
          <w:spacing w:val="-15"/>
        </w:rPr>
        <w:t> </w:t>
      </w:r>
      <w:r>
        <w:rPr/>
        <w:t>to</w:t>
      </w:r>
      <w:r>
        <w:rPr>
          <w:spacing w:val="-10"/>
        </w:rPr>
        <w:t> </w:t>
      </w:r>
      <w:r>
        <w:rPr/>
        <w:t>be</w:t>
      </w:r>
      <w:r>
        <w:rPr>
          <w:spacing w:val="-12"/>
        </w:rPr>
        <w:t> </w:t>
      </w:r>
      <w:r>
        <w:rPr/>
        <w:t>the</w:t>
      </w:r>
      <w:r>
        <w:rPr>
          <w:spacing w:val="-11"/>
        </w:rPr>
        <w:t> </w:t>
      </w:r>
      <w:r>
        <w:rPr/>
        <w:t>entire</w:t>
      </w:r>
      <w:r>
        <w:rPr>
          <w:spacing w:val="-12"/>
        </w:rPr>
        <w:t> </w:t>
      </w:r>
      <w:r>
        <w:rPr/>
        <w:t>built-up</w:t>
      </w:r>
      <w:r>
        <w:rPr>
          <w:spacing w:val="-11"/>
        </w:rPr>
        <w:t> </w:t>
      </w:r>
      <w:r>
        <w:rPr/>
        <w:t>area</w:t>
      </w:r>
      <w:r>
        <w:rPr>
          <w:spacing w:val="-11"/>
        </w:rPr>
        <w:t> </w:t>
      </w:r>
      <w:r>
        <w:rPr/>
        <w:t>of</w:t>
      </w:r>
      <w:r>
        <w:rPr>
          <w:spacing w:val="-11"/>
        </w:rPr>
        <w:t> </w:t>
      </w:r>
      <w:r>
        <w:rPr/>
        <w:t>human</w:t>
      </w:r>
      <w:r>
        <w:rPr>
          <w:spacing w:val="-11"/>
        </w:rPr>
        <w:t> </w:t>
      </w:r>
      <w:r>
        <w:rPr/>
        <w:t>settlement.</w:t>
      </w:r>
      <w:r>
        <w:rPr>
          <w:spacing w:val="-10"/>
        </w:rPr>
        <w:t> </w:t>
      </w:r>
      <w:r>
        <w:rPr/>
        <w:t>Broitman and</w:t>
      </w:r>
      <w:r>
        <w:rPr>
          <w:spacing w:val="-15"/>
        </w:rPr>
        <w:t> </w:t>
      </w:r>
      <w:r>
        <w:rPr/>
        <w:t>Koomen</w:t>
      </w:r>
      <w:r>
        <w:rPr>
          <w:spacing w:val="-13"/>
        </w:rPr>
        <w:t> </w:t>
      </w:r>
      <w:r>
        <w:rPr/>
        <w:t>(2015)</w:t>
      </w:r>
      <w:r>
        <w:rPr>
          <w:spacing w:val="-14"/>
        </w:rPr>
        <w:t> </w:t>
      </w:r>
      <w:r>
        <w:rPr/>
        <w:t>see</w:t>
      </w:r>
      <w:r>
        <w:rPr>
          <w:spacing w:val="-15"/>
        </w:rPr>
        <w:t> </w:t>
      </w:r>
      <w:r>
        <w:rPr/>
        <w:t>urban</w:t>
      </w:r>
      <w:r>
        <w:rPr>
          <w:spacing w:val="-15"/>
        </w:rPr>
        <w:t> </w:t>
      </w:r>
      <w:r>
        <w:rPr/>
        <w:t>densification</w:t>
      </w:r>
      <w:r>
        <w:rPr>
          <w:spacing w:val="-13"/>
        </w:rPr>
        <w:t> </w:t>
      </w:r>
      <w:r>
        <w:rPr/>
        <w:t>as</w:t>
      </w:r>
      <w:r>
        <w:rPr>
          <w:spacing w:val="-15"/>
        </w:rPr>
        <w:t> </w:t>
      </w:r>
      <w:r>
        <w:rPr/>
        <w:t>the</w:t>
      </w:r>
      <w:r>
        <w:rPr>
          <w:spacing w:val="-11"/>
        </w:rPr>
        <w:t> </w:t>
      </w:r>
      <w:r>
        <w:rPr/>
        <w:t>housing</w:t>
      </w:r>
      <w:r>
        <w:rPr>
          <w:spacing w:val="-15"/>
        </w:rPr>
        <w:t> </w:t>
      </w:r>
      <w:r>
        <w:rPr/>
        <w:t>units</w:t>
      </w:r>
      <w:r>
        <w:rPr>
          <w:spacing w:val="-13"/>
        </w:rPr>
        <w:t> </w:t>
      </w:r>
      <w:r>
        <w:rPr/>
        <w:t>added</w:t>
      </w:r>
      <w:r>
        <w:rPr>
          <w:spacing w:val="-13"/>
        </w:rPr>
        <w:t> </w:t>
      </w:r>
      <w:r>
        <w:rPr/>
        <w:t>within</w:t>
      </w:r>
      <w:r>
        <w:rPr>
          <w:spacing w:val="-15"/>
        </w:rPr>
        <w:t> </w:t>
      </w:r>
      <w:r>
        <w:rPr/>
        <w:t>the</w:t>
      </w:r>
      <w:r>
        <w:rPr>
          <w:spacing w:val="-14"/>
        </w:rPr>
        <w:t> </w:t>
      </w:r>
      <w:r>
        <w:rPr/>
        <w:t>existing urban area. Therefore, this study conceived urban densification in form of residential density growth (i.e. growth in the built-up area).</w:t>
      </w:r>
    </w:p>
    <w:p>
      <w:pPr>
        <w:pStyle w:val="Heading1"/>
        <w:numPr>
          <w:ilvl w:val="2"/>
          <w:numId w:val="5"/>
        </w:numPr>
        <w:tabs>
          <w:tab w:pos="1024" w:val="left" w:leader="none"/>
        </w:tabs>
        <w:spacing w:line="240" w:lineRule="auto" w:before="246" w:after="0"/>
        <w:ind w:left="1024" w:right="0" w:hanging="719"/>
        <w:jc w:val="both"/>
      </w:pPr>
      <w:r>
        <w:rPr/>
        <w:t>Urban</w:t>
      </w:r>
      <w:r>
        <w:rPr>
          <w:spacing w:val="-1"/>
        </w:rPr>
        <w:t> </w:t>
      </w:r>
      <w:r>
        <w:rPr/>
        <w:t>morphology,</w:t>
      </w:r>
      <w:r>
        <w:rPr>
          <w:spacing w:val="-1"/>
        </w:rPr>
        <w:t> </w:t>
      </w:r>
      <w:r>
        <w:rPr/>
        <w:t>density</w:t>
      </w:r>
      <w:r>
        <w:rPr>
          <w:spacing w:val="-1"/>
        </w:rPr>
        <w:t> </w:t>
      </w:r>
      <w:r>
        <w:rPr/>
        <w:t>and</w:t>
      </w:r>
      <w:r>
        <w:rPr>
          <w:spacing w:val="-3"/>
        </w:rPr>
        <w:t> </w:t>
      </w:r>
      <w:r>
        <w:rPr>
          <w:spacing w:val="-2"/>
        </w:rPr>
        <w:t>densification</w:t>
      </w:r>
    </w:p>
    <w:p>
      <w:pPr>
        <w:pStyle w:val="BodyText"/>
        <w:spacing w:before="232"/>
        <w:jc w:val="left"/>
        <w:rPr>
          <w:b/>
        </w:rPr>
      </w:pPr>
    </w:p>
    <w:p>
      <w:pPr>
        <w:pStyle w:val="BodyText"/>
        <w:spacing w:line="480" w:lineRule="auto"/>
        <w:ind w:left="305" w:right="513"/>
      </w:pPr>
      <w:r>
        <w:rPr/>
        <w:t>There</w:t>
      </w:r>
      <w:r>
        <w:rPr>
          <w:spacing w:val="-9"/>
        </w:rPr>
        <w:t> </w:t>
      </w:r>
      <w:r>
        <w:rPr/>
        <w:t>are</w:t>
      </w:r>
      <w:r>
        <w:rPr>
          <w:spacing w:val="-8"/>
        </w:rPr>
        <w:t> </w:t>
      </w:r>
      <w:r>
        <w:rPr/>
        <w:t>three</w:t>
      </w:r>
      <w:r>
        <w:rPr>
          <w:spacing w:val="-8"/>
        </w:rPr>
        <w:t> </w:t>
      </w:r>
      <w:r>
        <w:rPr/>
        <w:t>basic</w:t>
      </w:r>
      <w:r>
        <w:rPr>
          <w:spacing w:val="-8"/>
        </w:rPr>
        <w:t> </w:t>
      </w:r>
      <w:r>
        <w:rPr/>
        <w:t>concepts</w:t>
      </w:r>
      <w:r>
        <w:rPr>
          <w:spacing w:val="-7"/>
        </w:rPr>
        <w:t> </w:t>
      </w:r>
      <w:r>
        <w:rPr/>
        <w:t>used</w:t>
      </w:r>
      <w:r>
        <w:rPr>
          <w:spacing w:val="-7"/>
        </w:rPr>
        <w:t> </w:t>
      </w:r>
      <w:r>
        <w:rPr/>
        <w:t>by</w:t>
      </w:r>
      <w:r>
        <w:rPr>
          <w:spacing w:val="-12"/>
        </w:rPr>
        <w:t> </w:t>
      </w:r>
      <w:r>
        <w:rPr/>
        <w:t>urban</w:t>
      </w:r>
      <w:r>
        <w:rPr>
          <w:spacing w:val="-7"/>
        </w:rPr>
        <w:t> </w:t>
      </w:r>
      <w:r>
        <w:rPr/>
        <w:t>planners</w:t>
      </w:r>
      <w:r>
        <w:rPr>
          <w:spacing w:val="-8"/>
        </w:rPr>
        <w:t> </w:t>
      </w:r>
      <w:r>
        <w:rPr/>
        <w:t>to</w:t>
      </w:r>
      <w:r>
        <w:rPr>
          <w:spacing w:val="-7"/>
        </w:rPr>
        <w:t> </w:t>
      </w:r>
      <w:r>
        <w:rPr/>
        <w:t>address</w:t>
      </w:r>
      <w:r>
        <w:rPr>
          <w:spacing w:val="-7"/>
        </w:rPr>
        <w:t> </w:t>
      </w:r>
      <w:r>
        <w:rPr/>
        <w:t>the</w:t>
      </w:r>
      <w:r>
        <w:rPr>
          <w:spacing w:val="-8"/>
        </w:rPr>
        <w:t> </w:t>
      </w:r>
      <w:r>
        <w:rPr/>
        <w:t>issue</w:t>
      </w:r>
      <w:r>
        <w:rPr>
          <w:spacing w:val="-8"/>
        </w:rPr>
        <w:t> </w:t>
      </w:r>
      <w:r>
        <w:rPr/>
        <w:t>of</w:t>
      </w:r>
      <w:r>
        <w:rPr>
          <w:spacing w:val="-8"/>
        </w:rPr>
        <w:t> </w:t>
      </w:r>
      <w:r>
        <w:rPr/>
        <w:t>how</w:t>
      </w:r>
      <w:r>
        <w:rPr>
          <w:spacing w:val="-8"/>
        </w:rPr>
        <w:t> </w:t>
      </w:r>
      <w:r>
        <w:rPr/>
        <w:t>density affects people’s lives; density, perceived density and crowding (Alexander, 1993). Density described relationship between a given physical area and the number of objects in that area (Medayese </w:t>
      </w:r>
      <w:r>
        <w:rPr>
          <w:i/>
        </w:rPr>
        <w:t>et al</w:t>
      </w:r>
      <w:r>
        <w:rPr/>
        <w:t>., 2015). Density has an intrinsic relationship with urban morphology;</w:t>
      </w:r>
      <w:r>
        <w:rPr>
          <w:spacing w:val="-4"/>
        </w:rPr>
        <w:t> </w:t>
      </w:r>
      <w:r>
        <w:rPr/>
        <w:t>it</w:t>
      </w:r>
      <w:r>
        <w:rPr>
          <w:spacing w:val="-1"/>
        </w:rPr>
        <w:t> </w:t>
      </w:r>
      <w:r>
        <w:rPr/>
        <w:t>plays</w:t>
      </w:r>
      <w:r>
        <w:rPr>
          <w:spacing w:val="-1"/>
        </w:rPr>
        <w:t> </w:t>
      </w:r>
      <w:r>
        <w:rPr/>
        <w:t>an</w:t>
      </w:r>
      <w:r>
        <w:rPr>
          <w:spacing w:val="-1"/>
        </w:rPr>
        <w:t> </w:t>
      </w:r>
      <w:r>
        <w:rPr/>
        <w:t>important</w:t>
      </w:r>
      <w:r>
        <w:rPr>
          <w:spacing w:val="-1"/>
        </w:rPr>
        <w:t> </w:t>
      </w:r>
      <w:r>
        <w:rPr/>
        <w:t>role</w:t>
      </w:r>
      <w:r>
        <w:rPr>
          <w:spacing w:val="-1"/>
        </w:rPr>
        <w:t> </w:t>
      </w:r>
      <w:r>
        <w:rPr/>
        <w:t>in</w:t>
      </w:r>
      <w:r>
        <w:rPr>
          <w:spacing w:val="-1"/>
        </w:rPr>
        <w:t> </w:t>
      </w:r>
      <w:r>
        <w:rPr/>
        <w:t>the</w:t>
      </w:r>
      <w:r>
        <w:rPr>
          <w:spacing w:val="-2"/>
        </w:rPr>
        <w:t> </w:t>
      </w:r>
      <w:r>
        <w:rPr/>
        <w:t>shaping</w:t>
      </w:r>
      <w:r>
        <w:rPr>
          <w:spacing w:val="-3"/>
        </w:rPr>
        <w:t> </w:t>
      </w:r>
      <w:r>
        <w:rPr/>
        <w:t>of</w:t>
      </w:r>
      <w:r>
        <w:rPr>
          <w:spacing w:val="-1"/>
        </w:rPr>
        <w:t> </w:t>
      </w:r>
      <w:r>
        <w:rPr/>
        <w:t>urban</w:t>
      </w:r>
      <w:r>
        <w:rPr>
          <w:spacing w:val="-1"/>
        </w:rPr>
        <w:t> </w:t>
      </w:r>
      <w:r>
        <w:rPr/>
        <w:t>forms.</w:t>
      </w:r>
      <w:r>
        <w:rPr>
          <w:spacing w:val="-1"/>
        </w:rPr>
        <w:t> </w:t>
      </w:r>
      <w:r>
        <w:rPr/>
        <w:t>One of</w:t>
      </w:r>
      <w:r>
        <w:rPr>
          <w:spacing w:val="-1"/>
        </w:rPr>
        <w:t> </w:t>
      </w:r>
      <w:r>
        <w:rPr/>
        <w:t>the</w:t>
      </w:r>
      <w:r>
        <w:rPr>
          <w:spacing w:val="-3"/>
        </w:rPr>
        <w:t> </w:t>
      </w:r>
      <w:r>
        <w:rPr>
          <w:spacing w:val="-2"/>
        </w:rPr>
        <w:t>pioneer</w:t>
      </w:r>
    </w:p>
    <w:p>
      <w:pPr>
        <w:spacing w:after="0" w:line="480" w:lineRule="auto"/>
        <w:sectPr>
          <w:pgSz w:w="11910" w:h="16840"/>
          <w:pgMar w:header="0" w:footer="1022" w:top="1320" w:bottom="1220" w:left="1680" w:right="900"/>
        </w:sectPr>
      </w:pPr>
    </w:p>
    <w:p>
      <w:pPr>
        <w:pStyle w:val="BodyText"/>
        <w:spacing w:line="480" w:lineRule="auto" w:before="72"/>
        <w:ind w:left="305" w:right="511"/>
      </w:pPr>
      <w:r>
        <w:rPr/>
        <w:t>planners Ebenezer Howard pointed out that countryside have less density and greener environment compared to the growing industrial city (Medayese </w:t>
      </w:r>
      <w:r>
        <w:rPr>
          <w:i/>
        </w:rPr>
        <w:t>et al</w:t>
      </w:r>
      <w:r>
        <w:rPr/>
        <w:t>., 2015). Alonso suggest</w:t>
      </w:r>
      <w:r>
        <w:rPr>
          <w:spacing w:val="-10"/>
        </w:rPr>
        <w:t> </w:t>
      </w:r>
      <w:r>
        <w:rPr/>
        <w:t>that</w:t>
      </w:r>
      <w:r>
        <w:rPr>
          <w:spacing w:val="-10"/>
        </w:rPr>
        <w:t> </w:t>
      </w:r>
      <w:r>
        <w:rPr/>
        <w:t>moving</w:t>
      </w:r>
      <w:r>
        <w:rPr>
          <w:spacing w:val="-11"/>
        </w:rPr>
        <w:t> </w:t>
      </w:r>
      <w:r>
        <w:rPr/>
        <w:t>closer</w:t>
      </w:r>
      <w:r>
        <w:rPr>
          <w:spacing w:val="-12"/>
        </w:rPr>
        <w:t> </w:t>
      </w:r>
      <w:r>
        <w:rPr/>
        <w:t>to</w:t>
      </w:r>
      <w:r>
        <w:rPr>
          <w:spacing w:val="-11"/>
        </w:rPr>
        <w:t> </w:t>
      </w:r>
      <w:r>
        <w:rPr/>
        <w:t>the</w:t>
      </w:r>
      <w:r>
        <w:rPr>
          <w:spacing w:val="-12"/>
        </w:rPr>
        <w:t> </w:t>
      </w:r>
      <w:r>
        <w:rPr/>
        <w:t>city</w:t>
      </w:r>
      <w:r>
        <w:rPr>
          <w:spacing w:val="-13"/>
        </w:rPr>
        <w:t> </w:t>
      </w:r>
      <w:r>
        <w:rPr/>
        <w:t>centre</w:t>
      </w:r>
      <w:r>
        <w:rPr>
          <w:spacing w:val="-12"/>
        </w:rPr>
        <w:t> </w:t>
      </w:r>
      <w:r>
        <w:rPr/>
        <w:t>the</w:t>
      </w:r>
      <w:r>
        <w:rPr>
          <w:spacing w:val="-9"/>
        </w:rPr>
        <w:t> </w:t>
      </w:r>
      <w:r>
        <w:rPr/>
        <w:t>density</w:t>
      </w:r>
      <w:r>
        <w:rPr>
          <w:spacing w:val="-15"/>
        </w:rPr>
        <w:t> </w:t>
      </w:r>
      <w:r>
        <w:rPr/>
        <w:t>increases</w:t>
      </w:r>
      <w:r>
        <w:rPr>
          <w:spacing w:val="-9"/>
        </w:rPr>
        <w:t> </w:t>
      </w:r>
      <w:r>
        <w:rPr/>
        <w:t>and</w:t>
      </w:r>
      <w:r>
        <w:rPr>
          <w:spacing w:val="-9"/>
        </w:rPr>
        <w:t> </w:t>
      </w:r>
      <w:r>
        <w:rPr/>
        <w:t>distance</w:t>
      </w:r>
      <w:r>
        <w:rPr>
          <w:spacing w:val="-10"/>
        </w:rPr>
        <w:t> </w:t>
      </w:r>
      <w:r>
        <w:rPr/>
        <w:t>away</w:t>
      </w:r>
      <w:r>
        <w:rPr>
          <w:spacing w:val="-13"/>
        </w:rPr>
        <w:t> </w:t>
      </w:r>
      <w:r>
        <w:rPr/>
        <w:t>from the city centre causes decrease in density (Alonso, 1964). Density refers to by the two authors is both population density and housing density which result from rapid </w:t>
      </w:r>
      <w:r>
        <w:rPr>
          <w:spacing w:val="-2"/>
        </w:rPr>
        <w:t>urbanisation.</w:t>
      </w:r>
    </w:p>
    <w:p>
      <w:pPr>
        <w:pStyle w:val="BodyText"/>
        <w:spacing w:line="480" w:lineRule="auto" w:before="240"/>
        <w:ind w:left="305" w:right="510"/>
      </w:pPr>
      <w:r>
        <w:rPr/>
        <w:t>More</w:t>
      </w:r>
      <w:r>
        <w:rPr>
          <w:spacing w:val="-15"/>
        </w:rPr>
        <w:t> </w:t>
      </w:r>
      <w:r>
        <w:rPr/>
        <w:t>recently,</w:t>
      </w:r>
      <w:r>
        <w:rPr>
          <w:spacing w:val="-15"/>
        </w:rPr>
        <w:t> </w:t>
      </w:r>
      <w:r>
        <w:rPr/>
        <w:t>studies</w:t>
      </w:r>
      <w:r>
        <w:rPr>
          <w:spacing w:val="-15"/>
        </w:rPr>
        <w:t> </w:t>
      </w:r>
      <w:r>
        <w:rPr/>
        <w:t>shows</w:t>
      </w:r>
      <w:r>
        <w:rPr>
          <w:spacing w:val="-15"/>
        </w:rPr>
        <w:t> </w:t>
      </w:r>
      <w:r>
        <w:rPr/>
        <w:t>that</w:t>
      </w:r>
      <w:r>
        <w:rPr>
          <w:spacing w:val="-15"/>
        </w:rPr>
        <w:t> </w:t>
      </w:r>
      <w:r>
        <w:rPr/>
        <w:t>compact</w:t>
      </w:r>
      <w:r>
        <w:rPr>
          <w:spacing w:val="-15"/>
        </w:rPr>
        <w:t> </w:t>
      </w:r>
      <w:r>
        <w:rPr/>
        <w:t>development</w:t>
      </w:r>
      <w:r>
        <w:rPr>
          <w:spacing w:val="-15"/>
        </w:rPr>
        <w:t> </w:t>
      </w:r>
      <w:r>
        <w:rPr/>
        <w:t>provides</w:t>
      </w:r>
      <w:r>
        <w:rPr>
          <w:spacing w:val="-15"/>
        </w:rPr>
        <w:t> </w:t>
      </w:r>
      <w:r>
        <w:rPr/>
        <w:t>solutions</w:t>
      </w:r>
      <w:r>
        <w:rPr>
          <w:spacing w:val="-15"/>
        </w:rPr>
        <w:t> </w:t>
      </w:r>
      <w:r>
        <w:rPr/>
        <w:t>to</w:t>
      </w:r>
      <w:r>
        <w:rPr>
          <w:spacing w:val="-15"/>
        </w:rPr>
        <w:t> </w:t>
      </w:r>
      <w:r>
        <w:rPr/>
        <w:t>many</w:t>
      </w:r>
      <w:r>
        <w:rPr>
          <w:spacing w:val="-15"/>
        </w:rPr>
        <w:t> </w:t>
      </w:r>
      <w:r>
        <w:rPr/>
        <w:t>urban problems such as reducing urban sprawl and infrastructure provision (Broitman &amp; Koomen, 2015; Chhipi-Shrestha </w:t>
      </w:r>
      <w:r>
        <w:rPr>
          <w:i/>
        </w:rPr>
        <w:t>et al</w:t>
      </w:r>
      <w:r>
        <w:rPr/>
        <w:t>., 2017; Vergnes </w:t>
      </w:r>
      <w:r>
        <w:rPr>
          <w:i/>
        </w:rPr>
        <w:t>et al</w:t>
      </w:r>
      <w:r>
        <w:rPr/>
        <w:t>., 2014). This results to many compact cities in Europe and Americas (Medayese </w:t>
      </w:r>
      <w:r>
        <w:rPr>
          <w:i/>
        </w:rPr>
        <w:t>et al</w:t>
      </w:r>
      <w:r>
        <w:rPr/>
        <w:t>., 2015). However, considering Howard’s</w:t>
      </w:r>
      <w:r>
        <w:rPr>
          <w:spacing w:val="-2"/>
        </w:rPr>
        <w:t> </w:t>
      </w:r>
      <w:r>
        <w:rPr/>
        <w:t>and</w:t>
      </w:r>
      <w:r>
        <w:rPr>
          <w:spacing w:val="-4"/>
        </w:rPr>
        <w:t> </w:t>
      </w:r>
      <w:r>
        <w:rPr/>
        <w:t>Alonso’s</w:t>
      </w:r>
      <w:r>
        <w:rPr>
          <w:spacing w:val="-5"/>
        </w:rPr>
        <w:t> </w:t>
      </w:r>
      <w:r>
        <w:rPr/>
        <w:t>thought</w:t>
      </w:r>
      <w:r>
        <w:rPr>
          <w:spacing w:val="-4"/>
        </w:rPr>
        <w:t> </w:t>
      </w:r>
      <w:r>
        <w:rPr/>
        <w:t>and</w:t>
      </w:r>
      <w:r>
        <w:rPr>
          <w:spacing w:val="-4"/>
        </w:rPr>
        <w:t> </w:t>
      </w:r>
      <w:r>
        <w:rPr/>
        <w:t>the</w:t>
      </w:r>
      <w:r>
        <w:rPr>
          <w:spacing w:val="-5"/>
        </w:rPr>
        <w:t> </w:t>
      </w:r>
      <w:r>
        <w:rPr/>
        <w:t>recent</w:t>
      </w:r>
      <w:r>
        <w:rPr>
          <w:spacing w:val="-4"/>
        </w:rPr>
        <w:t> </w:t>
      </w:r>
      <w:r>
        <w:rPr/>
        <w:t>compact</w:t>
      </w:r>
      <w:r>
        <w:rPr>
          <w:spacing w:val="-4"/>
        </w:rPr>
        <w:t> </w:t>
      </w:r>
      <w:r>
        <w:rPr/>
        <w:t>development</w:t>
      </w:r>
      <w:r>
        <w:rPr>
          <w:spacing w:val="-4"/>
        </w:rPr>
        <w:t> </w:t>
      </w:r>
      <w:r>
        <w:rPr/>
        <w:t>that</w:t>
      </w:r>
      <w:r>
        <w:rPr>
          <w:spacing w:val="-4"/>
        </w:rPr>
        <w:t> </w:t>
      </w:r>
      <w:r>
        <w:rPr/>
        <w:t>changes</w:t>
      </w:r>
      <w:r>
        <w:rPr>
          <w:spacing w:val="-5"/>
        </w:rPr>
        <w:t> </w:t>
      </w:r>
      <w:r>
        <w:rPr/>
        <w:t>urban morphology, urban densification can be referred to as planned urban densification (deliberate) and unplanned urban densification (not deliberate). Therefore urban densification can be divided into two categories; planned urban densification and unplanned urban densification. This study is more inclined to unplanned urban </w:t>
      </w:r>
      <w:r>
        <w:rPr>
          <w:spacing w:val="-2"/>
        </w:rPr>
        <w:t>densification.</w:t>
      </w:r>
    </w:p>
    <w:p>
      <w:pPr>
        <w:pStyle w:val="BodyText"/>
        <w:spacing w:line="480" w:lineRule="auto" w:before="242"/>
        <w:ind w:left="305" w:right="510"/>
      </w:pPr>
      <w:r>
        <w:rPr/>
        <w:t>Amer </w:t>
      </w:r>
      <w:r>
        <w:rPr>
          <w:i/>
        </w:rPr>
        <w:t>et al</w:t>
      </w:r>
      <w:r>
        <w:rPr/>
        <w:t>. (2017) examines urban densification through roof stacking where three consecutive levels (urban, social and engineering) systematic approach was considered. Identification f multiple criteria was carried out to map and assess the potential of roof stacking as regards number of added floors and location. Using ArcGIS software, maps were produced for roof stacking of Brussels at the city scale which signifies potential urban</w:t>
      </w:r>
      <w:r>
        <w:rPr>
          <w:spacing w:val="-6"/>
        </w:rPr>
        <w:t> </w:t>
      </w:r>
      <w:r>
        <w:rPr/>
        <w:t>densification.</w:t>
      </w:r>
      <w:r>
        <w:rPr>
          <w:spacing w:val="-6"/>
        </w:rPr>
        <w:t> </w:t>
      </w:r>
      <w:r>
        <w:rPr/>
        <w:t>Their</w:t>
      </w:r>
      <w:r>
        <w:rPr>
          <w:spacing w:val="-6"/>
        </w:rPr>
        <w:t> </w:t>
      </w:r>
      <w:r>
        <w:rPr/>
        <w:t>findings</w:t>
      </w:r>
      <w:r>
        <w:rPr>
          <w:spacing w:val="-6"/>
        </w:rPr>
        <w:t> </w:t>
      </w:r>
      <w:r>
        <w:rPr/>
        <w:t>revealed</w:t>
      </w:r>
      <w:r>
        <w:rPr>
          <w:spacing w:val="-3"/>
        </w:rPr>
        <w:t> </w:t>
      </w:r>
      <w:r>
        <w:rPr/>
        <w:t>a</w:t>
      </w:r>
      <w:r>
        <w:rPr>
          <w:spacing w:val="-5"/>
        </w:rPr>
        <w:t> </w:t>
      </w:r>
      <w:r>
        <w:rPr/>
        <w:t>realistic</w:t>
      </w:r>
      <w:r>
        <w:rPr>
          <w:spacing w:val="-7"/>
        </w:rPr>
        <w:t> </w:t>
      </w:r>
      <w:r>
        <w:rPr/>
        <w:t>potential</w:t>
      </w:r>
      <w:r>
        <w:rPr>
          <w:spacing w:val="-6"/>
        </w:rPr>
        <w:t> </w:t>
      </w:r>
      <w:r>
        <w:rPr/>
        <w:t>of</w:t>
      </w:r>
      <w:r>
        <w:rPr>
          <w:spacing w:val="-7"/>
        </w:rPr>
        <w:t> </w:t>
      </w:r>
      <w:r>
        <w:rPr/>
        <w:t>about</w:t>
      </w:r>
      <w:r>
        <w:rPr>
          <w:spacing w:val="-5"/>
        </w:rPr>
        <w:t> </w:t>
      </w:r>
      <w:r>
        <w:rPr/>
        <w:t>30%</w:t>
      </w:r>
      <w:r>
        <w:rPr>
          <w:spacing w:val="-7"/>
        </w:rPr>
        <w:t> </w:t>
      </w:r>
      <w:r>
        <w:rPr/>
        <w:t>increase</w:t>
      </w:r>
      <w:r>
        <w:rPr>
          <w:spacing w:val="-7"/>
        </w:rPr>
        <w:t> </w:t>
      </w:r>
      <w:r>
        <w:rPr/>
        <w:t>in Brussels</w:t>
      </w:r>
      <w:r>
        <w:rPr>
          <w:spacing w:val="-2"/>
        </w:rPr>
        <w:t> </w:t>
      </w:r>
      <w:r>
        <w:rPr/>
        <w:t>city</w:t>
      </w:r>
      <w:r>
        <w:rPr>
          <w:spacing w:val="-7"/>
        </w:rPr>
        <w:t> </w:t>
      </w:r>
      <w:r>
        <w:rPr/>
        <w:t>population</w:t>
      </w:r>
      <w:r>
        <w:rPr>
          <w:spacing w:val="-2"/>
        </w:rPr>
        <w:t> </w:t>
      </w:r>
      <w:r>
        <w:rPr/>
        <w:t>was</w:t>
      </w:r>
      <w:r>
        <w:rPr>
          <w:spacing w:val="-5"/>
        </w:rPr>
        <w:t> </w:t>
      </w:r>
      <w:r>
        <w:rPr/>
        <w:t>expected</w:t>
      </w:r>
      <w:r>
        <w:rPr>
          <w:spacing w:val="-3"/>
        </w:rPr>
        <w:t> </w:t>
      </w:r>
      <w:r>
        <w:rPr/>
        <w:t>by</w:t>
      </w:r>
      <w:r>
        <w:rPr>
          <w:spacing w:val="-10"/>
        </w:rPr>
        <w:t> </w:t>
      </w:r>
      <w:r>
        <w:rPr/>
        <w:t>the year</w:t>
      </w:r>
      <w:r>
        <w:rPr>
          <w:spacing w:val="-3"/>
        </w:rPr>
        <w:t> </w:t>
      </w:r>
      <w:r>
        <w:rPr/>
        <w:t>2040</w:t>
      </w:r>
      <w:r>
        <w:rPr>
          <w:spacing w:val="-5"/>
        </w:rPr>
        <w:t> </w:t>
      </w:r>
      <w:r>
        <w:rPr/>
        <w:t>using</w:t>
      </w:r>
      <w:r>
        <w:rPr>
          <w:spacing w:val="-4"/>
        </w:rPr>
        <w:t> </w:t>
      </w:r>
      <w:r>
        <w:rPr/>
        <w:t>roof</w:t>
      </w:r>
      <w:r>
        <w:rPr>
          <w:spacing w:val="-4"/>
        </w:rPr>
        <w:t> </w:t>
      </w:r>
      <w:r>
        <w:rPr/>
        <w:t>stacking</w:t>
      </w:r>
      <w:r>
        <w:rPr>
          <w:spacing w:val="-5"/>
        </w:rPr>
        <w:t> </w:t>
      </w:r>
      <w:r>
        <w:rPr/>
        <w:t>only,</w:t>
      </w:r>
      <w:r>
        <w:rPr>
          <w:spacing w:val="-3"/>
        </w:rPr>
        <w:t> </w:t>
      </w:r>
      <w:r>
        <w:rPr/>
        <w:t>as</w:t>
      </w:r>
      <w:r>
        <w:rPr>
          <w:spacing w:val="-5"/>
        </w:rPr>
        <w:t> </w:t>
      </w:r>
      <w:r>
        <w:rPr/>
        <w:t>long as</w:t>
      </w:r>
      <w:r>
        <w:rPr>
          <w:spacing w:val="11"/>
        </w:rPr>
        <w:t> </w:t>
      </w:r>
      <w:r>
        <w:rPr/>
        <w:t>the</w:t>
      </w:r>
      <w:r>
        <w:rPr>
          <w:spacing w:val="13"/>
        </w:rPr>
        <w:t> </w:t>
      </w:r>
      <w:r>
        <w:rPr/>
        <w:t>present</w:t>
      </w:r>
      <w:r>
        <w:rPr>
          <w:spacing w:val="14"/>
        </w:rPr>
        <w:t> </w:t>
      </w:r>
      <w:r>
        <w:rPr/>
        <w:t>urban</w:t>
      </w:r>
      <w:r>
        <w:rPr>
          <w:spacing w:val="14"/>
        </w:rPr>
        <w:t> </w:t>
      </w:r>
      <w:r>
        <w:rPr/>
        <w:t>regulations</w:t>
      </w:r>
      <w:r>
        <w:rPr>
          <w:spacing w:val="14"/>
        </w:rPr>
        <w:t> </w:t>
      </w:r>
      <w:r>
        <w:rPr/>
        <w:t>are</w:t>
      </w:r>
      <w:r>
        <w:rPr>
          <w:spacing w:val="14"/>
        </w:rPr>
        <w:t> </w:t>
      </w:r>
      <w:r>
        <w:rPr/>
        <w:t>adhered</w:t>
      </w:r>
      <w:r>
        <w:rPr>
          <w:spacing w:val="13"/>
        </w:rPr>
        <w:t> </w:t>
      </w:r>
      <w:r>
        <w:rPr/>
        <w:t>to.</w:t>
      </w:r>
      <w:r>
        <w:rPr>
          <w:spacing w:val="16"/>
        </w:rPr>
        <w:t> </w:t>
      </w:r>
      <w:r>
        <w:rPr/>
        <w:t>Chandrabose</w:t>
      </w:r>
      <w:r>
        <w:rPr>
          <w:spacing w:val="17"/>
        </w:rPr>
        <w:t> </w:t>
      </w:r>
      <w:r>
        <w:rPr/>
        <w:t>(2019)</w:t>
      </w:r>
      <w:r>
        <w:rPr>
          <w:spacing w:val="16"/>
        </w:rPr>
        <w:t> </w:t>
      </w:r>
      <w:r>
        <w:rPr/>
        <w:t>conducted</w:t>
      </w:r>
      <w:r>
        <w:rPr>
          <w:spacing w:val="13"/>
        </w:rPr>
        <w:t> </w:t>
      </w:r>
      <w:r>
        <w:rPr/>
        <w:t>a</w:t>
      </w:r>
      <w:r>
        <w:rPr>
          <w:spacing w:val="13"/>
        </w:rPr>
        <w:t> </w:t>
      </w:r>
      <w:r>
        <w:rPr>
          <w:spacing w:val="-2"/>
        </w:rPr>
        <w:t>study</w:t>
      </w:r>
    </w:p>
    <w:p>
      <w:pPr>
        <w:pStyle w:val="BodyText"/>
        <w:spacing w:line="274" w:lineRule="exact"/>
        <w:ind w:left="305"/>
      </w:pPr>
      <w:r>
        <w:rPr/>
        <w:t>on</w:t>
      </w:r>
      <w:r>
        <w:rPr>
          <w:spacing w:val="15"/>
        </w:rPr>
        <w:t> </w:t>
      </w:r>
      <w:r>
        <w:rPr/>
        <w:t>urban</w:t>
      </w:r>
      <w:r>
        <w:rPr>
          <w:spacing w:val="17"/>
        </w:rPr>
        <w:t> </w:t>
      </w:r>
      <w:r>
        <w:rPr/>
        <w:t>densification</w:t>
      </w:r>
      <w:r>
        <w:rPr>
          <w:spacing w:val="21"/>
        </w:rPr>
        <w:t> </w:t>
      </w:r>
      <w:r>
        <w:rPr/>
        <w:t>and</w:t>
      </w:r>
      <w:r>
        <w:rPr>
          <w:spacing w:val="17"/>
        </w:rPr>
        <w:t> </w:t>
      </w:r>
      <w:r>
        <w:rPr/>
        <w:t>12-year</w:t>
      </w:r>
      <w:r>
        <w:rPr>
          <w:spacing w:val="19"/>
        </w:rPr>
        <w:t> </w:t>
      </w:r>
      <w:r>
        <w:rPr/>
        <w:t>changes</w:t>
      </w:r>
      <w:r>
        <w:rPr>
          <w:spacing w:val="21"/>
        </w:rPr>
        <w:t> </w:t>
      </w:r>
      <w:r>
        <w:rPr/>
        <w:t>in</w:t>
      </w:r>
      <w:r>
        <w:rPr>
          <w:spacing w:val="18"/>
        </w:rPr>
        <w:t> </w:t>
      </w:r>
      <w:r>
        <w:rPr/>
        <w:t>cardiovascular</w:t>
      </w:r>
      <w:r>
        <w:rPr>
          <w:spacing w:val="17"/>
        </w:rPr>
        <w:t> </w:t>
      </w:r>
      <w:r>
        <w:rPr/>
        <w:t>risk</w:t>
      </w:r>
      <w:r>
        <w:rPr>
          <w:spacing w:val="18"/>
        </w:rPr>
        <w:t> </w:t>
      </w:r>
      <w:r>
        <w:rPr/>
        <w:t>markers</w:t>
      </w:r>
      <w:r>
        <w:rPr>
          <w:spacing w:val="17"/>
        </w:rPr>
        <w:t> </w:t>
      </w:r>
      <w:r>
        <w:rPr/>
        <w:t>where</w:t>
      </w:r>
      <w:r>
        <w:rPr>
          <w:spacing w:val="18"/>
        </w:rPr>
        <w:t> </w:t>
      </w:r>
      <w:r>
        <w:rPr>
          <w:spacing w:val="-2"/>
        </w:rPr>
        <w:t>their</w:t>
      </w:r>
    </w:p>
    <w:p>
      <w:pPr>
        <w:spacing w:after="0" w:line="274" w:lineRule="exact"/>
        <w:sectPr>
          <w:pgSz w:w="11910" w:h="16840"/>
          <w:pgMar w:header="0" w:footer="1022" w:top="1320" w:bottom="1220" w:left="1680" w:right="900"/>
        </w:sectPr>
      </w:pPr>
    </w:p>
    <w:p>
      <w:pPr>
        <w:pStyle w:val="BodyText"/>
        <w:spacing w:line="480" w:lineRule="auto" w:before="72"/>
        <w:ind w:left="305" w:right="517"/>
      </w:pPr>
      <w:r>
        <w:rPr/>
        <w:t>findings suggest that, at least in the context of Australia, urban densification may be protective against obesity risk but may have adverse effects on blood lipids and blood </w:t>
      </w:r>
      <w:r>
        <w:rPr>
          <w:spacing w:val="-2"/>
        </w:rPr>
        <w:t>pressure.</w:t>
      </w:r>
    </w:p>
    <w:p>
      <w:pPr>
        <w:pStyle w:val="BodyText"/>
        <w:spacing w:line="480" w:lineRule="auto" w:before="240"/>
        <w:ind w:left="305" w:right="515"/>
      </w:pPr>
      <w:r>
        <w:rPr/>
        <w:t>In a different perspectives, Delmelle </w:t>
      </w:r>
      <w:r>
        <w:rPr>
          <w:i/>
        </w:rPr>
        <w:t>et al</w:t>
      </w:r>
      <w:r>
        <w:rPr/>
        <w:t>. (2014) assesses urban densification without growth management where it focused on local land development and housing trends in Charlotte, North Carolina, USA. The study relied on the current land and real estate property records and reconstitute the urban map of Charlotte using World War II as a starting point. Ghadami and Newman (2019) investigate the effect of the urban densification</w:t>
      </w:r>
      <w:r>
        <w:rPr>
          <w:spacing w:val="-1"/>
        </w:rPr>
        <w:t> </w:t>
      </w:r>
      <w:r>
        <w:rPr/>
        <w:t>policies</w:t>
      </w:r>
      <w:r>
        <w:rPr>
          <w:spacing w:val="-2"/>
        </w:rPr>
        <w:t> </w:t>
      </w:r>
      <w:r>
        <w:rPr/>
        <w:t>made</w:t>
      </w:r>
      <w:r>
        <w:rPr>
          <w:spacing w:val="-2"/>
        </w:rPr>
        <w:t> </w:t>
      </w:r>
      <w:r>
        <w:rPr/>
        <w:t>after</w:t>
      </w:r>
      <w:r>
        <w:rPr>
          <w:spacing w:val="-2"/>
        </w:rPr>
        <w:t> </w:t>
      </w:r>
      <w:r>
        <w:rPr/>
        <w:t>the Islamic</w:t>
      </w:r>
      <w:r>
        <w:rPr>
          <w:spacing w:val="-2"/>
        </w:rPr>
        <w:t> </w:t>
      </w:r>
      <w:r>
        <w:rPr/>
        <w:t>Revolution</w:t>
      </w:r>
      <w:r>
        <w:rPr>
          <w:spacing w:val="-1"/>
        </w:rPr>
        <w:t> </w:t>
      </w:r>
      <w:r>
        <w:rPr/>
        <w:t>on</w:t>
      </w:r>
      <w:r>
        <w:rPr>
          <w:spacing w:val="-1"/>
        </w:rPr>
        <w:t> </w:t>
      </w:r>
      <w:r>
        <w:rPr/>
        <w:t>the</w:t>
      </w:r>
      <w:r>
        <w:rPr>
          <w:spacing w:val="-2"/>
        </w:rPr>
        <w:t> </w:t>
      </w:r>
      <w:r>
        <w:rPr/>
        <w:t>urban</w:t>
      </w:r>
      <w:r>
        <w:rPr>
          <w:spacing w:val="-1"/>
        </w:rPr>
        <w:t> </w:t>
      </w:r>
      <w:r>
        <w:rPr/>
        <w:t>spatial</w:t>
      </w:r>
      <w:r>
        <w:rPr>
          <w:spacing w:val="-1"/>
        </w:rPr>
        <w:t> </w:t>
      </w:r>
      <w:r>
        <w:rPr/>
        <w:t>structure</w:t>
      </w:r>
      <w:r>
        <w:rPr>
          <w:spacing w:val="-3"/>
        </w:rPr>
        <w:t> </w:t>
      </w:r>
      <w:r>
        <w:rPr/>
        <w:t>of Tehran as the most important metropolis in Iran. The Hot Spot approach based on the Getis</w:t>
      </w:r>
      <w:r>
        <w:rPr>
          <w:spacing w:val="-2"/>
        </w:rPr>
        <w:t> </w:t>
      </w:r>
      <w:r>
        <w:rPr/>
        <w:t>Ord Local G</w:t>
      </w:r>
      <w:r>
        <w:rPr>
          <w:spacing w:val="-2"/>
        </w:rPr>
        <w:t> </w:t>
      </w:r>
      <w:r>
        <w:rPr/>
        <w:t>statistical</w:t>
      </w:r>
      <w:r>
        <w:rPr>
          <w:spacing w:val="-2"/>
        </w:rPr>
        <w:t> </w:t>
      </w:r>
      <w:r>
        <w:rPr/>
        <w:t>test</w:t>
      </w:r>
      <w:r>
        <w:rPr>
          <w:spacing w:val="-2"/>
        </w:rPr>
        <w:t> </w:t>
      </w:r>
      <w:r>
        <w:rPr/>
        <w:t>and</w:t>
      </w:r>
      <w:r>
        <w:rPr>
          <w:spacing w:val="-1"/>
        </w:rPr>
        <w:t> </w:t>
      </w:r>
      <w:r>
        <w:rPr/>
        <w:t>Arc</w:t>
      </w:r>
      <w:r>
        <w:rPr>
          <w:spacing w:val="-3"/>
        </w:rPr>
        <w:t> </w:t>
      </w:r>
      <w:r>
        <w:rPr/>
        <w:t>GIS</w:t>
      </w:r>
      <w:r>
        <w:rPr>
          <w:spacing w:val="-2"/>
        </w:rPr>
        <w:t> </w:t>
      </w:r>
      <w:r>
        <w:rPr/>
        <w:t>10.2</w:t>
      </w:r>
      <w:r>
        <w:rPr>
          <w:spacing w:val="-2"/>
        </w:rPr>
        <w:t> </w:t>
      </w:r>
      <w:r>
        <w:rPr/>
        <w:t>software</w:t>
      </w:r>
      <w:r>
        <w:rPr>
          <w:spacing w:val="-3"/>
        </w:rPr>
        <w:t> </w:t>
      </w:r>
      <w:r>
        <w:rPr/>
        <w:t>was</w:t>
      </w:r>
      <w:r>
        <w:rPr>
          <w:spacing w:val="-2"/>
        </w:rPr>
        <w:t> </w:t>
      </w:r>
      <w:r>
        <w:rPr/>
        <w:t>employed where</w:t>
      </w:r>
      <w:r>
        <w:rPr>
          <w:spacing w:val="-3"/>
        </w:rPr>
        <w:t> </w:t>
      </w:r>
      <w:r>
        <w:rPr/>
        <w:t>it</w:t>
      </w:r>
      <w:r>
        <w:rPr>
          <w:spacing w:val="-2"/>
        </w:rPr>
        <w:t> </w:t>
      </w:r>
      <w:r>
        <w:rPr/>
        <w:t>was found</w:t>
      </w:r>
      <w:r>
        <w:rPr>
          <w:spacing w:val="-15"/>
        </w:rPr>
        <w:t> </w:t>
      </w:r>
      <w:r>
        <w:rPr/>
        <w:t>out</w:t>
      </w:r>
      <w:r>
        <w:rPr>
          <w:spacing w:val="-13"/>
        </w:rPr>
        <w:t> </w:t>
      </w:r>
      <w:r>
        <w:rPr/>
        <w:t>that</w:t>
      </w:r>
      <w:r>
        <w:rPr>
          <w:spacing w:val="-12"/>
        </w:rPr>
        <w:t> </w:t>
      </w:r>
      <w:r>
        <w:rPr/>
        <w:t>the</w:t>
      </w:r>
      <w:r>
        <w:rPr>
          <w:spacing w:val="-13"/>
        </w:rPr>
        <w:t> </w:t>
      </w:r>
      <w:r>
        <w:rPr/>
        <w:t>spatial</w:t>
      </w:r>
      <w:r>
        <w:rPr>
          <w:spacing w:val="-12"/>
        </w:rPr>
        <w:t> </w:t>
      </w:r>
      <w:r>
        <w:rPr/>
        <w:t>structure</w:t>
      </w:r>
      <w:r>
        <w:rPr>
          <w:spacing w:val="-13"/>
        </w:rPr>
        <w:t> </w:t>
      </w:r>
      <w:r>
        <w:rPr/>
        <w:t>of</w:t>
      </w:r>
      <w:r>
        <w:rPr>
          <w:spacing w:val="-13"/>
        </w:rPr>
        <w:t> </w:t>
      </w:r>
      <w:r>
        <w:rPr/>
        <w:t>Tehran</w:t>
      </w:r>
      <w:r>
        <w:rPr>
          <w:spacing w:val="-12"/>
        </w:rPr>
        <w:t> </w:t>
      </w:r>
      <w:r>
        <w:rPr/>
        <w:t>was</w:t>
      </w:r>
      <w:r>
        <w:rPr>
          <w:spacing w:val="-12"/>
        </w:rPr>
        <w:t> </w:t>
      </w:r>
      <w:r>
        <w:rPr/>
        <w:t>affected</w:t>
      </w:r>
      <w:r>
        <w:rPr>
          <w:spacing w:val="-12"/>
        </w:rPr>
        <w:t> </w:t>
      </w:r>
      <w:r>
        <w:rPr/>
        <w:t>by</w:t>
      </w:r>
      <w:r>
        <w:rPr>
          <w:spacing w:val="-15"/>
        </w:rPr>
        <w:t> </w:t>
      </w:r>
      <w:r>
        <w:rPr/>
        <w:t>the</w:t>
      </w:r>
      <w:r>
        <w:rPr>
          <w:spacing w:val="-13"/>
        </w:rPr>
        <w:t> </w:t>
      </w:r>
      <w:r>
        <w:rPr/>
        <w:t>non-spatial</w:t>
      </w:r>
      <w:r>
        <w:rPr>
          <w:spacing w:val="-9"/>
        </w:rPr>
        <w:t> </w:t>
      </w:r>
      <w:r>
        <w:rPr/>
        <w:t>densification policies for 30 years.</w:t>
      </w:r>
    </w:p>
    <w:p>
      <w:pPr>
        <w:pStyle w:val="BodyText"/>
        <w:spacing w:line="480" w:lineRule="auto" w:before="242"/>
        <w:ind w:left="305" w:right="513"/>
      </w:pPr>
      <w:r>
        <w:rPr/>
        <w:t>Urban densification is conceived as urban regeneration method. For example, Treija </w:t>
      </w:r>
      <w:r>
        <w:rPr>
          <w:i/>
        </w:rPr>
        <w:t>et al</w:t>
      </w:r>
      <w:r>
        <w:rPr/>
        <w:t>. (2018) examines the existing approaches focused on densification in large housing estates in order to define the typical challenges of this process, the examples of infill developments</w:t>
      </w:r>
      <w:r>
        <w:rPr>
          <w:spacing w:val="-3"/>
        </w:rPr>
        <w:t> </w:t>
      </w:r>
      <w:r>
        <w:rPr/>
        <w:t>in</w:t>
      </w:r>
      <w:r>
        <w:rPr>
          <w:spacing w:val="-3"/>
        </w:rPr>
        <w:t> </w:t>
      </w:r>
      <w:r>
        <w:rPr/>
        <w:t>large</w:t>
      </w:r>
      <w:r>
        <w:rPr>
          <w:spacing w:val="-4"/>
        </w:rPr>
        <w:t> </w:t>
      </w:r>
      <w:r>
        <w:rPr/>
        <w:t>housing</w:t>
      </w:r>
      <w:r>
        <w:rPr>
          <w:spacing w:val="-6"/>
        </w:rPr>
        <w:t> </w:t>
      </w:r>
      <w:r>
        <w:rPr/>
        <w:t>area</w:t>
      </w:r>
      <w:r>
        <w:rPr>
          <w:spacing w:val="-2"/>
        </w:rPr>
        <w:t> </w:t>
      </w:r>
      <w:r>
        <w:rPr/>
        <w:t>Imanta</w:t>
      </w:r>
      <w:r>
        <w:rPr>
          <w:spacing w:val="-4"/>
        </w:rPr>
        <w:t> </w:t>
      </w:r>
      <w:r>
        <w:rPr/>
        <w:t>in</w:t>
      </w:r>
      <w:r>
        <w:rPr>
          <w:spacing w:val="-3"/>
        </w:rPr>
        <w:t> </w:t>
      </w:r>
      <w:r>
        <w:rPr/>
        <w:t>Riga</w:t>
      </w:r>
      <w:r>
        <w:rPr>
          <w:spacing w:val="-3"/>
        </w:rPr>
        <w:t> </w:t>
      </w:r>
      <w:r>
        <w:rPr/>
        <w:t>was</w:t>
      </w:r>
      <w:r>
        <w:rPr>
          <w:spacing w:val="-3"/>
        </w:rPr>
        <w:t> </w:t>
      </w:r>
      <w:r>
        <w:rPr/>
        <w:t>analysed. Vuckovic</w:t>
      </w:r>
      <w:r>
        <w:rPr>
          <w:spacing w:val="-4"/>
        </w:rPr>
        <w:t> </w:t>
      </w:r>
      <w:r>
        <w:rPr>
          <w:i/>
        </w:rPr>
        <w:t>et</w:t>
      </w:r>
      <w:r>
        <w:rPr>
          <w:i/>
          <w:spacing w:val="-3"/>
        </w:rPr>
        <w:t> </w:t>
      </w:r>
      <w:r>
        <w:rPr>
          <w:i/>
        </w:rPr>
        <w:t>al</w:t>
      </w:r>
      <w:r>
        <w:rPr/>
        <w:t>.</w:t>
      </w:r>
      <w:r>
        <w:rPr>
          <w:spacing w:val="-3"/>
        </w:rPr>
        <w:t> </w:t>
      </w:r>
      <w:r>
        <w:rPr/>
        <w:t>(2019) investigates urban densification potential in the effects of heat island mitigation and outdoor thermal conditions improvement in Vienna, Austria. Urban microclimate were simulated for both pre and post densification scenarios where the Rhinoceros 3D (parametric</w:t>
      </w:r>
      <w:r>
        <w:rPr>
          <w:spacing w:val="-10"/>
        </w:rPr>
        <w:t> </w:t>
      </w:r>
      <w:r>
        <w:rPr/>
        <w:t>modelling</w:t>
      </w:r>
      <w:r>
        <w:rPr>
          <w:spacing w:val="-11"/>
        </w:rPr>
        <w:t> </w:t>
      </w:r>
      <w:r>
        <w:rPr/>
        <w:t>environment)</w:t>
      </w:r>
      <w:r>
        <w:rPr>
          <w:spacing w:val="-10"/>
        </w:rPr>
        <w:t> </w:t>
      </w:r>
      <w:r>
        <w:rPr/>
        <w:t>was</w:t>
      </w:r>
      <w:r>
        <w:rPr>
          <w:spacing w:val="-9"/>
        </w:rPr>
        <w:t> </w:t>
      </w:r>
      <w:r>
        <w:rPr/>
        <w:t>considered</w:t>
      </w:r>
      <w:r>
        <w:rPr>
          <w:spacing w:val="-9"/>
        </w:rPr>
        <w:t> </w:t>
      </w:r>
      <w:r>
        <w:rPr/>
        <w:t>and</w:t>
      </w:r>
      <w:r>
        <w:rPr>
          <w:spacing w:val="-9"/>
        </w:rPr>
        <w:t> </w:t>
      </w:r>
      <w:r>
        <w:rPr/>
        <w:t>Grasshopper</w:t>
      </w:r>
      <w:r>
        <w:rPr>
          <w:spacing w:val="-9"/>
        </w:rPr>
        <w:t> </w:t>
      </w:r>
      <w:r>
        <w:rPr/>
        <w:t>was</w:t>
      </w:r>
      <w:r>
        <w:rPr>
          <w:spacing w:val="-7"/>
        </w:rPr>
        <w:t> </w:t>
      </w:r>
      <w:r>
        <w:rPr/>
        <w:t>used</w:t>
      </w:r>
      <w:r>
        <w:rPr>
          <w:spacing w:val="-9"/>
        </w:rPr>
        <w:t> </w:t>
      </w:r>
      <w:r>
        <w:rPr/>
        <w:t>for</w:t>
      </w:r>
      <w:r>
        <w:rPr>
          <w:spacing w:val="-10"/>
        </w:rPr>
        <w:t> </w:t>
      </w:r>
      <w:r>
        <w:rPr/>
        <w:t>built- in</w:t>
      </w:r>
      <w:r>
        <w:rPr>
          <w:spacing w:val="-8"/>
        </w:rPr>
        <w:t> </w:t>
      </w:r>
      <w:r>
        <w:rPr/>
        <w:t>algorithms</w:t>
      </w:r>
      <w:r>
        <w:rPr>
          <w:spacing w:val="-8"/>
        </w:rPr>
        <w:t> </w:t>
      </w:r>
      <w:r>
        <w:rPr/>
        <w:t>in</w:t>
      </w:r>
      <w:r>
        <w:rPr>
          <w:spacing w:val="-8"/>
        </w:rPr>
        <w:t> </w:t>
      </w:r>
      <w:r>
        <w:rPr/>
        <w:t>the</w:t>
      </w:r>
      <w:r>
        <w:rPr>
          <w:spacing w:val="-9"/>
        </w:rPr>
        <w:t> </w:t>
      </w:r>
      <w:r>
        <w:rPr/>
        <w:t>Rhino’s</w:t>
      </w:r>
      <w:r>
        <w:rPr>
          <w:spacing w:val="-9"/>
        </w:rPr>
        <w:t> </w:t>
      </w:r>
      <w:r>
        <w:rPr/>
        <w:t>plug-in.</w:t>
      </w:r>
      <w:r>
        <w:rPr>
          <w:spacing w:val="-8"/>
        </w:rPr>
        <w:t> </w:t>
      </w:r>
      <w:r>
        <w:rPr/>
        <w:t>Their</w:t>
      </w:r>
      <w:r>
        <w:rPr>
          <w:spacing w:val="-6"/>
        </w:rPr>
        <w:t> </w:t>
      </w:r>
      <w:r>
        <w:rPr/>
        <w:t>findings</w:t>
      </w:r>
      <w:r>
        <w:rPr>
          <w:spacing w:val="-8"/>
        </w:rPr>
        <w:t> </w:t>
      </w:r>
      <w:r>
        <w:rPr/>
        <w:t>revealed</w:t>
      </w:r>
      <w:r>
        <w:rPr>
          <w:spacing w:val="-6"/>
        </w:rPr>
        <w:t> </w:t>
      </w:r>
      <w:r>
        <w:rPr/>
        <w:t>a</w:t>
      </w:r>
      <w:r>
        <w:rPr>
          <w:spacing w:val="-9"/>
        </w:rPr>
        <w:t> </w:t>
      </w:r>
      <w:r>
        <w:rPr/>
        <w:t>well-known</w:t>
      </w:r>
      <w:r>
        <w:rPr>
          <w:spacing w:val="-6"/>
        </w:rPr>
        <w:t> </w:t>
      </w:r>
      <w:r>
        <w:rPr/>
        <w:t>effect</w:t>
      </w:r>
      <w:r>
        <w:rPr>
          <w:spacing w:val="-8"/>
        </w:rPr>
        <w:t> </w:t>
      </w:r>
      <w:r>
        <w:rPr/>
        <w:t>of</w:t>
      </w:r>
      <w:r>
        <w:rPr>
          <w:spacing w:val="-9"/>
        </w:rPr>
        <w:t> </w:t>
      </w:r>
      <w:r>
        <w:rPr/>
        <w:t>solar shielding by the vertical extensions of existing buildings which is newly introduced, temperature reduction, thermal condition improvement within the urban area.</w:t>
      </w:r>
    </w:p>
    <w:p>
      <w:pPr>
        <w:spacing w:after="0" w:line="480" w:lineRule="auto"/>
        <w:sectPr>
          <w:pgSz w:w="11910" w:h="16840"/>
          <w:pgMar w:header="0" w:footer="1022" w:top="1320" w:bottom="1220" w:left="1680" w:right="900"/>
        </w:sectPr>
      </w:pPr>
    </w:p>
    <w:p>
      <w:pPr>
        <w:pStyle w:val="Heading1"/>
        <w:numPr>
          <w:ilvl w:val="2"/>
          <w:numId w:val="5"/>
        </w:numPr>
        <w:tabs>
          <w:tab w:pos="1025" w:val="left" w:leader="none"/>
        </w:tabs>
        <w:spacing w:line="240" w:lineRule="auto" w:before="79" w:after="0"/>
        <w:ind w:left="1025" w:right="0" w:hanging="720"/>
        <w:jc w:val="left"/>
      </w:pPr>
      <w:r>
        <w:rPr/>
        <w:t>Measuring</w:t>
      </w:r>
      <w:r>
        <w:rPr>
          <w:spacing w:val="-1"/>
        </w:rPr>
        <w:t> </w:t>
      </w:r>
      <w:r>
        <w:rPr/>
        <w:t>urban</w:t>
      </w:r>
      <w:r>
        <w:rPr>
          <w:spacing w:val="-1"/>
        </w:rPr>
        <w:t> </w:t>
      </w:r>
      <w:r>
        <w:rPr>
          <w:spacing w:val="-2"/>
        </w:rPr>
        <w:t>densification</w:t>
      </w:r>
    </w:p>
    <w:p>
      <w:pPr>
        <w:pStyle w:val="BodyText"/>
        <w:spacing w:before="233"/>
        <w:jc w:val="left"/>
        <w:rPr>
          <w:b/>
        </w:rPr>
      </w:pPr>
    </w:p>
    <w:p>
      <w:pPr>
        <w:pStyle w:val="BodyText"/>
        <w:spacing w:line="480" w:lineRule="auto"/>
        <w:ind w:left="305" w:right="510"/>
      </w:pPr>
      <w:r>
        <w:rPr/>
        <w:t>Measuring urban density has been a problem of many researchers (Ståhle </w:t>
      </w:r>
      <w:r>
        <w:rPr>
          <w:i/>
        </w:rPr>
        <w:t>et al</w:t>
      </w:r>
      <w:r>
        <w:rPr/>
        <w:t>., 2008). Broitman and Koomen (2015) measured residential densification using a high level of detail spatial data that covers the whole of Netherland. They describe land use by employing</w:t>
      </w:r>
      <w:r>
        <w:rPr>
          <w:spacing w:val="-6"/>
        </w:rPr>
        <w:t> </w:t>
      </w:r>
      <w:r>
        <w:rPr/>
        <w:t>100</w:t>
      </w:r>
      <w:r>
        <w:rPr>
          <w:spacing w:val="-3"/>
        </w:rPr>
        <w:t> </w:t>
      </w:r>
      <w:r>
        <w:rPr/>
        <w:t>metre</w:t>
      </w:r>
      <w:r>
        <w:rPr>
          <w:spacing w:val="-4"/>
        </w:rPr>
        <w:t> </w:t>
      </w:r>
      <w:r>
        <w:rPr/>
        <w:t>resolution</w:t>
      </w:r>
      <w:r>
        <w:rPr>
          <w:spacing w:val="-3"/>
        </w:rPr>
        <w:t> </w:t>
      </w:r>
      <w:r>
        <w:rPr/>
        <w:t>rasterised</w:t>
      </w:r>
      <w:r>
        <w:rPr>
          <w:spacing w:val="-3"/>
        </w:rPr>
        <w:t> </w:t>
      </w:r>
      <w:r>
        <w:rPr/>
        <w:t>data,</w:t>
      </w:r>
      <w:r>
        <w:rPr>
          <w:spacing w:val="-2"/>
        </w:rPr>
        <w:t> </w:t>
      </w:r>
      <w:r>
        <w:rPr/>
        <w:t>residential</w:t>
      </w:r>
      <w:r>
        <w:rPr>
          <w:spacing w:val="-3"/>
        </w:rPr>
        <w:t> </w:t>
      </w:r>
      <w:r>
        <w:rPr/>
        <w:t>density</w:t>
      </w:r>
      <w:r>
        <w:rPr>
          <w:spacing w:val="-9"/>
        </w:rPr>
        <w:t> </w:t>
      </w:r>
      <w:r>
        <w:rPr/>
        <w:t>and</w:t>
      </w:r>
      <w:r>
        <w:rPr>
          <w:spacing w:val="-2"/>
        </w:rPr>
        <w:t> </w:t>
      </w:r>
      <w:r>
        <w:rPr/>
        <w:t>local</w:t>
      </w:r>
      <w:r>
        <w:rPr>
          <w:spacing w:val="-3"/>
        </w:rPr>
        <w:t> </w:t>
      </w:r>
      <w:r>
        <w:rPr/>
        <w:t>explanatory variables of wide range. Predominant land use is accessible for each cell for the years 2000 and 2010 which depend on an accumulated arrangement Netherland’s Statistics spatially</w:t>
      </w:r>
      <w:r>
        <w:rPr>
          <w:spacing w:val="-2"/>
        </w:rPr>
        <w:t> </w:t>
      </w:r>
      <w:r>
        <w:rPr/>
        <w:t>explicit land use database. Wang et. al. (2019) generate a land use transition of 2001</w:t>
      </w:r>
      <w:r>
        <w:rPr>
          <w:spacing w:val="-10"/>
        </w:rPr>
        <w:t> </w:t>
      </w:r>
      <w:r>
        <w:rPr/>
        <w:t>to</w:t>
      </w:r>
      <w:r>
        <w:rPr>
          <w:spacing w:val="-10"/>
        </w:rPr>
        <w:t> </w:t>
      </w:r>
      <w:r>
        <w:rPr/>
        <w:t>2011</w:t>
      </w:r>
      <w:r>
        <w:rPr>
          <w:spacing w:val="-10"/>
        </w:rPr>
        <w:t> </w:t>
      </w:r>
      <w:r>
        <w:rPr/>
        <w:t>matrix</w:t>
      </w:r>
      <w:r>
        <w:rPr>
          <w:spacing w:val="-9"/>
        </w:rPr>
        <w:t> </w:t>
      </w:r>
      <w:r>
        <w:rPr/>
        <w:t>using</w:t>
      </w:r>
      <w:r>
        <w:rPr>
          <w:spacing w:val="-12"/>
        </w:rPr>
        <w:t> </w:t>
      </w:r>
      <w:r>
        <w:rPr/>
        <w:t>land</w:t>
      </w:r>
      <w:r>
        <w:rPr>
          <w:spacing w:val="-10"/>
        </w:rPr>
        <w:t> </w:t>
      </w:r>
      <w:r>
        <w:rPr/>
        <w:t>use</w:t>
      </w:r>
      <w:r>
        <w:rPr>
          <w:spacing w:val="-10"/>
        </w:rPr>
        <w:t> </w:t>
      </w:r>
      <w:r>
        <w:rPr/>
        <w:t>maps</w:t>
      </w:r>
      <w:r>
        <w:rPr>
          <w:spacing w:val="-10"/>
        </w:rPr>
        <w:t> </w:t>
      </w:r>
      <w:r>
        <w:rPr/>
        <w:t>with</w:t>
      </w:r>
      <w:r>
        <w:rPr>
          <w:spacing w:val="-10"/>
        </w:rPr>
        <w:t> </w:t>
      </w:r>
      <w:r>
        <w:rPr/>
        <w:t>the</w:t>
      </w:r>
      <w:r>
        <w:rPr>
          <w:spacing w:val="-9"/>
        </w:rPr>
        <w:t> </w:t>
      </w:r>
      <w:r>
        <w:rPr/>
        <w:t>aid</w:t>
      </w:r>
      <w:r>
        <w:rPr>
          <w:spacing w:val="-10"/>
        </w:rPr>
        <w:t> </w:t>
      </w:r>
      <w:r>
        <w:rPr/>
        <w:t>of</w:t>
      </w:r>
      <w:r>
        <w:rPr>
          <w:spacing w:val="-10"/>
        </w:rPr>
        <w:t> </w:t>
      </w:r>
      <w:r>
        <w:rPr/>
        <w:t>ArcGIS</w:t>
      </w:r>
      <w:r>
        <w:rPr>
          <w:spacing w:val="-10"/>
        </w:rPr>
        <w:t> </w:t>
      </w:r>
      <w:r>
        <w:rPr/>
        <w:t>and</w:t>
      </w:r>
      <w:r>
        <w:rPr>
          <w:spacing w:val="-8"/>
        </w:rPr>
        <w:t> </w:t>
      </w:r>
      <w:r>
        <w:rPr/>
        <w:t>examines</w:t>
      </w:r>
      <w:r>
        <w:rPr>
          <w:spacing w:val="-10"/>
        </w:rPr>
        <w:t> </w:t>
      </w:r>
      <w:r>
        <w:rPr/>
        <w:t>the</w:t>
      </w:r>
      <w:r>
        <w:rPr>
          <w:spacing w:val="-10"/>
        </w:rPr>
        <w:t> </w:t>
      </w:r>
      <w:r>
        <w:rPr/>
        <w:t>spatial and temporal urban density changes. The study employed various metrics based on landscape to describe urban spatial pattern changes and to evaluate the model errors nature.</w:t>
      </w:r>
      <w:r>
        <w:rPr>
          <w:spacing w:val="-7"/>
        </w:rPr>
        <w:t> </w:t>
      </w:r>
      <w:r>
        <w:rPr/>
        <w:t>Analysis</w:t>
      </w:r>
      <w:r>
        <w:rPr>
          <w:spacing w:val="-7"/>
        </w:rPr>
        <w:t> </w:t>
      </w:r>
      <w:r>
        <w:rPr/>
        <w:t>based</w:t>
      </w:r>
      <w:r>
        <w:rPr>
          <w:spacing w:val="-7"/>
        </w:rPr>
        <w:t> </w:t>
      </w:r>
      <w:r>
        <w:rPr/>
        <w:t>on</w:t>
      </w:r>
      <w:r>
        <w:rPr>
          <w:spacing w:val="-5"/>
        </w:rPr>
        <w:t> </w:t>
      </w:r>
      <w:r>
        <w:rPr/>
        <w:t>rings</w:t>
      </w:r>
      <w:r>
        <w:rPr>
          <w:spacing w:val="-5"/>
        </w:rPr>
        <w:t> </w:t>
      </w:r>
      <w:r>
        <w:rPr/>
        <w:t>were</w:t>
      </w:r>
      <w:r>
        <w:rPr>
          <w:spacing w:val="-6"/>
        </w:rPr>
        <w:t> </w:t>
      </w:r>
      <w:r>
        <w:rPr/>
        <w:t>adopted</w:t>
      </w:r>
      <w:r>
        <w:rPr>
          <w:spacing w:val="-8"/>
        </w:rPr>
        <w:t> </w:t>
      </w:r>
      <w:r>
        <w:rPr/>
        <w:t>which</w:t>
      </w:r>
      <w:r>
        <w:rPr>
          <w:spacing w:val="-7"/>
        </w:rPr>
        <w:t> </w:t>
      </w:r>
      <w:r>
        <w:rPr/>
        <w:t>is</w:t>
      </w:r>
      <w:r>
        <w:rPr>
          <w:spacing w:val="-7"/>
        </w:rPr>
        <w:t> </w:t>
      </w:r>
      <w:r>
        <w:rPr/>
        <w:t>primarily</w:t>
      </w:r>
      <w:r>
        <w:rPr>
          <w:spacing w:val="-10"/>
        </w:rPr>
        <w:t> </w:t>
      </w:r>
      <w:r>
        <w:rPr/>
        <w:t>based</w:t>
      </w:r>
      <w:r>
        <w:rPr>
          <w:spacing w:val="-5"/>
        </w:rPr>
        <w:t> </w:t>
      </w:r>
      <w:r>
        <w:rPr/>
        <w:t>on</w:t>
      </w:r>
      <w:r>
        <w:rPr>
          <w:spacing w:val="-7"/>
        </w:rPr>
        <w:t> </w:t>
      </w:r>
      <w:r>
        <w:rPr/>
        <w:t>classical</w:t>
      </w:r>
      <w:r>
        <w:rPr>
          <w:spacing w:val="-7"/>
        </w:rPr>
        <w:t> </w:t>
      </w:r>
      <w:r>
        <w:rPr/>
        <w:t>urban theory, was also employed to show transition of urban densification characteristics. The Land Transformation Model (LTM) which is a function of Artificial Neural Networks (ANNs)</w:t>
      </w:r>
      <w:r>
        <w:rPr>
          <w:spacing w:val="-1"/>
        </w:rPr>
        <w:t> </w:t>
      </w:r>
      <w:r>
        <w:rPr/>
        <w:t>and</w:t>
      </w:r>
      <w:r>
        <w:rPr>
          <w:spacing w:val="-2"/>
        </w:rPr>
        <w:t> </w:t>
      </w:r>
      <w:r>
        <w:rPr/>
        <w:t>GIS was applied</w:t>
      </w:r>
      <w:r>
        <w:rPr>
          <w:spacing w:val="-2"/>
        </w:rPr>
        <w:t> </w:t>
      </w:r>
      <w:r>
        <w:rPr/>
        <w:t>in</w:t>
      </w:r>
      <w:r>
        <w:rPr>
          <w:spacing w:val="-2"/>
        </w:rPr>
        <w:t> </w:t>
      </w:r>
      <w:r>
        <w:rPr/>
        <w:t>simulating</w:t>
      </w:r>
      <w:r>
        <w:rPr>
          <w:spacing w:val="-4"/>
        </w:rPr>
        <w:t> </w:t>
      </w:r>
      <w:r>
        <w:rPr/>
        <w:t>the</w:t>
      </w:r>
      <w:r>
        <w:rPr>
          <w:spacing w:val="-1"/>
        </w:rPr>
        <w:t> </w:t>
      </w:r>
      <w:r>
        <w:rPr/>
        <w:t>changes</w:t>
      </w:r>
      <w:r>
        <w:rPr>
          <w:spacing w:val="-2"/>
        </w:rPr>
        <w:t> </w:t>
      </w:r>
      <w:r>
        <w:rPr/>
        <w:t>in</w:t>
      </w:r>
      <w:r>
        <w:rPr>
          <w:spacing w:val="-2"/>
        </w:rPr>
        <w:t> </w:t>
      </w:r>
      <w:r>
        <w:rPr/>
        <w:t>land use, which also</w:t>
      </w:r>
      <w:r>
        <w:rPr>
          <w:spacing w:val="-2"/>
        </w:rPr>
        <w:t> </w:t>
      </w:r>
      <w:r>
        <w:rPr/>
        <w:t>utilises</w:t>
      </w:r>
      <w:r>
        <w:rPr>
          <w:spacing w:val="-2"/>
        </w:rPr>
        <w:t> </w:t>
      </w:r>
      <w:r>
        <w:rPr/>
        <w:t>a raster modelling environment in urban growth simulation which relied on several bio- physical and socioeconomic factors. Relying on changes in the historical land use data and predictor variables, the ANN learns urban densification patterns; this information is then kept and applied in predicting changes of future urban densification.</w:t>
      </w:r>
    </w:p>
    <w:p>
      <w:pPr>
        <w:pStyle w:val="BodyText"/>
        <w:spacing w:line="552" w:lineRule="exact" w:before="23"/>
        <w:ind w:left="305" w:right="513"/>
      </w:pPr>
      <w:r>
        <w:rPr/>
        <w:t>In contrast, Jiao (2015) acquired high quality Landsat TM/ETM+ images, where the images</w:t>
      </w:r>
      <w:r>
        <w:rPr>
          <w:spacing w:val="-15"/>
        </w:rPr>
        <w:t> </w:t>
      </w:r>
      <w:r>
        <w:rPr/>
        <w:t>classified</w:t>
      </w:r>
      <w:r>
        <w:rPr>
          <w:spacing w:val="-15"/>
        </w:rPr>
        <w:t> </w:t>
      </w:r>
      <w:r>
        <w:rPr/>
        <w:t>using</w:t>
      </w:r>
      <w:r>
        <w:rPr>
          <w:spacing w:val="-15"/>
        </w:rPr>
        <w:t> </w:t>
      </w:r>
      <w:r>
        <w:rPr/>
        <w:t>the</w:t>
      </w:r>
      <w:r>
        <w:rPr>
          <w:spacing w:val="-15"/>
        </w:rPr>
        <w:t> </w:t>
      </w:r>
      <w:r>
        <w:rPr/>
        <w:t>Maximum</w:t>
      </w:r>
      <w:r>
        <w:rPr>
          <w:spacing w:val="-15"/>
        </w:rPr>
        <w:t> </w:t>
      </w:r>
      <w:r>
        <w:rPr/>
        <w:t>Likelihood</w:t>
      </w:r>
      <w:r>
        <w:rPr>
          <w:spacing w:val="-15"/>
        </w:rPr>
        <w:t> </w:t>
      </w:r>
      <w:r>
        <w:rPr/>
        <w:t>Classification</w:t>
      </w:r>
      <w:r>
        <w:rPr>
          <w:spacing w:val="-15"/>
        </w:rPr>
        <w:t> </w:t>
      </w:r>
      <w:r>
        <w:rPr/>
        <w:t>method</w:t>
      </w:r>
      <w:r>
        <w:rPr>
          <w:spacing w:val="-15"/>
        </w:rPr>
        <w:t> </w:t>
      </w:r>
      <w:r>
        <w:rPr/>
        <w:t>in</w:t>
      </w:r>
      <w:r>
        <w:rPr>
          <w:spacing w:val="-15"/>
        </w:rPr>
        <w:t> </w:t>
      </w:r>
      <w:r>
        <w:rPr/>
        <w:t>ENVI</w:t>
      </w:r>
      <w:r>
        <w:rPr>
          <w:spacing w:val="-15"/>
        </w:rPr>
        <w:t> </w:t>
      </w:r>
      <w:r>
        <w:rPr/>
        <w:t>4.5.</w:t>
      </w:r>
      <w:r>
        <w:rPr>
          <w:spacing w:val="-15"/>
        </w:rPr>
        <w:t> </w:t>
      </w:r>
      <w:r>
        <w:rPr/>
        <w:t>The results</w:t>
      </w:r>
      <w:r>
        <w:rPr>
          <w:spacing w:val="-3"/>
        </w:rPr>
        <w:t> </w:t>
      </w:r>
      <w:r>
        <w:rPr/>
        <w:t>from</w:t>
      </w:r>
      <w:r>
        <w:rPr>
          <w:spacing w:val="-3"/>
        </w:rPr>
        <w:t> </w:t>
      </w:r>
      <w:r>
        <w:rPr/>
        <w:t>image</w:t>
      </w:r>
      <w:r>
        <w:rPr>
          <w:spacing w:val="-5"/>
        </w:rPr>
        <w:t> </w:t>
      </w:r>
      <w:r>
        <w:rPr/>
        <w:t>classification</w:t>
      </w:r>
      <w:r>
        <w:rPr>
          <w:spacing w:val="-3"/>
        </w:rPr>
        <w:t> </w:t>
      </w:r>
      <w:r>
        <w:rPr/>
        <w:t>processed</w:t>
      </w:r>
      <w:r>
        <w:rPr>
          <w:spacing w:val="-3"/>
        </w:rPr>
        <w:t> </w:t>
      </w:r>
      <w:r>
        <w:rPr/>
        <w:t>using</w:t>
      </w:r>
      <w:r>
        <w:rPr>
          <w:spacing w:val="-3"/>
        </w:rPr>
        <w:t> </w:t>
      </w:r>
      <w:r>
        <w:rPr/>
        <w:t>a</w:t>
      </w:r>
      <w:r>
        <w:rPr>
          <w:spacing w:val="-4"/>
        </w:rPr>
        <w:t> </w:t>
      </w:r>
      <w:r>
        <w:rPr/>
        <w:t>non-linear</w:t>
      </w:r>
      <w:r>
        <w:rPr>
          <w:spacing w:val="-3"/>
        </w:rPr>
        <w:t> </w:t>
      </w:r>
      <w:r>
        <w:rPr/>
        <w:t>least</w:t>
      </w:r>
      <w:r>
        <w:rPr>
          <w:spacing w:val="-3"/>
        </w:rPr>
        <w:t> </w:t>
      </w:r>
      <w:r>
        <w:rPr/>
        <w:t>squares</w:t>
      </w:r>
      <w:r>
        <w:rPr>
          <w:spacing w:val="-1"/>
        </w:rPr>
        <w:t> </w:t>
      </w:r>
      <w:r>
        <w:rPr/>
        <w:t>method</w:t>
      </w:r>
      <w:r>
        <w:rPr>
          <w:spacing w:val="-3"/>
        </w:rPr>
        <w:t> </w:t>
      </w:r>
      <w:r>
        <w:rPr/>
        <w:t>to</w:t>
      </w:r>
      <w:r>
        <w:rPr>
          <w:spacing w:val="-3"/>
        </w:rPr>
        <w:t> </w:t>
      </w:r>
      <w:r>
        <w:rPr/>
        <w:t>fit the pro-posed urban land density functions in order to fit a nonlinear function to the observed data by</w:t>
      </w:r>
      <w:r>
        <w:rPr>
          <w:spacing w:val="-2"/>
        </w:rPr>
        <w:t> </w:t>
      </w:r>
      <w:r>
        <w:rPr/>
        <w:t>refining the parameters in successive iterations. They</w:t>
      </w:r>
      <w:r>
        <w:rPr>
          <w:spacing w:val="-2"/>
        </w:rPr>
        <w:t> </w:t>
      </w:r>
      <w:r>
        <w:rPr/>
        <w:t>employed Trust- region</w:t>
      </w:r>
      <w:r>
        <w:rPr>
          <w:spacing w:val="17"/>
        </w:rPr>
        <w:t> </w:t>
      </w:r>
      <w:r>
        <w:rPr/>
        <w:t>algorithm</w:t>
      </w:r>
      <w:r>
        <w:rPr>
          <w:spacing w:val="19"/>
        </w:rPr>
        <w:t> </w:t>
      </w:r>
      <w:r>
        <w:rPr/>
        <w:t>in</w:t>
      </w:r>
      <w:r>
        <w:rPr>
          <w:spacing w:val="19"/>
        </w:rPr>
        <w:t> </w:t>
      </w:r>
      <w:r>
        <w:rPr/>
        <w:t>their</w:t>
      </w:r>
      <w:r>
        <w:rPr>
          <w:spacing w:val="20"/>
        </w:rPr>
        <w:t> </w:t>
      </w:r>
      <w:r>
        <w:rPr/>
        <w:t>study.</w:t>
      </w:r>
      <w:r>
        <w:rPr>
          <w:spacing w:val="18"/>
        </w:rPr>
        <w:t> </w:t>
      </w:r>
      <w:r>
        <w:rPr/>
        <w:t>They</w:t>
      </w:r>
      <w:r>
        <w:rPr>
          <w:spacing w:val="14"/>
        </w:rPr>
        <w:t> </w:t>
      </w:r>
      <w:r>
        <w:rPr/>
        <w:t>fit</w:t>
      </w:r>
      <w:r>
        <w:rPr>
          <w:spacing w:val="19"/>
        </w:rPr>
        <w:t> </w:t>
      </w:r>
      <w:r>
        <w:rPr/>
        <w:t>the</w:t>
      </w:r>
      <w:r>
        <w:rPr>
          <w:spacing w:val="20"/>
        </w:rPr>
        <w:t> </w:t>
      </w:r>
      <w:r>
        <w:rPr/>
        <w:t>urban</w:t>
      </w:r>
      <w:r>
        <w:rPr>
          <w:spacing w:val="18"/>
        </w:rPr>
        <w:t> </w:t>
      </w:r>
      <w:r>
        <w:rPr/>
        <w:t>land</w:t>
      </w:r>
      <w:r>
        <w:rPr>
          <w:spacing w:val="18"/>
        </w:rPr>
        <w:t> </w:t>
      </w:r>
      <w:r>
        <w:rPr/>
        <w:t>density</w:t>
      </w:r>
      <w:r>
        <w:rPr>
          <w:spacing w:val="14"/>
        </w:rPr>
        <w:t> </w:t>
      </w:r>
      <w:r>
        <w:rPr/>
        <w:t>functions</w:t>
      </w:r>
      <w:r>
        <w:rPr>
          <w:spacing w:val="19"/>
        </w:rPr>
        <w:t> </w:t>
      </w:r>
      <w:r>
        <w:rPr/>
        <w:t>with</w:t>
      </w:r>
      <w:r>
        <w:rPr>
          <w:spacing w:val="19"/>
        </w:rPr>
        <w:t> </w:t>
      </w:r>
      <w:r>
        <w:rPr>
          <w:spacing w:val="-2"/>
        </w:rPr>
        <w:t>Matlab.</w:t>
      </w:r>
    </w:p>
    <w:p>
      <w:pPr>
        <w:spacing w:after="0" w:line="552" w:lineRule="exact"/>
        <w:sectPr>
          <w:pgSz w:w="11910" w:h="16840"/>
          <w:pgMar w:header="0" w:footer="1022" w:top="1320" w:bottom="1220" w:left="1680" w:right="900"/>
        </w:sectPr>
      </w:pPr>
    </w:p>
    <w:p>
      <w:pPr>
        <w:pStyle w:val="BodyText"/>
        <w:spacing w:line="480" w:lineRule="auto" w:before="72"/>
        <w:ind w:left="305" w:right="514"/>
      </w:pPr>
      <w:r>
        <w:rPr/>
        <w:t>Urban densification was also measured using microclimate simulations with different models. The</w:t>
      </w:r>
      <w:r>
        <w:rPr>
          <w:spacing w:val="-1"/>
        </w:rPr>
        <w:t> </w:t>
      </w:r>
      <w:r>
        <w:rPr/>
        <w:t>results are compared, and uncertainty</w:t>
      </w:r>
      <w:r>
        <w:rPr>
          <w:spacing w:val="-2"/>
        </w:rPr>
        <w:t> </w:t>
      </w:r>
      <w:r>
        <w:rPr/>
        <w:t>ranges are</w:t>
      </w:r>
      <w:r>
        <w:rPr>
          <w:spacing w:val="-1"/>
        </w:rPr>
        <w:t> </w:t>
      </w:r>
      <w:r>
        <w:rPr/>
        <w:t>documented by</w:t>
      </w:r>
      <w:r>
        <w:rPr>
          <w:spacing w:val="-4"/>
        </w:rPr>
        <w:t> </w:t>
      </w:r>
      <w:r>
        <w:rPr/>
        <w:t>testing</w:t>
      </w:r>
      <w:r>
        <w:rPr>
          <w:spacing w:val="-2"/>
        </w:rPr>
        <w:t> </w:t>
      </w:r>
      <w:r>
        <w:rPr/>
        <w:t>the impact of urban fabric on current climate (Loibl, 2019). Shahtahmassebi (2016) developed</w:t>
      </w:r>
      <w:r>
        <w:rPr>
          <w:spacing w:val="-1"/>
        </w:rPr>
        <w:t> </w:t>
      </w:r>
      <w:r>
        <w:rPr/>
        <w:t>framework</w:t>
      </w:r>
      <w:r>
        <w:rPr>
          <w:spacing w:val="-1"/>
        </w:rPr>
        <w:t> </w:t>
      </w:r>
      <w:r>
        <w:rPr/>
        <w:t>for measuring</w:t>
      </w:r>
      <w:r>
        <w:rPr>
          <w:spacing w:val="-3"/>
        </w:rPr>
        <w:t> </w:t>
      </w:r>
      <w:r>
        <w:rPr/>
        <w:t>urban densification using</w:t>
      </w:r>
      <w:r>
        <w:rPr>
          <w:spacing w:val="-2"/>
        </w:rPr>
        <w:t> </w:t>
      </w:r>
      <w:r>
        <w:rPr/>
        <w:t>time</w:t>
      </w:r>
      <w:r>
        <w:rPr>
          <w:spacing w:val="-1"/>
        </w:rPr>
        <w:t> </w:t>
      </w:r>
      <w:r>
        <w:rPr/>
        <w:t>series of</w:t>
      </w:r>
      <w:r>
        <w:rPr>
          <w:spacing w:val="-1"/>
        </w:rPr>
        <w:t> </w:t>
      </w:r>
      <w:r>
        <w:rPr/>
        <w:t>impervious surface fractions (ISFs) derived from remotely sensed imagery.</w:t>
      </w:r>
    </w:p>
    <w:p>
      <w:pPr>
        <w:pStyle w:val="Heading1"/>
        <w:numPr>
          <w:ilvl w:val="1"/>
          <w:numId w:val="5"/>
        </w:numPr>
        <w:tabs>
          <w:tab w:pos="1024" w:val="left" w:leader="none"/>
        </w:tabs>
        <w:spacing w:line="240" w:lineRule="auto" w:before="247" w:after="0"/>
        <w:ind w:left="1024" w:right="0" w:hanging="719"/>
        <w:jc w:val="both"/>
      </w:pPr>
      <w:r>
        <w:rPr/>
        <w:t>Summary</w:t>
      </w:r>
      <w:r>
        <w:rPr>
          <w:spacing w:val="-3"/>
        </w:rPr>
        <w:t> </w:t>
      </w:r>
      <w:r>
        <w:rPr/>
        <w:t>of</w:t>
      </w:r>
      <w:r>
        <w:rPr>
          <w:spacing w:val="-2"/>
        </w:rPr>
        <w:t> </w:t>
      </w:r>
      <w:r>
        <w:rPr/>
        <w:t>Literature</w:t>
      </w:r>
      <w:r>
        <w:rPr>
          <w:spacing w:val="-1"/>
        </w:rPr>
        <w:t> </w:t>
      </w:r>
      <w:r>
        <w:rPr>
          <w:spacing w:val="-2"/>
        </w:rPr>
        <w:t>Review</w:t>
      </w:r>
    </w:p>
    <w:p>
      <w:pPr>
        <w:pStyle w:val="BodyText"/>
        <w:spacing w:before="234"/>
        <w:jc w:val="left"/>
        <w:rPr>
          <w:b/>
        </w:rPr>
      </w:pPr>
    </w:p>
    <w:p>
      <w:pPr>
        <w:pStyle w:val="BodyText"/>
        <w:spacing w:line="480" w:lineRule="auto"/>
        <w:ind w:left="305" w:right="511"/>
      </w:pPr>
      <w:r>
        <w:rPr/>
        <w:t>Theories for which this research forms its bases were reviewed. These theories include Monocentric model of Alonso which suggest that rental value increase with decreasing distance</w:t>
      </w:r>
      <w:r>
        <w:rPr>
          <w:spacing w:val="-15"/>
        </w:rPr>
        <w:t> </w:t>
      </w:r>
      <w:r>
        <w:rPr/>
        <w:t>to</w:t>
      </w:r>
      <w:r>
        <w:rPr>
          <w:spacing w:val="-15"/>
        </w:rPr>
        <w:t> </w:t>
      </w:r>
      <w:r>
        <w:rPr/>
        <w:t>the</w:t>
      </w:r>
      <w:r>
        <w:rPr>
          <w:spacing w:val="-15"/>
        </w:rPr>
        <w:t> </w:t>
      </w:r>
      <w:r>
        <w:rPr/>
        <w:t>CBD</w:t>
      </w:r>
      <w:r>
        <w:rPr>
          <w:spacing w:val="-15"/>
        </w:rPr>
        <w:t> </w:t>
      </w:r>
      <w:r>
        <w:rPr/>
        <w:t>and</w:t>
      </w:r>
      <w:r>
        <w:rPr>
          <w:spacing w:val="-14"/>
        </w:rPr>
        <w:t> </w:t>
      </w:r>
      <w:r>
        <w:rPr/>
        <w:t>also</w:t>
      </w:r>
      <w:r>
        <w:rPr>
          <w:spacing w:val="-14"/>
        </w:rPr>
        <w:t> </w:t>
      </w:r>
      <w:r>
        <w:rPr/>
        <w:t>residential</w:t>
      </w:r>
      <w:r>
        <w:rPr>
          <w:spacing w:val="-14"/>
        </w:rPr>
        <w:t> </w:t>
      </w:r>
      <w:r>
        <w:rPr/>
        <w:t>density</w:t>
      </w:r>
      <w:r>
        <w:rPr>
          <w:spacing w:val="-15"/>
        </w:rPr>
        <w:t> </w:t>
      </w:r>
      <w:r>
        <w:rPr/>
        <w:t>increases</w:t>
      </w:r>
      <w:r>
        <w:rPr>
          <w:spacing w:val="-12"/>
        </w:rPr>
        <w:t> </w:t>
      </w:r>
      <w:r>
        <w:rPr/>
        <w:t>with</w:t>
      </w:r>
      <w:r>
        <w:rPr>
          <w:spacing w:val="-14"/>
        </w:rPr>
        <w:t> </w:t>
      </w:r>
      <w:r>
        <w:rPr/>
        <w:t>a</w:t>
      </w:r>
      <w:r>
        <w:rPr>
          <w:spacing w:val="-15"/>
        </w:rPr>
        <w:t> </w:t>
      </w:r>
      <w:r>
        <w:rPr/>
        <w:t>decreasing</w:t>
      </w:r>
      <w:r>
        <w:rPr>
          <w:spacing w:val="-14"/>
        </w:rPr>
        <w:t> </w:t>
      </w:r>
      <w:r>
        <w:rPr/>
        <w:t>distance</w:t>
      </w:r>
      <w:r>
        <w:rPr>
          <w:spacing w:val="-15"/>
        </w:rPr>
        <w:t> </w:t>
      </w:r>
      <w:r>
        <w:rPr/>
        <w:t>from the</w:t>
      </w:r>
      <w:r>
        <w:rPr>
          <w:spacing w:val="-8"/>
        </w:rPr>
        <w:t> </w:t>
      </w:r>
      <w:r>
        <w:rPr/>
        <w:t>CBD.</w:t>
      </w:r>
      <w:r>
        <w:rPr>
          <w:spacing w:val="-6"/>
        </w:rPr>
        <w:t> </w:t>
      </w:r>
      <w:r>
        <w:rPr/>
        <w:t>Despite</w:t>
      </w:r>
      <w:r>
        <w:rPr>
          <w:spacing w:val="-8"/>
        </w:rPr>
        <w:t> </w:t>
      </w:r>
      <w:r>
        <w:rPr/>
        <w:t>various</w:t>
      </w:r>
      <w:r>
        <w:rPr>
          <w:spacing w:val="-6"/>
        </w:rPr>
        <w:t> </w:t>
      </w:r>
      <w:r>
        <w:rPr/>
        <w:t>criticism,</w:t>
      </w:r>
      <w:r>
        <w:rPr>
          <w:spacing w:val="-7"/>
        </w:rPr>
        <w:t> </w:t>
      </w:r>
      <w:r>
        <w:rPr/>
        <w:t>Alonso’s</w:t>
      </w:r>
      <w:r>
        <w:rPr>
          <w:spacing w:val="-8"/>
        </w:rPr>
        <w:t> </w:t>
      </w:r>
      <w:r>
        <w:rPr/>
        <w:t>Monocentric</w:t>
      </w:r>
      <w:r>
        <w:rPr>
          <w:spacing w:val="-8"/>
        </w:rPr>
        <w:t> </w:t>
      </w:r>
      <w:r>
        <w:rPr/>
        <w:t>model</w:t>
      </w:r>
      <w:r>
        <w:rPr>
          <w:spacing w:val="-7"/>
        </w:rPr>
        <w:t> </w:t>
      </w:r>
      <w:r>
        <w:rPr/>
        <w:t>forms</w:t>
      </w:r>
      <w:r>
        <w:rPr>
          <w:spacing w:val="-7"/>
        </w:rPr>
        <w:t> </w:t>
      </w:r>
      <w:r>
        <w:rPr/>
        <w:t>basic</w:t>
      </w:r>
      <w:r>
        <w:rPr>
          <w:spacing w:val="-8"/>
        </w:rPr>
        <w:t> </w:t>
      </w:r>
      <w:r>
        <w:rPr/>
        <w:t>theoretical foundation of the study. Hedonic model is another model reviewed which suggest that housing</w:t>
      </w:r>
      <w:r>
        <w:rPr>
          <w:spacing w:val="-7"/>
        </w:rPr>
        <w:t> </w:t>
      </w:r>
      <w:r>
        <w:rPr/>
        <w:t>prices</w:t>
      </w:r>
      <w:r>
        <w:rPr>
          <w:spacing w:val="-2"/>
        </w:rPr>
        <w:t> </w:t>
      </w:r>
      <w:r>
        <w:rPr/>
        <w:t>are</w:t>
      </w:r>
      <w:r>
        <w:rPr>
          <w:spacing w:val="-6"/>
        </w:rPr>
        <w:t> </w:t>
      </w:r>
      <w:r>
        <w:rPr/>
        <w:t>determined</w:t>
      </w:r>
      <w:r>
        <w:rPr>
          <w:spacing w:val="-5"/>
        </w:rPr>
        <w:t> </w:t>
      </w:r>
      <w:r>
        <w:rPr/>
        <w:t>by</w:t>
      </w:r>
      <w:r>
        <w:rPr>
          <w:spacing w:val="-7"/>
        </w:rPr>
        <w:t> </w:t>
      </w:r>
      <w:r>
        <w:rPr/>
        <w:t>utilities</w:t>
      </w:r>
      <w:r>
        <w:rPr>
          <w:spacing w:val="-1"/>
        </w:rPr>
        <w:t> </w:t>
      </w:r>
      <w:r>
        <w:rPr/>
        <w:t>derived</w:t>
      </w:r>
      <w:r>
        <w:rPr>
          <w:spacing w:val="-3"/>
        </w:rPr>
        <w:t> </w:t>
      </w:r>
      <w:r>
        <w:rPr/>
        <w:t>from</w:t>
      </w:r>
      <w:r>
        <w:rPr>
          <w:spacing w:val="-4"/>
        </w:rPr>
        <w:t> </w:t>
      </w:r>
      <w:r>
        <w:rPr/>
        <w:t>the</w:t>
      </w:r>
      <w:r>
        <w:rPr>
          <w:spacing w:val="-6"/>
        </w:rPr>
        <w:t> </w:t>
      </w:r>
      <w:r>
        <w:rPr/>
        <w:t>housing.</w:t>
      </w:r>
      <w:r>
        <w:rPr>
          <w:spacing w:val="-5"/>
        </w:rPr>
        <w:t> </w:t>
      </w:r>
      <w:r>
        <w:rPr/>
        <w:t>Spatial</w:t>
      </w:r>
      <w:r>
        <w:rPr>
          <w:spacing w:val="-2"/>
        </w:rPr>
        <w:t> </w:t>
      </w:r>
      <w:r>
        <w:rPr/>
        <w:t>interpolation model was also reviewed which forms the basis for spatial interpolation in the study. Neural Network models that are a machine learning models were also reviewed which the study adopted in forecasting urban densification and housing prices and also show their</w:t>
      </w:r>
      <w:r>
        <w:rPr>
          <w:spacing w:val="-15"/>
        </w:rPr>
        <w:t> </w:t>
      </w:r>
      <w:r>
        <w:rPr/>
        <w:t>relationship.</w:t>
      </w:r>
      <w:r>
        <w:rPr>
          <w:spacing w:val="-15"/>
        </w:rPr>
        <w:t> </w:t>
      </w:r>
      <w:r>
        <w:rPr/>
        <w:t>From</w:t>
      </w:r>
      <w:r>
        <w:rPr>
          <w:spacing w:val="-15"/>
        </w:rPr>
        <w:t> </w:t>
      </w:r>
      <w:r>
        <w:rPr/>
        <w:t>the</w:t>
      </w:r>
      <w:r>
        <w:rPr>
          <w:spacing w:val="-15"/>
        </w:rPr>
        <w:t> </w:t>
      </w:r>
      <w:r>
        <w:rPr/>
        <w:t>review</w:t>
      </w:r>
      <w:r>
        <w:rPr>
          <w:spacing w:val="-15"/>
        </w:rPr>
        <w:t> </w:t>
      </w:r>
      <w:r>
        <w:rPr/>
        <w:t>of</w:t>
      </w:r>
      <w:r>
        <w:rPr>
          <w:spacing w:val="-15"/>
        </w:rPr>
        <w:t> </w:t>
      </w:r>
      <w:r>
        <w:rPr/>
        <w:t>empirical</w:t>
      </w:r>
      <w:r>
        <w:rPr>
          <w:spacing w:val="-15"/>
        </w:rPr>
        <w:t> </w:t>
      </w:r>
      <w:r>
        <w:rPr/>
        <w:t>studies,</w:t>
      </w:r>
      <w:r>
        <w:rPr>
          <w:spacing w:val="-15"/>
        </w:rPr>
        <w:t> </w:t>
      </w:r>
      <w:r>
        <w:rPr/>
        <w:t>it</w:t>
      </w:r>
      <w:r>
        <w:rPr>
          <w:spacing w:val="-15"/>
        </w:rPr>
        <w:t> </w:t>
      </w:r>
      <w:r>
        <w:rPr/>
        <w:t>was</w:t>
      </w:r>
      <w:r>
        <w:rPr>
          <w:spacing w:val="-15"/>
        </w:rPr>
        <w:t> </w:t>
      </w:r>
      <w:r>
        <w:rPr/>
        <w:t>found</w:t>
      </w:r>
      <w:r>
        <w:rPr>
          <w:spacing w:val="-15"/>
        </w:rPr>
        <w:t> </w:t>
      </w:r>
      <w:r>
        <w:rPr/>
        <w:t>out</w:t>
      </w:r>
      <w:r>
        <w:rPr>
          <w:spacing w:val="-15"/>
        </w:rPr>
        <w:t> </w:t>
      </w:r>
      <w:r>
        <w:rPr/>
        <w:t>that</w:t>
      </w:r>
      <w:r>
        <w:rPr>
          <w:spacing w:val="-15"/>
        </w:rPr>
        <w:t> </w:t>
      </w:r>
      <w:r>
        <w:rPr/>
        <w:t>determinants of housing price include structural attributes, environmental/neighbourhood attributes, location, socioeconomic characteristics, urban form, national economy and policy.</w:t>
      </w:r>
    </w:p>
    <w:p>
      <w:pPr>
        <w:pStyle w:val="Heading1"/>
        <w:numPr>
          <w:ilvl w:val="1"/>
          <w:numId w:val="5"/>
        </w:numPr>
        <w:tabs>
          <w:tab w:pos="1024" w:val="left" w:leader="none"/>
        </w:tabs>
        <w:spacing w:line="240" w:lineRule="auto" w:before="246" w:after="0"/>
        <w:ind w:left="1024" w:right="0" w:hanging="719"/>
        <w:jc w:val="both"/>
      </w:pPr>
      <w:r>
        <w:rPr/>
        <w:t>Research</w:t>
      </w:r>
      <w:r>
        <w:rPr>
          <w:spacing w:val="-3"/>
        </w:rPr>
        <w:t> </w:t>
      </w:r>
      <w:r>
        <w:rPr>
          <w:spacing w:val="-5"/>
        </w:rPr>
        <w:t>Gap</w:t>
      </w:r>
    </w:p>
    <w:p>
      <w:pPr>
        <w:pStyle w:val="BodyText"/>
        <w:spacing w:before="232"/>
        <w:jc w:val="left"/>
        <w:rPr>
          <w:b/>
        </w:rPr>
      </w:pPr>
    </w:p>
    <w:p>
      <w:pPr>
        <w:pStyle w:val="BodyText"/>
        <w:spacing w:line="480" w:lineRule="auto"/>
        <w:ind w:left="305" w:right="514"/>
      </w:pPr>
      <w:r>
        <w:rPr/>
        <w:t>This dissertation adopted conventional methods such as Artificial Neural Network, hedonic and spatial analysis methods to analyse urban density and housing market. By doing</w:t>
      </w:r>
      <w:r>
        <w:rPr>
          <w:spacing w:val="-7"/>
        </w:rPr>
        <w:t> </w:t>
      </w:r>
      <w:r>
        <w:rPr/>
        <w:t>so,</w:t>
      </w:r>
      <w:r>
        <w:rPr>
          <w:spacing w:val="-5"/>
        </w:rPr>
        <w:t> </w:t>
      </w:r>
      <w:r>
        <w:rPr/>
        <w:t>it</w:t>
      </w:r>
      <w:r>
        <w:rPr>
          <w:spacing w:val="-4"/>
        </w:rPr>
        <w:t> </w:t>
      </w:r>
      <w:r>
        <w:rPr/>
        <w:t>attempts</w:t>
      </w:r>
      <w:r>
        <w:rPr>
          <w:spacing w:val="-5"/>
        </w:rPr>
        <w:t> </w:t>
      </w:r>
      <w:r>
        <w:rPr/>
        <w:t>to</w:t>
      </w:r>
      <w:r>
        <w:rPr>
          <w:spacing w:val="-4"/>
        </w:rPr>
        <w:t> </w:t>
      </w:r>
      <w:r>
        <w:rPr/>
        <w:t>make</w:t>
      </w:r>
      <w:r>
        <w:rPr>
          <w:spacing w:val="-6"/>
        </w:rPr>
        <w:t> </w:t>
      </w:r>
      <w:r>
        <w:rPr/>
        <w:t>a</w:t>
      </w:r>
      <w:r>
        <w:rPr>
          <w:spacing w:val="-6"/>
        </w:rPr>
        <w:t> </w:t>
      </w:r>
      <w:r>
        <w:rPr/>
        <w:t>significant</w:t>
      </w:r>
      <w:r>
        <w:rPr>
          <w:spacing w:val="-4"/>
        </w:rPr>
        <w:t> </w:t>
      </w:r>
      <w:r>
        <w:rPr/>
        <w:t>contribution</w:t>
      </w:r>
      <w:r>
        <w:rPr>
          <w:spacing w:val="-5"/>
        </w:rPr>
        <w:t> </w:t>
      </w:r>
      <w:r>
        <w:rPr/>
        <w:t>to</w:t>
      </w:r>
      <w:r>
        <w:rPr>
          <w:spacing w:val="-4"/>
        </w:rPr>
        <w:t> </w:t>
      </w:r>
      <w:r>
        <w:rPr/>
        <w:t>urban</w:t>
      </w:r>
      <w:r>
        <w:rPr>
          <w:spacing w:val="-5"/>
        </w:rPr>
        <w:t> </w:t>
      </w:r>
      <w:r>
        <w:rPr/>
        <w:t>scholarship</w:t>
      </w:r>
      <w:r>
        <w:rPr>
          <w:spacing w:val="-2"/>
        </w:rPr>
        <w:t> </w:t>
      </w:r>
      <w:r>
        <w:rPr/>
        <w:t>by</w:t>
      </w:r>
      <w:r>
        <w:rPr>
          <w:spacing w:val="-7"/>
        </w:rPr>
        <w:t> </w:t>
      </w:r>
      <w:r>
        <w:rPr/>
        <w:t>exploring how measured residential density associated with a number of housing market issues, particularly the housing submarket.</w:t>
      </w:r>
    </w:p>
    <w:p>
      <w:pPr>
        <w:spacing w:after="0" w:line="480" w:lineRule="auto"/>
        <w:sectPr>
          <w:pgSz w:w="11910" w:h="16840"/>
          <w:pgMar w:header="0" w:footer="1022" w:top="1320" w:bottom="1220" w:left="1680" w:right="900"/>
        </w:sectPr>
      </w:pPr>
    </w:p>
    <w:p>
      <w:pPr>
        <w:pStyle w:val="BodyText"/>
        <w:spacing w:line="480" w:lineRule="auto" w:before="72"/>
        <w:ind w:left="305" w:right="514"/>
      </w:pPr>
      <w:r>
        <w:rPr/>
        <w:t>There is little knowledge about how to delineate submarkets in housing markets of developing countries, most especially Nigeria urban areas, where the building type in many fast growing cities are simple structures and urban growth change quickly over time. This is the case in Bida town. It is on this basis that this research intends to fill another gap in the literature by delineating Bida housing submarket and demarcating it using both spatial and non-spatial specifications.</w:t>
      </w:r>
    </w:p>
    <w:p>
      <w:pPr>
        <w:pStyle w:val="BodyText"/>
        <w:spacing w:line="480" w:lineRule="auto" w:before="240"/>
        <w:ind w:left="305" w:right="512"/>
      </w:pPr>
      <w:r>
        <w:rPr/>
        <w:t>From</w:t>
      </w:r>
      <w:r>
        <w:rPr>
          <w:spacing w:val="-1"/>
        </w:rPr>
        <w:t> </w:t>
      </w:r>
      <w:r>
        <w:rPr/>
        <w:t>the review</w:t>
      </w:r>
      <w:r>
        <w:rPr>
          <w:spacing w:val="-1"/>
        </w:rPr>
        <w:t> </w:t>
      </w:r>
      <w:r>
        <w:rPr/>
        <w:t>of</w:t>
      </w:r>
      <w:r>
        <w:rPr>
          <w:spacing w:val="-1"/>
        </w:rPr>
        <w:t> </w:t>
      </w:r>
      <w:r>
        <w:rPr/>
        <w:t>the</w:t>
      </w:r>
      <w:r>
        <w:rPr>
          <w:spacing w:val="-1"/>
        </w:rPr>
        <w:t> </w:t>
      </w:r>
      <w:r>
        <w:rPr/>
        <w:t>empirical studies, knowledge gap established was that little</w:t>
      </w:r>
      <w:r>
        <w:rPr>
          <w:spacing w:val="-1"/>
        </w:rPr>
        <w:t> </w:t>
      </w:r>
      <w:r>
        <w:rPr/>
        <w:t>have been done on urban form in relation to housing price determinant. More specifically, urban densification as a determinant of housing price is not given adequate attention. Also,</w:t>
      </w:r>
      <w:r>
        <w:rPr>
          <w:spacing w:val="-8"/>
        </w:rPr>
        <w:t> </w:t>
      </w:r>
      <w:r>
        <w:rPr/>
        <w:t>hedonic</w:t>
      </w:r>
      <w:r>
        <w:rPr>
          <w:spacing w:val="-9"/>
        </w:rPr>
        <w:t> </w:t>
      </w:r>
      <w:r>
        <w:rPr/>
        <w:t>model</w:t>
      </w:r>
      <w:r>
        <w:rPr>
          <w:spacing w:val="-8"/>
        </w:rPr>
        <w:t> </w:t>
      </w:r>
      <w:r>
        <w:rPr/>
        <w:t>is</w:t>
      </w:r>
      <w:r>
        <w:rPr>
          <w:spacing w:val="-8"/>
        </w:rPr>
        <w:t> </w:t>
      </w:r>
      <w:r>
        <w:rPr/>
        <w:t>the</w:t>
      </w:r>
      <w:r>
        <w:rPr>
          <w:spacing w:val="-9"/>
        </w:rPr>
        <w:t> </w:t>
      </w:r>
      <w:r>
        <w:rPr/>
        <w:t>most</w:t>
      </w:r>
      <w:r>
        <w:rPr>
          <w:spacing w:val="-7"/>
        </w:rPr>
        <w:t> </w:t>
      </w:r>
      <w:r>
        <w:rPr/>
        <w:t>used</w:t>
      </w:r>
      <w:r>
        <w:rPr>
          <w:spacing w:val="-8"/>
        </w:rPr>
        <w:t> </w:t>
      </w:r>
      <w:r>
        <w:rPr/>
        <w:t>method</w:t>
      </w:r>
      <w:r>
        <w:rPr>
          <w:spacing w:val="-8"/>
        </w:rPr>
        <w:t> </w:t>
      </w:r>
      <w:r>
        <w:rPr/>
        <w:t>in</w:t>
      </w:r>
      <w:r>
        <w:rPr>
          <w:spacing w:val="-8"/>
        </w:rPr>
        <w:t> </w:t>
      </w:r>
      <w:r>
        <w:rPr/>
        <w:t>housing</w:t>
      </w:r>
      <w:r>
        <w:rPr>
          <w:spacing w:val="-10"/>
        </w:rPr>
        <w:t> </w:t>
      </w:r>
      <w:r>
        <w:rPr/>
        <w:t>price</w:t>
      </w:r>
      <w:r>
        <w:rPr>
          <w:spacing w:val="-7"/>
        </w:rPr>
        <w:t> </w:t>
      </w:r>
      <w:r>
        <w:rPr/>
        <w:t>analysis</w:t>
      </w:r>
      <w:r>
        <w:rPr>
          <w:spacing w:val="-8"/>
        </w:rPr>
        <w:t> </w:t>
      </w:r>
      <w:r>
        <w:rPr/>
        <w:t>from</w:t>
      </w:r>
      <w:r>
        <w:rPr>
          <w:spacing w:val="-6"/>
        </w:rPr>
        <w:t> </w:t>
      </w:r>
      <w:r>
        <w:rPr/>
        <w:t>the</w:t>
      </w:r>
      <w:r>
        <w:rPr>
          <w:spacing w:val="-9"/>
        </w:rPr>
        <w:t> </w:t>
      </w:r>
      <w:r>
        <w:rPr/>
        <w:t>previous literature while Neural Network is given less preference. This establish basis for this research to develop a model using Artificial Neural Network to model residential densification and housing prices for the study area.</w:t>
      </w:r>
    </w:p>
    <w:p>
      <w:pPr>
        <w:spacing w:after="0" w:line="480" w:lineRule="auto"/>
        <w:sectPr>
          <w:pgSz w:w="11910" w:h="16840"/>
          <w:pgMar w:header="0" w:footer="1022" w:top="1320" w:bottom="1220" w:left="1680" w:right="900"/>
        </w:sectPr>
      </w:pPr>
    </w:p>
    <w:p>
      <w:pPr>
        <w:spacing w:before="76"/>
        <w:ind w:left="292" w:right="505" w:firstLine="0"/>
        <w:jc w:val="center"/>
        <w:rPr>
          <w:b/>
          <w:sz w:val="24"/>
        </w:rPr>
      </w:pPr>
      <w:r>
        <w:rPr>
          <w:b/>
          <w:sz w:val="24"/>
        </w:rPr>
        <w:t>CHAPTER</w:t>
      </w:r>
      <w:r>
        <w:rPr>
          <w:b/>
          <w:spacing w:val="-4"/>
          <w:sz w:val="24"/>
        </w:rPr>
        <w:t> </w:t>
      </w:r>
      <w:r>
        <w:rPr>
          <w:b/>
          <w:spacing w:val="-2"/>
          <w:sz w:val="24"/>
        </w:rPr>
        <w:t>THREE</w:t>
      </w:r>
    </w:p>
    <w:p>
      <w:pPr>
        <w:pStyle w:val="BodyText"/>
        <w:spacing w:before="241"/>
        <w:jc w:val="left"/>
        <w:rPr>
          <w:b/>
        </w:rPr>
      </w:pPr>
    </w:p>
    <w:p>
      <w:pPr>
        <w:pStyle w:val="ListParagraph"/>
        <w:numPr>
          <w:ilvl w:val="1"/>
          <w:numId w:val="6"/>
        </w:numPr>
        <w:tabs>
          <w:tab w:pos="2705" w:val="left" w:leader="none"/>
        </w:tabs>
        <w:spacing w:line="240" w:lineRule="auto" w:before="0" w:after="0"/>
        <w:ind w:left="2705" w:right="0" w:hanging="2400"/>
        <w:jc w:val="left"/>
        <w:rPr>
          <w:b/>
          <w:sz w:val="24"/>
        </w:rPr>
      </w:pPr>
      <w:r>
        <w:rPr>
          <w:b/>
          <w:sz w:val="24"/>
        </w:rPr>
        <w:t>RESEARCH</w:t>
      </w:r>
      <w:r>
        <w:rPr>
          <w:b/>
          <w:spacing w:val="-1"/>
          <w:sz w:val="24"/>
        </w:rPr>
        <w:t> </w:t>
      </w:r>
      <w:r>
        <w:rPr>
          <w:b/>
          <w:spacing w:val="-2"/>
          <w:sz w:val="24"/>
        </w:rPr>
        <w:t>METHODOLOGY</w:t>
      </w:r>
    </w:p>
    <w:p>
      <w:pPr>
        <w:pStyle w:val="BodyText"/>
        <w:spacing w:before="242"/>
        <w:jc w:val="left"/>
        <w:rPr>
          <w:b/>
        </w:rPr>
      </w:pPr>
    </w:p>
    <w:p>
      <w:pPr>
        <w:pStyle w:val="Heading1"/>
        <w:numPr>
          <w:ilvl w:val="1"/>
          <w:numId w:val="6"/>
        </w:numPr>
        <w:tabs>
          <w:tab w:pos="1025" w:val="left" w:leader="none"/>
        </w:tabs>
        <w:spacing w:line="240" w:lineRule="auto" w:before="0" w:after="0"/>
        <w:ind w:left="1025" w:right="0" w:hanging="720"/>
        <w:jc w:val="left"/>
      </w:pPr>
      <w:r>
        <w:rPr/>
        <w:t>Research</w:t>
      </w:r>
      <w:r>
        <w:rPr>
          <w:spacing w:val="-3"/>
        </w:rPr>
        <w:t> </w:t>
      </w:r>
      <w:r>
        <w:rPr>
          <w:spacing w:val="-2"/>
        </w:rPr>
        <w:t>Design</w:t>
      </w:r>
    </w:p>
    <w:p>
      <w:pPr>
        <w:pStyle w:val="BodyText"/>
        <w:spacing w:before="233"/>
        <w:jc w:val="left"/>
        <w:rPr>
          <w:b/>
        </w:rPr>
      </w:pPr>
    </w:p>
    <w:p>
      <w:pPr>
        <w:pStyle w:val="BodyText"/>
        <w:spacing w:line="480" w:lineRule="auto"/>
        <w:ind w:left="305" w:right="509"/>
      </w:pPr>
      <w:r>
        <w:rPr/>
        <w:t>This</w:t>
      </w:r>
      <w:r>
        <w:rPr>
          <w:spacing w:val="-15"/>
        </w:rPr>
        <w:t> </w:t>
      </w:r>
      <w:r>
        <w:rPr/>
        <w:t>study</w:t>
      </w:r>
      <w:r>
        <w:rPr>
          <w:spacing w:val="-15"/>
        </w:rPr>
        <w:t> </w:t>
      </w:r>
      <w:r>
        <w:rPr/>
        <w:t>is</w:t>
      </w:r>
      <w:r>
        <w:rPr>
          <w:spacing w:val="-15"/>
        </w:rPr>
        <w:t> </w:t>
      </w:r>
      <w:r>
        <w:rPr/>
        <w:t>designed</w:t>
      </w:r>
      <w:r>
        <w:rPr>
          <w:spacing w:val="-15"/>
        </w:rPr>
        <w:t> </w:t>
      </w:r>
      <w:r>
        <w:rPr/>
        <w:t>in</w:t>
      </w:r>
      <w:r>
        <w:rPr>
          <w:spacing w:val="-15"/>
        </w:rPr>
        <w:t> </w:t>
      </w:r>
      <w:r>
        <w:rPr/>
        <w:t>four</w:t>
      </w:r>
      <w:r>
        <w:rPr>
          <w:spacing w:val="-15"/>
        </w:rPr>
        <w:t> </w:t>
      </w:r>
      <w:r>
        <w:rPr/>
        <w:t>phases</w:t>
      </w:r>
      <w:r>
        <w:rPr>
          <w:spacing w:val="-15"/>
        </w:rPr>
        <w:t> </w:t>
      </w:r>
      <w:r>
        <w:rPr/>
        <w:t>vis-a-vis</w:t>
      </w:r>
      <w:r>
        <w:rPr>
          <w:spacing w:val="-15"/>
        </w:rPr>
        <w:t> </w:t>
      </w:r>
      <w:r>
        <w:rPr/>
        <w:t>data</w:t>
      </w:r>
      <w:r>
        <w:rPr>
          <w:spacing w:val="-15"/>
        </w:rPr>
        <w:t> </w:t>
      </w:r>
      <w:r>
        <w:rPr/>
        <w:t>collection</w:t>
      </w:r>
      <w:r>
        <w:rPr>
          <w:spacing w:val="-15"/>
        </w:rPr>
        <w:t> </w:t>
      </w:r>
      <w:r>
        <w:rPr/>
        <w:t>stage,</w:t>
      </w:r>
      <w:r>
        <w:rPr>
          <w:spacing w:val="-15"/>
        </w:rPr>
        <w:t> </w:t>
      </w:r>
      <w:r>
        <w:rPr/>
        <w:t>data</w:t>
      </w:r>
      <w:r>
        <w:rPr>
          <w:spacing w:val="-15"/>
        </w:rPr>
        <w:t> </w:t>
      </w:r>
      <w:r>
        <w:rPr/>
        <w:t>processing</w:t>
      </w:r>
      <w:r>
        <w:rPr>
          <w:spacing w:val="-15"/>
        </w:rPr>
        <w:t> </w:t>
      </w:r>
      <w:r>
        <w:rPr/>
        <w:t>stage, data</w:t>
      </w:r>
      <w:r>
        <w:rPr>
          <w:spacing w:val="-13"/>
        </w:rPr>
        <w:t> </w:t>
      </w:r>
      <w:r>
        <w:rPr/>
        <w:t>analysis</w:t>
      </w:r>
      <w:r>
        <w:rPr>
          <w:spacing w:val="-11"/>
        </w:rPr>
        <w:t> </w:t>
      </w:r>
      <w:r>
        <w:rPr/>
        <w:t>and</w:t>
      </w:r>
      <w:r>
        <w:rPr>
          <w:spacing w:val="-12"/>
        </w:rPr>
        <w:t> </w:t>
      </w:r>
      <w:r>
        <w:rPr/>
        <w:t>model</w:t>
      </w:r>
      <w:r>
        <w:rPr>
          <w:spacing w:val="-12"/>
        </w:rPr>
        <w:t> </w:t>
      </w:r>
      <w:r>
        <w:rPr/>
        <w:t>development.</w:t>
      </w:r>
      <w:r>
        <w:rPr>
          <w:spacing w:val="-12"/>
        </w:rPr>
        <w:t> </w:t>
      </w:r>
      <w:r>
        <w:rPr/>
        <w:t>Data</w:t>
      </w:r>
      <w:r>
        <w:rPr>
          <w:spacing w:val="-11"/>
        </w:rPr>
        <w:t> </w:t>
      </w:r>
      <w:r>
        <w:rPr/>
        <w:t>required</w:t>
      </w:r>
      <w:r>
        <w:rPr>
          <w:spacing w:val="-12"/>
        </w:rPr>
        <w:t> </w:t>
      </w:r>
      <w:r>
        <w:rPr/>
        <w:t>for</w:t>
      </w:r>
      <w:r>
        <w:rPr>
          <w:spacing w:val="-14"/>
        </w:rPr>
        <w:t> </w:t>
      </w:r>
      <w:r>
        <w:rPr/>
        <w:t>this</w:t>
      </w:r>
      <w:r>
        <w:rPr>
          <w:spacing w:val="-12"/>
        </w:rPr>
        <w:t> </w:t>
      </w:r>
      <w:r>
        <w:rPr/>
        <w:t>research</w:t>
      </w:r>
      <w:r>
        <w:rPr>
          <w:spacing w:val="-11"/>
        </w:rPr>
        <w:t> </w:t>
      </w:r>
      <w:r>
        <w:rPr/>
        <w:t>were</w:t>
      </w:r>
      <w:r>
        <w:rPr>
          <w:spacing w:val="-11"/>
        </w:rPr>
        <w:t> </w:t>
      </w:r>
      <w:r>
        <w:rPr/>
        <w:t>collected</w:t>
      </w:r>
      <w:r>
        <w:rPr>
          <w:spacing w:val="-13"/>
        </w:rPr>
        <w:t> </w:t>
      </w:r>
      <w:r>
        <w:rPr/>
        <w:t>from two different sources – satellite images from Google Earth for the years 2008, 2013 and 2018</w:t>
      </w:r>
      <w:r>
        <w:rPr>
          <w:spacing w:val="-4"/>
        </w:rPr>
        <w:t> </w:t>
      </w:r>
      <w:r>
        <w:rPr/>
        <w:t>respectively</w:t>
      </w:r>
      <w:r>
        <w:rPr>
          <w:spacing w:val="-9"/>
        </w:rPr>
        <w:t> </w:t>
      </w:r>
      <w:r>
        <w:rPr/>
        <w:t>for</w:t>
      </w:r>
      <w:r>
        <w:rPr>
          <w:spacing w:val="-5"/>
        </w:rPr>
        <w:t> </w:t>
      </w:r>
      <w:r>
        <w:rPr/>
        <w:t>each</w:t>
      </w:r>
      <w:r>
        <w:rPr>
          <w:spacing w:val="-3"/>
        </w:rPr>
        <w:t> </w:t>
      </w:r>
      <w:r>
        <w:rPr/>
        <w:t>housing</w:t>
      </w:r>
      <w:r>
        <w:rPr>
          <w:spacing w:val="-6"/>
        </w:rPr>
        <w:t> </w:t>
      </w:r>
      <w:r>
        <w:rPr/>
        <w:t>submarket</w:t>
      </w:r>
      <w:r>
        <w:rPr>
          <w:spacing w:val="-3"/>
        </w:rPr>
        <w:t> </w:t>
      </w:r>
      <w:r>
        <w:rPr/>
        <w:t>and</w:t>
      </w:r>
      <w:r>
        <w:rPr>
          <w:spacing w:val="-3"/>
        </w:rPr>
        <w:t> </w:t>
      </w:r>
      <w:r>
        <w:rPr/>
        <w:t>rental</w:t>
      </w:r>
      <w:r>
        <w:rPr>
          <w:spacing w:val="-3"/>
        </w:rPr>
        <w:t> </w:t>
      </w:r>
      <w:r>
        <w:rPr/>
        <w:t>value</w:t>
      </w:r>
      <w:r>
        <w:rPr>
          <w:spacing w:val="-3"/>
        </w:rPr>
        <w:t> </w:t>
      </w:r>
      <w:r>
        <w:rPr/>
        <w:t>of</w:t>
      </w:r>
      <w:r>
        <w:rPr>
          <w:spacing w:val="-5"/>
        </w:rPr>
        <w:t> </w:t>
      </w:r>
      <w:r>
        <w:rPr/>
        <w:t>properties</w:t>
      </w:r>
      <w:r>
        <w:rPr>
          <w:spacing w:val="-3"/>
        </w:rPr>
        <w:t> </w:t>
      </w:r>
      <w:r>
        <w:rPr/>
        <w:t>managed by professional</w:t>
      </w:r>
      <w:r>
        <w:rPr>
          <w:spacing w:val="-7"/>
        </w:rPr>
        <w:t> </w:t>
      </w:r>
      <w:r>
        <w:rPr/>
        <w:t>estate</w:t>
      </w:r>
      <w:r>
        <w:rPr>
          <w:spacing w:val="-8"/>
        </w:rPr>
        <w:t> </w:t>
      </w:r>
      <w:r>
        <w:rPr/>
        <w:t>surveyors</w:t>
      </w:r>
      <w:r>
        <w:rPr>
          <w:spacing w:val="-8"/>
        </w:rPr>
        <w:t> </w:t>
      </w:r>
      <w:r>
        <w:rPr/>
        <w:t>and</w:t>
      </w:r>
      <w:r>
        <w:rPr>
          <w:spacing w:val="-7"/>
        </w:rPr>
        <w:t> </w:t>
      </w:r>
      <w:r>
        <w:rPr/>
        <w:t>valuers</w:t>
      </w:r>
      <w:r>
        <w:rPr>
          <w:spacing w:val="-7"/>
        </w:rPr>
        <w:t> </w:t>
      </w:r>
      <w:r>
        <w:rPr/>
        <w:t>for</w:t>
      </w:r>
      <w:r>
        <w:rPr>
          <w:spacing w:val="-9"/>
        </w:rPr>
        <w:t> </w:t>
      </w:r>
      <w:r>
        <w:rPr/>
        <w:t>the</w:t>
      </w:r>
      <w:r>
        <w:rPr>
          <w:spacing w:val="-8"/>
        </w:rPr>
        <w:t> </w:t>
      </w:r>
      <w:r>
        <w:rPr/>
        <w:t>period</w:t>
      </w:r>
      <w:r>
        <w:rPr>
          <w:spacing w:val="-8"/>
        </w:rPr>
        <w:t> </w:t>
      </w:r>
      <w:r>
        <w:rPr/>
        <w:t>of</w:t>
      </w:r>
      <w:r>
        <w:rPr>
          <w:spacing w:val="-8"/>
        </w:rPr>
        <w:t> </w:t>
      </w:r>
      <w:r>
        <w:rPr/>
        <w:t>study</w:t>
      </w:r>
      <w:r>
        <w:rPr>
          <w:spacing w:val="-12"/>
        </w:rPr>
        <w:t> </w:t>
      </w:r>
      <w:r>
        <w:rPr/>
        <w:t>i.e.</w:t>
      </w:r>
      <w:r>
        <w:rPr>
          <w:spacing w:val="-8"/>
        </w:rPr>
        <w:t> </w:t>
      </w:r>
      <w:r>
        <w:rPr/>
        <w:t>2008,</w:t>
      </w:r>
      <w:r>
        <w:rPr>
          <w:spacing w:val="-7"/>
        </w:rPr>
        <w:t> </w:t>
      </w:r>
      <w:r>
        <w:rPr/>
        <w:t>2013</w:t>
      </w:r>
      <w:r>
        <w:rPr>
          <w:spacing w:val="-7"/>
        </w:rPr>
        <w:t> </w:t>
      </w:r>
      <w:r>
        <w:rPr/>
        <w:t>and</w:t>
      </w:r>
      <w:r>
        <w:rPr>
          <w:spacing w:val="-7"/>
        </w:rPr>
        <w:t> </w:t>
      </w:r>
      <w:r>
        <w:rPr/>
        <w:t>2018 respectively.</w:t>
      </w:r>
      <w:r>
        <w:rPr>
          <w:spacing w:val="-7"/>
        </w:rPr>
        <w:t> </w:t>
      </w:r>
      <w:r>
        <w:rPr/>
        <w:t>The</w:t>
      </w:r>
      <w:r>
        <w:rPr>
          <w:spacing w:val="-7"/>
        </w:rPr>
        <w:t> </w:t>
      </w:r>
      <w:r>
        <w:rPr/>
        <w:t>range</w:t>
      </w:r>
      <w:r>
        <w:rPr>
          <w:spacing w:val="-7"/>
        </w:rPr>
        <w:t> </w:t>
      </w:r>
      <w:r>
        <w:rPr/>
        <w:t>of</w:t>
      </w:r>
      <w:r>
        <w:rPr>
          <w:spacing w:val="-6"/>
        </w:rPr>
        <w:t> </w:t>
      </w:r>
      <w:r>
        <w:rPr/>
        <w:t>years</w:t>
      </w:r>
      <w:r>
        <w:rPr>
          <w:spacing w:val="-4"/>
        </w:rPr>
        <w:t> </w:t>
      </w:r>
      <w:r>
        <w:rPr/>
        <w:t>was</w:t>
      </w:r>
      <w:r>
        <w:rPr>
          <w:spacing w:val="-7"/>
        </w:rPr>
        <w:t> </w:t>
      </w:r>
      <w:r>
        <w:rPr/>
        <w:t>due</w:t>
      </w:r>
      <w:r>
        <w:rPr>
          <w:spacing w:val="-7"/>
        </w:rPr>
        <w:t> </w:t>
      </w:r>
      <w:r>
        <w:rPr/>
        <w:t>to</w:t>
      </w:r>
      <w:r>
        <w:rPr>
          <w:spacing w:val="-7"/>
        </w:rPr>
        <w:t> </w:t>
      </w:r>
      <w:r>
        <w:rPr/>
        <w:t>the</w:t>
      </w:r>
      <w:r>
        <w:rPr>
          <w:spacing w:val="-7"/>
        </w:rPr>
        <w:t> </w:t>
      </w:r>
      <w:r>
        <w:rPr/>
        <w:t>fact</w:t>
      </w:r>
      <w:r>
        <w:rPr>
          <w:spacing w:val="-7"/>
        </w:rPr>
        <w:t> </w:t>
      </w:r>
      <w:r>
        <w:rPr/>
        <w:t>that</w:t>
      </w:r>
      <w:r>
        <w:rPr>
          <w:spacing w:val="-6"/>
        </w:rPr>
        <w:t> </w:t>
      </w:r>
      <w:r>
        <w:rPr/>
        <w:t>during</w:t>
      </w:r>
      <w:r>
        <w:rPr>
          <w:spacing w:val="-9"/>
        </w:rPr>
        <w:t> </w:t>
      </w:r>
      <w:r>
        <w:rPr/>
        <w:t>this</w:t>
      </w:r>
      <w:r>
        <w:rPr>
          <w:spacing w:val="-7"/>
        </w:rPr>
        <w:t> </w:t>
      </w:r>
      <w:r>
        <w:rPr/>
        <w:t>period</w:t>
      </w:r>
      <w:r>
        <w:rPr>
          <w:spacing w:val="-7"/>
        </w:rPr>
        <w:t> </w:t>
      </w:r>
      <w:r>
        <w:rPr/>
        <w:t>there</w:t>
      </w:r>
      <w:r>
        <w:rPr>
          <w:spacing w:val="-8"/>
        </w:rPr>
        <w:t> </w:t>
      </w:r>
      <w:r>
        <w:rPr/>
        <w:t>was</w:t>
      </w:r>
      <w:r>
        <w:rPr>
          <w:spacing w:val="-7"/>
        </w:rPr>
        <w:t> </w:t>
      </w:r>
      <w:r>
        <w:rPr/>
        <w:t>high increase in population influx and spatial expansion.</w:t>
      </w:r>
    </w:p>
    <w:p>
      <w:pPr>
        <w:pStyle w:val="BodyText"/>
        <w:spacing w:line="480" w:lineRule="auto" w:before="241"/>
        <w:ind w:left="305" w:right="513"/>
      </w:pPr>
      <w:r>
        <w:rPr/>
        <w:t>The second phase of the research is the data processing where satellite imageries gotten from</w:t>
      </w:r>
      <w:r>
        <w:rPr>
          <w:spacing w:val="-10"/>
        </w:rPr>
        <w:t> </w:t>
      </w:r>
      <w:r>
        <w:rPr/>
        <w:t>Google</w:t>
      </w:r>
      <w:r>
        <w:rPr>
          <w:spacing w:val="-12"/>
        </w:rPr>
        <w:t> </w:t>
      </w:r>
      <w:r>
        <w:rPr/>
        <w:t>Earth</w:t>
      </w:r>
      <w:r>
        <w:rPr>
          <w:spacing w:val="-11"/>
        </w:rPr>
        <w:t> </w:t>
      </w:r>
      <w:r>
        <w:rPr/>
        <w:t>were</w:t>
      </w:r>
      <w:r>
        <w:rPr>
          <w:spacing w:val="-10"/>
        </w:rPr>
        <w:t> </w:t>
      </w:r>
      <w:r>
        <w:rPr/>
        <w:t>georeferenced</w:t>
      </w:r>
      <w:r>
        <w:rPr>
          <w:spacing w:val="-11"/>
        </w:rPr>
        <w:t> </w:t>
      </w:r>
      <w:r>
        <w:rPr/>
        <w:t>and</w:t>
      </w:r>
      <w:r>
        <w:rPr>
          <w:spacing w:val="-11"/>
        </w:rPr>
        <w:t> </w:t>
      </w:r>
      <w:r>
        <w:rPr/>
        <w:t>onscreen</w:t>
      </w:r>
      <w:r>
        <w:rPr>
          <w:spacing w:val="-11"/>
        </w:rPr>
        <w:t> </w:t>
      </w:r>
      <w:r>
        <w:rPr/>
        <w:t>digitization</w:t>
      </w:r>
      <w:r>
        <w:rPr>
          <w:spacing w:val="-11"/>
        </w:rPr>
        <w:t> </w:t>
      </w:r>
      <w:r>
        <w:rPr/>
        <w:t>was</w:t>
      </w:r>
      <w:r>
        <w:rPr>
          <w:spacing w:val="-10"/>
        </w:rPr>
        <w:t> </w:t>
      </w:r>
      <w:r>
        <w:rPr/>
        <w:t>conducted</w:t>
      </w:r>
      <w:r>
        <w:rPr>
          <w:spacing w:val="-11"/>
        </w:rPr>
        <w:t> </w:t>
      </w:r>
      <w:r>
        <w:rPr/>
        <w:t>to</w:t>
      </w:r>
      <w:r>
        <w:rPr>
          <w:spacing w:val="-10"/>
        </w:rPr>
        <w:t> </w:t>
      </w:r>
      <w:r>
        <w:rPr/>
        <w:t>create point features for all buildings in the study</w:t>
      </w:r>
      <w:r>
        <w:rPr>
          <w:spacing w:val="-4"/>
        </w:rPr>
        <w:t> </w:t>
      </w:r>
      <w:r>
        <w:rPr/>
        <w:t>area for the years under study. Point features created based on submarket were merged and aggregated to have three sets of point feature – i.e. 2008, 2013</w:t>
      </w:r>
      <w:r>
        <w:rPr>
          <w:spacing w:val="-1"/>
        </w:rPr>
        <w:t> </w:t>
      </w:r>
      <w:r>
        <w:rPr/>
        <w:t>and 2018. Data collected on rental value were</w:t>
      </w:r>
      <w:r>
        <w:rPr>
          <w:spacing w:val="-1"/>
        </w:rPr>
        <w:t> </w:t>
      </w:r>
      <w:r>
        <w:rPr/>
        <w:t>sorted according to the type of housing apartments and different years under investigation. Geodatabase was built for rental values using point features and attribute tables representing rental apartments managed by professional estate surveyors.</w:t>
      </w:r>
    </w:p>
    <w:p>
      <w:pPr>
        <w:pStyle w:val="BodyText"/>
        <w:spacing w:line="480" w:lineRule="auto" w:before="239"/>
        <w:ind w:left="305" w:right="508"/>
      </w:pPr>
      <w:r>
        <w:rPr/>
        <w:t>Third phase of the research involves analysis of data on residential density in terms of number</w:t>
      </w:r>
      <w:r>
        <w:rPr>
          <w:spacing w:val="-6"/>
        </w:rPr>
        <w:t> </w:t>
      </w:r>
      <w:r>
        <w:rPr/>
        <w:t>of</w:t>
      </w:r>
      <w:r>
        <w:rPr>
          <w:spacing w:val="-3"/>
        </w:rPr>
        <w:t> </w:t>
      </w:r>
      <w:r>
        <w:rPr/>
        <w:t>building</w:t>
      </w:r>
      <w:r>
        <w:rPr>
          <w:spacing w:val="-7"/>
        </w:rPr>
        <w:t> </w:t>
      </w:r>
      <w:r>
        <w:rPr/>
        <w:t>per</w:t>
      </w:r>
      <w:r>
        <w:rPr>
          <w:spacing w:val="-3"/>
        </w:rPr>
        <w:t> </w:t>
      </w:r>
      <w:r>
        <w:rPr/>
        <w:t>area</w:t>
      </w:r>
      <w:r>
        <w:rPr>
          <w:spacing w:val="-3"/>
        </w:rPr>
        <w:t> </w:t>
      </w:r>
      <w:r>
        <w:rPr/>
        <w:t>coverage by</w:t>
      </w:r>
      <w:r>
        <w:rPr>
          <w:spacing w:val="-10"/>
        </w:rPr>
        <w:t> </w:t>
      </w:r>
      <w:r>
        <w:rPr/>
        <w:t>submarket</w:t>
      </w:r>
      <w:r>
        <w:rPr>
          <w:spacing w:val="-4"/>
        </w:rPr>
        <w:t> </w:t>
      </w:r>
      <w:r>
        <w:rPr/>
        <w:t>for</w:t>
      </w:r>
      <w:r>
        <w:rPr>
          <w:spacing w:val="-4"/>
        </w:rPr>
        <w:t> </w:t>
      </w:r>
      <w:r>
        <w:rPr/>
        <w:t>the</w:t>
      </w:r>
      <w:r>
        <w:rPr>
          <w:spacing w:val="-1"/>
        </w:rPr>
        <w:t> </w:t>
      </w:r>
      <w:r>
        <w:rPr/>
        <w:t>years</w:t>
      </w:r>
      <w:r>
        <w:rPr>
          <w:spacing w:val="-3"/>
        </w:rPr>
        <w:t> </w:t>
      </w:r>
      <w:r>
        <w:rPr/>
        <w:t>under</w:t>
      </w:r>
      <w:r>
        <w:rPr>
          <w:spacing w:val="-3"/>
        </w:rPr>
        <w:t> </w:t>
      </w:r>
      <w:r>
        <w:rPr/>
        <w:t>study,</w:t>
      </w:r>
      <w:r>
        <w:rPr>
          <w:spacing w:val="-5"/>
        </w:rPr>
        <w:t> </w:t>
      </w:r>
      <w:r>
        <w:rPr/>
        <w:t>number</w:t>
      </w:r>
      <w:r>
        <w:rPr>
          <w:spacing w:val="-6"/>
        </w:rPr>
        <w:t> </w:t>
      </w:r>
      <w:r>
        <w:rPr/>
        <w:t>of buildings in each submarket for the same years and level of density for the years under review. Point features representing building were also analysed using Point density analysis</w:t>
      </w:r>
      <w:r>
        <w:rPr>
          <w:spacing w:val="27"/>
        </w:rPr>
        <w:t> </w:t>
      </w:r>
      <w:r>
        <w:rPr/>
        <w:t>for</w:t>
      </w:r>
      <w:r>
        <w:rPr>
          <w:spacing w:val="23"/>
        </w:rPr>
        <w:t> </w:t>
      </w:r>
      <w:r>
        <w:rPr/>
        <w:t>the</w:t>
      </w:r>
      <w:r>
        <w:rPr>
          <w:spacing w:val="29"/>
        </w:rPr>
        <w:t> </w:t>
      </w:r>
      <w:r>
        <w:rPr/>
        <w:t>years</w:t>
      </w:r>
      <w:r>
        <w:rPr>
          <w:spacing w:val="24"/>
        </w:rPr>
        <w:t> </w:t>
      </w:r>
      <w:r>
        <w:rPr/>
        <w:t>under</w:t>
      </w:r>
      <w:r>
        <w:rPr>
          <w:spacing w:val="24"/>
        </w:rPr>
        <w:t> </w:t>
      </w:r>
      <w:r>
        <w:rPr/>
        <w:t>review.</w:t>
      </w:r>
      <w:r>
        <w:rPr>
          <w:spacing w:val="25"/>
        </w:rPr>
        <w:t> </w:t>
      </w:r>
      <w:r>
        <w:rPr/>
        <w:t>Data</w:t>
      </w:r>
      <w:r>
        <w:rPr>
          <w:spacing w:val="24"/>
        </w:rPr>
        <w:t> </w:t>
      </w:r>
      <w:r>
        <w:rPr/>
        <w:t>on</w:t>
      </w:r>
      <w:r>
        <w:rPr>
          <w:spacing w:val="25"/>
        </w:rPr>
        <w:t> </w:t>
      </w:r>
      <w:r>
        <w:rPr/>
        <w:t>rental</w:t>
      </w:r>
      <w:r>
        <w:rPr>
          <w:spacing w:val="25"/>
        </w:rPr>
        <w:t> </w:t>
      </w:r>
      <w:r>
        <w:rPr/>
        <w:t>prices</w:t>
      </w:r>
      <w:r>
        <w:rPr>
          <w:spacing w:val="25"/>
        </w:rPr>
        <w:t> </w:t>
      </w:r>
      <w:r>
        <w:rPr/>
        <w:t>were</w:t>
      </w:r>
      <w:r>
        <w:rPr>
          <w:spacing w:val="24"/>
        </w:rPr>
        <w:t> </w:t>
      </w:r>
      <w:r>
        <w:rPr/>
        <w:t>analysed</w:t>
      </w:r>
      <w:r>
        <w:rPr>
          <w:spacing w:val="27"/>
        </w:rPr>
        <w:t> </w:t>
      </w:r>
      <w:r>
        <w:rPr/>
        <w:t>using</w:t>
      </w:r>
      <w:r>
        <w:rPr>
          <w:spacing w:val="32"/>
        </w:rPr>
        <w:t> </w:t>
      </w:r>
      <w:r>
        <w:rPr>
          <w:spacing w:val="-2"/>
        </w:rPr>
        <w:t>spatial</w:t>
      </w:r>
    </w:p>
    <w:p>
      <w:pPr>
        <w:spacing w:after="0" w:line="480" w:lineRule="auto"/>
        <w:sectPr>
          <w:pgSz w:w="11910" w:h="16840"/>
          <w:pgMar w:header="0" w:footer="1022" w:top="1320" w:bottom="1220" w:left="1680" w:right="900"/>
        </w:sectPr>
      </w:pPr>
    </w:p>
    <w:p>
      <w:pPr>
        <w:pStyle w:val="BodyText"/>
        <w:spacing w:line="480" w:lineRule="auto" w:before="72"/>
        <w:ind w:left="305" w:right="522"/>
      </w:pPr>
      <w:r>
        <w:rPr/>
        <w:t>interpolation techniques known as Ordinary Kriging (OK) for all type of housing apartments and years under consideration.</w:t>
      </w:r>
    </w:p>
    <w:p>
      <w:pPr>
        <w:pStyle w:val="BodyText"/>
        <w:spacing w:line="480" w:lineRule="auto" w:before="240"/>
        <w:ind w:left="305" w:right="510"/>
      </w:pPr>
      <w:r>
        <w:rPr/>
        <w:t>The last phase of the research involves developing a model that can analyse the relationship</w:t>
      </w:r>
      <w:r>
        <w:rPr>
          <w:spacing w:val="-1"/>
        </w:rPr>
        <w:t> </w:t>
      </w:r>
      <w:r>
        <w:rPr/>
        <w:t>between</w:t>
      </w:r>
      <w:r>
        <w:rPr>
          <w:spacing w:val="-1"/>
        </w:rPr>
        <w:t> </w:t>
      </w:r>
      <w:r>
        <w:rPr/>
        <w:t>rental</w:t>
      </w:r>
      <w:r>
        <w:rPr>
          <w:spacing w:val="-1"/>
        </w:rPr>
        <w:t> </w:t>
      </w:r>
      <w:r>
        <w:rPr/>
        <w:t>prices</w:t>
      </w:r>
      <w:r>
        <w:rPr>
          <w:spacing w:val="-1"/>
        </w:rPr>
        <w:t> </w:t>
      </w:r>
      <w:r>
        <w:rPr/>
        <w:t>and</w:t>
      </w:r>
      <w:r>
        <w:rPr>
          <w:spacing w:val="-1"/>
        </w:rPr>
        <w:t> </w:t>
      </w:r>
      <w:r>
        <w:rPr/>
        <w:t>residential density</w:t>
      </w:r>
      <w:r>
        <w:rPr>
          <w:spacing w:val="-1"/>
        </w:rPr>
        <w:t> </w:t>
      </w:r>
      <w:r>
        <w:rPr/>
        <w:t>of</w:t>
      </w:r>
      <w:r>
        <w:rPr>
          <w:spacing w:val="-2"/>
        </w:rPr>
        <w:t> </w:t>
      </w:r>
      <w:r>
        <w:rPr/>
        <w:t>the</w:t>
      </w:r>
      <w:r>
        <w:rPr>
          <w:spacing w:val="-2"/>
        </w:rPr>
        <w:t> </w:t>
      </w:r>
      <w:r>
        <w:rPr/>
        <w:t>study</w:t>
      </w:r>
      <w:r>
        <w:rPr>
          <w:spacing w:val="-6"/>
        </w:rPr>
        <w:t> </w:t>
      </w:r>
      <w:r>
        <w:rPr/>
        <w:t>area. Point</w:t>
      </w:r>
      <w:r>
        <w:rPr>
          <w:spacing w:val="-1"/>
        </w:rPr>
        <w:t> </w:t>
      </w:r>
      <w:r>
        <w:rPr/>
        <w:t>density results and spatial interpolation results were provided as data for the model where both data</w:t>
      </w:r>
      <w:r>
        <w:rPr>
          <w:spacing w:val="-9"/>
        </w:rPr>
        <w:t> </w:t>
      </w:r>
      <w:r>
        <w:rPr/>
        <w:t>were</w:t>
      </w:r>
      <w:r>
        <w:rPr>
          <w:spacing w:val="-9"/>
        </w:rPr>
        <w:t> </w:t>
      </w:r>
      <w:r>
        <w:rPr/>
        <w:t>normalised</w:t>
      </w:r>
      <w:r>
        <w:rPr>
          <w:spacing w:val="-8"/>
        </w:rPr>
        <w:t> </w:t>
      </w:r>
      <w:r>
        <w:rPr/>
        <w:t>and</w:t>
      </w:r>
      <w:r>
        <w:rPr>
          <w:spacing w:val="-6"/>
        </w:rPr>
        <w:t> </w:t>
      </w:r>
      <w:r>
        <w:rPr/>
        <w:t>inputs</w:t>
      </w:r>
      <w:r>
        <w:rPr>
          <w:spacing w:val="-8"/>
        </w:rPr>
        <w:t> </w:t>
      </w:r>
      <w:r>
        <w:rPr/>
        <w:t>were</w:t>
      </w:r>
      <w:r>
        <w:rPr>
          <w:spacing w:val="-10"/>
        </w:rPr>
        <w:t> </w:t>
      </w:r>
      <w:r>
        <w:rPr/>
        <w:t>refined</w:t>
      </w:r>
      <w:r>
        <w:rPr>
          <w:spacing w:val="-8"/>
        </w:rPr>
        <w:t> </w:t>
      </w:r>
      <w:r>
        <w:rPr/>
        <w:t>before</w:t>
      </w:r>
      <w:r>
        <w:rPr>
          <w:spacing w:val="-10"/>
        </w:rPr>
        <w:t> </w:t>
      </w:r>
      <w:r>
        <w:rPr/>
        <w:t>data</w:t>
      </w:r>
      <w:r>
        <w:rPr>
          <w:spacing w:val="-9"/>
        </w:rPr>
        <w:t> </w:t>
      </w:r>
      <w:r>
        <w:rPr/>
        <w:t>processing.</w:t>
      </w:r>
      <w:r>
        <w:rPr>
          <w:spacing w:val="-4"/>
        </w:rPr>
        <w:t> </w:t>
      </w:r>
      <w:r>
        <w:rPr/>
        <w:t>The</w:t>
      </w:r>
      <w:r>
        <w:rPr>
          <w:spacing w:val="-9"/>
        </w:rPr>
        <w:t> </w:t>
      </w:r>
      <w:r>
        <w:rPr/>
        <w:t>model</w:t>
      </w:r>
      <w:r>
        <w:rPr>
          <w:spacing w:val="-8"/>
        </w:rPr>
        <w:t> </w:t>
      </w:r>
      <w:r>
        <w:rPr/>
        <w:t>forecast both data where residential density and rental prices were predicted and relationships were shown (see Figure 3.1).</w:t>
      </w:r>
    </w:p>
    <w:p>
      <w:pPr>
        <w:pStyle w:val="BodyText"/>
        <w:spacing w:before="5"/>
        <w:jc w:val="left"/>
        <w:rPr>
          <w:sz w:val="19"/>
        </w:rPr>
      </w:pPr>
      <w:r>
        <w:rPr/>
        <w:drawing>
          <wp:anchor distT="0" distB="0" distL="0" distR="0" allowOverlap="1" layoutInCell="1" locked="0" behindDoc="1" simplePos="0" relativeHeight="487589376">
            <wp:simplePos x="0" y="0"/>
            <wp:positionH relativeFrom="page">
              <wp:posOffset>1260347</wp:posOffset>
            </wp:positionH>
            <wp:positionV relativeFrom="paragraph">
              <wp:posOffset>157718</wp:posOffset>
            </wp:positionV>
            <wp:extent cx="5036773" cy="4855464"/>
            <wp:effectExtent l="0" t="0" r="0" b="0"/>
            <wp:wrapTopAndBottom/>
            <wp:docPr id="8" name="Image 8"/>
            <wp:cNvGraphicFramePr>
              <a:graphicFrameLocks/>
            </wp:cNvGraphicFramePr>
            <a:graphic>
              <a:graphicData uri="http://schemas.openxmlformats.org/drawingml/2006/picture">
                <pic:pic>
                  <pic:nvPicPr>
                    <pic:cNvPr id="8" name="Image 8"/>
                    <pic:cNvPicPr/>
                  </pic:nvPicPr>
                  <pic:blipFill>
                    <a:blip r:embed="rId13" cstate="print"/>
                    <a:stretch>
                      <a:fillRect/>
                    </a:stretch>
                  </pic:blipFill>
                  <pic:spPr>
                    <a:xfrm>
                      <a:off x="0" y="0"/>
                      <a:ext cx="5036773" cy="4855464"/>
                    </a:xfrm>
                    <a:prstGeom prst="rect">
                      <a:avLst/>
                    </a:prstGeom>
                  </pic:spPr>
                </pic:pic>
              </a:graphicData>
            </a:graphic>
          </wp:anchor>
        </w:drawing>
      </w:r>
    </w:p>
    <w:p>
      <w:pPr>
        <w:pStyle w:val="Heading1"/>
        <w:spacing w:before="61"/>
        <w:ind w:left="0" w:right="214" w:firstLine="0"/>
        <w:jc w:val="center"/>
      </w:pPr>
      <w:r>
        <w:rPr/>
        <w:t>Figure</w:t>
      </w:r>
      <w:r>
        <w:rPr>
          <w:spacing w:val="-3"/>
        </w:rPr>
        <w:t> </w:t>
      </w:r>
      <w:r>
        <w:rPr/>
        <w:t>3.1:</w:t>
      </w:r>
      <w:r>
        <w:rPr>
          <w:spacing w:val="-2"/>
        </w:rPr>
        <w:t> </w:t>
      </w:r>
      <w:r>
        <w:rPr/>
        <w:t>Research</w:t>
      </w:r>
      <w:r>
        <w:rPr>
          <w:spacing w:val="-1"/>
        </w:rPr>
        <w:t> </w:t>
      </w:r>
      <w:r>
        <w:rPr>
          <w:spacing w:val="-2"/>
        </w:rPr>
        <w:t>Design</w:t>
      </w:r>
    </w:p>
    <w:p>
      <w:pPr>
        <w:spacing w:after="0"/>
        <w:jc w:val="center"/>
        <w:sectPr>
          <w:pgSz w:w="11910" w:h="16840"/>
          <w:pgMar w:header="0" w:footer="1022" w:top="1320" w:bottom="1220" w:left="1680" w:right="900"/>
        </w:sectPr>
      </w:pPr>
    </w:p>
    <w:p>
      <w:pPr>
        <w:pStyle w:val="ListParagraph"/>
        <w:numPr>
          <w:ilvl w:val="1"/>
          <w:numId w:val="6"/>
        </w:numPr>
        <w:tabs>
          <w:tab w:pos="1024" w:val="left" w:leader="none"/>
        </w:tabs>
        <w:spacing w:line="240" w:lineRule="auto" w:before="79" w:after="0"/>
        <w:ind w:left="1024" w:right="0" w:hanging="719"/>
        <w:jc w:val="both"/>
        <w:rPr>
          <w:b/>
          <w:sz w:val="24"/>
        </w:rPr>
      </w:pPr>
      <w:r>
        <w:rPr>
          <w:b/>
          <w:sz w:val="24"/>
        </w:rPr>
        <w:t>Research</w:t>
      </w:r>
      <w:r>
        <w:rPr>
          <w:b/>
          <w:spacing w:val="-2"/>
          <w:sz w:val="24"/>
        </w:rPr>
        <w:t> Population</w:t>
      </w:r>
    </w:p>
    <w:p>
      <w:pPr>
        <w:pStyle w:val="BodyText"/>
        <w:spacing w:before="192"/>
        <w:jc w:val="left"/>
        <w:rPr>
          <w:b/>
        </w:rPr>
      </w:pPr>
    </w:p>
    <w:p>
      <w:pPr>
        <w:pStyle w:val="BodyText"/>
        <w:spacing w:line="480" w:lineRule="auto"/>
        <w:ind w:left="305" w:right="515"/>
      </w:pPr>
      <w:r>
        <w:rPr/>
        <w:t>The population of this research work include all building</w:t>
      </w:r>
      <w:r>
        <w:rPr>
          <w:spacing w:val="-1"/>
        </w:rPr>
        <w:t> </w:t>
      </w:r>
      <w:r>
        <w:rPr/>
        <w:t>in the study</w:t>
      </w:r>
      <w:r>
        <w:rPr>
          <w:spacing w:val="-4"/>
        </w:rPr>
        <w:t> </w:t>
      </w:r>
      <w:r>
        <w:rPr/>
        <w:t>area between year 2008</w:t>
      </w:r>
      <w:r>
        <w:rPr>
          <w:spacing w:val="-6"/>
        </w:rPr>
        <w:t> </w:t>
      </w:r>
      <w:r>
        <w:rPr/>
        <w:t>and</w:t>
      </w:r>
      <w:r>
        <w:rPr>
          <w:spacing w:val="-6"/>
        </w:rPr>
        <w:t> </w:t>
      </w:r>
      <w:r>
        <w:rPr/>
        <w:t>2018,</w:t>
      </w:r>
      <w:r>
        <w:rPr>
          <w:spacing w:val="-6"/>
        </w:rPr>
        <w:t> </w:t>
      </w:r>
      <w:r>
        <w:rPr/>
        <w:t>also</w:t>
      </w:r>
      <w:r>
        <w:rPr>
          <w:spacing w:val="-5"/>
        </w:rPr>
        <w:t> </w:t>
      </w:r>
      <w:r>
        <w:rPr/>
        <w:t>rental</w:t>
      </w:r>
      <w:r>
        <w:rPr>
          <w:spacing w:val="-5"/>
        </w:rPr>
        <w:t> </w:t>
      </w:r>
      <w:r>
        <w:rPr/>
        <w:t>housing</w:t>
      </w:r>
      <w:r>
        <w:rPr>
          <w:spacing w:val="-8"/>
        </w:rPr>
        <w:t> </w:t>
      </w:r>
      <w:r>
        <w:rPr/>
        <w:t>apartments</w:t>
      </w:r>
      <w:r>
        <w:rPr>
          <w:spacing w:val="-5"/>
        </w:rPr>
        <w:t> </w:t>
      </w:r>
      <w:r>
        <w:rPr/>
        <w:t>managed</w:t>
      </w:r>
      <w:r>
        <w:rPr>
          <w:spacing w:val="-6"/>
        </w:rPr>
        <w:t> </w:t>
      </w:r>
      <w:r>
        <w:rPr/>
        <w:t>by</w:t>
      </w:r>
      <w:r>
        <w:rPr>
          <w:spacing w:val="-7"/>
        </w:rPr>
        <w:t> </w:t>
      </w:r>
      <w:r>
        <w:rPr/>
        <w:t>professional</w:t>
      </w:r>
      <w:r>
        <w:rPr>
          <w:spacing w:val="-5"/>
        </w:rPr>
        <w:t> </w:t>
      </w:r>
      <w:r>
        <w:rPr/>
        <w:t>estate</w:t>
      </w:r>
      <w:r>
        <w:rPr>
          <w:spacing w:val="-6"/>
        </w:rPr>
        <w:t> </w:t>
      </w:r>
      <w:r>
        <w:rPr/>
        <w:t>surveyors and</w:t>
      </w:r>
      <w:r>
        <w:rPr>
          <w:spacing w:val="-7"/>
        </w:rPr>
        <w:t> </w:t>
      </w:r>
      <w:r>
        <w:rPr/>
        <w:t>valuers</w:t>
      </w:r>
      <w:r>
        <w:rPr>
          <w:spacing w:val="-8"/>
        </w:rPr>
        <w:t> </w:t>
      </w:r>
      <w:r>
        <w:rPr/>
        <w:t>-</w:t>
      </w:r>
      <w:r>
        <w:rPr>
          <w:spacing w:val="-6"/>
        </w:rPr>
        <w:t> </w:t>
      </w:r>
      <w:r>
        <w:rPr/>
        <w:t>Usman</w:t>
      </w:r>
      <w:r>
        <w:rPr>
          <w:spacing w:val="-7"/>
        </w:rPr>
        <w:t> </w:t>
      </w:r>
      <w:r>
        <w:rPr/>
        <w:t>Maishera</w:t>
      </w:r>
      <w:r>
        <w:rPr>
          <w:spacing w:val="-6"/>
        </w:rPr>
        <w:t> </w:t>
      </w:r>
      <w:r>
        <w:rPr/>
        <w:t>&amp;</w:t>
      </w:r>
      <w:r>
        <w:rPr>
          <w:spacing w:val="-7"/>
        </w:rPr>
        <w:t> </w:t>
      </w:r>
      <w:r>
        <w:rPr/>
        <w:t>Associates,</w:t>
      </w:r>
      <w:r>
        <w:rPr>
          <w:spacing w:val="-6"/>
        </w:rPr>
        <w:t> </w:t>
      </w:r>
      <w:r>
        <w:rPr/>
        <w:t>Okoh</w:t>
      </w:r>
      <w:r>
        <w:rPr>
          <w:spacing w:val="-7"/>
        </w:rPr>
        <w:t> </w:t>
      </w:r>
      <w:r>
        <w:rPr/>
        <w:t>Okuoma</w:t>
      </w:r>
      <w:r>
        <w:rPr>
          <w:spacing w:val="-6"/>
        </w:rPr>
        <w:t> </w:t>
      </w:r>
      <w:r>
        <w:rPr/>
        <w:t>&amp;</w:t>
      </w:r>
      <w:r>
        <w:rPr>
          <w:spacing w:val="-9"/>
        </w:rPr>
        <w:t> </w:t>
      </w:r>
      <w:r>
        <w:rPr/>
        <w:t>Co.</w:t>
      </w:r>
      <w:r>
        <w:rPr>
          <w:spacing w:val="-6"/>
        </w:rPr>
        <w:t> </w:t>
      </w:r>
      <w:r>
        <w:rPr/>
        <w:t>and</w:t>
      </w:r>
      <w:r>
        <w:rPr>
          <w:spacing w:val="-7"/>
        </w:rPr>
        <w:t> </w:t>
      </w:r>
      <w:r>
        <w:rPr/>
        <w:t>Pat</w:t>
      </w:r>
      <w:r>
        <w:rPr>
          <w:spacing w:val="-6"/>
        </w:rPr>
        <w:t> </w:t>
      </w:r>
      <w:r>
        <w:rPr/>
        <w:t>Egbeduma</w:t>
      </w:r>
      <w:r>
        <w:rPr>
          <w:spacing w:val="-6"/>
        </w:rPr>
        <w:t> </w:t>
      </w:r>
      <w:r>
        <w:rPr/>
        <w:t>&amp; </w:t>
      </w:r>
      <w:r>
        <w:rPr>
          <w:spacing w:val="-2"/>
        </w:rPr>
        <w:t>Partners.</w:t>
      </w:r>
    </w:p>
    <w:p>
      <w:pPr>
        <w:pStyle w:val="Heading1"/>
        <w:numPr>
          <w:ilvl w:val="1"/>
          <w:numId w:val="6"/>
        </w:numPr>
        <w:tabs>
          <w:tab w:pos="1024" w:val="left" w:leader="none"/>
        </w:tabs>
        <w:spacing w:line="240" w:lineRule="auto" w:before="248" w:after="0"/>
        <w:ind w:left="1024" w:right="0" w:hanging="719"/>
        <w:jc w:val="both"/>
      </w:pPr>
      <w:r>
        <w:rPr/>
        <w:t>Sampling</w:t>
      </w:r>
      <w:r>
        <w:rPr>
          <w:spacing w:val="-4"/>
        </w:rPr>
        <w:t> </w:t>
      </w:r>
      <w:r>
        <w:rPr>
          <w:spacing w:val="-2"/>
        </w:rPr>
        <w:t>Technique</w:t>
      </w:r>
    </w:p>
    <w:p>
      <w:pPr>
        <w:pStyle w:val="BodyText"/>
        <w:spacing w:before="192"/>
        <w:jc w:val="left"/>
        <w:rPr>
          <w:b/>
        </w:rPr>
      </w:pPr>
    </w:p>
    <w:p>
      <w:pPr>
        <w:pStyle w:val="BodyText"/>
        <w:spacing w:line="480" w:lineRule="auto"/>
        <w:ind w:left="305" w:right="514"/>
      </w:pPr>
      <w:r>
        <w:rPr/>
        <w:t>Census</w:t>
      </w:r>
      <w:r>
        <w:rPr>
          <w:spacing w:val="-3"/>
        </w:rPr>
        <w:t> </w:t>
      </w:r>
      <w:r>
        <w:rPr/>
        <w:t>sampling</w:t>
      </w:r>
      <w:r>
        <w:rPr>
          <w:spacing w:val="-3"/>
        </w:rPr>
        <w:t> </w:t>
      </w:r>
      <w:r>
        <w:rPr/>
        <w:t>techniques</w:t>
      </w:r>
      <w:r>
        <w:rPr>
          <w:spacing w:val="-3"/>
        </w:rPr>
        <w:t> </w:t>
      </w:r>
      <w:r>
        <w:rPr/>
        <w:t>was</w:t>
      </w:r>
      <w:r>
        <w:rPr>
          <w:spacing w:val="-1"/>
        </w:rPr>
        <w:t> </w:t>
      </w:r>
      <w:r>
        <w:rPr/>
        <w:t>adopted for</w:t>
      </w:r>
      <w:r>
        <w:rPr>
          <w:spacing w:val="-3"/>
        </w:rPr>
        <w:t> </w:t>
      </w:r>
      <w:r>
        <w:rPr/>
        <w:t>this</w:t>
      </w:r>
      <w:r>
        <w:rPr>
          <w:spacing w:val="-1"/>
        </w:rPr>
        <w:t> </w:t>
      </w:r>
      <w:r>
        <w:rPr/>
        <w:t>research</w:t>
      </w:r>
      <w:r>
        <w:rPr>
          <w:spacing w:val="-1"/>
        </w:rPr>
        <w:t> </w:t>
      </w:r>
      <w:r>
        <w:rPr/>
        <w:t>where</w:t>
      </w:r>
      <w:r>
        <w:rPr>
          <w:spacing w:val="-4"/>
        </w:rPr>
        <w:t> </w:t>
      </w:r>
      <w:r>
        <w:rPr/>
        <w:t>the</w:t>
      </w:r>
      <w:r>
        <w:rPr>
          <w:spacing w:val="-2"/>
        </w:rPr>
        <w:t> </w:t>
      </w:r>
      <w:r>
        <w:rPr/>
        <w:t>entire</w:t>
      </w:r>
      <w:r>
        <w:rPr>
          <w:spacing w:val="-2"/>
        </w:rPr>
        <w:t> </w:t>
      </w:r>
      <w:r>
        <w:rPr/>
        <w:t>population</w:t>
      </w:r>
      <w:r>
        <w:rPr>
          <w:spacing w:val="-3"/>
        </w:rPr>
        <w:t> </w:t>
      </w:r>
      <w:r>
        <w:rPr/>
        <w:t>is sampled. The census is alternately known as a complete enumeration survey method. However, in this study the entire buildings in the study area were sampled for the years 2008,</w:t>
      </w:r>
      <w:r>
        <w:rPr>
          <w:spacing w:val="-8"/>
        </w:rPr>
        <w:t> </w:t>
      </w:r>
      <w:r>
        <w:rPr/>
        <w:t>2013</w:t>
      </w:r>
      <w:r>
        <w:rPr>
          <w:spacing w:val="-8"/>
        </w:rPr>
        <w:t> </w:t>
      </w:r>
      <w:r>
        <w:rPr/>
        <w:t>and</w:t>
      </w:r>
      <w:r>
        <w:rPr>
          <w:spacing w:val="-8"/>
        </w:rPr>
        <w:t> </w:t>
      </w:r>
      <w:r>
        <w:rPr/>
        <w:t>2018.</w:t>
      </w:r>
      <w:r>
        <w:rPr>
          <w:spacing w:val="-8"/>
        </w:rPr>
        <w:t> </w:t>
      </w:r>
      <w:r>
        <w:rPr/>
        <w:t>Also,</w:t>
      </w:r>
      <w:r>
        <w:rPr>
          <w:spacing w:val="-8"/>
        </w:rPr>
        <w:t> </w:t>
      </w:r>
      <w:r>
        <w:rPr/>
        <w:t>all</w:t>
      </w:r>
      <w:r>
        <w:rPr>
          <w:spacing w:val="-7"/>
        </w:rPr>
        <w:t> </w:t>
      </w:r>
      <w:r>
        <w:rPr/>
        <w:t>rental</w:t>
      </w:r>
      <w:r>
        <w:rPr>
          <w:spacing w:val="-8"/>
        </w:rPr>
        <w:t> </w:t>
      </w:r>
      <w:r>
        <w:rPr/>
        <w:t>housing</w:t>
      </w:r>
      <w:r>
        <w:rPr>
          <w:spacing w:val="-11"/>
        </w:rPr>
        <w:t> </w:t>
      </w:r>
      <w:r>
        <w:rPr/>
        <w:t>apartments</w:t>
      </w:r>
      <w:r>
        <w:rPr>
          <w:spacing w:val="-8"/>
        </w:rPr>
        <w:t> </w:t>
      </w:r>
      <w:r>
        <w:rPr/>
        <w:t>managed</w:t>
      </w:r>
      <w:r>
        <w:rPr>
          <w:spacing w:val="-8"/>
        </w:rPr>
        <w:t> </w:t>
      </w:r>
      <w:r>
        <w:rPr/>
        <w:t>by</w:t>
      </w:r>
      <w:r>
        <w:rPr>
          <w:spacing w:val="-13"/>
        </w:rPr>
        <w:t> </w:t>
      </w:r>
      <w:r>
        <w:rPr/>
        <w:t>professional</w:t>
      </w:r>
      <w:r>
        <w:rPr>
          <w:spacing w:val="-8"/>
        </w:rPr>
        <w:t> </w:t>
      </w:r>
      <w:r>
        <w:rPr/>
        <w:t>estate surveyors</w:t>
      </w:r>
      <w:r>
        <w:rPr>
          <w:spacing w:val="-3"/>
        </w:rPr>
        <w:t> </w:t>
      </w:r>
      <w:r>
        <w:rPr/>
        <w:t>and</w:t>
      </w:r>
      <w:r>
        <w:rPr>
          <w:spacing w:val="-4"/>
        </w:rPr>
        <w:t> </w:t>
      </w:r>
      <w:r>
        <w:rPr/>
        <w:t>valuers were</w:t>
      </w:r>
      <w:r>
        <w:rPr>
          <w:spacing w:val="-5"/>
        </w:rPr>
        <w:t> </w:t>
      </w:r>
      <w:r>
        <w:rPr/>
        <w:t>sampled</w:t>
      </w:r>
      <w:r>
        <w:rPr>
          <w:spacing w:val="-2"/>
        </w:rPr>
        <w:t> </w:t>
      </w:r>
      <w:r>
        <w:rPr/>
        <w:t>in</w:t>
      </w:r>
      <w:r>
        <w:rPr>
          <w:spacing w:val="-2"/>
        </w:rPr>
        <w:t> </w:t>
      </w:r>
      <w:r>
        <w:rPr/>
        <w:t>the</w:t>
      </w:r>
      <w:r>
        <w:rPr>
          <w:spacing w:val="-2"/>
        </w:rPr>
        <w:t> </w:t>
      </w:r>
      <w:r>
        <w:rPr/>
        <w:t>study</w:t>
      </w:r>
      <w:r>
        <w:rPr>
          <w:spacing w:val="-6"/>
        </w:rPr>
        <w:t> </w:t>
      </w:r>
      <w:r>
        <w:rPr/>
        <w:t>area</w:t>
      </w:r>
      <w:r>
        <w:rPr>
          <w:spacing w:val="1"/>
        </w:rPr>
        <w:t> </w:t>
      </w:r>
      <w:r>
        <w:rPr/>
        <w:t>for</w:t>
      </w:r>
      <w:r>
        <w:rPr>
          <w:spacing w:val="-3"/>
        </w:rPr>
        <w:t> </w:t>
      </w:r>
      <w:r>
        <w:rPr/>
        <w:t>the years</w:t>
      </w:r>
      <w:r>
        <w:rPr>
          <w:spacing w:val="-2"/>
        </w:rPr>
        <w:t> </w:t>
      </w:r>
      <w:r>
        <w:rPr/>
        <w:t>2008,</w:t>
      </w:r>
      <w:r>
        <w:rPr>
          <w:spacing w:val="-3"/>
        </w:rPr>
        <w:t> </w:t>
      </w:r>
      <w:r>
        <w:rPr/>
        <w:t>2013</w:t>
      </w:r>
      <w:r>
        <w:rPr>
          <w:spacing w:val="-4"/>
        </w:rPr>
        <w:t> </w:t>
      </w:r>
      <w:r>
        <w:rPr/>
        <w:t>and</w:t>
      </w:r>
      <w:r>
        <w:rPr>
          <w:spacing w:val="-3"/>
        </w:rPr>
        <w:t> </w:t>
      </w:r>
      <w:r>
        <w:rPr>
          <w:spacing w:val="-2"/>
        </w:rPr>
        <w:t>2018.</w:t>
      </w:r>
    </w:p>
    <w:p>
      <w:pPr>
        <w:pStyle w:val="Heading1"/>
        <w:numPr>
          <w:ilvl w:val="1"/>
          <w:numId w:val="6"/>
        </w:numPr>
        <w:tabs>
          <w:tab w:pos="1024" w:val="left" w:leader="none"/>
        </w:tabs>
        <w:spacing w:line="240" w:lineRule="auto" w:before="8" w:after="0"/>
        <w:ind w:left="1024" w:right="0" w:hanging="719"/>
        <w:jc w:val="both"/>
      </w:pPr>
      <w:r>
        <w:rPr/>
        <w:t>Sampling</w:t>
      </w:r>
      <w:r>
        <w:rPr>
          <w:spacing w:val="-4"/>
        </w:rPr>
        <w:t> Size</w:t>
      </w:r>
    </w:p>
    <w:p>
      <w:pPr>
        <w:pStyle w:val="BodyText"/>
        <w:spacing w:before="194"/>
        <w:jc w:val="left"/>
        <w:rPr>
          <w:b/>
        </w:rPr>
      </w:pPr>
    </w:p>
    <w:p>
      <w:pPr>
        <w:pStyle w:val="BodyText"/>
        <w:spacing w:line="480" w:lineRule="auto" w:before="1"/>
        <w:ind w:left="305" w:right="512"/>
      </w:pPr>
      <w:r>
        <w:rPr/>
        <w:t>The required sample size for this research includes all building units in the entire study area</w:t>
      </w:r>
      <w:r>
        <w:rPr>
          <w:spacing w:val="-13"/>
        </w:rPr>
        <w:t> </w:t>
      </w:r>
      <w:r>
        <w:rPr/>
        <w:t>which</w:t>
      </w:r>
      <w:r>
        <w:rPr>
          <w:spacing w:val="-12"/>
        </w:rPr>
        <w:t> </w:t>
      </w:r>
      <w:r>
        <w:rPr/>
        <w:t>is</w:t>
      </w:r>
      <w:r>
        <w:rPr>
          <w:spacing w:val="-10"/>
        </w:rPr>
        <w:t> </w:t>
      </w:r>
      <w:r>
        <w:rPr/>
        <w:t>31,410</w:t>
      </w:r>
      <w:r>
        <w:rPr>
          <w:spacing w:val="-12"/>
        </w:rPr>
        <w:t> </w:t>
      </w:r>
      <w:r>
        <w:rPr/>
        <w:t>buildings,</w:t>
      </w:r>
      <w:r>
        <w:rPr>
          <w:spacing w:val="-11"/>
        </w:rPr>
        <w:t> </w:t>
      </w:r>
      <w:r>
        <w:rPr/>
        <w:t>46,489</w:t>
      </w:r>
      <w:r>
        <w:rPr>
          <w:spacing w:val="-12"/>
        </w:rPr>
        <w:t> </w:t>
      </w:r>
      <w:r>
        <w:rPr/>
        <w:t>buildings</w:t>
      </w:r>
      <w:r>
        <w:rPr>
          <w:spacing w:val="-11"/>
        </w:rPr>
        <w:t> </w:t>
      </w:r>
      <w:r>
        <w:rPr/>
        <w:t>and</w:t>
      </w:r>
      <w:r>
        <w:rPr>
          <w:spacing w:val="-12"/>
        </w:rPr>
        <w:t> </w:t>
      </w:r>
      <w:r>
        <w:rPr/>
        <w:t>47,394</w:t>
      </w:r>
      <w:r>
        <w:rPr>
          <w:spacing w:val="-12"/>
        </w:rPr>
        <w:t> </w:t>
      </w:r>
      <w:r>
        <w:rPr/>
        <w:t>buildings</w:t>
      </w:r>
      <w:r>
        <w:rPr>
          <w:spacing w:val="-10"/>
        </w:rPr>
        <w:t> </w:t>
      </w:r>
      <w:r>
        <w:rPr/>
        <w:t>for</w:t>
      </w:r>
      <w:r>
        <w:rPr>
          <w:spacing w:val="-13"/>
        </w:rPr>
        <w:t> </w:t>
      </w:r>
      <w:r>
        <w:rPr/>
        <w:t>the</w:t>
      </w:r>
      <w:r>
        <w:rPr>
          <w:spacing w:val="-10"/>
        </w:rPr>
        <w:t> </w:t>
      </w:r>
      <w:r>
        <w:rPr/>
        <w:t>years</w:t>
      </w:r>
      <w:r>
        <w:rPr>
          <w:spacing w:val="-12"/>
        </w:rPr>
        <w:t> </w:t>
      </w:r>
      <w:r>
        <w:rPr/>
        <w:t>2008, 2013</w:t>
      </w:r>
      <w:r>
        <w:rPr>
          <w:spacing w:val="-15"/>
        </w:rPr>
        <w:t> </w:t>
      </w:r>
      <w:r>
        <w:rPr/>
        <w:t>and</w:t>
      </w:r>
      <w:r>
        <w:rPr>
          <w:spacing w:val="-14"/>
        </w:rPr>
        <w:t> </w:t>
      </w:r>
      <w:r>
        <w:rPr/>
        <w:t>2018</w:t>
      </w:r>
      <w:r>
        <w:rPr>
          <w:spacing w:val="-12"/>
        </w:rPr>
        <w:t> </w:t>
      </w:r>
      <w:r>
        <w:rPr/>
        <w:t>respectively.</w:t>
      </w:r>
      <w:r>
        <w:rPr>
          <w:spacing w:val="-13"/>
        </w:rPr>
        <w:t> </w:t>
      </w:r>
      <w:r>
        <w:rPr/>
        <w:t>Also</w:t>
      </w:r>
      <w:r>
        <w:rPr>
          <w:spacing w:val="-12"/>
        </w:rPr>
        <w:t> </w:t>
      </w:r>
      <w:r>
        <w:rPr/>
        <w:t>total</w:t>
      </w:r>
      <w:r>
        <w:rPr>
          <w:spacing w:val="-14"/>
        </w:rPr>
        <w:t> </w:t>
      </w:r>
      <w:r>
        <w:rPr/>
        <w:t>number</w:t>
      </w:r>
      <w:r>
        <w:rPr>
          <w:spacing w:val="-14"/>
        </w:rPr>
        <w:t> </w:t>
      </w:r>
      <w:r>
        <w:rPr/>
        <w:t>of</w:t>
      </w:r>
      <w:r>
        <w:rPr>
          <w:spacing w:val="-15"/>
        </w:rPr>
        <w:t> </w:t>
      </w:r>
      <w:r>
        <w:rPr/>
        <w:t>138</w:t>
      </w:r>
      <w:r>
        <w:rPr>
          <w:spacing w:val="-14"/>
        </w:rPr>
        <w:t> </w:t>
      </w:r>
      <w:r>
        <w:rPr/>
        <w:t>houses</w:t>
      </w:r>
      <w:r>
        <w:rPr>
          <w:spacing w:val="-14"/>
        </w:rPr>
        <w:t> </w:t>
      </w:r>
      <w:r>
        <w:rPr/>
        <w:t>managed</w:t>
      </w:r>
      <w:r>
        <w:rPr>
          <w:spacing w:val="-14"/>
        </w:rPr>
        <w:t> </w:t>
      </w:r>
      <w:r>
        <w:rPr/>
        <w:t>by</w:t>
      </w:r>
      <w:r>
        <w:rPr>
          <w:spacing w:val="-15"/>
        </w:rPr>
        <w:t> </w:t>
      </w:r>
      <w:r>
        <w:rPr/>
        <w:t>the</w:t>
      </w:r>
      <w:r>
        <w:rPr>
          <w:spacing w:val="-15"/>
        </w:rPr>
        <w:t> </w:t>
      </w:r>
      <w:r>
        <w:rPr/>
        <w:t>3</w:t>
      </w:r>
      <w:r>
        <w:rPr>
          <w:spacing w:val="-9"/>
        </w:rPr>
        <w:t> </w:t>
      </w:r>
      <w:r>
        <w:rPr/>
        <w:t>registered estate firms in Bida; Usman Maishera &amp; Associates, Okoh Okuoma &amp; Co. and Pat Egbeduma &amp;</w:t>
      </w:r>
      <w:r>
        <w:rPr>
          <w:spacing w:val="-1"/>
        </w:rPr>
        <w:t> </w:t>
      </w:r>
      <w:r>
        <w:rPr/>
        <w:t>Partners was sampled (see Appendix B). The sampled houses includes; 60 one bedroom, 54 two bedroom and 24 three bedroom (see Table 3.1).</w:t>
      </w:r>
    </w:p>
    <w:p>
      <w:pPr>
        <w:spacing w:after="0" w:line="480" w:lineRule="auto"/>
        <w:sectPr>
          <w:pgSz w:w="11910" w:h="16840"/>
          <w:pgMar w:header="0" w:footer="1022" w:top="1320" w:bottom="1220" w:left="1680" w:right="900"/>
        </w:sectPr>
      </w:pPr>
    </w:p>
    <w:p>
      <w:pPr>
        <w:pStyle w:val="Heading1"/>
        <w:spacing w:before="76" w:after="45"/>
        <w:ind w:left="305" w:firstLine="0"/>
      </w:pPr>
      <w:r>
        <w:rPr/>
        <w:t>Table</w:t>
      </w:r>
      <w:r>
        <w:rPr>
          <w:spacing w:val="-3"/>
        </w:rPr>
        <w:t> </w:t>
      </w:r>
      <w:r>
        <w:rPr/>
        <w:t>3.1:</w:t>
      </w:r>
      <w:r>
        <w:rPr>
          <w:spacing w:val="-1"/>
        </w:rPr>
        <w:t> </w:t>
      </w:r>
      <w:r>
        <w:rPr/>
        <w:t>Number</w:t>
      </w:r>
      <w:r>
        <w:rPr>
          <w:spacing w:val="-3"/>
        </w:rPr>
        <w:t> </w:t>
      </w:r>
      <w:r>
        <w:rPr/>
        <w:t>of Sample</w:t>
      </w:r>
      <w:r>
        <w:rPr>
          <w:spacing w:val="-2"/>
        </w:rPr>
        <w:t> </w:t>
      </w:r>
      <w:r>
        <w:rPr/>
        <w:t>Houses</w:t>
      </w:r>
      <w:r>
        <w:rPr>
          <w:spacing w:val="-1"/>
        </w:rPr>
        <w:t> </w:t>
      </w:r>
      <w:r>
        <w:rPr/>
        <w:t>Managed</w:t>
      </w:r>
      <w:r>
        <w:rPr>
          <w:spacing w:val="1"/>
        </w:rPr>
        <w:t> </w:t>
      </w:r>
      <w:r>
        <w:rPr/>
        <w:t>by</w:t>
      </w:r>
      <w:r>
        <w:rPr>
          <w:spacing w:val="-1"/>
        </w:rPr>
        <w:t> </w:t>
      </w:r>
      <w:r>
        <w:rPr/>
        <w:t>Estate</w:t>
      </w:r>
      <w:r>
        <w:rPr>
          <w:spacing w:val="-3"/>
        </w:rPr>
        <w:t> </w:t>
      </w:r>
      <w:r>
        <w:rPr/>
        <w:t>Firms</w:t>
      </w:r>
      <w:r>
        <w:rPr>
          <w:spacing w:val="-1"/>
        </w:rPr>
        <w:t> </w:t>
      </w:r>
      <w:r>
        <w:rPr/>
        <w:t>in</w:t>
      </w:r>
      <w:r>
        <w:rPr>
          <w:spacing w:val="-1"/>
        </w:rPr>
        <w:t> </w:t>
      </w:r>
      <w:r>
        <w:rPr/>
        <w:t>the</w:t>
      </w:r>
      <w:r>
        <w:rPr>
          <w:spacing w:val="-1"/>
        </w:rPr>
        <w:t> </w:t>
      </w:r>
      <w:r>
        <w:rPr/>
        <w:t>Study</w:t>
      </w:r>
      <w:r>
        <w:rPr>
          <w:spacing w:val="-1"/>
        </w:rPr>
        <w:t> </w:t>
      </w:r>
      <w:r>
        <w:rPr>
          <w:spacing w:val="-4"/>
        </w:rPr>
        <w:t>Area</w:t>
      </w:r>
    </w:p>
    <w:tbl>
      <w:tblPr>
        <w:tblW w:w="0" w:type="auto"/>
        <w:jc w:val="left"/>
        <w:tblInd w:w="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39"/>
        <w:gridCol w:w="1704"/>
        <w:gridCol w:w="1564"/>
        <w:gridCol w:w="1590"/>
      </w:tblGrid>
      <w:tr>
        <w:trPr>
          <w:trHeight w:val="575" w:hRule="atLeast"/>
        </w:trPr>
        <w:tc>
          <w:tcPr>
            <w:tcW w:w="3439" w:type="dxa"/>
            <w:tcBorders>
              <w:top w:val="single" w:sz="8" w:space="0" w:color="000000"/>
              <w:bottom w:val="single" w:sz="8" w:space="0" w:color="000000"/>
            </w:tcBorders>
          </w:tcPr>
          <w:p>
            <w:pPr>
              <w:pStyle w:val="TableParagraph"/>
              <w:spacing w:line="275" w:lineRule="exact"/>
              <w:ind w:left="1161"/>
              <w:jc w:val="left"/>
              <w:rPr>
                <w:b/>
                <w:sz w:val="24"/>
              </w:rPr>
            </w:pPr>
            <w:r>
              <w:rPr>
                <w:b/>
                <w:sz w:val="24"/>
              </w:rPr>
              <w:t>Estate</w:t>
            </w:r>
            <w:r>
              <w:rPr>
                <w:b/>
                <w:spacing w:val="-3"/>
                <w:sz w:val="24"/>
              </w:rPr>
              <w:t> </w:t>
            </w:r>
            <w:r>
              <w:rPr>
                <w:b/>
                <w:spacing w:val="-2"/>
                <w:sz w:val="24"/>
              </w:rPr>
              <w:t>Firms</w:t>
            </w:r>
          </w:p>
        </w:tc>
        <w:tc>
          <w:tcPr>
            <w:tcW w:w="1704" w:type="dxa"/>
            <w:tcBorders>
              <w:top w:val="single" w:sz="8" w:space="0" w:color="000000"/>
              <w:bottom w:val="single" w:sz="8" w:space="0" w:color="000000"/>
            </w:tcBorders>
          </w:tcPr>
          <w:p>
            <w:pPr>
              <w:pStyle w:val="TableParagraph"/>
              <w:spacing w:line="275" w:lineRule="exact"/>
              <w:ind w:left="146" w:right="2"/>
              <w:rPr>
                <w:b/>
                <w:sz w:val="24"/>
              </w:rPr>
            </w:pPr>
            <w:r>
              <w:rPr>
                <w:b/>
                <w:sz w:val="24"/>
              </w:rPr>
              <w:t>1</w:t>
            </w:r>
            <w:r>
              <w:rPr>
                <w:b/>
                <w:spacing w:val="-2"/>
                <w:sz w:val="24"/>
              </w:rPr>
              <w:t> Bedroom</w:t>
            </w:r>
          </w:p>
        </w:tc>
        <w:tc>
          <w:tcPr>
            <w:tcW w:w="1564" w:type="dxa"/>
            <w:tcBorders>
              <w:top w:val="single" w:sz="8" w:space="0" w:color="000000"/>
              <w:bottom w:val="single" w:sz="8" w:space="0" w:color="000000"/>
            </w:tcBorders>
          </w:tcPr>
          <w:p>
            <w:pPr>
              <w:pStyle w:val="TableParagraph"/>
              <w:spacing w:line="275" w:lineRule="exact"/>
              <w:ind w:left="2" w:right="3"/>
              <w:rPr>
                <w:b/>
                <w:sz w:val="24"/>
              </w:rPr>
            </w:pPr>
            <w:r>
              <w:rPr>
                <w:b/>
                <w:sz w:val="24"/>
              </w:rPr>
              <w:t>2</w:t>
            </w:r>
            <w:r>
              <w:rPr>
                <w:b/>
                <w:spacing w:val="-2"/>
                <w:sz w:val="24"/>
              </w:rPr>
              <w:t> Bedroom</w:t>
            </w:r>
          </w:p>
        </w:tc>
        <w:tc>
          <w:tcPr>
            <w:tcW w:w="1590" w:type="dxa"/>
            <w:tcBorders>
              <w:top w:val="single" w:sz="8" w:space="0" w:color="000000"/>
              <w:bottom w:val="single" w:sz="8" w:space="0" w:color="000000"/>
            </w:tcBorders>
          </w:tcPr>
          <w:p>
            <w:pPr>
              <w:pStyle w:val="TableParagraph"/>
              <w:spacing w:line="275" w:lineRule="exact"/>
              <w:ind w:left="0" w:right="20"/>
              <w:rPr>
                <w:b/>
                <w:sz w:val="24"/>
              </w:rPr>
            </w:pPr>
            <w:r>
              <w:rPr>
                <w:b/>
                <w:sz w:val="24"/>
              </w:rPr>
              <w:t>3</w:t>
            </w:r>
            <w:r>
              <w:rPr>
                <w:b/>
                <w:spacing w:val="-2"/>
                <w:sz w:val="24"/>
              </w:rPr>
              <w:t> Bedroom</w:t>
            </w:r>
          </w:p>
        </w:tc>
      </w:tr>
      <w:tr>
        <w:trPr>
          <w:trHeight w:val="423" w:hRule="atLeast"/>
        </w:trPr>
        <w:tc>
          <w:tcPr>
            <w:tcW w:w="3439" w:type="dxa"/>
            <w:tcBorders>
              <w:top w:val="single" w:sz="8" w:space="0" w:color="000000"/>
            </w:tcBorders>
          </w:tcPr>
          <w:p>
            <w:pPr>
              <w:pStyle w:val="TableParagraph"/>
              <w:spacing w:line="270" w:lineRule="exact"/>
              <w:ind w:left="115"/>
              <w:jc w:val="left"/>
              <w:rPr>
                <w:sz w:val="24"/>
              </w:rPr>
            </w:pPr>
            <w:r>
              <w:rPr>
                <w:sz w:val="24"/>
              </w:rPr>
              <w:t>Okoh</w:t>
            </w:r>
            <w:r>
              <w:rPr>
                <w:spacing w:val="-1"/>
                <w:sz w:val="24"/>
              </w:rPr>
              <w:t> </w:t>
            </w:r>
            <w:r>
              <w:rPr>
                <w:sz w:val="24"/>
              </w:rPr>
              <w:t>Okuoma &amp;</w:t>
            </w:r>
            <w:r>
              <w:rPr>
                <w:spacing w:val="-3"/>
                <w:sz w:val="24"/>
              </w:rPr>
              <w:t> </w:t>
            </w:r>
            <w:r>
              <w:rPr>
                <w:spacing w:val="-5"/>
                <w:sz w:val="24"/>
              </w:rPr>
              <w:t>Co.</w:t>
            </w:r>
          </w:p>
        </w:tc>
        <w:tc>
          <w:tcPr>
            <w:tcW w:w="1704" w:type="dxa"/>
            <w:tcBorders>
              <w:top w:val="single" w:sz="8" w:space="0" w:color="000000"/>
            </w:tcBorders>
          </w:tcPr>
          <w:p>
            <w:pPr>
              <w:pStyle w:val="TableParagraph"/>
              <w:spacing w:line="270" w:lineRule="exact"/>
              <w:ind w:left="146"/>
              <w:rPr>
                <w:sz w:val="24"/>
              </w:rPr>
            </w:pPr>
            <w:r>
              <w:rPr>
                <w:spacing w:val="-10"/>
                <w:sz w:val="24"/>
              </w:rPr>
              <w:t>9</w:t>
            </w:r>
          </w:p>
        </w:tc>
        <w:tc>
          <w:tcPr>
            <w:tcW w:w="1564" w:type="dxa"/>
            <w:tcBorders>
              <w:top w:val="single" w:sz="8" w:space="0" w:color="000000"/>
            </w:tcBorders>
          </w:tcPr>
          <w:p>
            <w:pPr>
              <w:pStyle w:val="TableParagraph"/>
              <w:spacing w:line="270" w:lineRule="exact"/>
              <w:ind w:left="0" w:right="3"/>
              <w:rPr>
                <w:sz w:val="24"/>
              </w:rPr>
            </w:pPr>
            <w:r>
              <w:rPr>
                <w:spacing w:val="-10"/>
                <w:sz w:val="24"/>
              </w:rPr>
              <w:t>3</w:t>
            </w:r>
          </w:p>
        </w:tc>
        <w:tc>
          <w:tcPr>
            <w:tcW w:w="1590" w:type="dxa"/>
            <w:tcBorders>
              <w:top w:val="single" w:sz="8" w:space="0" w:color="000000"/>
            </w:tcBorders>
          </w:tcPr>
          <w:p>
            <w:pPr>
              <w:pStyle w:val="TableParagraph"/>
              <w:spacing w:line="270" w:lineRule="exact"/>
              <w:ind w:left="2" w:right="20"/>
              <w:rPr>
                <w:sz w:val="24"/>
              </w:rPr>
            </w:pPr>
            <w:r>
              <w:rPr>
                <w:spacing w:val="-10"/>
                <w:sz w:val="24"/>
              </w:rPr>
              <w:t>2</w:t>
            </w:r>
          </w:p>
        </w:tc>
      </w:tr>
      <w:tr>
        <w:trPr>
          <w:trHeight w:val="573" w:hRule="atLeast"/>
        </w:trPr>
        <w:tc>
          <w:tcPr>
            <w:tcW w:w="3439" w:type="dxa"/>
          </w:tcPr>
          <w:p>
            <w:pPr>
              <w:pStyle w:val="TableParagraph"/>
              <w:spacing w:line="240" w:lineRule="auto" w:before="143"/>
              <w:ind w:left="115"/>
              <w:jc w:val="left"/>
              <w:rPr>
                <w:sz w:val="24"/>
              </w:rPr>
            </w:pPr>
            <w:r>
              <w:rPr>
                <w:sz w:val="24"/>
              </w:rPr>
              <w:t>Pat</w:t>
            </w:r>
            <w:r>
              <w:rPr>
                <w:spacing w:val="-2"/>
                <w:sz w:val="24"/>
              </w:rPr>
              <w:t> </w:t>
            </w:r>
            <w:r>
              <w:rPr>
                <w:sz w:val="24"/>
              </w:rPr>
              <w:t>Egbeduma</w:t>
            </w:r>
            <w:r>
              <w:rPr>
                <w:spacing w:val="-1"/>
                <w:sz w:val="24"/>
              </w:rPr>
              <w:t> </w:t>
            </w:r>
            <w:r>
              <w:rPr>
                <w:sz w:val="24"/>
              </w:rPr>
              <w:t>&amp;</w:t>
            </w:r>
            <w:r>
              <w:rPr>
                <w:spacing w:val="-3"/>
                <w:sz w:val="24"/>
              </w:rPr>
              <w:t> </w:t>
            </w:r>
            <w:r>
              <w:rPr>
                <w:spacing w:val="-2"/>
                <w:sz w:val="24"/>
              </w:rPr>
              <w:t>Partners</w:t>
            </w:r>
          </w:p>
        </w:tc>
        <w:tc>
          <w:tcPr>
            <w:tcW w:w="1704" w:type="dxa"/>
          </w:tcPr>
          <w:p>
            <w:pPr>
              <w:pStyle w:val="TableParagraph"/>
              <w:spacing w:line="240" w:lineRule="auto" w:before="143"/>
              <w:ind w:left="146"/>
              <w:rPr>
                <w:sz w:val="24"/>
              </w:rPr>
            </w:pPr>
            <w:r>
              <w:rPr>
                <w:spacing w:val="-10"/>
                <w:sz w:val="24"/>
              </w:rPr>
              <w:t>8</w:t>
            </w:r>
          </w:p>
        </w:tc>
        <w:tc>
          <w:tcPr>
            <w:tcW w:w="1564" w:type="dxa"/>
          </w:tcPr>
          <w:p>
            <w:pPr>
              <w:pStyle w:val="TableParagraph"/>
              <w:spacing w:line="240" w:lineRule="auto" w:before="143"/>
              <w:ind w:left="0" w:right="3"/>
              <w:rPr>
                <w:sz w:val="24"/>
              </w:rPr>
            </w:pPr>
            <w:r>
              <w:rPr>
                <w:spacing w:val="-5"/>
                <w:sz w:val="24"/>
              </w:rPr>
              <w:t>15</w:t>
            </w:r>
          </w:p>
        </w:tc>
        <w:tc>
          <w:tcPr>
            <w:tcW w:w="1590" w:type="dxa"/>
          </w:tcPr>
          <w:p>
            <w:pPr>
              <w:pStyle w:val="TableParagraph"/>
              <w:spacing w:line="240" w:lineRule="auto" w:before="143"/>
              <w:ind w:left="2" w:right="20"/>
              <w:rPr>
                <w:sz w:val="24"/>
              </w:rPr>
            </w:pPr>
            <w:r>
              <w:rPr>
                <w:spacing w:val="-10"/>
                <w:sz w:val="24"/>
              </w:rPr>
              <w:t>5</w:t>
            </w:r>
          </w:p>
        </w:tc>
      </w:tr>
      <w:tr>
        <w:trPr>
          <w:trHeight w:val="573" w:hRule="atLeast"/>
        </w:trPr>
        <w:tc>
          <w:tcPr>
            <w:tcW w:w="3439" w:type="dxa"/>
          </w:tcPr>
          <w:p>
            <w:pPr>
              <w:pStyle w:val="TableParagraph"/>
              <w:spacing w:line="240" w:lineRule="auto" w:before="143"/>
              <w:ind w:left="115"/>
              <w:jc w:val="left"/>
              <w:rPr>
                <w:sz w:val="24"/>
              </w:rPr>
            </w:pPr>
            <w:r>
              <w:rPr>
                <w:sz w:val="24"/>
              </w:rPr>
              <w:t>Usman</w:t>
            </w:r>
            <w:r>
              <w:rPr>
                <w:spacing w:val="-1"/>
                <w:sz w:val="24"/>
              </w:rPr>
              <w:t> </w:t>
            </w:r>
            <w:r>
              <w:rPr>
                <w:sz w:val="24"/>
              </w:rPr>
              <w:t>Maishera</w:t>
            </w:r>
            <w:r>
              <w:rPr>
                <w:spacing w:val="-1"/>
                <w:sz w:val="24"/>
              </w:rPr>
              <w:t> </w:t>
            </w:r>
            <w:r>
              <w:rPr>
                <w:sz w:val="24"/>
              </w:rPr>
              <w:t>&amp;</w:t>
            </w:r>
            <w:r>
              <w:rPr>
                <w:spacing w:val="-2"/>
                <w:sz w:val="24"/>
              </w:rPr>
              <w:t> Associates</w:t>
            </w:r>
          </w:p>
        </w:tc>
        <w:tc>
          <w:tcPr>
            <w:tcW w:w="1704" w:type="dxa"/>
          </w:tcPr>
          <w:p>
            <w:pPr>
              <w:pStyle w:val="TableParagraph"/>
              <w:spacing w:line="240" w:lineRule="auto" w:before="143"/>
              <w:ind w:left="146"/>
              <w:rPr>
                <w:sz w:val="24"/>
              </w:rPr>
            </w:pPr>
            <w:r>
              <w:rPr>
                <w:spacing w:val="-5"/>
                <w:sz w:val="24"/>
              </w:rPr>
              <w:t>43</w:t>
            </w:r>
          </w:p>
        </w:tc>
        <w:tc>
          <w:tcPr>
            <w:tcW w:w="1564" w:type="dxa"/>
          </w:tcPr>
          <w:p>
            <w:pPr>
              <w:pStyle w:val="TableParagraph"/>
              <w:spacing w:line="240" w:lineRule="auto" w:before="143"/>
              <w:ind w:left="0" w:right="3"/>
              <w:rPr>
                <w:sz w:val="24"/>
              </w:rPr>
            </w:pPr>
            <w:r>
              <w:rPr>
                <w:spacing w:val="-5"/>
                <w:sz w:val="24"/>
              </w:rPr>
              <w:t>36</w:t>
            </w:r>
          </w:p>
        </w:tc>
        <w:tc>
          <w:tcPr>
            <w:tcW w:w="1590" w:type="dxa"/>
          </w:tcPr>
          <w:p>
            <w:pPr>
              <w:pStyle w:val="TableParagraph"/>
              <w:spacing w:line="240" w:lineRule="auto" w:before="143"/>
              <w:ind w:left="2" w:right="20"/>
              <w:rPr>
                <w:sz w:val="24"/>
              </w:rPr>
            </w:pPr>
            <w:r>
              <w:rPr>
                <w:spacing w:val="-5"/>
                <w:sz w:val="24"/>
              </w:rPr>
              <w:t>17</w:t>
            </w:r>
          </w:p>
        </w:tc>
      </w:tr>
      <w:tr>
        <w:trPr>
          <w:trHeight w:val="724" w:hRule="atLeast"/>
        </w:trPr>
        <w:tc>
          <w:tcPr>
            <w:tcW w:w="3439" w:type="dxa"/>
            <w:tcBorders>
              <w:bottom w:val="single" w:sz="8" w:space="0" w:color="000000"/>
            </w:tcBorders>
          </w:tcPr>
          <w:p>
            <w:pPr>
              <w:pStyle w:val="TableParagraph"/>
              <w:spacing w:line="240" w:lineRule="auto" w:before="148"/>
              <w:ind w:left="115"/>
              <w:jc w:val="left"/>
              <w:rPr>
                <w:b/>
                <w:sz w:val="24"/>
              </w:rPr>
            </w:pPr>
            <w:r>
              <w:rPr>
                <w:b/>
                <w:spacing w:val="-2"/>
                <w:sz w:val="24"/>
              </w:rPr>
              <w:t>Total</w:t>
            </w:r>
          </w:p>
        </w:tc>
        <w:tc>
          <w:tcPr>
            <w:tcW w:w="1704" w:type="dxa"/>
            <w:tcBorders>
              <w:bottom w:val="single" w:sz="8" w:space="0" w:color="000000"/>
            </w:tcBorders>
          </w:tcPr>
          <w:p>
            <w:pPr>
              <w:pStyle w:val="TableParagraph"/>
              <w:spacing w:line="240" w:lineRule="auto" w:before="143"/>
              <w:ind w:left="146"/>
              <w:rPr>
                <w:sz w:val="24"/>
              </w:rPr>
            </w:pPr>
            <w:r>
              <w:rPr>
                <w:spacing w:val="-5"/>
                <w:sz w:val="24"/>
              </w:rPr>
              <w:t>60</w:t>
            </w:r>
          </w:p>
        </w:tc>
        <w:tc>
          <w:tcPr>
            <w:tcW w:w="1564" w:type="dxa"/>
            <w:tcBorders>
              <w:bottom w:val="single" w:sz="8" w:space="0" w:color="000000"/>
            </w:tcBorders>
          </w:tcPr>
          <w:p>
            <w:pPr>
              <w:pStyle w:val="TableParagraph"/>
              <w:spacing w:line="240" w:lineRule="auto" w:before="143"/>
              <w:ind w:left="0" w:right="3"/>
              <w:rPr>
                <w:sz w:val="24"/>
              </w:rPr>
            </w:pPr>
            <w:r>
              <w:rPr>
                <w:spacing w:val="-5"/>
                <w:sz w:val="24"/>
              </w:rPr>
              <w:t>54</w:t>
            </w:r>
          </w:p>
        </w:tc>
        <w:tc>
          <w:tcPr>
            <w:tcW w:w="1590" w:type="dxa"/>
            <w:tcBorders>
              <w:bottom w:val="single" w:sz="8" w:space="0" w:color="000000"/>
            </w:tcBorders>
          </w:tcPr>
          <w:p>
            <w:pPr>
              <w:pStyle w:val="TableParagraph"/>
              <w:spacing w:line="240" w:lineRule="auto" w:before="143"/>
              <w:ind w:left="2" w:right="20"/>
              <w:rPr>
                <w:sz w:val="24"/>
              </w:rPr>
            </w:pPr>
            <w:r>
              <w:rPr>
                <w:spacing w:val="-5"/>
                <w:sz w:val="24"/>
              </w:rPr>
              <w:t>24</w:t>
            </w:r>
          </w:p>
        </w:tc>
      </w:tr>
    </w:tbl>
    <w:p>
      <w:pPr>
        <w:spacing w:before="0"/>
        <w:ind w:left="305" w:right="0" w:firstLine="0"/>
        <w:jc w:val="both"/>
        <w:rPr>
          <w:sz w:val="24"/>
        </w:rPr>
      </w:pPr>
      <w:r>
        <w:rPr>
          <w:b/>
          <w:sz w:val="24"/>
        </w:rPr>
        <w:t>Source:</w:t>
      </w:r>
      <w:r>
        <w:rPr>
          <w:b/>
          <w:spacing w:val="-2"/>
          <w:sz w:val="24"/>
        </w:rPr>
        <w:t> </w:t>
      </w:r>
      <w:r>
        <w:rPr>
          <w:sz w:val="24"/>
        </w:rPr>
        <w:t>Authors’</w:t>
      </w:r>
      <w:r>
        <w:rPr>
          <w:spacing w:val="-1"/>
          <w:sz w:val="24"/>
        </w:rPr>
        <w:t> </w:t>
      </w:r>
      <w:r>
        <w:rPr>
          <w:sz w:val="24"/>
        </w:rPr>
        <w:t>Compilation, </w:t>
      </w:r>
      <w:r>
        <w:rPr>
          <w:spacing w:val="-4"/>
          <w:sz w:val="24"/>
        </w:rPr>
        <w:t>2018</w:t>
      </w:r>
    </w:p>
    <w:p>
      <w:pPr>
        <w:pStyle w:val="BodyText"/>
        <w:spacing w:before="242"/>
        <w:jc w:val="left"/>
      </w:pPr>
    </w:p>
    <w:p>
      <w:pPr>
        <w:pStyle w:val="Heading1"/>
        <w:numPr>
          <w:ilvl w:val="1"/>
          <w:numId w:val="6"/>
        </w:numPr>
        <w:tabs>
          <w:tab w:pos="1025" w:val="left" w:leader="none"/>
        </w:tabs>
        <w:spacing w:line="240" w:lineRule="auto" w:before="0" w:after="0"/>
        <w:ind w:left="1025" w:right="0" w:hanging="720"/>
        <w:jc w:val="left"/>
      </w:pPr>
      <w:r>
        <w:rPr/>
        <w:t>Nature</w:t>
      </w:r>
      <w:r>
        <w:rPr>
          <w:spacing w:val="-3"/>
        </w:rPr>
        <w:t> </w:t>
      </w:r>
      <w:r>
        <w:rPr/>
        <w:t>of</w:t>
      </w:r>
      <w:r>
        <w:rPr>
          <w:spacing w:val="-1"/>
        </w:rPr>
        <w:t> </w:t>
      </w:r>
      <w:r>
        <w:rPr/>
        <w:t>Data</w:t>
      </w:r>
      <w:r>
        <w:rPr>
          <w:spacing w:val="-1"/>
        </w:rPr>
        <w:t> </w:t>
      </w:r>
      <w:r>
        <w:rPr>
          <w:spacing w:val="-2"/>
        </w:rPr>
        <w:t>Required</w:t>
      </w:r>
    </w:p>
    <w:p>
      <w:pPr>
        <w:pStyle w:val="BodyText"/>
        <w:spacing w:before="192"/>
        <w:jc w:val="left"/>
        <w:rPr>
          <w:b/>
        </w:rPr>
      </w:pPr>
    </w:p>
    <w:p>
      <w:pPr>
        <w:pStyle w:val="BodyText"/>
        <w:spacing w:line="480" w:lineRule="auto"/>
        <w:ind w:left="305" w:right="514"/>
      </w:pPr>
      <w:r>
        <w:rPr/>
        <w:t>Research variables were based on the nature of data required which are guided by the research</w:t>
      </w:r>
      <w:r>
        <w:rPr>
          <w:spacing w:val="-7"/>
        </w:rPr>
        <w:t> </w:t>
      </w:r>
      <w:r>
        <w:rPr/>
        <w:t>questions</w:t>
      </w:r>
      <w:r>
        <w:rPr>
          <w:spacing w:val="-7"/>
        </w:rPr>
        <w:t> </w:t>
      </w:r>
      <w:r>
        <w:rPr/>
        <w:t>and</w:t>
      </w:r>
      <w:r>
        <w:rPr>
          <w:spacing w:val="-7"/>
        </w:rPr>
        <w:t> </w:t>
      </w:r>
      <w:r>
        <w:rPr/>
        <w:t>objectives.</w:t>
      </w:r>
      <w:r>
        <w:rPr>
          <w:spacing w:val="-6"/>
        </w:rPr>
        <w:t> </w:t>
      </w:r>
      <w:r>
        <w:rPr/>
        <w:t>Data</w:t>
      </w:r>
      <w:r>
        <w:rPr>
          <w:spacing w:val="-7"/>
        </w:rPr>
        <w:t> </w:t>
      </w:r>
      <w:r>
        <w:rPr/>
        <w:t>needed</w:t>
      </w:r>
      <w:r>
        <w:rPr>
          <w:spacing w:val="-7"/>
        </w:rPr>
        <w:t> </w:t>
      </w:r>
      <w:r>
        <w:rPr/>
        <w:t>in</w:t>
      </w:r>
      <w:r>
        <w:rPr>
          <w:spacing w:val="-4"/>
        </w:rPr>
        <w:t> </w:t>
      </w:r>
      <w:r>
        <w:rPr/>
        <w:t>respect</w:t>
      </w:r>
      <w:r>
        <w:rPr>
          <w:spacing w:val="-6"/>
        </w:rPr>
        <w:t> </w:t>
      </w:r>
      <w:r>
        <w:rPr/>
        <w:t>of</w:t>
      </w:r>
      <w:r>
        <w:rPr>
          <w:spacing w:val="-4"/>
        </w:rPr>
        <w:t> </w:t>
      </w:r>
      <w:r>
        <w:rPr/>
        <w:t>each</w:t>
      </w:r>
      <w:r>
        <w:rPr>
          <w:spacing w:val="-7"/>
        </w:rPr>
        <w:t> </w:t>
      </w:r>
      <w:r>
        <w:rPr/>
        <w:t>objective</w:t>
      </w:r>
      <w:r>
        <w:rPr>
          <w:spacing w:val="-4"/>
        </w:rPr>
        <w:t> </w:t>
      </w:r>
      <w:r>
        <w:rPr/>
        <w:t>are</w:t>
      </w:r>
      <w:r>
        <w:rPr>
          <w:spacing w:val="-9"/>
        </w:rPr>
        <w:t> </w:t>
      </w:r>
      <w:r>
        <w:rPr/>
        <w:t>presented as follows:</w:t>
      </w:r>
    </w:p>
    <w:p>
      <w:pPr>
        <w:pStyle w:val="Heading1"/>
        <w:spacing w:line="360" w:lineRule="auto" w:before="248"/>
        <w:ind w:left="1724" w:right="517" w:hanging="1419"/>
      </w:pPr>
      <w:r>
        <w:rPr/>
        <w:t>Objective</w:t>
      </w:r>
      <w:r>
        <w:rPr>
          <w:spacing w:val="-14"/>
        </w:rPr>
        <w:t> </w:t>
      </w:r>
      <w:r>
        <w:rPr/>
        <w:t>1:</w:t>
      </w:r>
      <w:r>
        <w:rPr>
          <w:spacing w:val="-13"/>
        </w:rPr>
        <w:t> </w:t>
      </w:r>
      <w:r>
        <w:rPr/>
        <w:t>Examine</w:t>
      </w:r>
      <w:r>
        <w:rPr>
          <w:spacing w:val="-13"/>
        </w:rPr>
        <w:t> </w:t>
      </w:r>
      <w:r>
        <w:rPr/>
        <w:t>the</w:t>
      </w:r>
      <w:r>
        <w:rPr>
          <w:spacing w:val="-14"/>
        </w:rPr>
        <w:t> </w:t>
      </w:r>
      <w:r>
        <w:rPr/>
        <w:t>pattern</w:t>
      </w:r>
      <w:r>
        <w:rPr>
          <w:spacing w:val="-13"/>
        </w:rPr>
        <w:t> </w:t>
      </w:r>
      <w:r>
        <w:rPr/>
        <w:t>of</w:t>
      </w:r>
      <w:r>
        <w:rPr>
          <w:spacing w:val="-13"/>
        </w:rPr>
        <w:t> </w:t>
      </w:r>
      <w:r>
        <w:rPr/>
        <w:t>residential</w:t>
      </w:r>
      <w:r>
        <w:rPr>
          <w:spacing w:val="-15"/>
        </w:rPr>
        <w:t> </w:t>
      </w:r>
      <w:r>
        <w:rPr/>
        <w:t>density</w:t>
      </w:r>
      <w:r>
        <w:rPr>
          <w:spacing w:val="-13"/>
        </w:rPr>
        <w:t> </w:t>
      </w:r>
      <w:r>
        <w:rPr/>
        <w:t>of</w:t>
      </w:r>
      <w:r>
        <w:rPr>
          <w:spacing w:val="-14"/>
        </w:rPr>
        <w:t> </w:t>
      </w:r>
      <w:r>
        <w:rPr/>
        <w:t>housing</w:t>
      </w:r>
      <w:r>
        <w:rPr>
          <w:spacing w:val="-13"/>
        </w:rPr>
        <w:t> </w:t>
      </w:r>
      <w:r>
        <w:rPr/>
        <w:t>submarkets</w:t>
      </w:r>
      <w:r>
        <w:rPr>
          <w:spacing w:val="-14"/>
        </w:rPr>
        <w:t> </w:t>
      </w:r>
      <w:r>
        <w:rPr/>
        <w:t>in</w:t>
      </w:r>
      <w:r>
        <w:rPr>
          <w:spacing w:val="-13"/>
        </w:rPr>
        <w:t> </w:t>
      </w:r>
      <w:r>
        <w:rPr/>
        <w:t>the study area</w:t>
      </w:r>
    </w:p>
    <w:p>
      <w:pPr>
        <w:pStyle w:val="BodyText"/>
        <w:spacing w:line="480" w:lineRule="auto" w:before="233"/>
        <w:ind w:left="305" w:right="514"/>
      </w:pPr>
      <w:r>
        <w:rPr/>
        <w:t>The data required for this objective will reveal the extent of density</w:t>
      </w:r>
      <w:r>
        <w:rPr>
          <w:spacing w:val="-3"/>
        </w:rPr>
        <w:t> </w:t>
      </w:r>
      <w:r>
        <w:rPr/>
        <w:t>and how residential density changes based on different land uses between year 2008 and 2018. It will allow comparison of land use/land cover changes within a decade under the study. Therefore, data required are:</w:t>
      </w:r>
    </w:p>
    <w:p>
      <w:pPr>
        <w:pStyle w:val="ListParagraph"/>
        <w:numPr>
          <w:ilvl w:val="0"/>
          <w:numId w:val="7"/>
        </w:numPr>
        <w:tabs>
          <w:tab w:pos="1024" w:val="left" w:leader="none"/>
        </w:tabs>
        <w:spacing w:line="240" w:lineRule="auto" w:before="240" w:after="0"/>
        <w:ind w:left="1024" w:right="0" w:hanging="486"/>
        <w:jc w:val="both"/>
        <w:rPr>
          <w:sz w:val="24"/>
        </w:rPr>
      </w:pPr>
      <w:r>
        <w:rPr>
          <w:sz w:val="24"/>
        </w:rPr>
        <w:t>Satellite</w:t>
      </w:r>
      <w:r>
        <w:rPr>
          <w:spacing w:val="-1"/>
          <w:sz w:val="24"/>
        </w:rPr>
        <w:t> </w:t>
      </w:r>
      <w:r>
        <w:rPr>
          <w:sz w:val="24"/>
        </w:rPr>
        <w:t>imageries of</w:t>
      </w:r>
      <w:r>
        <w:rPr>
          <w:spacing w:val="-1"/>
          <w:sz w:val="24"/>
        </w:rPr>
        <w:t> </w:t>
      </w:r>
      <w:r>
        <w:rPr>
          <w:sz w:val="24"/>
        </w:rPr>
        <w:t>the study</w:t>
      </w:r>
      <w:r>
        <w:rPr>
          <w:spacing w:val="-5"/>
          <w:sz w:val="24"/>
        </w:rPr>
        <w:t> </w:t>
      </w:r>
      <w:r>
        <w:rPr>
          <w:sz w:val="24"/>
        </w:rPr>
        <w:t>area for</w:t>
      </w:r>
      <w:r>
        <w:rPr>
          <w:spacing w:val="-1"/>
          <w:sz w:val="24"/>
        </w:rPr>
        <w:t> </w:t>
      </w:r>
      <w:r>
        <w:rPr>
          <w:sz w:val="24"/>
        </w:rPr>
        <w:t>the</w:t>
      </w:r>
      <w:r>
        <w:rPr>
          <w:spacing w:val="3"/>
          <w:sz w:val="24"/>
        </w:rPr>
        <w:t> </w:t>
      </w:r>
      <w:r>
        <w:rPr>
          <w:sz w:val="24"/>
        </w:rPr>
        <w:t>years</w:t>
      </w:r>
      <w:r>
        <w:rPr>
          <w:spacing w:val="-1"/>
          <w:sz w:val="24"/>
        </w:rPr>
        <w:t> </w:t>
      </w:r>
      <w:r>
        <w:rPr>
          <w:sz w:val="24"/>
        </w:rPr>
        <w:t>2008, 2013</w:t>
      </w:r>
      <w:r>
        <w:rPr>
          <w:spacing w:val="-1"/>
          <w:sz w:val="24"/>
        </w:rPr>
        <w:t> </w:t>
      </w:r>
      <w:r>
        <w:rPr>
          <w:sz w:val="24"/>
        </w:rPr>
        <w:t>and </w:t>
      </w:r>
      <w:r>
        <w:rPr>
          <w:spacing w:val="-4"/>
          <w:sz w:val="24"/>
        </w:rPr>
        <w:t>2018</w:t>
      </w:r>
    </w:p>
    <w:p>
      <w:pPr>
        <w:pStyle w:val="BodyText"/>
        <w:jc w:val="left"/>
      </w:pPr>
    </w:p>
    <w:p>
      <w:pPr>
        <w:pStyle w:val="ListParagraph"/>
        <w:numPr>
          <w:ilvl w:val="0"/>
          <w:numId w:val="7"/>
        </w:numPr>
        <w:tabs>
          <w:tab w:pos="1023" w:val="left" w:leader="none"/>
        </w:tabs>
        <w:spacing w:line="240" w:lineRule="auto" w:before="0" w:after="0"/>
        <w:ind w:left="1023" w:right="0" w:hanging="553"/>
        <w:jc w:val="both"/>
        <w:rPr>
          <w:sz w:val="24"/>
        </w:rPr>
      </w:pPr>
      <w:r>
        <w:rPr>
          <w:sz w:val="24"/>
        </w:rPr>
        <w:t>Overall buildings</w:t>
      </w:r>
      <w:r>
        <w:rPr>
          <w:spacing w:val="-1"/>
          <w:sz w:val="24"/>
        </w:rPr>
        <w:t> </w:t>
      </w:r>
      <w:r>
        <w:rPr>
          <w:sz w:val="24"/>
        </w:rPr>
        <w:t>in the</w:t>
      </w:r>
      <w:r>
        <w:rPr>
          <w:spacing w:val="-2"/>
          <w:sz w:val="24"/>
        </w:rPr>
        <w:t> </w:t>
      </w:r>
      <w:r>
        <w:rPr>
          <w:sz w:val="24"/>
        </w:rPr>
        <w:t>study</w:t>
      </w:r>
      <w:r>
        <w:rPr>
          <w:spacing w:val="-4"/>
          <w:sz w:val="24"/>
        </w:rPr>
        <w:t> </w:t>
      </w:r>
      <w:r>
        <w:rPr>
          <w:sz w:val="24"/>
        </w:rPr>
        <w:t>area for</w:t>
      </w:r>
      <w:r>
        <w:rPr>
          <w:spacing w:val="-3"/>
          <w:sz w:val="24"/>
        </w:rPr>
        <w:t> </w:t>
      </w:r>
      <w:r>
        <w:rPr>
          <w:sz w:val="24"/>
        </w:rPr>
        <w:t>the</w:t>
      </w:r>
      <w:r>
        <w:rPr>
          <w:spacing w:val="4"/>
          <w:sz w:val="24"/>
        </w:rPr>
        <w:t> </w:t>
      </w:r>
      <w:r>
        <w:rPr>
          <w:sz w:val="24"/>
        </w:rPr>
        <w:t>years</w:t>
      </w:r>
      <w:r>
        <w:rPr>
          <w:spacing w:val="-1"/>
          <w:sz w:val="24"/>
        </w:rPr>
        <w:t> </w:t>
      </w:r>
      <w:r>
        <w:rPr>
          <w:sz w:val="24"/>
        </w:rPr>
        <w:t>2008, 2013</w:t>
      </w:r>
      <w:r>
        <w:rPr>
          <w:spacing w:val="-1"/>
          <w:sz w:val="24"/>
        </w:rPr>
        <w:t> </w:t>
      </w:r>
      <w:r>
        <w:rPr>
          <w:sz w:val="24"/>
        </w:rPr>
        <w:t>and </w:t>
      </w:r>
      <w:r>
        <w:rPr>
          <w:spacing w:val="-4"/>
          <w:sz w:val="24"/>
        </w:rPr>
        <w:t>2018</w:t>
      </w:r>
    </w:p>
    <w:p>
      <w:pPr>
        <w:pStyle w:val="BodyText"/>
        <w:spacing w:before="1"/>
        <w:jc w:val="left"/>
      </w:pPr>
    </w:p>
    <w:p>
      <w:pPr>
        <w:pStyle w:val="ListParagraph"/>
        <w:numPr>
          <w:ilvl w:val="0"/>
          <w:numId w:val="7"/>
        </w:numPr>
        <w:tabs>
          <w:tab w:pos="1022" w:val="left" w:leader="none"/>
        </w:tabs>
        <w:spacing w:line="240" w:lineRule="auto" w:before="0" w:after="0"/>
        <w:ind w:left="1022" w:right="0" w:hanging="617"/>
        <w:jc w:val="both"/>
        <w:rPr>
          <w:sz w:val="24"/>
        </w:rPr>
      </w:pPr>
      <w:r>
        <w:rPr>
          <w:sz w:val="24"/>
        </w:rPr>
        <w:t>Changes</w:t>
      </w:r>
      <w:r>
        <w:rPr>
          <w:spacing w:val="-2"/>
          <w:sz w:val="24"/>
        </w:rPr>
        <w:t> </w:t>
      </w:r>
      <w:r>
        <w:rPr>
          <w:sz w:val="24"/>
        </w:rPr>
        <w:t>in</w:t>
      </w:r>
      <w:r>
        <w:rPr>
          <w:spacing w:val="-1"/>
          <w:sz w:val="24"/>
        </w:rPr>
        <w:t> </w:t>
      </w:r>
      <w:r>
        <w:rPr>
          <w:sz w:val="24"/>
        </w:rPr>
        <w:t>the</w:t>
      </w:r>
      <w:r>
        <w:rPr>
          <w:spacing w:val="-1"/>
          <w:sz w:val="24"/>
        </w:rPr>
        <w:t> </w:t>
      </w:r>
      <w:r>
        <w:rPr>
          <w:sz w:val="24"/>
        </w:rPr>
        <w:t>residential</w:t>
      </w:r>
      <w:r>
        <w:rPr>
          <w:spacing w:val="-1"/>
          <w:sz w:val="24"/>
        </w:rPr>
        <w:t> </w:t>
      </w:r>
      <w:r>
        <w:rPr>
          <w:sz w:val="24"/>
        </w:rPr>
        <w:t>area</w:t>
      </w:r>
      <w:r>
        <w:rPr>
          <w:spacing w:val="3"/>
          <w:sz w:val="24"/>
        </w:rPr>
        <w:t> </w:t>
      </w:r>
      <w:r>
        <w:rPr>
          <w:sz w:val="24"/>
        </w:rPr>
        <w:t>for</w:t>
      </w:r>
      <w:r>
        <w:rPr>
          <w:spacing w:val="-4"/>
          <w:sz w:val="24"/>
        </w:rPr>
        <w:t> </w:t>
      </w:r>
      <w:r>
        <w:rPr>
          <w:sz w:val="24"/>
        </w:rPr>
        <w:t>the</w:t>
      </w:r>
      <w:r>
        <w:rPr>
          <w:spacing w:val="3"/>
          <w:sz w:val="24"/>
        </w:rPr>
        <w:t> </w:t>
      </w:r>
      <w:r>
        <w:rPr>
          <w:sz w:val="24"/>
        </w:rPr>
        <w:t>years</w:t>
      </w:r>
      <w:r>
        <w:rPr>
          <w:spacing w:val="-1"/>
          <w:sz w:val="24"/>
        </w:rPr>
        <w:t> </w:t>
      </w:r>
      <w:r>
        <w:rPr>
          <w:sz w:val="24"/>
        </w:rPr>
        <w:t>2008,</w:t>
      </w:r>
      <w:r>
        <w:rPr>
          <w:spacing w:val="-1"/>
          <w:sz w:val="24"/>
        </w:rPr>
        <w:t> </w:t>
      </w:r>
      <w:r>
        <w:rPr>
          <w:sz w:val="24"/>
        </w:rPr>
        <w:t>2013</w:t>
      </w:r>
      <w:r>
        <w:rPr>
          <w:spacing w:val="-1"/>
          <w:sz w:val="24"/>
        </w:rPr>
        <w:t> </w:t>
      </w:r>
      <w:r>
        <w:rPr>
          <w:sz w:val="24"/>
        </w:rPr>
        <w:t>and</w:t>
      </w:r>
      <w:r>
        <w:rPr>
          <w:spacing w:val="-1"/>
          <w:sz w:val="24"/>
        </w:rPr>
        <w:t> </w:t>
      </w:r>
      <w:r>
        <w:rPr>
          <w:spacing w:val="-4"/>
          <w:sz w:val="24"/>
        </w:rPr>
        <w:t>2018</w:t>
      </w:r>
    </w:p>
    <w:p>
      <w:pPr>
        <w:spacing w:after="0" w:line="240" w:lineRule="auto"/>
        <w:jc w:val="both"/>
        <w:rPr>
          <w:sz w:val="24"/>
        </w:rPr>
        <w:sectPr>
          <w:pgSz w:w="11910" w:h="16840"/>
          <w:pgMar w:header="0" w:footer="1022" w:top="1320" w:bottom="1220" w:left="1680" w:right="900"/>
        </w:sectPr>
      </w:pPr>
    </w:p>
    <w:p>
      <w:pPr>
        <w:pStyle w:val="Heading1"/>
        <w:spacing w:line="360" w:lineRule="auto" w:before="79"/>
        <w:ind w:left="1657" w:right="656" w:hanging="1352"/>
      </w:pPr>
      <w:r>
        <w:rPr/>
        <w:t>Objective</w:t>
      </w:r>
      <w:r>
        <w:rPr>
          <w:spacing w:val="-5"/>
        </w:rPr>
        <w:t> </w:t>
      </w:r>
      <w:r>
        <w:rPr/>
        <w:t>2:</w:t>
      </w:r>
      <w:r>
        <w:rPr>
          <w:spacing w:val="-4"/>
        </w:rPr>
        <w:t> </w:t>
      </w:r>
      <w:r>
        <w:rPr/>
        <w:t>Examine</w:t>
      </w:r>
      <w:r>
        <w:rPr>
          <w:spacing w:val="-5"/>
        </w:rPr>
        <w:t> </w:t>
      </w:r>
      <w:r>
        <w:rPr/>
        <w:t>spatiotemporal</w:t>
      </w:r>
      <w:r>
        <w:rPr>
          <w:spacing w:val="-4"/>
        </w:rPr>
        <w:t> </w:t>
      </w:r>
      <w:r>
        <w:rPr/>
        <w:t>variations</w:t>
      </w:r>
      <w:r>
        <w:rPr>
          <w:spacing w:val="-4"/>
        </w:rPr>
        <w:t> </w:t>
      </w:r>
      <w:r>
        <w:rPr/>
        <w:t>in</w:t>
      </w:r>
      <w:r>
        <w:rPr>
          <w:spacing w:val="-3"/>
        </w:rPr>
        <w:t> </w:t>
      </w:r>
      <w:r>
        <w:rPr/>
        <w:t>residential density</w:t>
      </w:r>
      <w:r>
        <w:rPr>
          <w:spacing w:val="-5"/>
        </w:rPr>
        <w:t> </w:t>
      </w:r>
      <w:r>
        <w:rPr/>
        <w:t>of</w:t>
      </w:r>
      <w:r>
        <w:rPr>
          <w:spacing w:val="-3"/>
        </w:rPr>
        <w:t> </w:t>
      </w:r>
      <w:r>
        <w:rPr/>
        <w:t>the</w:t>
      </w:r>
      <w:r>
        <w:rPr>
          <w:spacing w:val="-5"/>
        </w:rPr>
        <w:t> </w:t>
      </w:r>
      <w:r>
        <w:rPr/>
        <w:t>study area between years 2008 - 2018.</w:t>
      </w:r>
    </w:p>
    <w:p>
      <w:pPr>
        <w:pStyle w:val="BodyText"/>
        <w:spacing w:line="480" w:lineRule="auto" w:before="233"/>
        <w:ind w:left="305" w:right="512"/>
      </w:pPr>
      <w:r>
        <w:rPr/>
        <w:t>The</w:t>
      </w:r>
      <w:r>
        <w:rPr>
          <w:spacing w:val="-13"/>
        </w:rPr>
        <w:t> </w:t>
      </w:r>
      <w:r>
        <w:rPr/>
        <w:t>data</w:t>
      </w:r>
      <w:r>
        <w:rPr>
          <w:spacing w:val="-10"/>
        </w:rPr>
        <w:t> </w:t>
      </w:r>
      <w:r>
        <w:rPr/>
        <w:t>required</w:t>
      </w:r>
      <w:r>
        <w:rPr>
          <w:spacing w:val="-10"/>
        </w:rPr>
        <w:t> </w:t>
      </w:r>
      <w:r>
        <w:rPr/>
        <w:t>on</w:t>
      </w:r>
      <w:r>
        <w:rPr>
          <w:spacing w:val="-12"/>
        </w:rPr>
        <w:t> </w:t>
      </w:r>
      <w:r>
        <w:rPr/>
        <w:t>this</w:t>
      </w:r>
      <w:r>
        <w:rPr>
          <w:spacing w:val="-9"/>
        </w:rPr>
        <w:t> </w:t>
      </w:r>
      <w:r>
        <w:rPr/>
        <w:t>objective</w:t>
      </w:r>
      <w:r>
        <w:rPr>
          <w:spacing w:val="-11"/>
        </w:rPr>
        <w:t> </w:t>
      </w:r>
      <w:r>
        <w:rPr/>
        <w:t>will</w:t>
      </w:r>
      <w:r>
        <w:rPr>
          <w:spacing w:val="-11"/>
        </w:rPr>
        <w:t> </w:t>
      </w:r>
      <w:r>
        <w:rPr/>
        <w:t>provide</w:t>
      </w:r>
      <w:r>
        <w:rPr>
          <w:spacing w:val="-11"/>
        </w:rPr>
        <w:t> </w:t>
      </w:r>
      <w:r>
        <w:rPr/>
        <w:t>details</w:t>
      </w:r>
      <w:r>
        <w:rPr>
          <w:spacing w:val="-12"/>
        </w:rPr>
        <w:t> </w:t>
      </w:r>
      <w:r>
        <w:rPr/>
        <w:t>about</w:t>
      </w:r>
      <w:r>
        <w:rPr>
          <w:spacing w:val="-12"/>
        </w:rPr>
        <w:t> </w:t>
      </w:r>
      <w:r>
        <w:rPr/>
        <w:t>the</w:t>
      </w:r>
      <w:r>
        <w:rPr>
          <w:spacing w:val="-8"/>
        </w:rPr>
        <w:t> </w:t>
      </w:r>
      <w:r>
        <w:rPr/>
        <w:t>residential</w:t>
      </w:r>
      <w:r>
        <w:rPr>
          <w:spacing w:val="-9"/>
        </w:rPr>
        <w:t> </w:t>
      </w:r>
      <w:r>
        <w:rPr/>
        <w:t>density</w:t>
      </w:r>
      <w:r>
        <w:rPr>
          <w:spacing w:val="-15"/>
        </w:rPr>
        <w:t> </w:t>
      </w:r>
      <w:r>
        <w:rPr/>
        <w:t>of</w:t>
      </w:r>
      <w:r>
        <w:rPr>
          <w:spacing w:val="-13"/>
        </w:rPr>
        <w:t> </w:t>
      </w:r>
      <w:r>
        <w:rPr/>
        <w:t>the study area. The details provided would allow better understanding of the pattern of the residential density which will provide the basis on how to analyse the spatial autocorelation. Therefore, data required are:</w:t>
      </w:r>
    </w:p>
    <w:p>
      <w:pPr>
        <w:pStyle w:val="ListParagraph"/>
        <w:numPr>
          <w:ilvl w:val="0"/>
          <w:numId w:val="8"/>
        </w:numPr>
        <w:tabs>
          <w:tab w:pos="1024" w:val="left" w:leader="none"/>
        </w:tabs>
        <w:spacing w:line="240" w:lineRule="auto" w:before="240" w:after="0"/>
        <w:ind w:left="1024" w:right="0" w:hanging="486"/>
        <w:jc w:val="both"/>
        <w:rPr>
          <w:sz w:val="24"/>
        </w:rPr>
      </w:pPr>
      <w:r>
        <w:rPr>
          <w:sz w:val="24"/>
        </w:rPr>
        <w:t>Area coverage</w:t>
      </w:r>
      <w:r>
        <w:rPr>
          <w:spacing w:val="-2"/>
          <w:sz w:val="24"/>
        </w:rPr>
        <w:t> </w:t>
      </w:r>
      <w:r>
        <w:rPr>
          <w:sz w:val="24"/>
        </w:rPr>
        <w:t>of the</w:t>
      </w:r>
      <w:r>
        <w:rPr>
          <w:spacing w:val="-2"/>
          <w:sz w:val="24"/>
        </w:rPr>
        <w:t> </w:t>
      </w:r>
      <w:r>
        <w:rPr>
          <w:sz w:val="24"/>
        </w:rPr>
        <w:t>housing</w:t>
      </w:r>
      <w:r>
        <w:rPr>
          <w:spacing w:val="-2"/>
          <w:sz w:val="24"/>
        </w:rPr>
        <w:t> submarkets.</w:t>
      </w:r>
    </w:p>
    <w:p>
      <w:pPr>
        <w:pStyle w:val="BodyText"/>
        <w:spacing w:before="1"/>
        <w:jc w:val="left"/>
      </w:pPr>
    </w:p>
    <w:p>
      <w:pPr>
        <w:pStyle w:val="ListParagraph"/>
        <w:numPr>
          <w:ilvl w:val="0"/>
          <w:numId w:val="8"/>
        </w:numPr>
        <w:tabs>
          <w:tab w:pos="1023" w:val="left" w:leader="none"/>
        </w:tabs>
        <w:spacing w:line="240" w:lineRule="auto" w:before="0" w:after="0"/>
        <w:ind w:left="1023" w:right="0" w:hanging="553"/>
        <w:jc w:val="both"/>
        <w:rPr>
          <w:sz w:val="24"/>
        </w:rPr>
      </w:pPr>
      <w:r>
        <w:rPr>
          <w:sz w:val="24"/>
        </w:rPr>
        <w:t>Number</w:t>
      </w:r>
      <w:r>
        <w:rPr>
          <w:spacing w:val="-2"/>
          <w:sz w:val="24"/>
        </w:rPr>
        <w:t> </w:t>
      </w:r>
      <w:r>
        <w:rPr>
          <w:sz w:val="24"/>
        </w:rPr>
        <w:t>of</w:t>
      </w:r>
      <w:r>
        <w:rPr>
          <w:spacing w:val="-2"/>
          <w:sz w:val="24"/>
        </w:rPr>
        <w:t> </w:t>
      </w:r>
      <w:r>
        <w:rPr>
          <w:sz w:val="24"/>
        </w:rPr>
        <w:t>buildings in the</w:t>
      </w:r>
      <w:r>
        <w:rPr>
          <w:spacing w:val="-1"/>
          <w:sz w:val="24"/>
        </w:rPr>
        <w:t> </w:t>
      </w:r>
      <w:r>
        <w:rPr>
          <w:sz w:val="24"/>
        </w:rPr>
        <w:t>housing</w:t>
      </w:r>
      <w:r>
        <w:rPr>
          <w:spacing w:val="-3"/>
          <w:sz w:val="24"/>
        </w:rPr>
        <w:t> </w:t>
      </w:r>
      <w:r>
        <w:rPr>
          <w:sz w:val="24"/>
        </w:rPr>
        <w:t>submarkets for the</w:t>
      </w:r>
      <w:r>
        <w:rPr>
          <w:spacing w:val="-2"/>
          <w:sz w:val="24"/>
        </w:rPr>
        <w:t> </w:t>
      </w:r>
      <w:r>
        <w:rPr>
          <w:sz w:val="24"/>
        </w:rPr>
        <w:t>period under </w:t>
      </w:r>
      <w:r>
        <w:rPr>
          <w:spacing w:val="-2"/>
          <w:sz w:val="24"/>
        </w:rPr>
        <w:t>study.</w:t>
      </w:r>
    </w:p>
    <w:p>
      <w:pPr>
        <w:pStyle w:val="BodyText"/>
        <w:jc w:val="left"/>
      </w:pPr>
    </w:p>
    <w:p>
      <w:pPr>
        <w:pStyle w:val="ListParagraph"/>
        <w:numPr>
          <w:ilvl w:val="0"/>
          <w:numId w:val="8"/>
        </w:numPr>
        <w:tabs>
          <w:tab w:pos="1025" w:val="left" w:leader="none"/>
        </w:tabs>
        <w:spacing w:line="240" w:lineRule="auto" w:before="0" w:after="0"/>
        <w:ind w:left="1025" w:right="0" w:hanging="620"/>
        <w:jc w:val="left"/>
        <w:rPr>
          <w:sz w:val="24"/>
        </w:rPr>
      </w:pPr>
      <w:r>
        <w:rPr>
          <w:sz w:val="24"/>
        </w:rPr>
        <w:t>Building</w:t>
      </w:r>
      <w:r>
        <w:rPr>
          <w:spacing w:val="-5"/>
          <w:sz w:val="24"/>
        </w:rPr>
        <w:t> </w:t>
      </w:r>
      <w:r>
        <w:rPr>
          <w:sz w:val="24"/>
        </w:rPr>
        <w:t>to area ratio for</w:t>
      </w:r>
      <w:r>
        <w:rPr>
          <w:spacing w:val="-1"/>
          <w:sz w:val="24"/>
        </w:rPr>
        <w:t> </w:t>
      </w:r>
      <w:r>
        <w:rPr>
          <w:sz w:val="24"/>
        </w:rPr>
        <w:t>the housing submarkets</w:t>
      </w:r>
      <w:r>
        <w:rPr>
          <w:spacing w:val="-1"/>
          <w:sz w:val="24"/>
        </w:rPr>
        <w:t> </w:t>
      </w:r>
      <w:r>
        <w:rPr>
          <w:sz w:val="24"/>
        </w:rPr>
        <w:t>for the</w:t>
      </w:r>
      <w:r>
        <w:rPr>
          <w:spacing w:val="-3"/>
          <w:sz w:val="24"/>
        </w:rPr>
        <w:t> </w:t>
      </w:r>
      <w:r>
        <w:rPr>
          <w:sz w:val="24"/>
        </w:rPr>
        <w:t>period under </w:t>
      </w:r>
      <w:r>
        <w:rPr>
          <w:spacing w:val="-2"/>
          <w:sz w:val="24"/>
        </w:rPr>
        <w:t>study.</w:t>
      </w:r>
    </w:p>
    <w:p>
      <w:pPr>
        <w:pStyle w:val="BodyText"/>
        <w:jc w:val="left"/>
      </w:pPr>
    </w:p>
    <w:p>
      <w:pPr>
        <w:pStyle w:val="ListParagraph"/>
        <w:numPr>
          <w:ilvl w:val="0"/>
          <w:numId w:val="8"/>
        </w:numPr>
        <w:tabs>
          <w:tab w:pos="1025" w:val="left" w:leader="none"/>
        </w:tabs>
        <w:spacing w:line="240" w:lineRule="auto" w:before="0" w:after="0"/>
        <w:ind w:left="1025" w:right="0" w:hanging="607"/>
        <w:jc w:val="left"/>
        <w:rPr>
          <w:sz w:val="24"/>
        </w:rPr>
      </w:pPr>
      <w:r>
        <w:rPr>
          <w:sz w:val="24"/>
        </w:rPr>
        <w:t>Building</w:t>
      </w:r>
      <w:r>
        <w:rPr>
          <w:spacing w:val="-3"/>
          <w:sz w:val="24"/>
        </w:rPr>
        <w:t> </w:t>
      </w:r>
      <w:r>
        <w:rPr>
          <w:sz w:val="24"/>
        </w:rPr>
        <w:t>units per</w:t>
      </w:r>
      <w:r>
        <w:rPr>
          <w:spacing w:val="-1"/>
          <w:sz w:val="24"/>
        </w:rPr>
        <w:t> </w:t>
      </w:r>
      <w:r>
        <w:rPr>
          <w:sz w:val="24"/>
        </w:rPr>
        <w:t>hectares in</w:t>
      </w:r>
      <w:r>
        <w:rPr>
          <w:spacing w:val="-1"/>
          <w:sz w:val="24"/>
        </w:rPr>
        <w:t> </w:t>
      </w:r>
      <w:r>
        <w:rPr>
          <w:sz w:val="24"/>
        </w:rPr>
        <w:t>the</w:t>
      </w:r>
      <w:r>
        <w:rPr>
          <w:spacing w:val="-1"/>
          <w:sz w:val="24"/>
        </w:rPr>
        <w:t> </w:t>
      </w:r>
      <w:r>
        <w:rPr>
          <w:sz w:val="24"/>
        </w:rPr>
        <w:t>housing</w:t>
      </w:r>
      <w:r>
        <w:rPr>
          <w:spacing w:val="-3"/>
          <w:sz w:val="24"/>
        </w:rPr>
        <w:t> </w:t>
      </w:r>
      <w:r>
        <w:rPr>
          <w:spacing w:val="-2"/>
          <w:sz w:val="24"/>
        </w:rPr>
        <w:t>submarkets</w:t>
      </w:r>
    </w:p>
    <w:p>
      <w:pPr>
        <w:pStyle w:val="BodyText"/>
        <w:spacing w:before="247"/>
        <w:jc w:val="left"/>
      </w:pPr>
    </w:p>
    <w:p>
      <w:pPr>
        <w:pStyle w:val="Heading1"/>
        <w:spacing w:line="360" w:lineRule="auto"/>
        <w:ind w:left="1657" w:right="513" w:hanging="1352"/>
        <w:jc w:val="left"/>
      </w:pPr>
      <w:r>
        <w:rPr/>
        <w:t>Objective</w:t>
      </w:r>
      <w:r>
        <w:rPr>
          <w:spacing w:val="-5"/>
        </w:rPr>
        <w:t> </w:t>
      </w:r>
      <w:r>
        <w:rPr/>
        <w:t>3:</w:t>
      </w:r>
      <w:r>
        <w:rPr>
          <w:spacing w:val="-3"/>
        </w:rPr>
        <w:t> </w:t>
      </w:r>
      <w:r>
        <w:rPr/>
        <w:t>Examine</w:t>
      </w:r>
      <w:r>
        <w:rPr>
          <w:spacing w:val="-4"/>
        </w:rPr>
        <w:t> </w:t>
      </w:r>
      <w:r>
        <w:rPr/>
        <w:t>the</w:t>
      </w:r>
      <w:r>
        <w:rPr>
          <w:spacing w:val="-4"/>
        </w:rPr>
        <w:t> </w:t>
      </w:r>
      <w:r>
        <w:rPr/>
        <w:t>spatiotemporal</w:t>
      </w:r>
      <w:r>
        <w:rPr>
          <w:spacing w:val="-3"/>
        </w:rPr>
        <w:t> </w:t>
      </w:r>
      <w:r>
        <w:rPr/>
        <w:t>dynamics</w:t>
      </w:r>
      <w:r>
        <w:rPr>
          <w:spacing w:val="-3"/>
        </w:rPr>
        <w:t> </w:t>
      </w:r>
      <w:r>
        <w:rPr/>
        <w:t>in</w:t>
      </w:r>
      <w:r>
        <w:rPr>
          <w:spacing w:val="-3"/>
        </w:rPr>
        <w:t> </w:t>
      </w:r>
      <w:r>
        <w:rPr/>
        <w:t>the</w:t>
      </w:r>
      <w:r>
        <w:rPr>
          <w:spacing w:val="-3"/>
        </w:rPr>
        <w:t> </w:t>
      </w:r>
      <w:r>
        <w:rPr/>
        <w:t>housing</w:t>
      </w:r>
      <w:r>
        <w:rPr>
          <w:spacing w:val="-3"/>
        </w:rPr>
        <w:t> </w:t>
      </w:r>
      <w:r>
        <w:rPr/>
        <w:t>market</w:t>
      </w:r>
      <w:r>
        <w:rPr>
          <w:spacing w:val="-3"/>
        </w:rPr>
        <w:t> </w:t>
      </w:r>
      <w:r>
        <w:rPr/>
        <w:t>of</w:t>
      </w:r>
      <w:r>
        <w:rPr>
          <w:spacing w:val="-3"/>
        </w:rPr>
        <w:t> </w:t>
      </w:r>
      <w:r>
        <w:rPr/>
        <w:t>the study area between years 2008 – 2018.</w:t>
      </w:r>
    </w:p>
    <w:p>
      <w:pPr>
        <w:pStyle w:val="BodyText"/>
        <w:spacing w:line="480" w:lineRule="auto" w:before="233"/>
        <w:ind w:left="305" w:right="513"/>
        <w:jc w:val="left"/>
      </w:pPr>
      <w:r>
        <w:rPr/>
        <w:t>In</w:t>
      </w:r>
      <w:r>
        <w:rPr>
          <w:spacing w:val="-5"/>
        </w:rPr>
        <w:t> </w:t>
      </w:r>
      <w:r>
        <w:rPr/>
        <w:t>order</w:t>
      </w:r>
      <w:r>
        <w:rPr>
          <w:spacing w:val="-8"/>
        </w:rPr>
        <w:t> </w:t>
      </w:r>
      <w:r>
        <w:rPr/>
        <w:t>to</w:t>
      </w:r>
      <w:r>
        <w:rPr>
          <w:spacing w:val="-7"/>
        </w:rPr>
        <w:t> </w:t>
      </w:r>
      <w:r>
        <w:rPr/>
        <w:t>examine</w:t>
      </w:r>
      <w:r>
        <w:rPr>
          <w:spacing w:val="-8"/>
        </w:rPr>
        <w:t> </w:t>
      </w:r>
      <w:r>
        <w:rPr/>
        <w:t>the</w:t>
      </w:r>
      <w:r>
        <w:rPr>
          <w:spacing w:val="-8"/>
        </w:rPr>
        <w:t> </w:t>
      </w:r>
      <w:r>
        <w:rPr/>
        <w:t>spatiotemporal</w:t>
      </w:r>
      <w:r>
        <w:rPr>
          <w:spacing w:val="-7"/>
        </w:rPr>
        <w:t> </w:t>
      </w:r>
      <w:r>
        <w:rPr/>
        <w:t>dynamics</w:t>
      </w:r>
      <w:r>
        <w:rPr>
          <w:spacing w:val="-3"/>
        </w:rPr>
        <w:t> </w:t>
      </w:r>
      <w:r>
        <w:rPr/>
        <w:t>in</w:t>
      </w:r>
      <w:r>
        <w:rPr>
          <w:spacing w:val="-7"/>
        </w:rPr>
        <w:t> </w:t>
      </w:r>
      <w:r>
        <w:rPr/>
        <w:t>the</w:t>
      </w:r>
      <w:r>
        <w:rPr>
          <w:spacing w:val="-8"/>
        </w:rPr>
        <w:t> </w:t>
      </w:r>
      <w:r>
        <w:rPr/>
        <w:t>housing</w:t>
      </w:r>
      <w:r>
        <w:rPr>
          <w:spacing w:val="-7"/>
        </w:rPr>
        <w:t> </w:t>
      </w:r>
      <w:r>
        <w:rPr/>
        <w:t>market</w:t>
      </w:r>
      <w:r>
        <w:rPr>
          <w:spacing w:val="-7"/>
        </w:rPr>
        <w:t> </w:t>
      </w:r>
      <w:r>
        <w:rPr/>
        <w:t>of</w:t>
      </w:r>
      <w:r>
        <w:rPr>
          <w:spacing w:val="-8"/>
        </w:rPr>
        <w:t> </w:t>
      </w:r>
      <w:r>
        <w:rPr/>
        <w:t>the</w:t>
      </w:r>
      <w:r>
        <w:rPr>
          <w:spacing w:val="-8"/>
        </w:rPr>
        <w:t> </w:t>
      </w:r>
      <w:r>
        <w:rPr/>
        <w:t>study</w:t>
      </w:r>
      <w:r>
        <w:rPr>
          <w:spacing w:val="-10"/>
        </w:rPr>
        <w:t> </w:t>
      </w:r>
      <w:r>
        <w:rPr/>
        <w:t>area, data would be required on the following:</w:t>
      </w:r>
    </w:p>
    <w:p>
      <w:pPr>
        <w:pStyle w:val="ListParagraph"/>
        <w:numPr>
          <w:ilvl w:val="0"/>
          <w:numId w:val="9"/>
        </w:numPr>
        <w:tabs>
          <w:tab w:pos="1025" w:val="left" w:leader="none"/>
        </w:tabs>
        <w:spacing w:line="240" w:lineRule="auto" w:before="241" w:after="0"/>
        <w:ind w:left="1025" w:right="0" w:hanging="487"/>
        <w:jc w:val="left"/>
        <w:rPr>
          <w:sz w:val="24"/>
        </w:rPr>
      </w:pPr>
      <w:r>
        <w:rPr>
          <w:sz w:val="24"/>
        </w:rPr>
        <w:t>Type</w:t>
      </w:r>
      <w:r>
        <w:rPr>
          <w:spacing w:val="-2"/>
          <w:sz w:val="24"/>
        </w:rPr>
        <w:t> </w:t>
      </w:r>
      <w:r>
        <w:rPr>
          <w:sz w:val="24"/>
        </w:rPr>
        <w:t>of residential</w:t>
      </w:r>
      <w:r>
        <w:rPr>
          <w:spacing w:val="-1"/>
          <w:sz w:val="24"/>
        </w:rPr>
        <w:t> </w:t>
      </w:r>
      <w:r>
        <w:rPr>
          <w:sz w:val="24"/>
        </w:rPr>
        <w:t>rented</w:t>
      </w:r>
      <w:r>
        <w:rPr>
          <w:spacing w:val="-1"/>
          <w:sz w:val="24"/>
        </w:rPr>
        <w:t> </w:t>
      </w:r>
      <w:r>
        <w:rPr>
          <w:sz w:val="24"/>
        </w:rPr>
        <w:t>housing</w:t>
      </w:r>
      <w:r>
        <w:rPr>
          <w:spacing w:val="-3"/>
          <w:sz w:val="24"/>
        </w:rPr>
        <w:t> </w:t>
      </w:r>
      <w:r>
        <w:rPr>
          <w:sz w:val="24"/>
        </w:rPr>
        <w:t>in</w:t>
      </w:r>
      <w:r>
        <w:rPr>
          <w:spacing w:val="-1"/>
          <w:sz w:val="24"/>
        </w:rPr>
        <w:t> </w:t>
      </w:r>
      <w:r>
        <w:rPr>
          <w:sz w:val="24"/>
        </w:rPr>
        <w:t>the</w:t>
      </w:r>
      <w:r>
        <w:rPr>
          <w:spacing w:val="-1"/>
          <w:sz w:val="24"/>
        </w:rPr>
        <w:t> </w:t>
      </w:r>
      <w:r>
        <w:rPr>
          <w:sz w:val="24"/>
        </w:rPr>
        <w:t>study</w:t>
      </w:r>
      <w:r>
        <w:rPr>
          <w:spacing w:val="-3"/>
          <w:sz w:val="24"/>
        </w:rPr>
        <w:t> </w:t>
      </w:r>
      <w:r>
        <w:rPr>
          <w:spacing w:val="-4"/>
          <w:sz w:val="24"/>
        </w:rPr>
        <w:t>area</w:t>
      </w:r>
    </w:p>
    <w:p>
      <w:pPr>
        <w:pStyle w:val="ListParagraph"/>
        <w:numPr>
          <w:ilvl w:val="0"/>
          <w:numId w:val="9"/>
        </w:numPr>
        <w:tabs>
          <w:tab w:pos="1025" w:val="left" w:leader="none"/>
        </w:tabs>
        <w:spacing w:line="480" w:lineRule="auto" w:before="276" w:after="0"/>
        <w:ind w:left="1025" w:right="999" w:hanging="555"/>
        <w:jc w:val="left"/>
        <w:rPr>
          <w:sz w:val="24"/>
        </w:rPr>
      </w:pPr>
      <w:r>
        <w:rPr>
          <w:sz w:val="24"/>
        </w:rPr>
        <w:t>Number</w:t>
      </w:r>
      <w:r>
        <w:rPr>
          <w:spacing w:val="-4"/>
          <w:sz w:val="24"/>
        </w:rPr>
        <w:t> </w:t>
      </w:r>
      <w:r>
        <w:rPr>
          <w:sz w:val="24"/>
        </w:rPr>
        <w:t>and</w:t>
      </w:r>
      <w:r>
        <w:rPr>
          <w:spacing w:val="-4"/>
          <w:sz w:val="24"/>
        </w:rPr>
        <w:t> </w:t>
      </w:r>
      <w:r>
        <w:rPr>
          <w:sz w:val="24"/>
        </w:rPr>
        <w:t>type</w:t>
      </w:r>
      <w:r>
        <w:rPr>
          <w:spacing w:val="-5"/>
          <w:sz w:val="24"/>
        </w:rPr>
        <w:t> </w:t>
      </w:r>
      <w:r>
        <w:rPr>
          <w:sz w:val="24"/>
        </w:rPr>
        <w:t>of</w:t>
      </w:r>
      <w:r>
        <w:rPr>
          <w:spacing w:val="-4"/>
          <w:sz w:val="24"/>
        </w:rPr>
        <w:t> </w:t>
      </w:r>
      <w:r>
        <w:rPr>
          <w:sz w:val="24"/>
        </w:rPr>
        <w:t>rental</w:t>
      </w:r>
      <w:r>
        <w:rPr>
          <w:spacing w:val="-4"/>
          <w:sz w:val="24"/>
        </w:rPr>
        <w:t> </w:t>
      </w:r>
      <w:r>
        <w:rPr>
          <w:sz w:val="24"/>
        </w:rPr>
        <w:t>housing</w:t>
      </w:r>
      <w:r>
        <w:rPr>
          <w:spacing w:val="-6"/>
          <w:sz w:val="24"/>
        </w:rPr>
        <w:t> </w:t>
      </w:r>
      <w:r>
        <w:rPr>
          <w:sz w:val="24"/>
        </w:rPr>
        <w:t>apartments</w:t>
      </w:r>
      <w:r>
        <w:rPr>
          <w:spacing w:val="-4"/>
          <w:sz w:val="24"/>
        </w:rPr>
        <w:t> </w:t>
      </w:r>
      <w:r>
        <w:rPr>
          <w:sz w:val="24"/>
        </w:rPr>
        <w:t>managed</w:t>
      </w:r>
      <w:r>
        <w:rPr>
          <w:spacing w:val="-4"/>
          <w:sz w:val="24"/>
        </w:rPr>
        <w:t> </w:t>
      </w:r>
      <w:r>
        <w:rPr>
          <w:sz w:val="24"/>
        </w:rPr>
        <w:t>by</w:t>
      </w:r>
      <w:r>
        <w:rPr>
          <w:spacing w:val="-8"/>
          <w:sz w:val="24"/>
        </w:rPr>
        <w:t> </w:t>
      </w:r>
      <w:r>
        <w:rPr>
          <w:sz w:val="24"/>
        </w:rPr>
        <w:t>registered</w:t>
      </w:r>
      <w:r>
        <w:rPr>
          <w:spacing w:val="-2"/>
          <w:sz w:val="24"/>
        </w:rPr>
        <w:t> </w:t>
      </w:r>
      <w:r>
        <w:rPr>
          <w:sz w:val="24"/>
        </w:rPr>
        <w:t>estate surveyors in the study area</w:t>
      </w:r>
    </w:p>
    <w:p>
      <w:pPr>
        <w:pStyle w:val="ListParagraph"/>
        <w:numPr>
          <w:ilvl w:val="0"/>
          <w:numId w:val="9"/>
        </w:numPr>
        <w:tabs>
          <w:tab w:pos="1025" w:val="left" w:leader="none"/>
        </w:tabs>
        <w:spacing w:line="480" w:lineRule="auto" w:before="0" w:after="0"/>
        <w:ind w:left="1025" w:right="522" w:hanging="620"/>
        <w:jc w:val="left"/>
        <w:rPr>
          <w:sz w:val="24"/>
        </w:rPr>
      </w:pPr>
      <w:r>
        <w:rPr>
          <w:sz w:val="24"/>
        </w:rPr>
        <w:t>Annual</w:t>
      </w:r>
      <w:r>
        <w:rPr>
          <w:spacing w:val="-3"/>
          <w:sz w:val="24"/>
        </w:rPr>
        <w:t> </w:t>
      </w:r>
      <w:r>
        <w:rPr>
          <w:sz w:val="24"/>
        </w:rPr>
        <w:t>rental</w:t>
      </w:r>
      <w:r>
        <w:rPr>
          <w:spacing w:val="-3"/>
          <w:sz w:val="24"/>
        </w:rPr>
        <w:t> </w:t>
      </w:r>
      <w:r>
        <w:rPr>
          <w:sz w:val="24"/>
        </w:rPr>
        <w:t>value</w:t>
      </w:r>
      <w:r>
        <w:rPr>
          <w:spacing w:val="-4"/>
          <w:sz w:val="24"/>
        </w:rPr>
        <w:t> </w:t>
      </w:r>
      <w:r>
        <w:rPr>
          <w:sz w:val="24"/>
        </w:rPr>
        <w:t>of</w:t>
      </w:r>
      <w:r>
        <w:rPr>
          <w:spacing w:val="-3"/>
          <w:sz w:val="24"/>
        </w:rPr>
        <w:t> </w:t>
      </w:r>
      <w:r>
        <w:rPr>
          <w:sz w:val="24"/>
        </w:rPr>
        <w:t>residential</w:t>
      </w:r>
      <w:r>
        <w:rPr>
          <w:spacing w:val="-3"/>
          <w:sz w:val="24"/>
        </w:rPr>
        <w:t> </w:t>
      </w:r>
      <w:r>
        <w:rPr>
          <w:sz w:val="24"/>
        </w:rPr>
        <w:t>houses</w:t>
      </w:r>
      <w:r>
        <w:rPr>
          <w:spacing w:val="-3"/>
          <w:sz w:val="24"/>
        </w:rPr>
        <w:t> </w:t>
      </w:r>
      <w:r>
        <w:rPr>
          <w:sz w:val="24"/>
        </w:rPr>
        <w:t>in</w:t>
      </w:r>
      <w:r>
        <w:rPr>
          <w:spacing w:val="-3"/>
          <w:sz w:val="24"/>
        </w:rPr>
        <w:t> </w:t>
      </w:r>
      <w:r>
        <w:rPr>
          <w:sz w:val="24"/>
        </w:rPr>
        <w:t>the</w:t>
      </w:r>
      <w:r>
        <w:rPr>
          <w:spacing w:val="-4"/>
          <w:sz w:val="24"/>
        </w:rPr>
        <w:t> </w:t>
      </w:r>
      <w:r>
        <w:rPr>
          <w:sz w:val="24"/>
        </w:rPr>
        <w:t>study</w:t>
      </w:r>
      <w:r>
        <w:rPr>
          <w:spacing w:val="-8"/>
          <w:sz w:val="24"/>
        </w:rPr>
        <w:t> </w:t>
      </w:r>
      <w:r>
        <w:rPr>
          <w:sz w:val="24"/>
        </w:rPr>
        <w:t>area</w:t>
      </w:r>
      <w:r>
        <w:rPr>
          <w:spacing w:val="-4"/>
          <w:sz w:val="24"/>
        </w:rPr>
        <w:t> </w:t>
      </w:r>
      <w:r>
        <w:rPr>
          <w:sz w:val="24"/>
        </w:rPr>
        <w:t>between years</w:t>
      </w:r>
      <w:r>
        <w:rPr>
          <w:spacing w:val="-3"/>
          <w:sz w:val="24"/>
        </w:rPr>
        <w:t> </w:t>
      </w:r>
      <w:r>
        <w:rPr>
          <w:sz w:val="24"/>
        </w:rPr>
        <w:t>2008</w:t>
      </w:r>
      <w:r>
        <w:rPr>
          <w:spacing w:val="-3"/>
          <w:sz w:val="24"/>
        </w:rPr>
        <w:t> </w:t>
      </w:r>
      <w:r>
        <w:rPr>
          <w:sz w:val="24"/>
        </w:rPr>
        <w:t>to </w:t>
      </w:r>
      <w:r>
        <w:rPr>
          <w:spacing w:val="-4"/>
          <w:sz w:val="24"/>
        </w:rPr>
        <w:t>2018</w:t>
      </w:r>
    </w:p>
    <w:p>
      <w:pPr>
        <w:pStyle w:val="ListParagraph"/>
        <w:numPr>
          <w:ilvl w:val="0"/>
          <w:numId w:val="9"/>
        </w:numPr>
        <w:tabs>
          <w:tab w:pos="1025" w:val="left" w:leader="none"/>
        </w:tabs>
        <w:spacing w:line="274" w:lineRule="exact" w:before="0" w:after="0"/>
        <w:ind w:left="1025" w:right="0" w:hanging="607"/>
        <w:jc w:val="left"/>
        <w:rPr>
          <w:sz w:val="24"/>
        </w:rPr>
      </w:pPr>
      <w:r>
        <w:rPr>
          <w:sz w:val="24"/>
        </w:rPr>
        <w:t>Coordinates</w:t>
      </w:r>
      <w:r>
        <w:rPr>
          <w:spacing w:val="-2"/>
          <w:sz w:val="24"/>
        </w:rPr>
        <w:t> </w:t>
      </w:r>
      <w:r>
        <w:rPr>
          <w:sz w:val="24"/>
        </w:rPr>
        <w:t>of</w:t>
      </w:r>
      <w:r>
        <w:rPr>
          <w:spacing w:val="-1"/>
          <w:sz w:val="24"/>
        </w:rPr>
        <w:t> </w:t>
      </w:r>
      <w:r>
        <w:rPr>
          <w:sz w:val="24"/>
        </w:rPr>
        <w:t>sample</w:t>
      </w:r>
      <w:r>
        <w:rPr>
          <w:spacing w:val="-1"/>
          <w:sz w:val="24"/>
        </w:rPr>
        <w:t> </w:t>
      </w:r>
      <w:r>
        <w:rPr>
          <w:sz w:val="24"/>
        </w:rPr>
        <w:t>rental housing</w:t>
      </w:r>
      <w:r>
        <w:rPr>
          <w:spacing w:val="-3"/>
          <w:sz w:val="24"/>
        </w:rPr>
        <w:t> </w:t>
      </w:r>
      <w:r>
        <w:rPr>
          <w:sz w:val="24"/>
        </w:rPr>
        <w:t>apartments in the study</w:t>
      </w:r>
      <w:r>
        <w:rPr>
          <w:spacing w:val="-5"/>
          <w:sz w:val="24"/>
        </w:rPr>
        <w:t> </w:t>
      </w:r>
      <w:r>
        <w:rPr>
          <w:spacing w:val="-2"/>
          <w:sz w:val="24"/>
        </w:rPr>
        <w:t>area.</w:t>
      </w:r>
    </w:p>
    <w:p>
      <w:pPr>
        <w:pStyle w:val="BodyText"/>
        <w:spacing w:before="247"/>
        <w:jc w:val="left"/>
      </w:pPr>
    </w:p>
    <w:p>
      <w:pPr>
        <w:pStyle w:val="Heading1"/>
        <w:spacing w:line="360" w:lineRule="auto"/>
        <w:ind w:left="1657" w:right="513" w:hanging="1352"/>
        <w:jc w:val="left"/>
      </w:pPr>
      <w:r>
        <w:rPr/>
        <w:t>Objective</w:t>
      </w:r>
      <w:r>
        <w:rPr>
          <w:spacing w:val="-6"/>
        </w:rPr>
        <w:t> </w:t>
      </w:r>
      <w:r>
        <w:rPr/>
        <w:t>4:</w:t>
      </w:r>
      <w:r>
        <w:rPr>
          <w:spacing w:val="-3"/>
        </w:rPr>
        <w:t> </w:t>
      </w:r>
      <w:r>
        <w:rPr/>
        <w:t>Develop</w:t>
      </w:r>
      <w:r>
        <w:rPr>
          <w:spacing w:val="-3"/>
        </w:rPr>
        <w:t> </w:t>
      </w:r>
      <w:r>
        <w:rPr/>
        <w:t>a</w:t>
      </w:r>
      <w:r>
        <w:rPr>
          <w:spacing w:val="-2"/>
        </w:rPr>
        <w:t> </w:t>
      </w:r>
      <w:r>
        <w:rPr/>
        <w:t>model</w:t>
      </w:r>
      <w:r>
        <w:rPr>
          <w:spacing w:val="-2"/>
        </w:rPr>
        <w:t> </w:t>
      </w:r>
      <w:r>
        <w:rPr/>
        <w:t>to</w:t>
      </w:r>
      <w:r>
        <w:rPr>
          <w:spacing w:val="-5"/>
        </w:rPr>
        <w:t> </w:t>
      </w:r>
      <w:r>
        <w:rPr/>
        <w:t>predict</w:t>
      </w:r>
      <w:r>
        <w:rPr>
          <w:spacing w:val="-4"/>
        </w:rPr>
        <w:t> </w:t>
      </w:r>
      <w:r>
        <w:rPr/>
        <w:t>and</w:t>
      </w:r>
      <w:r>
        <w:rPr>
          <w:spacing w:val="-4"/>
        </w:rPr>
        <w:t> </w:t>
      </w:r>
      <w:r>
        <w:rPr/>
        <w:t>analyse</w:t>
      </w:r>
      <w:r>
        <w:rPr>
          <w:spacing w:val="-4"/>
        </w:rPr>
        <w:t> </w:t>
      </w:r>
      <w:r>
        <w:rPr/>
        <w:t>relationship</w:t>
      </w:r>
      <w:r>
        <w:rPr>
          <w:spacing w:val="-3"/>
        </w:rPr>
        <w:t> </w:t>
      </w:r>
      <w:r>
        <w:rPr/>
        <w:t>between residential density and rental value</w:t>
      </w:r>
    </w:p>
    <w:p>
      <w:pPr>
        <w:pStyle w:val="BodyText"/>
        <w:spacing w:line="480" w:lineRule="auto" w:before="233"/>
        <w:ind w:left="305" w:right="390"/>
        <w:jc w:val="left"/>
      </w:pPr>
      <w:r>
        <w:rPr/>
        <w:t>The</w:t>
      </w:r>
      <w:r>
        <w:rPr>
          <w:spacing w:val="77"/>
        </w:rPr>
        <w:t> </w:t>
      </w:r>
      <w:r>
        <w:rPr/>
        <w:t>relationship</w:t>
      </w:r>
      <w:r>
        <w:rPr>
          <w:spacing w:val="78"/>
        </w:rPr>
        <w:t> </w:t>
      </w:r>
      <w:r>
        <w:rPr/>
        <w:t>between</w:t>
      </w:r>
      <w:r>
        <w:rPr>
          <w:spacing w:val="78"/>
        </w:rPr>
        <w:t> </w:t>
      </w:r>
      <w:r>
        <w:rPr/>
        <w:t>residential</w:t>
      </w:r>
      <w:r>
        <w:rPr>
          <w:spacing w:val="78"/>
        </w:rPr>
        <w:t> </w:t>
      </w:r>
      <w:r>
        <w:rPr/>
        <w:t>density</w:t>
      </w:r>
      <w:r>
        <w:rPr>
          <w:spacing w:val="75"/>
        </w:rPr>
        <w:t> </w:t>
      </w:r>
      <w:r>
        <w:rPr/>
        <w:t>and</w:t>
      </w:r>
      <w:r>
        <w:rPr>
          <w:spacing w:val="78"/>
        </w:rPr>
        <w:t> </w:t>
      </w:r>
      <w:r>
        <w:rPr/>
        <w:t>rental</w:t>
      </w:r>
      <w:r>
        <w:rPr>
          <w:spacing w:val="78"/>
        </w:rPr>
        <w:t> </w:t>
      </w:r>
      <w:r>
        <w:rPr/>
        <w:t>value</w:t>
      </w:r>
      <w:r>
        <w:rPr>
          <w:spacing w:val="80"/>
        </w:rPr>
        <w:t> </w:t>
      </w:r>
      <w:r>
        <w:rPr/>
        <w:t>can</w:t>
      </w:r>
      <w:r>
        <w:rPr>
          <w:spacing w:val="78"/>
        </w:rPr>
        <w:t> </w:t>
      </w:r>
      <w:r>
        <w:rPr/>
        <w:t>be</w:t>
      </w:r>
      <w:r>
        <w:rPr>
          <w:spacing w:val="79"/>
        </w:rPr>
        <w:t> </w:t>
      </w:r>
      <w:r>
        <w:rPr/>
        <w:t>achieve</w:t>
      </w:r>
      <w:r>
        <w:rPr>
          <w:spacing w:val="79"/>
        </w:rPr>
        <w:t> </w:t>
      </w:r>
      <w:r>
        <w:rPr/>
        <w:t>by developing</w:t>
      </w:r>
      <w:r>
        <w:rPr>
          <w:spacing w:val="3"/>
        </w:rPr>
        <w:t> </w:t>
      </w:r>
      <w:r>
        <w:rPr/>
        <w:t>a</w:t>
      </w:r>
      <w:r>
        <w:rPr>
          <w:spacing w:val="6"/>
        </w:rPr>
        <w:t> </w:t>
      </w:r>
      <w:r>
        <w:rPr/>
        <w:t>predictive</w:t>
      </w:r>
      <w:r>
        <w:rPr>
          <w:spacing w:val="8"/>
        </w:rPr>
        <w:t> </w:t>
      </w:r>
      <w:r>
        <w:rPr/>
        <w:t>model</w:t>
      </w:r>
      <w:r>
        <w:rPr>
          <w:spacing w:val="6"/>
        </w:rPr>
        <w:t> </w:t>
      </w:r>
      <w:r>
        <w:rPr/>
        <w:t>using</w:t>
      </w:r>
      <w:r>
        <w:rPr>
          <w:spacing w:val="5"/>
        </w:rPr>
        <w:t> </w:t>
      </w:r>
      <w:r>
        <w:rPr/>
        <w:t>Artificial</w:t>
      </w:r>
      <w:r>
        <w:rPr>
          <w:spacing w:val="6"/>
        </w:rPr>
        <w:t> </w:t>
      </w:r>
      <w:r>
        <w:rPr/>
        <w:t>Neural</w:t>
      </w:r>
      <w:r>
        <w:rPr>
          <w:spacing w:val="6"/>
        </w:rPr>
        <w:t> </w:t>
      </w:r>
      <w:r>
        <w:rPr/>
        <w:t>Network</w:t>
      </w:r>
      <w:r>
        <w:rPr>
          <w:spacing w:val="6"/>
        </w:rPr>
        <w:t> </w:t>
      </w:r>
      <w:r>
        <w:rPr/>
        <w:t>to</w:t>
      </w:r>
      <w:r>
        <w:rPr>
          <w:spacing w:val="8"/>
        </w:rPr>
        <w:t> </w:t>
      </w:r>
      <w:r>
        <w:rPr/>
        <w:t>analyse</w:t>
      </w:r>
      <w:r>
        <w:rPr>
          <w:spacing w:val="7"/>
        </w:rPr>
        <w:t> </w:t>
      </w:r>
      <w:r>
        <w:rPr/>
        <w:t>the</w:t>
      </w:r>
      <w:r>
        <w:rPr>
          <w:spacing w:val="8"/>
        </w:rPr>
        <w:t> </w:t>
      </w:r>
      <w:r>
        <w:rPr/>
        <w:t>pattern</w:t>
      </w:r>
      <w:r>
        <w:rPr>
          <w:spacing w:val="9"/>
        </w:rPr>
        <w:t> </w:t>
      </w:r>
      <w:r>
        <w:rPr>
          <w:spacing w:val="-5"/>
        </w:rPr>
        <w:t>of</w:t>
      </w:r>
    </w:p>
    <w:p>
      <w:pPr>
        <w:spacing w:after="0" w:line="480" w:lineRule="auto"/>
        <w:jc w:val="left"/>
        <w:sectPr>
          <w:pgSz w:w="11910" w:h="16840"/>
          <w:pgMar w:header="0" w:footer="1022" w:top="1320" w:bottom="1220" w:left="1680" w:right="900"/>
        </w:sectPr>
      </w:pPr>
    </w:p>
    <w:p>
      <w:pPr>
        <w:pStyle w:val="BodyText"/>
        <w:spacing w:line="480" w:lineRule="auto" w:before="72"/>
        <w:ind w:left="305" w:right="522"/>
      </w:pPr>
      <w:r>
        <w:rPr/>
        <w:t>residential density and rental value and also predict the future residential density and rental value. The model required the following data:</w:t>
      </w:r>
    </w:p>
    <w:p>
      <w:pPr>
        <w:pStyle w:val="ListParagraph"/>
        <w:numPr>
          <w:ilvl w:val="0"/>
          <w:numId w:val="10"/>
        </w:numPr>
        <w:tabs>
          <w:tab w:pos="1025" w:val="left" w:leader="none"/>
        </w:tabs>
        <w:spacing w:line="240" w:lineRule="auto" w:before="240" w:after="0"/>
        <w:ind w:left="1025" w:right="0" w:hanging="487"/>
        <w:jc w:val="left"/>
        <w:rPr>
          <w:sz w:val="24"/>
        </w:rPr>
      </w:pPr>
      <w:r>
        <w:rPr>
          <w:sz w:val="24"/>
        </w:rPr>
        <w:t>Overall</w:t>
      </w:r>
      <w:r>
        <w:rPr>
          <w:spacing w:val="-4"/>
          <w:sz w:val="24"/>
        </w:rPr>
        <w:t> </w:t>
      </w:r>
      <w:r>
        <w:rPr>
          <w:sz w:val="24"/>
        </w:rPr>
        <w:t>residential</w:t>
      </w:r>
      <w:r>
        <w:rPr>
          <w:spacing w:val="-2"/>
          <w:sz w:val="24"/>
        </w:rPr>
        <w:t> </w:t>
      </w:r>
      <w:r>
        <w:rPr>
          <w:sz w:val="24"/>
        </w:rPr>
        <w:t>area</w:t>
      </w:r>
      <w:r>
        <w:rPr>
          <w:spacing w:val="-3"/>
          <w:sz w:val="24"/>
        </w:rPr>
        <w:t> </w:t>
      </w:r>
      <w:r>
        <w:rPr>
          <w:sz w:val="24"/>
        </w:rPr>
        <w:t>between</w:t>
      </w:r>
      <w:r>
        <w:rPr>
          <w:spacing w:val="3"/>
          <w:sz w:val="24"/>
        </w:rPr>
        <w:t> </w:t>
      </w:r>
      <w:r>
        <w:rPr>
          <w:sz w:val="24"/>
        </w:rPr>
        <w:t>years</w:t>
      </w:r>
      <w:r>
        <w:rPr>
          <w:spacing w:val="-2"/>
          <w:sz w:val="24"/>
        </w:rPr>
        <w:t> </w:t>
      </w:r>
      <w:r>
        <w:rPr>
          <w:sz w:val="24"/>
        </w:rPr>
        <w:t>2008</w:t>
      </w:r>
      <w:r>
        <w:rPr>
          <w:spacing w:val="3"/>
          <w:sz w:val="24"/>
        </w:rPr>
        <w:t> </w:t>
      </w:r>
      <w:r>
        <w:rPr>
          <w:sz w:val="24"/>
        </w:rPr>
        <w:t>-</w:t>
      </w:r>
      <w:r>
        <w:rPr>
          <w:spacing w:val="-2"/>
          <w:sz w:val="24"/>
        </w:rPr>
        <w:t> </w:t>
      </w:r>
      <w:r>
        <w:rPr>
          <w:spacing w:val="-4"/>
          <w:sz w:val="24"/>
        </w:rPr>
        <w:t>2018</w:t>
      </w:r>
    </w:p>
    <w:p>
      <w:pPr>
        <w:pStyle w:val="BodyText"/>
        <w:jc w:val="left"/>
      </w:pPr>
    </w:p>
    <w:p>
      <w:pPr>
        <w:pStyle w:val="ListParagraph"/>
        <w:numPr>
          <w:ilvl w:val="0"/>
          <w:numId w:val="10"/>
        </w:numPr>
        <w:tabs>
          <w:tab w:pos="1025" w:val="left" w:leader="none"/>
        </w:tabs>
        <w:spacing w:line="480" w:lineRule="auto" w:before="0" w:after="0"/>
        <w:ind w:left="1025" w:right="1091" w:hanging="555"/>
        <w:jc w:val="left"/>
        <w:rPr>
          <w:sz w:val="24"/>
        </w:rPr>
      </w:pPr>
      <w:r>
        <w:rPr>
          <w:sz w:val="24"/>
        </w:rPr>
        <w:t>Raster</w:t>
      </w:r>
      <w:r>
        <w:rPr>
          <w:spacing w:val="-5"/>
          <w:sz w:val="24"/>
        </w:rPr>
        <w:t> </w:t>
      </w:r>
      <w:r>
        <w:rPr>
          <w:sz w:val="24"/>
        </w:rPr>
        <w:t>data</w:t>
      </w:r>
      <w:r>
        <w:rPr>
          <w:spacing w:val="-4"/>
          <w:sz w:val="24"/>
        </w:rPr>
        <w:t> </w:t>
      </w:r>
      <w:r>
        <w:rPr>
          <w:sz w:val="24"/>
        </w:rPr>
        <w:t>of</w:t>
      </w:r>
      <w:r>
        <w:rPr>
          <w:spacing w:val="-4"/>
          <w:sz w:val="24"/>
        </w:rPr>
        <w:t> </w:t>
      </w:r>
      <w:r>
        <w:rPr>
          <w:sz w:val="24"/>
        </w:rPr>
        <w:t>Kriging</w:t>
      </w:r>
      <w:r>
        <w:rPr>
          <w:spacing w:val="-4"/>
          <w:sz w:val="24"/>
        </w:rPr>
        <w:t> </w:t>
      </w:r>
      <w:r>
        <w:rPr>
          <w:sz w:val="24"/>
        </w:rPr>
        <w:t>result</w:t>
      </w:r>
      <w:r>
        <w:rPr>
          <w:spacing w:val="-4"/>
          <w:sz w:val="24"/>
        </w:rPr>
        <w:t> </w:t>
      </w:r>
      <w:r>
        <w:rPr>
          <w:sz w:val="24"/>
        </w:rPr>
        <w:t>of</w:t>
      </w:r>
      <w:r>
        <w:rPr>
          <w:spacing w:val="-4"/>
          <w:sz w:val="24"/>
        </w:rPr>
        <w:t> </w:t>
      </w:r>
      <w:r>
        <w:rPr>
          <w:sz w:val="24"/>
        </w:rPr>
        <w:t>rental</w:t>
      </w:r>
      <w:r>
        <w:rPr>
          <w:spacing w:val="-2"/>
          <w:sz w:val="24"/>
        </w:rPr>
        <w:t> </w:t>
      </w:r>
      <w:r>
        <w:rPr>
          <w:sz w:val="24"/>
        </w:rPr>
        <w:t>value</w:t>
      </w:r>
      <w:r>
        <w:rPr>
          <w:spacing w:val="-4"/>
          <w:sz w:val="24"/>
        </w:rPr>
        <w:t> </w:t>
      </w:r>
      <w:r>
        <w:rPr>
          <w:sz w:val="24"/>
        </w:rPr>
        <w:t>of</w:t>
      </w:r>
      <w:r>
        <w:rPr>
          <w:spacing w:val="-5"/>
          <w:sz w:val="24"/>
        </w:rPr>
        <w:t> </w:t>
      </w:r>
      <w:r>
        <w:rPr>
          <w:sz w:val="24"/>
        </w:rPr>
        <w:t>different</w:t>
      </w:r>
      <w:r>
        <w:rPr>
          <w:spacing w:val="-3"/>
          <w:sz w:val="24"/>
        </w:rPr>
        <w:t> </w:t>
      </w:r>
      <w:r>
        <w:rPr>
          <w:sz w:val="24"/>
        </w:rPr>
        <w:t>types</w:t>
      </w:r>
      <w:r>
        <w:rPr>
          <w:spacing w:val="-4"/>
          <w:sz w:val="24"/>
        </w:rPr>
        <w:t> </w:t>
      </w:r>
      <w:r>
        <w:rPr>
          <w:sz w:val="24"/>
        </w:rPr>
        <w:t>of</w:t>
      </w:r>
      <w:r>
        <w:rPr>
          <w:spacing w:val="-4"/>
          <w:sz w:val="24"/>
        </w:rPr>
        <w:t> </w:t>
      </w:r>
      <w:r>
        <w:rPr>
          <w:sz w:val="24"/>
        </w:rPr>
        <w:t>residential houses for years 2008 – 2018.</w:t>
      </w:r>
    </w:p>
    <w:p>
      <w:pPr>
        <w:pStyle w:val="ListParagraph"/>
        <w:numPr>
          <w:ilvl w:val="0"/>
          <w:numId w:val="10"/>
        </w:numPr>
        <w:tabs>
          <w:tab w:pos="1025" w:val="left" w:leader="none"/>
        </w:tabs>
        <w:spacing w:line="240" w:lineRule="auto" w:before="0" w:after="0"/>
        <w:ind w:left="1025" w:right="0" w:hanging="620"/>
        <w:jc w:val="left"/>
        <w:rPr>
          <w:sz w:val="24"/>
        </w:rPr>
      </w:pPr>
      <w:r>
        <w:rPr>
          <w:sz w:val="24"/>
        </w:rPr>
        <w:t>Raster</w:t>
      </w:r>
      <w:r>
        <w:rPr>
          <w:spacing w:val="-2"/>
          <w:sz w:val="24"/>
        </w:rPr>
        <w:t> </w:t>
      </w:r>
      <w:r>
        <w:rPr>
          <w:sz w:val="24"/>
        </w:rPr>
        <w:t>data</w:t>
      </w:r>
      <w:r>
        <w:rPr>
          <w:spacing w:val="-1"/>
          <w:sz w:val="24"/>
        </w:rPr>
        <w:t> </w:t>
      </w:r>
      <w:r>
        <w:rPr>
          <w:sz w:val="24"/>
        </w:rPr>
        <w:t>of</w:t>
      </w:r>
      <w:r>
        <w:rPr>
          <w:spacing w:val="-2"/>
          <w:sz w:val="24"/>
        </w:rPr>
        <w:t> </w:t>
      </w:r>
      <w:r>
        <w:rPr>
          <w:sz w:val="24"/>
        </w:rPr>
        <w:t>Point</w:t>
      </w:r>
      <w:r>
        <w:rPr>
          <w:spacing w:val="-1"/>
          <w:sz w:val="24"/>
        </w:rPr>
        <w:t> </w:t>
      </w:r>
      <w:r>
        <w:rPr>
          <w:sz w:val="24"/>
        </w:rPr>
        <w:t>density</w:t>
      </w:r>
      <w:r>
        <w:rPr>
          <w:spacing w:val="-5"/>
          <w:sz w:val="24"/>
        </w:rPr>
        <w:t> </w:t>
      </w:r>
      <w:r>
        <w:rPr>
          <w:sz w:val="24"/>
        </w:rPr>
        <w:t>result</w:t>
      </w:r>
      <w:r>
        <w:rPr>
          <w:spacing w:val="-1"/>
          <w:sz w:val="24"/>
        </w:rPr>
        <w:t> </w:t>
      </w:r>
      <w:r>
        <w:rPr>
          <w:sz w:val="24"/>
        </w:rPr>
        <w:t>for</w:t>
      </w:r>
      <w:r>
        <w:rPr>
          <w:spacing w:val="-1"/>
          <w:sz w:val="24"/>
        </w:rPr>
        <w:t> </w:t>
      </w:r>
      <w:r>
        <w:rPr>
          <w:sz w:val="24"/>
        </w:rPr>
        <w:t>residential densities</w:t>
      </w:r>
      <w:r>
        <w:rPr>
          <w:spacing w:val="-1"/>
          <w:sz w:val="24"/>
        </w:rPr>
        <w:t> </w:t>
      </w:r>
      <w:r>
        <w:rPr>
          <w:sz w:val="24"/>
        </w:rPr>
        <w:t>for</w:t>
      </w:r>
      <w:r>
        <w:rPr>
          <w:spacing w:val="7"/>
          <w:sz w:val="24"/>
        </w:rPr>
        <w:t> </w:t>
      </w:r>
      <w:r>
        <w:rPr>
          <w:sz w:val="24"/>
        </w:rPr>
        <w:t>years 2008</w:t>
      </w:r>
      <w:r>
        <w:rPr>
          <w:spacing w:val="-1"/>
          <w:sz w:val="24"/>
        </w:rPr>
        <w:t> </w:t>
      </w:r>
      <w:r>
        <w:rPr>
          <w:sz w:val="24"/>
        </w:rPr>
        <w:t>–</w:t>
      </w:r>
      <w:r>
        <w:rPr>
          <w:spacing w:val="2"/>
          <w:sz w:val="24"/>
        </w:rPr>
        <w:t> </w:t>
      </w:r>
      <w:r>
        <w:rPr>
          <w:spacing w:val="-2"/>
          <w:sz w:val="24"/>
        </w:rPr>
        <w:t>2018.</w:t>
      </w:r>
    </w:p>
    <w:p>
      <w:pPr>
        <w:pStyle w:val="BodyText"/>
        <w:jc w:val="left"/>
      </w:pPr>
    </w:p>
    <w:p>
      <w:pPr>
        <w:pStyle w:val="ListParagraph"/>
        <w:numPr>
          <w:ilvl w:val="0"/>
          <w:numId w:val="10"/>
        </w:numPr>
        <w:tabs>
          <w:tab w:pos="1025" w:val="left" w:leader="none"/>
        </w:tabs>
        <w:spacing w:line="240" w:lineRule="auto" w:before="0" w:after="0"/>
        <w:ind w:left="1025" w:right="0" w:hanging="607"/>
        <w:jc w:val="left"/>
        <w:rPr>
          <w:sz w:val="24"/>
        </w:rPr>
      </w:pPr>
      <w:r>
        <w:rPr>
          <w:sz w:val="24"/>
        </w:rPr>
        <w:t>Number</w:t>
      </w:r>
      <w:r>
        <w:rPr>
          <w:spacing w:val="-1"/>
          <w:sz w:val="24"/>
        </w:rPr>
        <w:t> </w:t>
      </w:r>
      <w:r>
        <w:rPr>
          <w:sz w:val="24"/>
        </w:rPr>
        <w:t>of</w:t>
      </w:r>
      <w:r>
        <w:rPr>
          <w:spacing w:val="-3"/>
          <w:sz w:val="24"/>
        </w:rPr>
        <w:t> </w:t>
      </w:r>
      <w:r>
        <w:rPr>
          <w:sz w:val="24"/>
        </w:rPr>
        <w:t>buildings</w:t>
      </w:r>
      <w:r>
        <w:rPr>
          <w:spacing w:val="1"/>
          <w:sz w:val="24"/>
        </w:rPr>
        <w:t> </w:t>
      </w:r>
      <w:r>
        <w:rPr>
          <w:sz w:val="24"/>
        </w:rPr>
        <w:t>for</w:t>
      </w:r>
      <w:r>
        <w:rPr>
          <w:spacing w:val="-1"/>
          <w:sz w:val="24"/>
        </w:rPr>
        <w:t> </w:t>
      </w:r>
      <w:r>
        <w:rPr>
          <w:sz w:val="24"/>
        </w:rPr>
        <w:t>the years</w:t>
      </w:r>
      <w:r>
        <w:rPr>
          <w:spacing w:val="-1"/>
          <w:sz w:val="24"/>
        </w:rPr>
        <w:t> </w:t>
      </w:r>
      <w:r>
        <w:rPr>
          <w:sz w:val="24"/>
        </w:rPr>
        <w:t>2008 –</w:t>
      </w:r>
      <w:r>
        <w:rPr>
          <w:spacing w:val="-1"/>
          <w:sz w:val="24"/>
        </w:rPr>
        <w:t> </w:t>
      </w:r>
      <w:r>
        <w:rPr>
          <w:spacing w:val="-2"/>
          <w:sz w:val="24"/>
        </w:rPr>
        <w:t>2018.</w:t>
      </w:r>
    </w:p>
    <w:p>
      <w:pPr>
        <w:pStyle w:val="BodyText"/>
        <w:spacing w:before="248"/>
        <w:jc w:val="left"/>
      </w:pPr>
    </w:p>
    <w:p>
      <w:pPr>
        <w:pStyle w:val="Heading1"/>
        <w:numPr>
          <w:ilvl w:val="1"/>
          <w:numId w:val="6"/>
        </w:numPr>
        <w:tabs>
          <w:tab w:pos="1025" w:val="left" w:leader="none"/>
        </w:tabs>
        <w:spacing w:line="240" w:lineRule="auto" w:before="0" w:after="0"/>
        <w:ind w:left="1025" w:right="0" w:hanging="720"/>
        <w:jc w:val="left"/>
      </w:pPr>
      <w:r>
        <w:rPr/>
        <w:t>Area</w:t>
      </w:r>
      <w:r>
        <w:rPr>
          <w:spacing w:val="-3"/>
        </w:rPr>
        <w:t> </w:t>
      </w:r>
      <w:r>
        <w:rPr>
          <w:spacing w:val="-2"/>
        </w:rPr>
        <w:t>Demarcation</w:t>
      </w:r>
    </w:p>
    <w:p>
      <w:pPr>
        <w:pStyle w:val="BodyText"/>
        <w:spacing w:before="192"/>
        <w:jc w:val="left"/>
        <w:rPr>
          <w:b/>
        </w:rPr>
      </w:pPr>
    </w:p>
    <w:p>
      <w:pPr>
        <w:pStyle w:val="BodyText"/>
        <w:spacing w:line="480" w:lineRule="auto"/>
        <w:ind w:left="305" w:right="513"/>
      </w:pPr>
      <w:r>
        <w:rPr/>
        <w:t>Spatial specification was adopted in demarcating the study area in to 11 submarkets as obtainable</w:t>
      </w:r>
      <w:r>
        <w:rPr>
          <w:spacing w:val="-8"/>
        </w:rPr>
        <w:t> </w:t>
      </w:r>
      <w:r>
        <w:rPr/>
        <w:t>by</w:t>
      </w:r>
      <w:r>
        <w:rPr>
          <w:spacing w:val="-12"/>
        </w:rPr>
        <w:t> </w:t>
      </w:r>
      <w:r>
        <w:rPr/>
        <w:t>the</w:t>
      </w:r>
      <w:r>
        <w:rPr>
          <w:spacing w:val="-6"/>
        </w:rPr>
        <w:t> </w:t>
      </w:r>
      <w:r>
        <w:rPr/>
        <w:t>practicing</w:t>
      </w:r>
      <w:r>
        <w:rPr>
          <w:spacing w:val="-10"/>
        </w:rPr>
        <w:t> </w:t>
      </w:r>
      <w:r>
        <w:rPr/>
        <w:t>professional</w:t>
      </w:r>
      <w:r>
        <w:rPr>
          <w:spacing w:val="-5"/>
        </w:rPr>
        <w:t> </w:t>
      </w:r>
      <w:r>
        <w:rPr/>
        <w:t>Estate</w:t>
      </w:r>
      <w:r>
        <w:rPr>
          <w:spacing w:val="-8"/>
        </w:rPr>
        <w:t> </w:t>
      </w:r>
      <w:r>
        <w:rPr/>
        <w:t>Surveyors</w:t>
      </w:r>
      <w:r>
        <w:rPr>
          <w:spacing w:val="-5"/>
        </w:rPr>
        <w:t> </w:t>
      </w:r>
      <w:r>
        <w:rPr/>
        <w:t>and</w:t>
      </w:r>
      <w:r>
        <w:rPr>
          <w:spacing w:val="-7"/>
        </w:rPr>
        <w:t> </w:t>
      </w:r>
      <w:r>
        <w:rPr/>
        <w:t>Valuers. The</w:t>
      </w:r>
      <w:r>
        <w:rPr>
          <w:spacing w:val="-6"/>
        </w:rPr>
        <w:t> </w:t>
      </w:r>
      <w:r>
        <w:rPr/>
        <w:t>study</w:t>
      </w:r>
      <w:r>
        <w:rPr>
          <w:spacing w:val="-10"/>
        </w:rPr>
        <w:t> </w:t>
      </w:r>
      <w:r>
        <w:rPr/>
        <w:t>area</w:t>
      </w:r>
      <w:r>
        <w:rPr>
          <w:spacing w:val="-8"/>
        </w:rPr>
        <w:t> </w:t>
      </w:r>
      <w:r>
        <w:rPr/>
        <w:t>is divided</w:t>
      </w:r>
      <w:r>
        <w:rPr>
          <w:spacing w:val="-15"/>
        </w:rPr>
        <w:t> </w:t>
      </w:r>
      <w:r>
        <w:rPr/>
        <w:t>in</w:t>
      </w:r>
      <w:r>
        <w:rPr>
          <w:spacing w:val="-15"/>
        </w:rPr>
        <w:t> </w:t>
      </w:r>
      <w:r>
        <w:rPr/>
        <w:t>to</w:t>
      </w:r>
      <w:r>
        <w:rPr>
          <w:spacing w:val="-15"/>
        </w:rPr>
        <w:t> </w:t>
      </w:r>
      <w:r>
        <w:rPr/>
        <w:t>50</w:t>
      </w:r>
      <w:r>
        <w:rPr>
          <w:spacing w:val="-15"/>
        </w:rPr>
        <w:t> </w:t>
      </w:r>
      <w:r>
        <w:rPr/>
        <w:t>different</w:t>
      </w:r>
      <w:r>
        <w:rPr>
          <w:spacing w:val="-13"/>
        </w:rPr>
        <w:t> </w:t>
      </w:r>
      <w:r>
        <w:rPr/>
        <w:t>area</w:t>
      </w:r>
      <w:r>
        <w:rPr>
          <w:spacing w:val="-15"/>
        </w:rPr>
        <w:t> </w:t>
      </w:r>
      <w:r>
        <w:rPr/>
        <w:t>demarcations</w:t>
      </w:r>
      <w:r>
        <w:rPr>
          <w:spacing w:val="-15"/>
        </w:rPr>
        <w:t> </w:t>
      </w:r>
      <w:r>
        <w:rPr/>
        <w:t>numbered</w:t>
      </w:r>
      <w:r>
        <w:rPr>
          <w:spacing w:val="-15"/>
        </w:rPr>
        <w:t> </w:t>
      </w:r>
      <w:r>
        <w:rPr/>
        <w:t>using</w:t>
      </w:r>
      <w:r>
        <w:rPr>
          <w:spacing w:val="-15"/>
        </w:rPr>
        <w:t> </w:t>
      </w:r>
      <w:r>
        <w:rPr/>
        <w:t>AD</w:t>
      </w:r>
      <w:r>
        <w:rPr>
          <w:spacing w:val="-13"/>
        </w:rPr>
        <w:t> </w:t>
      </w:r>
      <w:r>
        <w:rPr/>
        <w:t>–</w:t>
      </w:r>
      <w:r>
        <w:rPr>
          <w:spacing w:val="-15"/>
        </w:rPr>
        <w:t> </w:t>
      </w:r>
      <w:r>
        <w:rPr/>
        <w:t>i.e.</w:t>
      </w:r>
      <w:r>
        <w:rPr>
          <w:spacing w:val="-15"/>
        </w:rPr>
        <w:t> </w:t>
      </w:r>
      <w:r>
        <w:rPr/>
        <w:t>from</w:t>
      </w:r>
      <w:r>
        <w:rPr>
          <w:spacing w:val="-15"/>
        </w:rPr>
        <w:t> </w:t>
      </w:r>
      <w:r>
        <w:rPr/>
        <w:t>AD1</w:t>
      </w:r>
      <w:r>
        <w:rPr>
          <w:spacing w:val="-15"/>
        </w:rPr>
        <w:t> </w:t>
      </w:r>
      <w:r>
        <w:rPr/>
        <w:t>to</w:t>
      </w:r>
      <w:r>
        <w:rPr>
          <w:spacing w:val="-15"/>
        </w:rPr>
        <w:t> </w:t>
      </w:r>
      <w:r>
        <w:rPr/>
        <w:t>AD50 across all the housing submarkets. This allowed better data handling and collection of data.</w:t>
      </w:r>
      <w:r>
        <w:rPr>
          <w:spacing w:val="-4"/>
        </w:rPr>
        <w:t> </w:t>
      </w:r>
      <w:r>
        <w:rPr/>
        <w:t>Number</w:t>
      </w:r>
      <w:r>
        <w:rPr>
          <w:spacing w:val="-4"/>
        </w:rPr>
        <w:t> </w:t>
      </w:r>
      <w:r>
        <w:rPr/>
        <w:t>of</w:t>
      </w:r>
      <w:r>
        <w:rPr>
          <w:spacing w:val="-4"/>
        </w:rPr>
        <w:t> </w:t>
      </w:r>
      <w:r>
        <w:rPr/>
        <w:t>demarcated</w:t>
      </w:r>
      <w:r>
        <w:rPr>
          <w:spacing w:val="-4"/>
        </w:rPr>
        <w:t> </w:t>
      </w:r>
      <w:r>
        <w:rPr/>
        <w:t>areas</w:t>
      </w:r>
      <w:r>
        <w:rPr>
          <w:spacing w:val="-4"/>
        </w:rPr>
        <w:t> </w:t>
      </w:r>
      <w:r>
        <w:rPr/>
        <w:t>within</w:t>
      </w:r>
      <w:r>
        <w:rPr>
          <w:spacing w:val="-4"/>
        </w:rPr>
        <w:t> </w:t>
      </w:r>
      <w:r>
        <w:rPr/>
        <w:t>submarkets</w:t>
      </w:r>
      <w:r>
        <w:rPr>
          <w:spacing w:val="-4"/>
        </w:rPr>
        <w:t> </w:t>
      </w:r>
      <w:r>
        <w:rPr/>
        <w:t>depends</w:t>
      </w:r>
      <w:r>
        <w:rPr>
          <w:spacing w:val="-4"/>
        </w:rPr>
        <w:t> </w:t>
      </w:r>
      <w:r>
        <w:rPr/>
        <w:t>on image</w:t>
      </w:r>
      <w:r>
        <w:rPr>
          <w:spacing w:val="-3"/>
        </w:rPr>
        <w:t> </w:t>
      </w:r>
      <w:r>
        <w:rPr/>
        <w:t>clearity, and</w:t>
      </w:r>
      <w:r>
        <w:rPr>
          <w:spacing w:val="-4"/>
        </w:rPr>
        <w:t> </w:t>
      </w:r>
      <w:r>
        <w:rPr/>
        <w:t>the size and position of the submarkets (see Table 3.2 and Figure 3.2).</w:t>
      </w:r>
    </w:p>
    <w:p>
      <w:pPr>
        <w:spacing w:after="0" w:line="480" w:lineRule="auto"/>
        <w:sectPr>
          <w:pgSz w:w="11910" w:h="16840"/>
          <w:pgMar w:header="0" w:footer="1022" w:top="1320" w:bottom="1220" w:left="1680" w:right="900"/>
        </w:sectPr>
      </w:pPr>
    </w:p>
    <w:p>
      <w:pPr>
        <w:pStyle w:val="Heading1"/>
        <w:spacing w:before="79" w:after="42"/>
        <w:ind w:left="305" w:firstLine="0"/>
        <w:jc w:val="left"/>
      </w:pPr>
      <w:r>
        <w:rPr/>
        <w:t>Table</w:t>
      </w:r>
      <w:r>
        <w:rPr>
          <w:spacing w:val="-1"/>
        </w:rPr>
        <w:t> </w:t>
      </w:r>
      <w:r>
        <w:rPr/>
        <w:t>3.2:</w:t>
      </w:r>
      <w:r>
        <w:rPr>
          <w:spacing w:val="-2"/>
        </w:rPr>
        <w:t> </w:t>
      </w:r>
      <w:r>
        <w:rPr/>
        <w:t>Area</w:t>
      </w:r>
      <w:r>
        <w:rPr>
          <w:spacing w:val="-1"/>
        </w:rPr>
        <w:t> </w:t>
      </w:r>
      <w:r>
        <w:rPr/>
        <w:t>Demarcation</w:t>
      </w:r>
      <w:r>
        <w:rPr>
          <w:spacing w:val="-1"/>
        </w:rPr>
        <w:t> </w:t>
      </w:r>
      <w:r>
        <w:rPr/>
        <w:t>by</w:t>
      </w:r>
      <w:r>
        <w:rPr>
          <w:spacing w:val="-1"/>
        </w:rPr>
        <w:t> </w:t>
      </w:r>
      <w:r>
        <w:rPr/>
        <w:t>Housing </w:t>
      </w:r>
      <w:r>
        <w:rPr>
          <w:spacing w:val="-2"/>
        </w:rPr>
        <w:t>Submarkets</w:t>
      </w:r>
    </w:p>
    <w:tbl>
      <w:tblPr>
        <w:tblW w:w="0" w:type="auto"/>
        <w:jc w:val="left"/>
        <w:tblInd w:w="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06"/>
        <w:gridCol w:w="2750"/>
        <w:gridCol w:w="4655"/>
      </w:tblGrid>
      <w:tr>
        <w:trPr>
          <w:trHeight w:val="414" w:hRule="atLeast"/>
        </w:trPr>
        <w:tc>
          <w:tcPr>
            <w:tcW w:w="1006" w:type="dxa"/>
            <w:tcBorders>
              <w:top w:val="single" w:sz="8" w:space="0" w:color="000000"/>
              <w:bottom w:val="single" w:sz="8" w:space="0" w:color="000000"/>
            </w:tcBorders>
          </w:tcPr>
          <w:p>
            <w:pPr>
              <w:pStyle w:val="TableParagraph"/>
              <w:spacing w:line="275" w:lineRule="exact"/>
              <w:ind w:left="386"/>
              <w:jc w:val="left"/>
              <w:rPr>
                <w:b/>
                <w:sz w:val="24"/>
              </w:rPr>
            </w:pPr>
            <w:r>
              <w:rPr>
                <w:b/>
                <w:spacing w:val="-5"/>
                <w:sz w:val="24"/>
              </w:rPr>
              <w:t>S/N</w:t>
            </w:r>
          </w:p>
        </w:tc>
        <w:tc>
          <w:tcPr>
            <w:tcW w:w="2750" w:type="dxa"/>
            <w:tcBorders>
              <w:top w:val="single" w:sz="8" w:space="0" w:color="000000"/>
              <w:bottom w:val="single" w:sz="8" w:space="0" w:color="000000"/>
            </w:tcBorders>
          </w:tcPr>
          <w:p>
            <w:pPr>
              <w:pStyle w:val="TableParagraph"/>
              <w:spacing w:line="275" w:lineRule="exact"/>
              <w:ind w:left="244"/>
              <w:jc w:val="left"/>
              <w:rPr>
                <w:b/>
                <w:sz w:val="24"/>
              </w:rPr>
            </w:pPr>
            <w:r>
              <w:rPr>
                <w:b/>
                <w:sz w:val="24"/>
              </w:rPr>
              <w:t>Housing</w:t>
            </w:r>
            <w:r>
              <w:rPr>
                <w:b/>
                <w:spacing w:val="-1"/>
                <w:sz w:val="24"/>
              </w:rPr>
              <w:t> </w:t>
            </w:r>
            <w:r>
              <w:rPr>
                <w:b/>
                <w:spacing w:val="-2"/>
                <w:sz w:val="24"/>
              </w:rPr>
              <w:t>Submarkets</w:t>
            </w:r>
          </w:p>
        </w:tc>
        <w:tc>
          <w:tcPr>
            <w:tcW w:w="4655" w:type="dxa"/>
            <w:tcBorders>
              <w:top w:val="single" w:sz="8" w:space="0" w:color="000000"/>
              <w:bottom w:val="single" w:sz="8" w:space="0" w:color="000000"/>
            </w:tcBorders>
          </w:tcPr>
          <w:p>
            <w:pPr>
              <w:pStyle w:val="TableParagraph"/>
              <w:spacing w:line="275" w:lineRule="exact"/>
              <w:ind w:left="225"/>
              <w:rPr>
                <w:b/>
                <w:sz w:val="24"/>
              </w:rPr>
            </w:pPr>
            <w:r>
              <w:rPr>
                <w:b/>
                <w:sz w:val="24"/>
              </w:rPr>
              <w:t>Area</w:t>
            </w:r>
            <w:r>
              <w:rPr>
                <w:b/>
                <w:spacing w:val="-3"/>
                <w:sz w:val="24"/>
              </w:rPr>
              <w:t> </w:t>
            </w:r>
            <w:r>
              <w:rPr>
                <w:b/>
                <w:sz w:val="24"/>
              </w:rPr>
              <w:t>Demarcations</w:t>
            </w:r>
            <w:r>
              <w:rPr>
                <w:b/>
                <w:spacing w:val="-2"/>
                <w:sz w:val="24"/>
              </w:rPr>
              <w:t> (ADs)</w:t>
            </w:r>
          </w:p>
        </w:tc>
      </w:tr>
      <w:tr>
        <w:trPr>
          <w:trHeight w:val="344" w:hRule="atLeast"/>
        </w:trPr>
        <w:tc>
          <w:tcPr>
            <w:tcW w:w="1006" w:type="dxa"/>
            <w:tcBorders>
              <w:top w:val="single" w:sz="8" w:space="0" w:color="000000"/>
            </w:tcBorders>
          </w:tcPr>
          <w:p>
            <w:pPr>
              <w:pStyle w:val="TableParagraph"/>
              <w:spacing w:line="270" w:lineRule="exact"/>
              <w:ind w:left="141"/>
              <w:rPr>
                <w:sz w:val="24"/>
              </w:rPr>
            </w:pPr>
            <w:r>
              <w:rPr>
                <w:spacing w:val="-10"/>
                <w:sz w:val="24"/>
              </w:rPr>
              <w:t>1</w:t>
            </w:r>
          </w:p>
        </w:tc>
        <w:tc>
          <w:tcPr>
            <w:tcW w:w="2750" w:type="dxa"/>
            <w:tcBorders>
              <w:top w:val="single" w:sz="8" w:space="0" w:color="000000"/>
            </w:tcBorders>
          </w:tcPr>
          <w:p>
            <w:pPr>
              <w:pStyle w:val="TableParagraph"/>
              <w:spacing w:line="270" w:lineRule="exact"/>
              <w:ind w:left="244"/>
              <w:jc w:val="left"/>
              <w:rPr>
                <w:sz w:val="24"/>
              </w:rPr>
            </w:pPr>
            <w:r>
              <w:rPr>
                <w:spacing w:val="-2"/>
                <w:sz w:val="24"/>
              </w:rPr>
              <w:t>Kangi</w:t>
            </w:r>
          </w:p>
        </w:tc>
        <w:tc>
          <w:tcPr>
            <w:tcW w:w="4655" w:type="dxa"/>
            <w:tcBorders>
              <w:top w:val="single" w:sz="8" w:space="0" w:color="000000"/>
            </w:tcBorders>
          </w:tcPr>
          <w:p>
            <w:pPr>
              <w:pStyle w:val="TableParagraph"/>
              <w:spacing w:line="270" w:lineRule="exact"/>
              <w:ind w:left="225" w:right="4"/>
              <w:rPr>
                <w:sz w:val="24"/>
              </w:rPr>
            </w:pPr>
            <w:r>
              <w:rPr>
                <w:sz w:val="24"/>
              </w:rPr>
              <w:t>AD1,</w:t>
            </w:r>
            <w:r>
              <w:rPr>
                <w:spacing w:val="-1"/>
                <w:sz w:val="24"/>
              </w:rPr>
              <w:t> </w:t>
            </w:r>
            <w:r>
              <w:rPr>
                <w:sz w:val="24"/>
              </w:rPr>
              <w:t>AD2</w:t>
            </w:r>
            <w:r>
              <w:rPr>
                <w:spacing w:val="-1"/>
                <w:sz w:val="24"/>
              </w:rPr>
              <w:t> </w:t>
            </w:r>
            <w:r>
              <w:rPr>
                <w:sz w:val="24"/>
              </w:rPr>
              <w:t>and</w:t>
            </w:r>
            <w:r>
              <w:rPr>
                <w:spacing w:val="1"/>
                <w:sz w:val="24"/>
              </w:rPr>
              <w:t> </w:t>
            </w:r>
            <w:r>
              <w:rPr>
                <w:spacing w:val="-5"/>
                <w:sz w:val="24"/>
              </w:rPr>
              <w:t>AD3</w:t>
            </w:r>
          </w:p>
        </w:tc>
      </w:tr>
      <w:tr>
        <w:trPr>
          <w:trHeight w:val="413" w:hRule="atLeast"/>
        </w:trPr>
        <w:tc>
          <w:tcPr>
            <w:tcW w:w="1006" w:type="dxa"/>
          </w:tcPr>
          <w:p>
            <w:pPr>
              <w:pStyle w:val="TableParagraph"/>
              <w:spacing w:line="240" w:lineRule="auto" w:before="64"/>
              <w:ind w:left="141"/>
              <w:rPr>
                <w:sz w:val="24"/>
              </w:rPr>
            </w:pPr>
            <w:r>
              <w:rPr>
                <w:spacing w:val="-10"/>
                <w:sz w:val="24"/>
              </w:rPr>
              <w:t>2</w:t>
            </w:r>
          </w:p>
        </w:tc>
        <w:tc>
          <w:tcPr>
            <w:tcW w:w="2750" w:type="dxa"/>
          </w:tcPr>
          <w:p>
            <w:pPr>
              <w:pStyle w:val="TableParagraph"/>
              <w:spacing w:line="240" w:lineRule="auto" w:before="64"/>
              <w:ind w:left="244"/>
              <w:jc w:val="left"/>
              <w:rPr>
                <w:sz w:val="24"/>
              </w:rPr>
            </w:pPr>
            <w:r>
              <w:rPr>
                <w:sz w:val="24"/>
              </w:rPr>
              <w:t>Rahmatu</w:t>
            </w:r>
            <w:r>
              <w:rPr>
                <w:spacing w:val="-1"/>
                <w:sz w:val="24"/>
              </w:rPr>
              <w:t> </w:t>
            </w:r>
            <w:r>
              <w:rPr>
                <w:spacing w:val="-2"/>
                <w:sz w:val="24"/>
              </w:rPr>
              <w:t>Dangana</w:t>
            </w:r>
          </w:p>
        </w:tc>
        <w:tc>
          <w:tcPr>
            <w:tcW w:w="4655" w:type="dxa"/>
          </w:tcPr>
          <w:p>
            <w:pPr>
              <w:pStyle w:val="TableParagraph"/>
              <w:spacing w:line="240" w:lineRule="auto" w:before="64"/>
              <w:ind w:left="225" w:right="1"/>
              <w:rPr>
                <w:sz w:val="24"/>
              </w:rPr>
            </w:pPr>
            <w:r>
              <w:rPr>
                <w:spacing w:val="-5"/>
                <w:sz w:val="24"/>
              </w:rPr>
              <w:t>AD4</w:t>
            </w:r>
          </w:p>
        </w:tc>
      </w:tr>
      <w:tr>
        <w:trPr>
          <w:trHeight w:val="414" w:hRule="atLeast"/>
        </w:trPr>
        <w:tc>
          <w:tcPr>
            <w:tcW w:w="1006" w:type="dxa"/>
          </w:tcPr>
          <w:p>
            <w:pPr>
              <w:pStyle w:val="TableParagraph"/>
              <w:spacing w:line="240" w:lineRule="auto" w:before="63"/>
              <w:ind w:left="141"/>
              <w:rPr>
                <w:sz w:val="24"/>
              </w:rPr>
            </w:pPr>
            <w:r>
              <w:rPr>
                <w:spacing w:val="-10"/>
                <w:sz w:val="24"/>
              </w:rPr>
              <w:t>3</w:t>
            </w:r>
          </w:p>
        </w:tc>
        <w:tc>
          <w:tcPr>
            <w:tcW w:w="2750" w:type="dxa"/>
          </w:tcPr>
          <w:p>
            <w:pPr>
              <w:pStyle w:val="TableParagraph"/>
              <w:spacing w:line="240" w:lineRule="auto" w:before="63"/>
              <w:ind w:left="244"/>
              <w:jc w:val="left"/>
              <w:rPr>
                <w:sz w:val="24"/>
              </w:rPr>
            </w:pPr>
            <w:r>
              <w:rPr>
                <w:sz w:val="24"/>
              </w:rPr>
              <w:t>Poly</w:t>
            </w:r>
            <w:r>
              <w:rPr>
                <w:spacing w:val="-6"/>
                <w:sz w:val="24"/>
              </w:rPr>
              <w:t> </w:t>
            </w:r>
            <w:r>
              <w:rPr>
                <w:spacing w:val="-4"/>
                <w:sz w:val="24"/>
              </w:rPr>
              <w:t>Area</w:t>
            </w:r>
          </w:p>
        </w:tc>
        <w:tc>
          <w:tcPr>
            <w:tcW w:w="4655" w:type="dxa"/>
          </w:tcPr>
          <w:p>
            <w:pPr>
              <w:pStyle w:val="TableParagraph"/>
              <w:spacing w:line="240" w:lineRule="auto" w:before="63"/>
              <w:ind w:left="225" w:right="2"/>
              <w:rPr>
                <w:sz w:val="24"/>
              </w:rPr>
            </w:pPr>
            <w:r>
              <w:rPr>
                <w:sz w:val="24"/>
              </w:rPr>
              <w:t>AD5,</w:t>
            </w:r>
            <w:r>
              <w:rPr>
                <w:spacing w:val="-1"/>
                <w:sz w:val="24"/>
              </w:rPr>
              <w:t> </w:t>
            </w:r>
            <w:r>
              <w:rPr>
                <w:sz w:val="24"/>
              </w:rPr>
              <w:t>AD6,</w:t>
            </w:r>
            <w:r>
              <w:rPr>
                <w:spacing w:val="-1"/>
                <w:sz w:val="24"/>
              </w:rPr>
              <w:t> </w:t>
            </w:r>
            <w:r>
              <w:rPr>
                <w:sz w:val="24"/>
              </w:rPr>
              <w:t>AD7</w:t>
            </w:r>
            <w:r>
              <w:rPr>
                <w:spacing w:val="1"/>
                <w:sz w:val="24"/>
              </w:rPr>
              <w:t> </w:t>
            </w:r>
            <w:r>
              <w:rPr>
                <w:sz w:val="24"/>
              </w:rPr>
              <w:t>and</w:t>
            </w:r>
            <w:r>
              <w:rPr>
                <w:spacing w:val="-1"/>
                <w:sz w:val="24"/>
              </w:rPr>
              <w:t> </w:t>
            </w:r>
            <w:r>
              <w:rPr>
                <w:spacing w:val="-5"/>
                <w:sz w:val="24"/>
              </w:rPr>
              <w:t>AD8</w:t>
            </w:r>
          </w:p>
        </w:tc>
      </w:tr>
      <w:tr>
        <w:trPr>
          <w:trHeight w:val="414" w:hRule="atLeast"/>
        </w:trPr>
        <w:tc>
          <w:tcPr>
            <w:tcW w:w="1006" w:type="dxa"/>
          </w:tcPr>
          <w:p>
            <w:pPr>
              <w:pStyle w:val="TableParagraph"/>
              <w:spacing w:line="240" w:lineRule="auto" w:before="64"/>
              <w:ind w:left="141"/>
              <w:rPr>
                <w:sz w:val="24"/>
              </w:rPr>
            </w:pPr>
            <w:r>
              <w:rPr>
                <w:spacing w:val="-10"/>
                <w:sz w:val="24"/>
              </w:rPr>
              <w:t>4</w:t>
            </w:r>
          </w:p>
        </w:tc>
        <w:tc>
          <w:tcPr>
            <w:tcW w:w="2750" w:type="dxa"/>
          </w:tcPr>
          <w:p>
            <w:pPr>
              <w:pStyle w:val="TableParagraph"/>
              <w:spacing w:line="240" w:lineRule="auto" w:before="64"/>
              <w:ind w:left="244"/>
              <w:jc w:val="left"/>
              <w:rPr>
                <w:sz w:val="24"/>
              </w:rPr>
            </w:pPr>
            <w:r>
              <w:rPr>
                <w:spacing w:val="-5"/>
                <w:sz w:val="24"/>
              </w:rPr>
              <w:t>GRA</w:t>
            </w:r>
          </w:p>
        </w:tc>
        <w:tc>
          <w:tcPr>
            <w:tcW w:w="4655" w:type="dxa"/>
          </w:tcPr>
          <w:p>
            <w:pPr>
              <w:pStyle w:val="TableParagraph"/>
              <w:spacing w:line="240" w:lineRule="auto" w:before="64"/>
              <w:ind w:left="225" w:right="2"/>
              <w:rPr>
                <w:sz w:val="24"/>
              </w:rPr>
            </w:pPr>
            <w:r>
              <w:rPr>
                <w:sz w:val="24"/>
              </w:rPr>
              <w:t>AD9,</w:t>
            </w:r>
            <w:r>
              <w:rPr>
                <w:spacing w:val="-1"/>
                <w:sz w:val="24"/>
              </w:rPr>
              <w:t> </w:t>
            </w:r>
            <w:r>
              <w:rPr>
                <w:sz w:val="24"/>
              </w:rPr>
              <w:t>AD10,</w:t>
            </w:r>
            <w:r>
              <w:rPr>
                <w:spacing w:val="-1"/>
                <w:sz w:val="24"/>
              </w:rPr>
              <w:t> </w:t>
            </w:r>
            <w:r>
              <w:rPr>
                <w:sz w:val="24"/>
              </w:rPr>
              <w:t>AD11</w:t>
            </w:r>
            <w:r>
              <w:rPr>
                <w:spacing w:val="1"/>
                <w:sz w:val="24"/>
              </w:rPr>
              <w:t> </w:t>
            </w:r>
            <w:r>
              <w:rPr>
                <w:sz w:val="24"/>
              </w:rPr>
              <w:t>and</w:t>
            </w:r>
            <w:r>
              <w:rPr>
                <w:spacing w:val="1"/>
                <w:sz w:val="24"/>
              </w:rPr>
              <w:t> </w:t>
            </w:r>
            <w:r>
              <w:rPr>
                <w:spacing w:val="-4"/>
                <w:sz w:val="24"/>
              </w:rPr>
              <w:t>AD12</w:t>
            </w:r>
          </w:p>
        </w:tc>
      </w:tr>
      <w:tr>
        <w:trPr>
          <w:trHeight w:val="413" w:hRule="atLeast"/>
        </w:trPr>
        <w:tc>
          <w:tcPr>
            <w:tcW w:w="1006" w:type="dxa"/>
          </w:tcPr>
          <w:p>
            <w:pPr>
              <w:pStyle w:val="TableParagraph"/>
              <w:spacing w:line="240" w:lineRule="auto" w:before="63"/>
              <w:ind w:left="141"/>
              <w:rPr>
                <w:sz w:val="24"/>
              </w:rPr>
            </w:pPr>
            <w:r>
              <w:rPr>
                <w:spacing w:val="-10"/>
                <w:sz w:val="24"/>
              </w:rPr>
              <w:t>5</w:t>
            </w:r>
          </w:p>
        </w:tc>
        <w:tc>
          <w:tcPr>
            <w:tcW w:w="2750" w:type="dxa"/>
          </w:tcPr>
          <w:p>
            <w:pPr>
              <w:pStyle w:val="TableParagraph"/>
              <w:spacing w:line="240" w:lineRule="auto" w:before="63"/>
              <w:ind w:left="244"/>
              <w:jc w:val="left"/>
              <w:rPr>
                <w:sz w:val="24"/>
              </w:rPr>
            </w:pPr>
            <w:r>
              <w:rPr>
                <w:spacing w:val="-2"/>
                <w:sz w:val="24"/>
              </w:rPr>
              <w:t>Eyagi</w:t>
            </w:r>
          </w:p>
        </w:tc>
        <w:tc>
          <w:tcPr>
            <w:tcW w:w="4655" w:type="dxa"/>
          </w:tcPr>
          <w:p>
            <w:pPr>
              <w:pStyle w:val="TableParagraph"/>
              <w:spacing w:line="240" w:lineRule="auto" w:before="63"/>
              <w:ind w:left="225" w:right="2"/>
              <w:rPr>
                <w:sz w:val="24"/>
              </w:rPr>
            </w:pPr>
            <w:r>
              <w:rPr>
                <w:sz w:val="24"/>
              </w:rPr>
              <w:t>AD13</w:t>
            </w:r>
            <w:r>
              <w:rPr>
                <w:spacing w:val="-3"/>
                <w:sz w:val="24"/>
              </w:rPr>
              <w:t> </w:t>
            </w:r>
            <w:r>
              <w:rPr>
                <w:sz w:val="24"/>
              </w:rPr>
              <w:t>and</w:t>
            </w:r>
            <w:r>
              <w:rPr>
                <w:spacing w:val="-1"/>
                <w:sz w:val="24"/>
              </w:rPr>
              <w:t> </w:t>
            </w:r>
            <w:r>
              <w:rPr>
                <w:spacing w:val="-4"/>
                <w:sz w:val="24"/>
              </w:rPr>
              <w:t>AD14</w:t>
            </w:r>
          </w:p>
        </w:tc>
      </w:tr>
      <w:tr>
        <w:trPr>
          <w:trHeight w:val="413" w:hRule="atLeast"/>
        </w:trPr>
        <w:tc>
          <w:tcPr>
            <w:tcW w:w="1006" w:type="dxa"/>
          </w:tcPr>
          <w:p>
            <w:pPr>
              <w:pStyle w:val="TableParagraph"/>
              <w:spacing w:line="240" w:lineRule="auto" w:before="64"/>
              <w:ind w:left="141"/>
              <w:rPr>
                <w:sz w:val="24"/>
              </w:rPr>
            </w:pPr>
            <w:r>
              <w:rPr>
                <w:spacing w:val="-10"/>
                <w:sz w:val="24"/>
              </w:rPr>
              <w:t>6</w:t>
            </w:r>
          </w:p>
        </w:tc>
        <w:tc>
          <w:tcPr>
            <w:tcW w:w="2750" w:type="dxa"/>
          </w:tcPr>
          <w:p>
            <w:pPr>
              <w:pStyle w:val="TableParagraph"/>
              <w:spacing w:line="240" w:lineRule="auto" w:before="64"/>
              <w:ind w:left="244"/>
              <w:jc w:val="left"/>
              <w:rPr>
                <w:sz w:val="24"/>
              </w:rPr>
            </w:pPr>
            <w:r>
              <w:rPr>
                <w:sz w:val="24"/>
              </w:rPr>
              <w:t>Project</w:t>
            </w:r>
            <w:r>
              <w:rPr>
                <w:spacing w:val="-5"/>
                <w:sz w:val="24"/>
              </w:rPr>
              <w:t> </w:t>
            </w:r>
            <w:r>
              <w:rPr>
                <w:spacing w:val="-2"/>
                <w:sz w:val="24"/>
              </w:rPr>
              <w:t>Quarters</w:t>
            </w:r>
          </w:p>
        </w:tc>
        <w:tc>
          <w:tcPr>
            <w:tcW w:w="4655" w:type="dxa"/>
          </w:tcPr>
          <w:p>
            <w:pPr>
              <w:pStyle w:val="TableParagraph"/>
              <w:spacing w:line="240" w:lineRule="auto" w:before="64"/>
              <w:ind w:left="225" w:right="2"/>
              <w:rPr>
                <w:sz w:val="24"/>
              </w:rPr>
            </w:pPr>
            <w:r>
              <w:rPr>
                <w:sz w:val="24"/>
              </w:rPr>
              <w:t>AD15</w:t>
            </w:r>
            <w:r>
              <w:rPr>
                <w:spacing w:val="-3"/>
                <w:sz w:val="24"/>
              </w:rPr>
              <w:t> </w:t>
            </w:r>
            <w:r>
              <w:rPr>
                <w:sz w:val="24"/>
              </w:rPr>
              <w:t>and</w:t>
            </w:r>
            <w:r>
              <w:rPr>
                <w:spacing w:val="-1"/>
                <w:sz w:val="24"/>
              </w:rPr>
              <w:t> </w:t>
            </w:r>
            <w:r>
              <w:rPr>
                <w:spacing w:val="-4"/>
                <w:sz w:val="24"/>
              </w:rPr>
              <w:t>AD16</w:t>
            </w:r>
          </w:p>
        </w:tc>
      </w:tr>
      <w:tr>
        <w:trPr>
          <w:trHeight w:val="414" w:hRule="atLeast"/>
        </w:trPr>
        <w:tc>
          <w:tcPr>
            <w:tcW w:w="1006" w:type="dxa"/>
          </w:tcPr>
          <w:p>
            <w:pPr>
              <w:pStyle w:val="TableParagraph"/>
              <w:spacing w:line="240" w:lineRule="auto" w:before="63"/>
              <w:ind w:left="141"/>
              <w:rPr>
                <w:sz w:val="24"/>
              </w:rPr>
            </w:pPr>
            <w:r>
              <w:rPr>
                <w:spacing w:val="-10"/>
                <w:sz w:val="24"/>
              </w:rPr>
              <w:t>7</w:t>
            </w:r>
          </w:p>
        </w:tc>
        <w:tc>
          <w:tcPr>
            <w:tcW w:w="2750" w:type="dxa"/>
          </w:tcPr>
          <w:p>
            <w:pPr>
              <w:pStyle w:val="TableParagraph"/>
              <w:spacing w:line="240" w:lineRule="auto" w:before="63"/>
              <w:ind w:left="244"/>
              <w:jc w:val="left"/>
              <w:rPr>
                <w:sz w:val="24"/>
              </w:rPr>
            </w:pPr>
            <w:r>
              <w:rPr>
                <w:spacing w:val="-2"/>
                <w:sz w:val="24"/>
              </w:rPr>
              <w:t>Ndazabo</w:t>
            </w:r>
          </w:p>
        </w:tc>
        <w:tc>
          <w:tcPr>
            <w:tcW w:w="4655" w:type="dxa"/>
          </w:tcPr>
          <w:p>
            <w:pPr>
              <w:pStyle w:val="TableParagraph"/>
              <w:spacing w:line="240" w:lineRule="auto" w:before="63"/>
              <w:ind w:left="225" w:right="2"/>
              <w:rPr>
                <w:sz w:val="24"/>
              </w:rPr>
            </w:pPr>
            <w:r>
              <w:rPr>
                <w:sz w:val="24"/>
              </w:rPr>
              <w:t>AD17,</w:t>
            </w:r>
            <w:r>
              <w:rPr>
                <w:spacing w:val="-1"/>
                <w:sz w:val="24"/>
              </w:rPr>
              <w:t> </w:t>
            </w:r>
            <w:r>
              <w:rPr>
                <w:sz w:val="24"/>
              </w:rPr>
              <w:t>AD18,</w:t>
            </w:r>
            <w:r>
              <w:rPr>
                <w:spacing w:val="-1"/>
                <w:sz w:val="24"/>
              </w:rPr>
              <w:t> </w:t>
            </w:r>
            <w:r>
              <w:rPr>
                <w:sz w:val="24"/>
              </w:rPr>
              <w:t>AD19,</w:t>
            </w:r>
            <w:r>
              <w:rPr>
                <w:spacing w:val="1"/>
                <w:sz w:val="24"/>
              </w:rPr>
              <w:t> </w:t>
            </w:r>
            <w:r>
              <w:rPr>
                <w:sz w:val="24"/>
              </w:rPr>
              <w:t>AD20</w:t>
            </w:r>
            <w:r>
              <w:rPr>
                <w:spacing w:val="-1"/>
                <w:sz w:val="24"/>
              </w:rPr>
              <w:t> </w:t>
            </w:r>
            <w:r>
              <w:rPr>
                <w:sz w:val="24"/>
              </w:rPr>
              <w:t>and </w:t>
            </w:r>
            <w:r>
              <w:rPr>
                <w:spacing w:val="-4"/>
                <w:sz w:val="24"/>
              </w:rPr>
              <w:t>AD21</w:t>
            </w:r>
          </w:p>
        </w:tc>
      </w:tr>
      <w:tr>
        <w:trPr>
          <w:trHeight w:val="414" w:hRule="atLeast"/>
        </w:trPr>
        <w:tc>
          <w:tcPr>
            <w:tcW w:w="1006" w:type="dxa"/>
          </w:tcPr>
          <w:p>
            <w:pPr>
              <w:pStyle w:val="TableParagraph"/>
              <w:spacing w:line="240" w:lineRule="auto" w:before="64"/>
              <w:ind w:left="141"/>
              <w:rPr>
                <w:sz w:val="24"/>
              </w:rPr>
            </w:pPr>
            <w:r>
              <w:rPr>
                <w:spacing w:val="-10"/>
                <w:sz w:val="24"/>
              </w:rPr>
              <w:t>8</w:t>
            </w:r>
          </w:p>
        </w:tc>
        <w:tc>
          <w:tcPr>
            <w:tcW w:w="2750" w:type="dxa"/>
          </w:tcPr>
          <w:p>
            <w:pPr>
              <w:pStyle w:val="TableParagraph"/>
              <w:spacing w:line="240" w:lineRule="auto" w:before="64"/>
              <w:ind w:left="244"/>
              <w:jc w:val="left"/>
              <w:rPr>
                <w:sz w:val="24"/>
              </w:rPr>
            </w:pPr>
            <w:r>
              <w:rPr>
                <w:spacing w:val="-2"/>
                <w:sz w:val="24"/>
              </w:rPr>
              <w:t>Avenue</w:t>
            </w:r>
          </w:p>
        </w:tc>
        <w:tc>
          <w:tcPr>
            <w:tcW w:w="4655" w:type="dxa"/>
          </w:tcPr>
          <w:p>
            <w:pPr>
              <w:pStyle w:val="TableParagraph"/>
              <w:spacing w:line="240" w:lineRule="auto" w:before="64"/>
              <w:ind w:left="225" w:right="2"/>
              <w:rPr>
                <w:sz w:val="24"/>
              </w:rPr>
            </w:pPr>
            <w:r>
              <w:rPr>
                <w:sz w:val="24"/>
              </w:rPr>
              <w:t>AD22</w:t>
            </w:r>
            <w:r>
              <w:rPr>
                <w:spacing w:val="-3"/>
                <w:sz w:val="24"/>
              </w:rPr>
              <w:t> </w:t>
            </w:r>
            <w:r>
              <w:rPr>
                <w:sz w:val="24"/>
              </w:rPr>
              <w:t>and</w:t>
            </w:r>
            <w:r>
              <w:rPr>
                <w:spacing w:val="-1"/>
                <w:sz w:val="24"/>
              </w:rPr>
              <w:t> </w:t>
            </w:r>
            <w:r>
              <w:rPr>
                <w:spacing w:val="-4"/>
                <w:sz w:val="24"/>
              </w:rPr>
              <w:t>AD23</w:t>
            </w:r>
          </w:p>
        </w:tc>
      </w:tr>
      <w:tr>
        <w:trPr>
          <w:trHeight w:val="414" w:hRule="atLeast"/>
        </w:trPr>
        <w:tc>
          <w:tcPr>
            <w:tcW w:w="1006" w:type="dxa"/>
          </w:tcPr>
          <w:p>
            <w:pPr>
              <w:pStyle w:val="TableParagraph"/>
              <w:spacing w:line="240" w:lineRule="auto" w:before="63"/>
              <w:ind w:left="141"/>
              <w:rPr>
                <w:sz w:val="24"/>
              </w:rPr>
            </w:pPr>
            <w:r>
              <w:rPr>
                <w:spacing w:val="-10"/>
                <w:sz w:val="24"/>
              </w:rPr>
              <w:t>9</w:t>
            </w:r>
          </w:p>
        </w:tc>
        <w:tc>
          <w:tcPr>
            <w:tcW w:w="2750" w:type="dxa"/>
          </w:tcPr>
          <w:p>
            <w:pPr>
              <w:pStyle w:val="TableParagraph"/>
              <w:spacing w:line="240" w:lineRule="auto" w:before="63"/>
              <w:ind w:left="244"/>
              <w:jc w:val="left"/>
              <w:rPr>
                <w:sz w:val="24"/>
              </w:rPr>
            </w:pPr>
            <w:r>
              <w:rPr>
                <w:spacing w:val="-2"/>
                <w:sz w:val="24"/>
              </w:rPr>
              <w:t>Wadata</w:t>
            </w:r>
          </w:p>
        </w:tc>
        <w:tc>
          <w:tcPr>
            <w:tcW w:w="4655" w:type="dxa"/>
          </w:tcPr>
          <w:p>
            <w:pPr>
              <w:pStyle w:val="TableParagraph"/>
              <w:spacing w:line="240" w:lineRule="auto" w:before="63"/>
              <w:ind w:left="225" w:right="2"/>
              <w:rPr>
                <w:sz w:val="24"/>
              </w:rPr>
            </w:pPr>
            <w:r>
              <w:rPr>
                <w:sz w:val="24"/>
              </w:rPr>
              <w:t>AD24</w:t>
            </w:r>
            <w:r>
              <w:rPr>
                <w:spacing w:val="-3"/>
                <w:sz w:val="24"/>
              </w:rPr>
              <w:t> </w:t>
            </w:r>
            <w:r>
              <w:rPr>
                <w:sz w:val="24"/>
              </w:rPr>
              <w:t>and</w:t>
            </w:r>
            <w:r>
              <w:rPr>
                <w:spacing w:val="-1"/>
                <w:sz w:val="24"/>
              </w:rPr>
              <w:t> </w:t>
            </w:r>
            <w:r>
              <w:rPr>
                <w:spacing w:val="-4"/>
                <w:sz w:val="24"/>
              </w:rPr>
              <w:t>AD25</w:t>
            </w:r>
          </w:p>
        </w:tc>
      </w:tr>
      <w:tr>
        <w:trPr>
          <w:trHeight w:val="414" w:hRule="atLeast"/>
        </w:trPr>
        <w:tc>
          <w:tcPr>
            <w:tcW w:w="1006" w:type="dxa"/>
          </w:tcPr>
          <w:p>
            <w:pPr>
              <w:pStyle w:val="TableParagraph"/>
              <w:spacing w:line="240" w:lineRule="auto" w:before="64"/>
              <w:ind w:left="453"/>
              <w:jc w:val="left"/>
              <w:rPr>
                <w:sz w:val="24"/>
              </w:rPr>
            </w:pPr>
            <w:r>
              <w:rPr>
                <w:spacing w:val="-5"/>
                <w:sz w:val="24"/>
              </w:rPr>
              <w:t>10</w:t>
            </w:r>
          </w:p>
        </w:tc>
        <w:tc>
          <w:tcPr>
            <w:tcW w:w="2750" w:type="dxa"/>
          </w:tcPr>
          <w:p>
            <w:pPr>
              <w:pStyle w:val="TableParagraph"/>
              <w:spacing w:line="240" w:lineRule="auto" w:before="64"/>
              <w:ind w:left="244"/>
              <w:jc w:val="left"/>
              <w:rPr>
                <w:sz w:val="24"/>
              </w:rPr>
            </w:pPr>
            <w:r>
              <w:rPr>
                <w:spacing w:val="-2"/>
                <w:sz w:val="24"/>
              </w:rPr>
              <w:t>Gbazhi</w:t>
            </w:r>
          </w:p>
        </w:tc>
        <w:tc>
          <w:tcPr>
            <w:tcW w:w="4655" w:type="dxa"/>
          </w:tcPr>
          <w:p>
            <w:pPr>
              <w:pStyle w:val="TableParagraph"/>
              <w:spacing w:line="240" w:lineRule="auto" w:before="64"/>
              <w:ind w:left="225" w:right="2"/>
              <w:rPr>
                <w:sz w:val="24"/>
              </w:rPr>
            </w:pPr>
            <w:r>
              <w:rPr>
                <w:sz w:val="24"/>
              </w:rPr>
              <w:t>AD26</w:t>
            </w:r>
            <w:r>
              <w:rPr>
                <w:spacing w:val="-3"/>
                <w:sz w:val="24"/>
              </w:rPr>
              <w:t> </w:t>
            </w:r>
            <w:r>
              <w:rPr>
                <w:sz w:val="24"/>
              </w:rPr>
              <w:t>and</w:t>
            </w:r>
            <w:r>
              <w:rPr>
                <w:spacing w:val="-1"/>
                <w:sz w:val="24"/>
              </w:rPr>
              <w:t> </w:t>
            </w:r>
            <w:r>
              <w:rPr>
                <w:spacing w:val="-4"/>
                <w:sz w:val="24"/>
              </w:rPr>
              <w:t>AD27</w:t>
            </w:r>
          </w:p>
        </w:tc>
      </w:tr>
      <w:tr>
        <w:trPr>
          <w:trHeight w:val="1338" w:hRule="atLeast"/>
        </w:trPr>
        <w:tc>
          <w:tcPr>
            <w:tcW w:w="1006" w:type="dxa"/>
            <w:tcBorders>
              <w:bottom w:val="single" w:sz="8" w:space="0" w:color="000000"/>
            </w:tcBorders>
          </w:tcPr>
          <w:p>
            <w:pPr>
              <w:pStyle w:val="TableParagraph"/>
              <w:spacing w:line="240" w:lineRule="auto" w:before="214"/>
              <w:ind w:left="0"/>
              <w:jc w:val="left"/>
              <w:rPr>
                <w:b/>
                <w:sz w:val="24"/>
              </w:rPr>
            </w:pPr>
          </w:p>
          <w:p>
            <w:pPr>
              <w:pStyle w:val="TableParagraph"/>
              <w:spacing w:line="240" w:lineRule="auto"/>
              <w:ind w:left="453"/>
              <w:jc w:val="left"/>
              <w:rPr>
                <w:sz w:val="24"/>
              </w:rPr>
            </w:pPr>
            <w:r>
              <w:rPr>
                <w:spacing w:val="-5"/>
                <w:sz w:val="24"/>
              </w:rPr>
              <w:t>11</w:t>
            </w:r>
          </w:p>
        </w:tc>
        <w:tc>
          <w:tcPr>
            <w:tcW w:w="2750" w:type="dxa"/>
            <w:tcBorders>
              <w:bottom w:val="single" w:sz="8" w:space="0" w:color="000000"/>
            </w:tcBorders>
          </w:tcPr>
          <w:p>
            <w:pPr>
              <w:pStyle w:val="TableParagraph"/>
              <w:spacing w:line="240" w:lineRule="auto" w:before="214"/>
              <w:ind w:left="0"/>
              <w:jc w:val="left"/>
              <w:rPr>
                <w:b/>
                <w:sz w:val="24"/>
              </w:rPr>
            </w:pPr>
          </w:p>
          <w:p>
            <w:pPr>
              <w:pStyle w:val="TableParagraph"/>
              <w:spacing w:line="240" w:lineRule="auto"/>
              <w:ind w:left="244"/>
              <w:jc w:val="left"/>
              <w:rPr>
                <w:sz w:val="24"/>
              </w:rPr>
            </w:pPr>
            <w:r>
              <w:rPr>
                <w:spacing w:val="-4"/>
                <w:sz w:val="24"/>
              </w:rPr>
              <w:t>Town</w:t>
            </w:r>
          </w:p>
        </w:tc>
        <w:tc>
          <w:tcPr>
            <w:tcW w:w="4655" w:type="dxa"/>
            <w:tcBorders>
              <w:bottom w:val="single" w:sz="8" w:space="0" w:color="000000"/>
            </w:tcBorders>
          </w:tcPr>
          <w:p>
            <w:pPr>
              <w:pStyle w:val="TableParagraph"/>
              <w:spacing w:line="276" w:lineRule="auto" w:before="63"/>
              <w:ind w:left="351" w:right="122" w:firstLine="28"/>
              <w:jc w:val="both"/>
              <w:rPr>
                <w:sz w:val="24"/>
              </w:rPr>
            </w:pPr>
            <w:r>
              <w:rPr>
                <w:sz w:val="24"/>
              </w:rPr>
              <w:t>AD28,</w:t>
            </w:r>
            <w:r>
              <w:rPr>
                <w:spacing w:val="-2"/>
                <w:sz w:val="24"/>
              </w:rPr>
              <w:t> </w:t>
            </w:r>
            <w:r>
              <w:rPr>
                <w:sz w:val="24"/>
              </w:rPr>
              <w:t>AD29</w:t>
            </w:r>
            <w:r>
              <w:rPr>
                <w:spacing w:val="-2"/>
                <w:sz w:val="24"/>
              </w:rPr>
              <w:t> </w:t>
            </w:r>
            <w:r>
              <w:rPr>
                <w:sz w:val="24"/>
              </w:rPr>
              <w:t>AD30, AD31,</w:t>
            </w:r>
            <w:r>
              <w:rPr>
                <w:spacing w:val="-2"/>
                <w:sz w:val="24"/>
              </w:rPr>
              <w:t> </w:t>
            </w:r>
            <w:r>
              <w:rPr>
                <w:sz w:val="24"/>
              </w:rPr>
              <w:t>AD32,</w:t>
            </w:r>
            <w:r>
              <w:rPr>
                <w:spacing w:val="-2"/>
                <w:sz w:val="24"/>
              </w:rPr>
              <w:t> </w:t>
            </w:r>
            <w:r>
              <w:rPr>
                <w:sz w:val="24"/>
              </w:rPr>
              <w:t>AD33, AD34,</w:t>
            </w:r>
            <w:r>
              <w:rPr>
                <w:spacing w:val="-8"/>
                <w:sz w:val="24"/>
              </w:rPr>
              <w:t> </w:t>
            </w:r>
            <w:r>
              <w:rPr>
                <w:sz w:val="24"/>
              </w:rPr>
              <w:t>AD35,</w:t>
            </w:r>
            <w:r>
              <w:rPr>
                <w:spacing w:val="-8"/>
                <w:sz w:val="24"/>
              </w:rPr>
              <w:t> </w:t>
            </w:r>
            <w:r>
              <w:rPr>
                <w:sz w:val="24"/>
              </w:rPr>
              <w:t>AD36,</w:t>
            </w:r>
            <w:r>
              <w:rPr>
                <w:spacing w:val="-7"/>
                <w:sz w:val="24"/>
              </w:rPr>
              <w:t> </w:t>
            </w:r>
            <w:r>
              <w:rPr>
                <w:sz w:val="24"/>
              </w:rPr>
              <w:t>AD37,</w:t>
            </w:r>
            <w:r>
              <w:rPr>
                <w:spacing w:val="-8"/>
                <w:sz w:val="24"/>
              </w:rPr>
              <w:t> </w:t>
            </w:r>
            <w:r>
              <w:rPr>
                <w:sz w:val="24"/>
              </w:rPr>
              <w:t>AD38,</w:t>
            </w:r>
            <w:r>
              <w:rPr>
                <w:spacing w:val="-8"/>
                <w:sz w:val="24"/>
              </w:rPr>
              <w:t> </w:t>
            </w:r>
            <w:r>
              <w:rPr>
                <w:sz w:val="24"/>
              </w:rPr>
              <w:t>AD39, AD40,</w:t>
            </w:r>
            <w:r>
              <w:rPr>
                <w:spacing w:val="-1"/>
                <w:sz w:val="24"/>
              </w:rPr>
              <w:t> </w:t>
            </w:r>
            <w:r>
              <w:rPr>
                <w:sz w:val="24"/>
              </w:rPr>
              <w:t>AD41,</w:t>
            </w:r>
            <w:r>
              <w:rPr>
                <w:spacing w:val="-1"/>
                <w:sz w:val="24"/>
              </w:rPr>
              <w:t> </w:t>
            </w:r>
            <w:r>
              <w:rPr>
                <w:sz w:val="24"/>
              </w:rPr>
              <w:t>AD42,</w:t>
            </w:r>
            <w:r>
              <w:rPr>
                <w:spacing w:val="2"/>
                <w:sz w:val="24"/>
              </w:rPr>
              <w:t> </w:t>
            </w:r>
            <w:r>
              <w:rPr>
                <w:sz w:val="24"/>
              </w:rPr>
              <w:t>AD43,</w:t>
            </w:r>
            <w:r>
              <w:rPr>
                <w:spacing w:val="-1"/>
                <w:sz w:val="24"/>
              </w:rPr>
              <w:t> </w:t>
            </w:r>
            <w:r>
              <w:rPr>
                <w:sz w:val="24"/>
              </w:rPr>
              <w:t>AD44, </w:t>
            </w:r>
            <w:r>
              <w:rPr>
                <w:spacing w:val="-4"/>
                <w:sz w:val="24"/>
              </w:rPr>
              <w:t>AD45,</w:t>
            </w:r>
          </w:p>
          <w:p>
            <w:pPr>
              <w:pStyle w:val="TableParagraph"/>
              <w:spacing w:line="240" w:lineRule="auto" w:before="1"/>
              <w:ind w:left="560"/>
              <w:jc w:val="both"/>
              <w:rPr>
                <w:sz w:val="24"/>
              </w:rPr>
            </w:pPr>
            <w:r>
              <w:rPr>
                <w:sz w:val="24"/>
              </w:rPr>
              <w:t>AD46,</w:t>
            </w:r>
            <w:r>
              <w:rPr>
                <w:spacing w:val="-2"/>
                <w:sz w:val="24"/>
              </w:rPr>
              <w:t> </w:t>
            </w:r>
            <w:r>
              <w:rPr>
                <w:sz w:val="24"/>
              </w:rPr>
              <w:t>AD47,</w:t>
            </w:r>
            <w:r>
              <w:rPr>
                <w:spacing w:val="-1"/>
                <w:sz w:val="24"/>
              </w:rPr>
              <w:t> </w:t>
            </w:r>
            <w:r>
              <w:rPr>
                <w:sz w:val="24"/>
              </w:rPr>
              <w:t>AD48,</w:t>
            </w:r>
            <w:r>
              <w:rPr>
                <w:spacing w:val="1"/>
                <w:sz w:val="24"/>
              </w:rPr>
              <w:t> </w:t>
            </w:r>
            <w:r>
              <w:rPr>
                <w:sz w:val="24"/>
              </w:rPr>
              <w:t>AD49</w:t>
            </w:r>
            <w:r>
              <w:rPr>
                <w:spacing w:val="-1"/>
                <w:sz w:val="24"/>
              </w:rPr>
              <w:t> </w:t>
            </w:r>
            <w:r>
              <w:rPr>
                <w:sz w:val="24"/>
              </w:rPr>
              <w:t>and </w:t>
            </w:r>
            <w:r>
              <w:rPr>
                <w:spacing w:val="-4"/>
                <w:sz w:val="24"/>
              </w:rPr>
              <w:t>AD50</w:t>
            </w:r>
          </w:p>
        </w:tc>
      </w:tr>
    </w:tbl>
    <w:p>
      <w:pPr>
        <w:spacing w:before="0"/>
        <w:ind w:left="305" w:right="0" w:firstLine="0"/>
        <w:jc w:val="left"/>
        <w:rPr>
          <w:sz w:val="24"/>
        </w:rPr>
      </w:pPr>
      <w:r>
        <w:rPr>
          <w:b/>
          <w:sz w:val="24"/>
        </w:rPr>
        <w:t>Source:</w:t>
      </w:r>
      <w:r>
        <w:rPr>
          <w:b/>
          <w:spacing w:val="-3"/>
          <w:sz w:val="24"/>
        </w:rPr>
        <w:t> </w:t>
      </w:r>
      <w:r>
        <w:rPr>
          <w:sz w:val="24"/>
        </w:rPr>
        <w:t>Author’s</w:t>
      </w:r>
      <w:r>
        <w:rPr>
          <w:spacing w:val="-1"/>
          <w:sz w:val="24"/>
        </w:rPr>
        <w:t> </w:t>
      </w:r>
      <w:r>
        <w:rPr>
          <w:sz w:val="24"/>
        </w:rPr>
        <w:t>compilation,</w:t>
      </w:r>
      <w:r>
        <w:rPr>
          <w:spacing w:val="-1"/>
          <w:sz w:val="24"/>
        </w:rPr>
        <w:t> </w:t>
      </w:r>
      <w:r>
        <w:rPr>
          <w:spacing w:val="-4"/>
          <w:sz w:val="24"/>
        </w:rPr>
        <w:t>2018</w:t>
      </w:r>
    </w:p>
    <w:p>
      <w:pPr>
        <w:spacing w:after="0"/>
        <w:jc w:val="left"/>
        <w:rPr>
          <w:sz w:val="24"/>
        </w:rPr>
        <w:sectPr>
          <w:pgSz w:w="11910" w:h="16840"/>
          <w:pgMar w:header="0" w:footer="1022" w:top="1320" w:bottom="1220" w:left="1680" w:right="900"/>
        </w:sectPr>
      </w:pPr>
    </w:p>
    <w:p>
      <w:pPr>
        <w:pStyle w:val="BodyText"/>
        <w:ind w:left="304"/>
        <w:jc w:val="left"/>
        <w:rPr>
          <w:sz w:val="20"/>
        </w:rPr>
      </w:pPr>
      <w:r>
        <w:rPr>
          <w:sz w:val="20"/>
        </w:rPr>
        <w:drawing>
          <wp:inline distT="0" distB="0" distL="0" distR="0">
            <wp:extent cx="5328855" cy="4685538"/>
            <wp:effectExtent l="0" t="0" r="0" b="0"/>
            <wp:docPr id="9" name="Image 9" descr="C:\Users\RAMATU S. MOHAMMED\Desktop\Output\ADs and Submarket.jpg"/>
            <wp:cNvGraphicFramePr>
              <a:graphicFrameLocks/>
            </wp:cNvGraphicFramePr>
            <a:graphic>
              <a:graphicData uri="http://schemas.openxmlformats.org/drawingml/2006/picture">
                <pic:pic>
                  <pic:nvPicPr>
                    <pic:cNvPr id="9" name="Image 9" descr="C:\Users\RAMATU S. MOHAMMED\Desktop\Output\ADs and Submarket.jpg"/>
                    <pic:cNvPicPr/>
                  </pic:nvPicPr>
                  <pic:blipFill>
                    <a:blip r:embed="rId14" cstate="print"/>
                    <a:stretch>
                      <a:fillRect/>
                    </a:stretch>
                  </pic:blipFill>
                  <pic:spPr>
                    <a:xfrm>
                      <a:off x="0" y="0"/>
                      <a:ext cx="5328855" cy="4685538"/>
                    </a:xfrm>
                    <a:prstGeom prst="rect">
                      <a:avLst/>
                    </a:prstGeom>
                  </pic:spPr>
                </pic:pic>
              </a:graphicData>
            </a:graphic>
          </wp:inline>
        </w:drawing>
      </w:r>
      <w:r>
        <w:rPr>
          <w:sz w:val="20"/>
        </w:rPr>
      </w:r>
    </w:p>
    <w:p>
      <w:pPr>
        <w:spacing w:line="235" w:lineRule="auto" w:before="107"/>
        <w:ind w:left="3113" w:right="553" w:hanging="2065"/>
        <w:jc w:val="left"/>
        <w:rPr>
          <w:sz w:val="24"/>
        </w:rPr>
      </w:pPr>
      <w:r>
        <w:rPr>
          <w:b/>
          <w:sz w:val="24"/>
        </w:rPr>
        <w:t>Figure</w:t>
      </w:r>
      <w:r>
        <w:rPr>
          <w:b/>
          <w:spacing w:val="-5"/>
          <w:sz w:val="24"/>
        </w:rPr>
        <w:t> </w:t>
      </w:r>
      <w:r>
        <w:rPr>
          <w:b/>
          <w:sz w:val="24"/>
        </w:rPr>
        <w:t>3.2:</w:t>
      </w:r>
      <w:r>
        <w:rPr>
          <w:b/>
          <w:spacing w:val="-4"/>
          <w:sz w:val="24"/>
        </w:rPr>
        <w:t> </w:t>
      </w:r>
      <w:r>
        <w:rPr>
          <w:b/>
          <w:sz w:val="24"/>
        </w:rPr>
        <w:t>Area</w:t>
      </w:r>
      <w:r>
        <w:rPr>
          <w:b/>
          <w:spacing w:val="-4"/>
          <w:sz w:val="24"/>
        </w:rPr>
        <w:t> </w:t>
      </w:r>
      <w:r>
        <w:rPr>
          <w:b/>
          <w:sz w:val="24"/>
        </w:rPr>
        <w:t>Demarcation</w:t>
      </w:r>
      <w:r>
        <w:rPr>
          <w:b/>
          <w:spacing w:val="-4"/>
          <w:sz w:val="24"/>
        </w:rPr>
        <w:t> </w:t>
      </w:r>
      <w:r>
        <w:rPr>
          <w:b/>
          <w:sz w:val="24"/>
        </w:rPr>
        <w:t>by</w:t>
      </w:r>
      <w:r>
        <w:rPr>
          <w:b/>
          <w:spacing w:val="-4"/>
          <w:sz w:val="24"/>
        </w:rPr>
        <w:t> </w:t>
      </w:r>
      <w:r>
        <w:rPr>
          <w:b/>
          <w:sz w:val="24"/>
        </w:rPr>
        <w:t>Housing</w:t>
      </w:r>
      <w:r>
        <w:rPr>
          <w:b/>
          <w:spacing w:val="-4"/>
          <w:sz w:val="24"/>
        </w:rPr>
        <w:t> </w:t>
      </w:r>
      <w:r>
        <w:rPr>
          <w:b/>
          <w:sz w:val="24"/>
        </w:rPr>
        <w:t>Submarkets</w:t>
      </w:r>
      <w:r>
        <w:rPr>
          <w:b/>
          <w:spacing w:val="-4"/>
          <w:sz w:val="24"/>
        </w:rPr>
        <w:t> </w:t>
      </w:r>
      <w:r>
        <w:rPr>
          <w:b/>
          <w:sz w:val="24"/>
        </w:rPr>
        <w:t>for</w:t>
      </w:r>
      <w:r>
        <w:rPr>
          <w:b/>
          <w:spacing w:val="-5"/>
          <w:sz w:val="24"/>
        </w:rPr>
        <w:t> </w:t>
      </w:r>
      <w:r>
        <w:rPr>
          <w:b/>
          <w:sz w:val="24"/>
        </w:rPr>
        <w:t>the</w:t>
      </w:r>
      <w:r>
        <w:rPr>
          <w:b/>
          <w:spacing w:val="-4"/>
          <w:sz w:val="24"/>
        </w:rPr>
        <w:t> </w:t>
      </w:r>
      <w:r>
        <w:rPr>
          <w:b/>
          <w:sz w:val="24"/>
        </w:rPr>
        <w:t>Study Source</w:t>
      </w:r>
      <w:r>
        <w:rPr>
          <w:sz w:val="24"/>
        </w:rPr>
        <w:t>: Authors’ field survey</w:t>
      </w:r>
    </w:p>
    <w:p>
      <w:pPr>
        <w:pStyle w:val="BodyText"/>
        <w:spacing w:before="248"/>
        <w:jc w:val="left"/>
      </w:pPr>
    </w:p>
    <w:p>
      <w:pPr>
        <w:pStyle w:val="Heading1"/>
        <w:numPr>
          <w:ilvl w:val="1"/>
          <w:numId w:val="6"/>
        </w:numPr>
        <w:tabs>
          <w:tab w:pos="1025" w:val="left" w:leader="none"/>
        </w:tabs>
        <w:spacing w:line="240" w:lineRule="auto" w:before="1" w:after="0"/>
        <w:ind w:left="1025" w:right="0" w:hanging="720"/>
        <w:jc w:val="left"/>
      </w:pPr>
      <w:r>
        <w:rPr/>
        <w:t>Sources</w:t>
      </w:r>
      <w:r>
        <w:rPr>
          <w:spacing w:val="-2"/>
        </w:rPr>
        <w:t> </w:t>
      </w:r>
      <w:r>
        <w:rPr/>
        <w:t>of </w:t>
      </w:r>
      <w:r>
        <w:rPr>
          <w:spacing w:val="-4"/>
        </w:rPr>
        <w:t>Data</w:t>
      </w:r>
    </w:p>
    <w:p>
      <w:pPr>
        <w:pStyle w:val="BodyText"/>
        <w:spacing w:before="191"/>
        <w:jc w:val="left"/>
        <w:rPr>
          <w:b/>
        </w:rPr>
      </w:pPr>
    </w:p>
    <w:p>
      <w:pPr>
        <w:pStyle w:val="BodyText"/>
        <w:spacing w:before="1"/>
        <w:ind w:left="305"/>
      </w:pPr>
      <w:r>
        <w:rPr/>
        <w:t>Data</w:t>
      </w:r>
      <w:r>
        <w:rPr>
          <w:spacing w:val="-1"/>
        </w:rPr>
        <w:t> </w:t>
      </w:r>
      <w:r>
        <w:rPr/>
        <w:t>for this research</w:t>
      </w:r>
      <w:r>
        <w:rPr>
          <w:spacing w:val="-1"/>
        </w:rPr>
        <w:t> </w:t>
      </w:r>
      <w:r>
        <w:rPr/>
        <w:t>were</w:t>
      </w:r>
      <w:r>
        <w:rPr>
          <w:spacing w:val="-2"/>
        </w:rPr>
        <w:t> </w:t>
      </w:r>
      <w:r>
        <w:rPr/>
        <w:t>sourced from both</w:t>
      </w:r>
      <w:r>
        <w:rPr>
          <w:spacing w:val="-1"/>
        </w:rPr>
        <w:t> </w:t>
      </w:r>
      <w:r>
        <w:rPr/>
        <w:t>primary</w:t>
      </w:r>
      <w:r>
        <w:rPr>
          <w:spacing w:val="-3"/>
        </w:rPr>
        <w:t> </w:t>
      </w:r>
      <w:r>
        <w:rPr/>
        <w:t>and secondary</w:t>
      </w:r>
      <w:r>
        <w:rPr>
          <w:spacing w:val="-3"/>
        </w:rPr>
        <w:t> </w:t>
      </w:r>
      <w:r>
        <w:rPr>
          <w:spacing w:val="-2"/>
        </w:rPr>
        <w:t>sources.</w:t>
      </w:r>
    </w:p>
    <w:p>
      <w:pPr>
        <w:pStyle w:val="BodyText"/>
        <w:spacing w:before="247"/>
        <w:jc w:val="left"/>
      </w:pPr>
    </w:p>
    <w:p>
      <w:pPr>
        <w:pStyle w:val="Heading1"/>
        <w:numPr>
          <w:ilvl w:val="2"/>
          <w:numId w:val="6"/>
        </w:numPr>
        <w:tabs>
          <w:tab w:pos="1025" w:val="left" w:leader="none"/>
        </w:tabs>
        <w:spacing w:line="240" w:lineRule="auto" w:before="0" w:after="0"/>
        <w:ind w:left="1025" w:right="0" w:hanging="720"/>
        <w:jc w:val="left"/>
      </w:pPr>
      <w:r>
        <w:rPr/>
        <w:t>Primary</w:t>
      </w:r>
      <w:r>
        <w:rPr>
          <w:spacing w:val="-2"/>
        </w:rPr>
        <w:t> </w:t>
      </w:r>
      <w:r>
        <w:rPr/>
        <w:t>data</w:t>
      </w:r>
      <w:r>
        <w:rPr>
          <w:spacing w:val="-2"/>
        </w:rPr>
        <w:t> sources</w:t>
      </w:r>
    </w:p>
    <w:p>
      <w:pPr>
        <w:pStyle w:val="BodyText"/>
        <w:spacing w:before="192"/>
        <w:jc w:val="left"/>
        <w:rPr>
          <w:b/>
        </w:rPr>
      </w:pPr>
    </w:p>
    <w:p>
      <w:pPr>
        <w:pStyle w:val="BodyText"/>
        <w:spacing w:line="480" w:lineRule="auto"/>
        <w:ind w:left="305" w:right="514"/>
      </w:pPr>
      <w:r>
        <w:rPr/>
        <w:t>The primary data were collected through field reconnaissance survey, physical observations and measurements, data generation on number of buildings, and housing submarkets.</w:t>
      </w:r>
      <w:r>
        <w:rPr>
          <w:spacing w:val="-4"/>
        </w:rPr>
        <w:t> </w:t>
      </w:r>
      <w:r>
        <w:rPr/>
        <w:t>These</w:t>
      </w:r>
      <w:r>
        <w:rPr>
          <w:spacing w:val="-5"/>
        </w:rPr>
        <w:t> </w:t>
      </w:r>
      <w:r>
        <w:rPr/>
        <w:t>data</w:t>
      </w:r>
      <w:r>
        <w:rPr>
          <w:spacing w:val="-4"/>
        </w:rPr>
        <w:t> </w:t>
      </w:r>
      <w:r>
        <w:rPr/>
        <w:t>includes;</w:t>
      </w:r>
      <w:r>
        <w:rPr>
          <w:spacing w:val="-4"/>
        </w:rPr>
        <w:t> </w:t>
      </w:r>
      <w:r>
        <w:rPr/>
        <w:t>data</w:t>
      </w:r>
      <w:r>
        <w:rPr>
          <w:spacing w:val="-4"/>
        </w:rPr>
        <w:t> </w:t>
      </w:r>
      <w:r>
        <w:rPr/>
        <w:t>on</w:t>
      </w:r>
      <w:r>
        <w:rPr>
          <w:spacing w:val="-4"/>
        </w:rPr>
        <w:t> </w:t>
      </w:r>
      <w:r>
        <w:rPr/>
        <w:t>number</w:t>
      </w:r>
      <w:r>
        <w:rPr>
          <w:spacing w:val="-8"/>
        </w:rPr>
        <w:t> </w:t>
      </w:r>
      <w:r>
        <w:rPr/>
        <w:t>of</w:t>
      </w:r>
      <w:r>
        <w:rPr>
          <w:spacing w:val="-4"/>
        </w:rPr>
        <w:t> </w:t>
      </w:r>
      <w:r>
        <w:rPr/>
        <w:t>buildings</w:t>
      </w:r>
      <w:r>
        <w:rPr>
          <w:spacing w:val="-4"/>
        </w:rPr>
        <w:t> </w:t>
      </w:r>
      <w:r>
        <w:rPr/>
        <w:t>in</w:t>
      </w:r>
      <w:r>
        <w:rPr>
          <w:spacing w:val="-4"/>
        </w:rPr>
        <w:t> </w:t>
      </w:r>
      <w:r>
        <w:rPr/>
        <w:t>each</w:t>
      </w:r>
      <w:r>
        <w:rPr>
          <w:spacing w:val="-4"/>
        </w:rPr>
        <w:t> </w:t>
      </w:r>
      <w:r>
        <w:rPr/>
        <w:t>submarket,</w:t>
      </w:r>
      <w:r>
        <w:rPr>
          <w:spacing w:val="-3"/>
        </w:rPr>
        <w:t> </w:t>
      </w:r>
      <w:r>
        <w:rPr/>
        <w:t>houses managed</w:t>
      </w:r>
      <w:r>
        <w:rPr>
          <w:spacing w:val="-1"/>
        </w:rPr>
        <w:t> </w:t>
      </w:r>
      <w:r>
        <w:rPr/>
        <w:t>by</w:t>
      </w:r>
      <w:r>
        <w:rPr>
          <w:spacing w:val="-8"/>
        </w:rPr>
        <w:t> </w:t>
      </w:r>
      <w:r>
        <w:rPr/>
        <w:t>the</w:t>
      </w:r>
      <w:r>
        <w:rPr>
          <w:spacing w:val="-2"/>
        </w:rPr>
        <w:t> </w:t>
      </w:r>
      <w:r>
        <w:rPr/>
        <w:t>estate</w:t>
      </w:r>
      <w:r>
        <w:rPr>
          <w:spacing w:val="-2"/>
        </w:rPr>
        <w:t> </w:t>
      </w:r>
      <w:r>
        <w:rPr/>
        <w:t>surveyors, type</w:t>
      </w:r>
      <w:r>
        <w:rPr>
          <w:spacing w:val="-2"/>
        </w:rPr>
        <w:t> </w:t>
      </w:r>
      <w:r>
        <w:rPr/>
        <w:t>of</w:t>
      </w:r>
      <w:r>
        <w:rPr>
          <w:spacing w:val="-2"/>
        </w:rPr>
        <w:t> </w:t>
      </w:r>
      <w:r>
        <w:rPr/>
        <w:t>housing, rental</w:t>
      </w:r>
      <w:r>
        <w:rPr>
          <w:spacing w:val="-1"/>
        </w:rPr>
        <w:t> </w:t>
      </w:r>
      <w:r>
        <w:rPr/>
        <w:t>value,</w:t>
      </w:r>
      <w:r>
        <w:rPr>
          <w:spacing w:val="-2"/>
        </w:rPr>
        <w:t> </w:t>
      </w:r>
      <w:r>
        <w:rPr/>
        <w:t>changes</w:t>
      </w:r>
      <w:r>
        <w:rPr>
          <w:spacing w:val="-1"/>
        </w:rPr>
        <w:t> </w:t>
      </w:r>
      <w:r>
        <w:rPr/>
        <w:t>that</w:t>
      </w:r>
      <w:r>
        <w:rPr>
          <w:spacing w:val="-1"/>
        </w:rPr>
        <w:t> </w:t>
      </w:r>
      <w:r>
        <w:rPr/>
        <w:t>occur</w:t>
      </w:r>
      <w:r>
        <w:rPr>
          <w:spacing w:val="-2"/>
        </w:rPr>
        <w:t> </w:t>
      </w:r>
      <w:r>
        <w:rPr/>
        <w:t>in</w:t>
      </w:r>
      <w:r>
        <w:rPr>
          <w:spacing w:val="-1"/>
        </w:rPr>
        <w:t> </w:t>
      </w:r>
      <w:r>
        <w:rPr/>
        <w:t>the rental years, location of houses and data on rate at which rent changes.</w:t>
      </w:r>
    </w:p>
    <w:p>
      <w:pPr>
        <w:spacing w:after="0" w:line="480" w:lineRule="auto"/>
        <w:sectPr>
          <w:pgSz w:w="11910" w:h="16840"/>
          <w:pgMar w:header="0" w:footer="1022" w:top="1400" w:bottom="1220" w:left="1680" w:right="900"/>
        </w:sectPr>
      </w:pPr>
    </w:p>
    <w:p>
      <w:pPr>
        <w:pStyle w:val="Heading1"/>
        <w:numPr>
          <w:ilvl w:val="2"/>
          <w:numId w:val="6"/>
        </w:numPr>
        <w:tabs>
          <w:tab w:pos="1024" w:val="left" w:leader="none"/>
        </w:tabs>
        <w:spacing w:line="240" w:lineRule="auto" w:before="79" w:after="0"/>
        <w:ind w:left="1024" w:right="0" w:hanging="719"/>
        <w:jc w:val="both"/>
      </w:pPr>
      <w:r>
        <w:rPr/>
        <w:t>Secondary</w:t>
      </w:r>
      <w:r>
        <w:rPr>
          <w:spacing w:val="-2"/>
        </w:rPr>
        <w:t> </w:t>
      </w:r>
      <w:r>
        <w:rPr>
          <w:spacing w:val="-4"/>
        </w:rPr>
        <w:t>data</w:t>
      </w:r>
    </w:p>
    <w:p>
      <w:pPr>
        <w:pStyle w:val="BodyText"/>
        <w:spacing w:before="192"/>
        <w:jc w:val="left"/>
        <w:rPr>
          <w:b/>
        </w:rPr>
      </w:pPr>
    </w:p>
    <w:p>
      <w:pPr>
        <w:pStyle w:val="BodyText"/>
        <w:spacing w:line="480" w:lineRule="auto"/>
        <w:ind w:left="305" w:right="510"/>
      </w:pPr>
      <w:r>
        <w:rPr/>
        <w:t>Other information needed for this research was sourced from journals, textbooks, maps. Satellite imageries captured from the Google Earth and records from resident Estate Surveyors and Valuers. Others include materials from the online sources, National Population Commission, National Bureau of Statistics, and past research reports. Topographical and street guide map which was collected from Niger State Ministry of Land and Housing, Minna, also form part of the secondary data sources used for this </w:t>
      </w:r>
      <w:r>
        <w:rPr>
          <w:spacing w:val="-2"/>
        </w:rPr>
        <w:t>research.</w:t>
      </w:r>
    </w:p>
    <w:p>
      <w:pPr>
        <w:pStyle w:val="Heading1"/>
        <w:numPr>
          <w:ilvl w:val="1"/>
          <w:numId w:val="6"/>
        </w:numPr>
        <w:tabs>
          <w:tab w:pos="1024" w:val="left" w:leader="none"/>
        </w:tabs>
        <w:spacing w:line="240" w:lineRule="auto" w:before="248" w:after="0"/>
        <w:ind w:left="1024" w:right="0" w:hanging="719"/>
        <w:jc w:val="both"/>
      </w:pPr>
      <w:r>
        <w:rPr/>
        <w:t>Method</w:t>
      </w:r>
      <w:r>
        <w:rPr>
          <w:spacing w:val="-2"/>
        </w:rPr>
        <w:t> </w:t>
      </w:r>
      <w:r>
        <w:rPr/>
        <w:t>of Data</w:t>
      </w:r>
      <w:r>
        <w:rPr>
          <w:spacing w:val="-1"/>
        </w:rPr>
        <w:t> </w:t>
      </w:r>
      <w:r>
        <w:rPr>
          <w:spacing w:val="-2"/>
        </w:rPr>
        <w:t>Collection</w:t>
      </w:r>
    </w:p>
    <w:p>
      <w:pPr>
        <w:pStyle w:val="BodyText"/>
        <w:spacing w:before="192"/>
        <w:jc w:val="left"/>
        <w:rPr>
          <w:b/>
        </w:rPr>
      </w:pPr>
    </w:p>
    <w:p>
      <w:pPr>
        <w:pStyle w:val="BodyText"/>
        <w:spacing w:line="480" w:lineRule="auto"/>
        <w:ind w:left="305" w:right="512"/>
      </w:pPr>
      <w:r>
        <w:rPr/>
        <w:t>Data needed for this research were collected through interviews, physical observations, Satellite imageries and handheld GPS. Satellite imageries were captured to examine the residential density changes that occur within the study period. Handheld GPS was used in</w:t>
      </w:r>
      <w:r>
        <w:rPr>
          <w:spacing w:val="-3"/>
        </w:rPr>
        <w:t> </w:t>
      </w:r>
      <w:r>
        <w:rPr/>
        <w:t>collecting</w:t>
      </w:r>
      <w:r>
        <w:rPr>
          <w:spacing w:val="-6"/>
        </w:rPr>
        <w:t> </w:t>
      </w:r>
      <w:r>
        <w:rPr/>
        <w:t>coordinates</w:t>
      </w:r>
      <w:r>
        <w:rPr>
          <w:spacing w:val="-3"/>
        </w:rPr>
        <w:t> </w:t>
      </w:r>
      <w:r>
        <w:rPr/>
        <w:t>of</w:t>
      </w:r>
      <w:r>
        <w:rPr>
          <w:spacing w:val="-4"/>
        </w:rPr>
        <w:t> </w:t>
      </w:r>
      <w:r>
        <w:rPr/>
        <w:t>rental</w:t>
      </w:r>
      <w:r>
        <w:rPr>
          <w:spacing w:val="-3"/>
        </w:rPr>
        <w:t> </w:t>
      </w:r>
      <w:r>
        <w:rPr/>
        <w:t>apartments</w:t>
      </w:r>
      <w:r>
        <w:rPr>
          <w:spacing w:val="-3"/>
        </w:rPr>
        <w:t> </w:t>
      </w:r>
      <w:r>
        <w:rPr/>
        <w:t>managed</w:t>
      </w:r>
      <w:r>
        <w:rPr>
          <w:spacing w:val="-3"/>
        </w:rPr>
        <w:t> </w:t>
      </w:r>
      <w:r>
        <w:rPr/>
        <w:t>by</w:t>
      </w:r>
      <w:r>
        <w:rPr>
          <w:spacing w:val="-9"/>
        </w:rPr>
        <w:t> </w:t>
      </w:r>
      <w:r>
        <w:rPr/>
        <w:t>estate</w:t>
      </w:r>
      <w:r>
        <w:rPr>
          <w:spacing w:val="-4"/>
        </w:rPr>
        <w:t> </w:t>
      </w:r>
      <w:r>
        <w:rPr/>
        <w:t>surveyors.</w:t>
      </w:r>
      <w:r>
        <w:rPr>
          <w:spacing w:val="-2"/>
        </w:rPr>
        <w:t> </w:t>
      </w:r>
      <w:r>
        <w:rPr/>
        <w:t>Data</w:t>
      </w:r>
      <w:r>
        <w:rPr>
          <w:spacing w:val="-3"/>
        </w:rPr>
        <w:t> </w:t>
      </w:r>
      <w:r>
        <w:rPr/>
        <w:t>on type of housing, rental value, changes that occur in the rental years, location of houses and data</w:t>
      </w:r>
      <w:r>
        <w:rPr>
          <w:spacing w:val="-1"/>
        </w:rPr>
        <w:t> </w:t>
      </w:r>
      <w:r>
        <w:rPr/>
        <w:t>on rate</w:t>
      </w:r>
      <w:r>
        <w:rPr>
          <w:spacing w:val="-1"/>
        </w:rPr>
        <w:t> </w:t>
      </w:r>
      <w:r>
        <w:rPr/>
        <w:t>at which rent changes in different submarkets were recorded from the</w:t>
      </w:r>
      <w:r>
        <w:rPr>
          <w:spacing w:val="-1"/>
        </w:rPr>
        <w:t> </w:t>
      </w:r>
      <w:r>
        <w:rPr/>
        <w:t>estate </w:t>
      </w:r>
      <w:r>
        <w:rPr>
          <w:spacing w:val="-2"/>
        </w:rPr>
        <w:t>surveyors.</w:t>
      </w:r>
    </w:p>
    <w:p>
      <w:pPr>
        <w:pStyle w:val="Heading1"/>
        <w:numPr>
          <w:ilvl w:val="2"/>
          <w:numId w:val="6"/>
        </w:numPr>
        <w:tabs>
          <w:tab w:pos="1024" w:val="left" w:leader="none"/>
        </w:tabs>
        <w:spacing w:line="240" w:lineRule="auto" w:before="248" w:after="0"/>
        <w:ind w:left="1024" w:right="0" w:hanging="719"/>
        <w:jc w:val="both"/>
      </w:pPr>
      <w:r>
        <w:rPr/>
        <w:t>Satellite</w:t>
      </w:r>
      <w:r>
        <w:rPr>
          <w:spacing w:val="-2"/>
        </w:rPr>
        <w:t> </w:t>
      </w:r>
      <w:r>
        <w:rPr/>
        <w:t>image</w:t>
      </w:r>
      <w:r>
        <w:rPr>
          <w:spacing w:val="-2"/>
        </w:rPr>
        <w:t> capturing</w:t>
      </w:r>
    </w:p>
    <w:p>
      <w:pPr>
        <w:pStyle w:val="BodyText"/>
        <w:spacing w:before="235"/>
        <w:jc w:val="left"/>
        <w:rPr>
          <w:b/>
        </w:rPr>
      </w:pPr>
    </w:p>
    <w:p>
      <w:pPr>
        <w:pStyle w:val="BodyText"/>
        <w:spacing w:line="480" w:lineRule="auto" w:before="1"/>
        <w:ind w:left="305" w:right="514"/>
      </w:pPr>
      <w:r>
        <w:rPr/>
        <w:t>Satellite</w:t>
      </w:r>
      <w:r>
        <w:rPr>
          <w:spacing w:val="-15"/>
        </w:rPr>
        <w:t> </w:t>
      </w:r>
      <w:r>
        <w:rPr/>
        <w:t>imageries</w:t>
      </w:r>
      <w:r>
        <w:rPr>
          <w:spacing w:val="-15"/>
        </w:rPr>
        <w:t> </w:t>
      </w:r>
      <w:r>
        <w:rPr/>
        <w:t>were</w:t>
      </w:r>
      <w:r>
        <w:rPr>
          <w:spacing w:val="-15"/>
        </w:rPr>
        <w:t> </w:t>
      </w:r>
      <w:r>
        <w:rPr/>
        <w:t>captured</w:t>
      </w:r>
      <w:r>
        <w:rPr>
          <w:spacing w:val="-15"/>
        </w:rPr>
        <w:t> </w:t>
      </w:r>
      <w:r>
        <w:rPr/>
        <w:t>for</w:t>
      </w:r>
      <w:r>
        <w:rPr>
          <w:spacing w:val="-15"/>
        </w:rPr>
        <w:t> </w:t>
      </w:r>
      <w:r>
        <w:rPr/>
        <w:t>the</w:t>
      </w:r>
      <w:r>
        <w:rPr>
          <w:spacing w:val="-15"/>
        </w:rPr>
        <w:t> </w:t>
      </w:r>
      <w:r>
        <w:rPr/>
        <w:t>housing</w:t>
      </w:r>
      <w:r>
        <w:rPr>
          <w:spacing w:val="-15"/>
        </w:rPr>
        <w:t> </w:t>
      </w:r>
      <w:r>
        <w:rPr/>
        <w:t>submarkets</w:t>
      </w:r>
      <w:r>
        <w:rPr>
          <w:spacing w:val="-15"/>
        </w:rPr>
        <w:t> </w:t>
      </w:r>
      <w:r>
        <w:rPr/>
        <w:t>using</w:t>
      </w:r>
      <w:r>
        <w:rPr>
          <w:spacing w:val="-15"/>
        </w:rPr>
        <w:t> </w:t>
      </w:r>
      <w:r>
        <w:rPr/>
        <w:t>the</w:t>
      </w:r>
      <w:r>
        <w:rPr>
          <w:spacing w:val="-15"/>
        </w:rPr>
        <w:t> </w:t>
      </w:r>
      <w:r>
        <w:rPr/>
        <w:t>area</w:t>
      </w:r>
      <w:r>
        <w:rPr>
          <w:spacing w:val="-15"/>
        </w:rPr>
        <w:t> </w:t>
      </w:r>
      <w:r>
        <w:rPr/>
        <w:t>demarcations. For each demarcated area, three satellite imageries were capture for three different periods, i.e. 2008, 2013 and 2018 using maximum resolutions on the Google Earth application. Images captured using area demarcation gives better resolution. The choice of Google Earth is due to its user friendly and historical images available.</w:t>
      </w:r>
    </w:p>
    <w:p>
      <w:pPr>
        <w:spacing w:after="0" w:line="480" w:lineRule="auto"/>
        <w:sectPr>
          <w:pgSz w:w="11910" w:h="16840"/>
          <w:pgMar w:header="0" w:footer="1022" w:top="1320" w:bottom="1220" w:left="1680" w:right="900"/>
        </w:sectPr>
      </w:pPr>
    </w:p>
    <w:p>
      <w:pPr>
        <w:pStyle w:val="Heading1"/>
        <w:numPr>
          <w:ilvl w:val="2"/>
          <w:numId w:val="6"/>
        </w:numPr>
        <w:tabs>
          <w:tab w:pos="1024" w:val="left" w:leader="none"/>
        </w:tabs>
        <w:spacing w:line="240" w:lineRule="auto" w:before="79" w:after="0"/>
        <w:ind w:left="1024" w:right="0" w:hanging="719"/>
        <w:jc w:val="both"/>
      </w:pPr>
      <w:r>
        <w:rPr/>
        <w:t>Handheld</w:t>
      </w:r>
      <w:r>
        <w:rPr>
          <w:spacing w:val="-2"/>
        </w:rPr>
        <w:t> </w:t>
      </w:r>
      <w:r>
        <w:rPr/>
        <w:t>Global</w:t>
      </w:r>
      <w:r>
        <w:rPr>
          <w:spacing w:val="-1"/>
        </w:rPr>
        <w:t> </w:t>
      </w:r>
      <w:r>
        <w:rPr/>
        <w:t>Positioning System</w:t>
      </w:r>
      <w:r>
        <w:rPr>
          <w:spacing w:val="-5"/>
        </w:rPr>
        <w:t> </w:t>
      </w:r>
      <w:r>
        <w:rPr>
          <w:spacing w:val="-4"/>
        </w:rPr>
        <w:t>(GPS)</w:t>
      </w:r>
    </w:p>
    <w:p>
      <w:pPr>
        <w:pStyle w:val="BodyText"/>
        <w:spacing w:before="233"/>
        <w:jc w:val="left"/>
        <w:rPr>
          <w:b/>
        </w:rPr>
      </w:pPr>
    </w:p>
    <w:p>
      <w:pPr>
        <w:pStyle w:val="BodyText"/>
        <w:spacing w:line="480" w:lineRule="auto"/>
        <w:ind w:left="305" w:right="511"/>
      </w:pPr>
      <w:r>
        <w:rPr/>
        <w:t>Coordinates</w:t>
      </w:r>
      <w:r>
        <w:rPr>
          <w:spacing w:val="-10"/>
        </w:rPr>
        <w:t> </w:t>
      </w:r>
      <w:r>
        <w:rPr/>
        <w:t>of</w:t>
      </w:r>
      <w:r>
        <w:rPr>
          <w:spacing w:val="-11"/>
        </w:rPr>
        <w:t> </w:t>
      </w:r>
      <w:r>
        <w:rPr/>
        <w:t>the</w:t>
      </w:r>
      <w:r>
        <w:rPr>
          <w:spacing w:val="-11"/>
        </w:rPr>
        <w:t> </w:t>
      </w:r>
      <w:r>
        <w:rPr/>
        <w:t>sampled</w:t>
      </w:r>
      <w:r>
        <w:rPr>
          <w:spacing w:val="-11"/>
        </w:rPr>
        <w:t> </w:t>
      </w:r>
      <w:r>
        <w:rPr/>
        <w:t>residential</w:t>
      </w:r>
      <w:r>
        <w:rPr>
          <w:spacing w:val="-8"/>
        </w:rPr>
        <w:t> </w:t>
      </w:r>
      <w:r>
        <w:rPr/>
        <w:t>rental</w:t>
      </w:r>
      <w:r>
        <w:rPr>
          <w:spacing w:val="-10"/>
        </w:rPr>
        <w:t> </w:t>
      </w:r>
      <w:r>
        <w:rPr/>
        <w:t>houses</w:t>
      </w:r>
      <w:r>
        <w:rPr>
          <w:spacing w:val="-10"/>
        </w:rPr>
        <w:t> </w:t>
      </w:r>
      <w:r>
        <w:rPr/>
        <w:t>were</w:t>
      </w:r>
      <w:r>
        <w:rPr>
          <w:spacing w:val="-12"/>
        </w:rPr>
        <w:t> </w:t>
      </w:r>
      <w:r>
        <w:rPr/>
        <w:t>captured</w:t>
      </w:r>
      <w:r>
        <w:rPr>
          <w:spacing w:val="-9"/>
        </w:rPr>
        <w:t> </w:t>
      </w:r>
      <w:r>
        <w:rPr/>
        <w:t>using</w:t>
      </w:r>
      <w:r>
        <w:rPr>
          <w:spacing w:val="-12"/>
        </w:rPr>
        <w:t> </w:t>
      </w:r>
      <w:r>
        <w:rPr/>
        <w:t>hand-held</w:t>
      </w:r>
      <w:r>
        <w:rPr>
          <w:spacing w:val="-10"/>
        </w:rPr>
        <w:t> </w:t>
      </w:r>
      <w:r>
        <w:rPr/>
        <w:t>GPS. Data were collected separately for different types of rental residential apartments and from the three registered estate firms in Bida.</w:t>
      </w:r>
    </w:p>
    <w:p>
      <w:pPr>
        <w:pStyle w:val="Heading1"/>
        <w:numPr>
          <w:ilvl w:val="1"/>
          <w:numId w:val="6"/>
        </w:numPr>
        <w:tabs>
          <w:tab w:pos="1024" w:val="left" w:leader="none"/>
        </w:tabs>
        <w:spacing w:line="240" w:lineRule="auto" w:before="247" w:after="0"/>
        <w:ind w:left="1024" w:right="0" w:hanging="719"/>
        <w:jc w:val="both"/>
      </w:pPr>
      <w:r>
        <w:rPr/>
        <w:t>Data</w:t>
      </w:r>
      <w:r>
        <w:rPr>
          <w:spacing w:val="-1"/>
        </w:rPr>
        <w:t> </w:t>
      </w:r>
      <w:r>
        <w:rPr/>
        <w:t>Analysis</w:t>
      </w:r>
      <w:r>
        <w:rPr>
          <w:spacing w:val="-1"/>
        </w:rPr>
        <w:t> </w:t>
      </w:r>
      <w:r>
        <w:rPr>
          <w:spacing w:val="-2"/>
        </w:rPr>
        <w:t>Techniques</w:t>
      </w:r>
    </w:p>
    <w:p>
      <w:pPr>
        <w:pStyle w:val="BodyText"/>
        <w:spacing w:before="233"/>
        <w:jc w:val="left"/>
        <w:rPr>
          <w:b/>
        </w:rPr>
      </w:pPr>
    </w:p>
    <w:p>
      <w:pPr>
        <w:pStyle w:val="BodyText"/>
        <w:spacing w:line="480" w:lineRule="auto"/>
        <w:ind w:left="305" w:right="513"/>
      </w:pPr>
      <w:r>
        <w:rPr/>
        <w:t>The</w:t>
      </w:r>
      <w:r>
        <w:rPr>
          <w:spacing w:val="-15"/>
        </w:rPr>
        <w:t> </w:t>
      </w:r>
      <w:r>
        <w:rPr/>
        <w:t>analytical</w:t>
      </w:r>
      <w:r>
        <w:rPr>
          <w:spacing w:val="-15"/>
        </w:rPr>
        <w:t> </w:t>
      </w:r>
      <w:r>
        <w:rPr/>
        <w:t>techniques</w:t>
      </w:r>
      <w:r>
        <w:rPr>
          <w:spacing w:val="-15"/>
        </w:rPr>
        <w:t> </w:t>
      </w:r>
      <w:r>
        <w:rPr/>
        <w:t>used</w:t>
      </w:r>
      <w:r>
        <w:rPr>
          <w:spacing w:val="-15"/>
        </w:rPr>
        <w:t> </w:t>
      </w:r>
      <w:r>
        <w:rPr/>
        <w:t>for</w:t>
      </w:r>
      <w:r>
        <w:rPr>
          <w:spacing w:val="-15"/>
        </w:rPr>
        <w:t> </w:t>
      </w:r>
      <w:r>
        <w:rPr/>
        <w:t>this</w:t>
      </w:r>
      <w:r>
        <w:rPr>
          <w:spacing w:val="-15"/>
        </w:rPr>
        <w:t> </w:t>
      </w:r>
      <w:r>
        <w:rPr/>
        <w:t>study</w:t>
      </w:r>
      <w:r>
        <w:rPr>
          <w:spacing w:val="-15"/>
        </w:rPr>
        <w:t> </w:t>
      </w:r>
      <w:r>
        <w:rPr/>
        <w:t>was</w:t>
      </w:r>
      <w:r>
        <w:rPr>
          <w:spacing w:val="-15"/>
        </w:rPr>
        <w:t> </w:t>
      </w:r>
      <w:r>
        <w:rPr/>
        <w:t>based</w:t>
      </w:r>
      <w:r>
        <w:rPr>
          <w:spacing w:val="-14"/>
        </w:rPr>
        <w:t> </w:t>
      </w:r>
      <w:r>
        <w:rPr/>
        <w:t>on</w:t>
      </w:r>
      <w:r>
        <w:rPr>
          <w:spacing w:val="-13"/>
        </w:rPr>
        <w:t> </w:t>
      </w:r>
      <w:r>
        <w:rPr/>
        <w:t>the</w:t>
      </w:r>
      <w:r>
        <w:rPr>
          <w:spacing w:val="-15"/>
        </w:rPr>
        <w:t> </w:t>
      </w:r>
      <w:r>
        <w:rPr/>
        <w:t>nature</w:t>
      </w:r>
      <w:r>
        <w:rPr>
          <w:spacing w:val="-15"/>
        </w:rPr>
        <w:t> </w:t>
      </w:r>
      <w:r>
        <w:rPr/>
        <w:t>of</w:t>
      </w:r>
      <w:r>
        <w:rPr>
          <w:spacing w:val="-15"/>
        </w:rPr>
        <w:t> </w:t>
      </w:r>
      <w:r>
        <w:rPr/>
        <w:t>the</w:t>
      </w:r>
      <w:r>
        <w:rPr>
          <w:spacing w:val="-13"/>
        </w:rPr>
        <w:t> </w:t>
      </w:r>
      <w:r>
        <w:rPr/>
        <w:t>data</w:t>
      </w:r>
      <w:r>
        <w:rPr>
          <w:spacing w:val="-15"/>
        </w:rPr>
        <w:t> </w:t>
      </w:r>
      <w:r>
        <w:rPr/>
        <w:t>collected. However,</w:t>
      </w:r>
      <w:r>
        <w:rPr>
          <w:spacing w:val="-9"/>
        </w:rPr>
        <w:t> </w:t>
      </w:r>
      <w:r>
        <w:rPr/>
        <w:t>since</w:t>
      </w:r>
      <w:r>
        <w:rPr>
          <w:spacing w:val="-7"/>
        </w:rPr>
        <w:t> </w:t>
      </w:r>
      <w:r>
        <w:rPr/>
        <w:t>the</w:t>
      </w:r>
      <w:r>
        <w:rPr>
          <w:spacing w:val="-9"/>
        </w:rPr>
        <w:t> </w:t>
      </w:r>
      <w:r>
        <w:rPr/>
        <w:t>data</w:t>
      </w:r>
      <w:r>
        <w:rPr>
          <w:spacing w:val="-6"/>
        </w:rPr>
        <w:t> </w:t>
      </w:r>
      <w:r>
        <w:rPr/>
        <w:t>collected</w:t>
      </w:r>
      <w:r>
        <w:rPr>
          <w:spacing w:val="-4"/>
        </w:rPr>
        <w:t> </w:t>
      </w:r>
      <w:r>
        <w:rPr/>
        <w:t>were</w:t>
      </w:r>
      <w:r>
        <w:rPr>
          <w:spacing w:val="-6"/>
        </w:rPr>
        <w:t> </w:t>
      </w:r>
      <w:r>
        <w:rPr/>
        <w:t>geographic</w:t>
      </w:r>
      <w:r>
        <w:rPr>
          <w:spacing w:val="-9"/>
        </w:rPr>
        <w:t> </w:t>
      </w:r>
      <w:r>
        <w:rPr/>
        <w:t>in</w:t>
      </w:r>
      <w:r>
        <w:rPr>
          <w:spacing w:val="-8"/>
        </w:rPr>
        <w:t> </w:t>
      </w:r>
      <w:r>
        <w:rPr/>
        <w:t>nature;</w:t>
      </w:r>
      <w:r>
        <w:rPr>
          <w:spacing w:val="-8"/>
        </w:rPr>
        <w:t> </w:t>
      </w:r>
      <w:r>
        <w:rPr/>
        <w:t>both</w:t>
      </w:r>
      <w:r>
        <w:rPr>
          <w:spacing w:val="-8"/>
        </w:rPr>
        <w:t> </w:t>
      </w:r>
      <w:r>
        <w:rPr/>
        <w:t>descriptive</w:t>
      </w:r>
      <w:r>
        <w:rPr>
          <w:spacing w:val="-9"/>
        </w:rPr>
        <w:t> </w:t>
      </w:r>
      <w:r>
        <w:rPr/>
        <w:t>and</w:t>
      </w:r>
      <w:r>
        <w:rPr>
          <w:spacing w:val="-5"/>
        </w:rPr>
        <w:t> </w:t>
      </w:r>
      <w:r>
        <w:rPr/>
        <w:t>spatial analytical methods were employed for analysis of the data. Descriptive statistical techniques used include percentages, building area ratio and cross tabulation to analyse the</w:t>
      </w:r>
      <w:r>
        <w:rPr>
          <w:spacing w:val="-1"/>
        </w:rPr>
        <w:t> </w:t>
      </w:r>
      <w:r>
        <w:rPr/>
        <w:t>characteristics</w:t>
      </w:r>
      <w:r>
        <w:rPr>
          <w:spacing w:val="-1"/>
        </w:rPr>
        <w:t> </w:t>
      </w:r>
      <w:r>
        <w:rPr/>
        <w:t>of residential densities in the</w:t>
      </w:r>
      <w:r>
        <w:rPr>
          <w:spacing w:val="-1"/>
        </w:rPr>
        <w:t> </w:t>
      </w:r>
      <w:r>
        <w:rPr/>
        <w:t>study</w:t>
      </w:r>
      <w:r>
        <w:rPr>
          <w:spacing w:val="-3"/>
        </w:rPr>
        <w:t> </w:t>
      </w:r>
      <w:r>
        <w:rPr/>
        <w:t>area while spatial analysis such as point density and spatial interpolation was used to achieve other objectives due to the nature of data collected.</w:t>
      </w:r>
    </w:p>
    <w:p>
      <w:pPr>
        <w:pStyle w:val="Heading1"/>
        <w:numPr>
          <w:ilvl w:val="2"/>
          <w:numId w:val="6"/>
        </w:numPr>
        <w:tabs>
          <w:tab w:pos="1024" w:val="left" w:leader="none"/>
        </w:tabs>
        <w:spacing w:line="240" w:lineRule="auto" w:before="249" w:after="0"/>
        <w:ind w:left="1024" w:right="0" w:hanging="719"/>
        <w:jc w:val="both"/>
      </w:pPr>
      <w:r>
        <w:rPr/>
        <w:t>Onscreen</w:t>
      </w:r>
      <w:r>
        <w:rPr>
          <w:spacing w:val="-2"/>
        </w:rPr>
        <w:t> digitisation</w:t>
      </w:r>
    </w:p>
    <w:p>
      <w:pPr>
        <w:pStyle w:val="BodyText"/>
        <w:spacing w:before="232"/>
        <w:jc w:val="left"/>
        <w:rPr>
          <w:b/>
        </w:rPr>
      </w:pPr>
    </w:p>
    <w:p>
      <w:pPr>
        <w:pStyle w:val="BodyText"/>
        <w:spacing w:line="480" w:lineRule="auto" w:before="1"/>
        <w:ind w:left="305" w:right="512"/>
      </w:pPr>
      <w:r>
        <w:rPr/>
        <w:t>Satellite</w:t>
      </w:r>
      <w:r>
        <w:rPr>
          <w:spacing w:val="-15"/>
        </w:rPr>
        <w:t> </w:t>
      </w:r>
      <w:r>
        <w:rPr/>
        <w:t>images</w:t>
      </w:r>
      <w:r>
        <w:rPr>
          <w:spacing w:val="-15"/>
        </w:rPr>
        <w:t> </w:t>
      </w:r>
      <w:r>
        <w:rPr/>
        <w:t>captured</w:t>
      </w:r>
      <w:r>
        <w:rPr>
          <w:spacing w:val="-15"/>
        </w:rPr>
        <w:t> </w:t>
      </w:r>
      <w:r>
        <w:rPr/>
        <w:t>based</w:t>
      </w:r>
      <w:r>
        <w:rPr>
          <w:spacing w:val="-15"/>
        </w:rPr>
        <w:t> </w:t>
      </w:r>
      <w:r>
        <w:rPr/>
        <w:t>on</w:t>
      </w:r>
      <w:r>
        <w:rPr>
          <w:spacing w:val="-15"/>
        </w:rPr>
        <w:t> </w:t>
      </w:r>
      <w:r>
        <w:rPr/>
        <w:t>the</w:t>
      </w:r>
      <w:r>
        <w:rPr>
          <w:spacing w:val="-15"/>
        </w:rPr>
        <w:t> </w:t>
      </w:r>
      <w:r>
        <w:rPr/>
        <w:t>demarcated</w:t>
      </w:r>
      <w:r>
        <w:rPr>
          <w:spacing w:val="-15"/>
        </w:rPr>
        <w:t> </w:t>
      </w:r>
      <w:r>
        <w:rPr/>
        <w:t>areas</w:t>
      </w:r>
      <w:r>
        <w:rPr>
          <w:spacing w:val="-15"/>
        </w:rPr>
        <w:t> </w:t>
      </w:r>
      <w:r>
        <w:rPr/>
        <w:t>were</w:t>
      </w:r>
      <w:r>
        <w:rPr>
          <w:spacing w:val="-15"/>
        </w:rPr>
        <w:t> </w:t>
      </w:r>
      <w:r>
        <w:rPr/>
        <w:t>georeferenced</w:t>
      </w:r>
      <w:r>
        <w:rPr>
          <w:spacing w:val="-15"/>
        </w:rPr>
        <w:t> </w:t>
      </w:r>
      <w:r>
        <w:rPr/>
        <w:t>where</w:t>
      </w:r>
      <w:r>
        <w:rPr>
          <w:spacing w:val="-15"/>
        </w:rPr>
        <w:t> </w:t>
      </w:r>
      <w:r>
        <w:rPr/>
        <w:t>vector approach was adopted in digitising all the buildings using point features in ArcGIS environment. The entire buildings for each year under study were represented by points (see Figure 3.3, 3.4 and 3.5). Also, point features were created for rental residential apartments</w:t>
      </w:r>
      <w:r>
        <w:rPr>
          <w:spacing w:val="-9"/>
        </w:rPr>
        <w:t> </w:t>
      </w:r>
      <w:r>
        <w:rPr/>
        <w:t>managed</w:t>
      </w:r>
      <w:r>
        <w:rPr>
          <w:spacing w:val="-10"/>
        </w:rPr>
        <w:t> </w:t>
      </w:r>
      <w:r>
        <w:rPr/>
        <w:t>by</w:t>
      </w:r>
      <w:r>
        <w:rPr>
          <w:spacing w:val="-12"/>
        </w:rPr>
        <w:t> </w:t>
      </w:r>
      <w:r>
        <w:rPr/>
        <w:t>estate</w:t>
      </w:r>
      <w:r>
        <w:rPr>
          <w:spacing w:val="-10"/>
        </w:rPr>
        <w:t> </w:t>
      </w:r>
      <w:r>
        <w:rPr/>
        <w:t>surveyors</w:t>
      </w:r>
      <w:r>
        <w:rPr>
          <w:spacing w:val="-9"/>
        </w:rPr>
        <w:t> </w:t>
      </w:r>
      <w:r>
        <w:rPr/>
        <w:t>and</w:t>
      </w:r>
      <w:r>
        <w:rPr>
          <w:spacing w:val="-10"/>
        </w:rPr>
        <w:t> </w:t>
      </w:r>
      <w:r>
        <w:rPr/>
        <w:t>valuers</w:t>
      </w:r>
      <w:r>
        <w:rPr>
          <w:spacing w:val="-8"/>
        </w:rPr>
        <w:t> </w:t>
      </w:r>
      <w:r>
        <w:rPr/>
        <w:t>linked</w:t>
      </w:r>
      <w:r>
        <w:rPr>
          <w:spacing w:val="-10"/>
        </w:rPr>
        <w:t> </w:t>
      </w:r>
      <w:r>
        <w:rPr/>
        <w:t>with</w:t>
      </w:r>
      <w:r>
        <w:rPr>
          <w:spacing w:val="-9"/>
        </w:rPr>
        <w:t> </w:t>
      </w:r>
      <w:r>
        <w:rPr/>
        <w:t>attribute</w:t>
      </w:r>
      <w:r>
        <w:rPr>
          <w:spacing w:val="-10"/>
        </w:rPr>
        <w:t> </w:t>
      </w:r>
      <w:r>
        <w:rPr/>
        <w:t>data</w:t>
      </w:r>
      <w:r>
        <w:rPr>
          <w:spacing w:val="-10"/>
        </w:rPr>
        <w:t> </w:t>
      </w:r>
      <w:r>
        <w:rPr/>
        <w:t>containing rental values of each apartment structured in the ArcGIS geodatabase (see Figure 3.6).</w:t>
      </w:r>
    </w:p>
    <w:p>
      <w:pPr>
        <w:spacing w:after="0" w:line="480" w:lineRule="auto"/>
        <w:sectPr>
          <w:pgSz w:w="11910" w:h="16840"/>
          <w:pgMar w:header="0" w:footer="1022" w:top="1320" w:bottom="1220" w:left="1680" w:right="900"/>
        </w:sectPr>
      </w:pPr>
    </w:p>
    <w:p>
      <w:pPr>
        <w:pStyle w:val="BodyText"/>
        <w:ind w:left="304"/>
        <w:jc w:val="left"/>
        <w:rPr>
          <w:sz w:val="20"/>
        </w:rPr>
      </w:pPr>
      <w:r>
        <w:rPr>
          <w:sz w:val="20"/>
        </w:rPr>
        <w:drawing>
          <wp:inline distT="0" distB="0" distL="0" distR="0">
            <wp:extent cx="5480204" cy="4892040"/>
            <wp:effectExtent l="0" t="0" r="0" b="0"/>
            <wp:docPr id="10" name="Image 10" descr="C:\Users\RAMATU S. MOHAMMED\Desktop\Output\Buildings 2008.jpg"/>
            <wp:cNvGraphicFramePr>
              <a:graphicFrameLocks/>
            </wp:cNvGraphicFramePr>
            <a:graphic>
              <a:graphicData uri="http://schemas.openxmlformats.org/drawingml/2006/picture">
                <pic:pic>
                  <pic:nvPicPr>
                    <pic:cNvPr id="10" name="Image 10" descr="C:\Users\RAMATU S. MOHAMMED\Desktop\Output\Buildings 2008.jpg"/>
                    <pic:cNvPicPr/>
                  </pic:nvPicPr>
                  <pic:blipFill>
                    <a:blip r:embed="rId15" cstate="print"/>
                    <a:stretch>
                      <a:fillRect/>
                    </a:stretch>
                  </pic:blipFill>
                  <pic:spPr>
                    <a:xfrm>
                      <a:off x="0" y="0"/>
                      <a:ext cx="5480204" cy="4892040"/>
                    </a:xfrm>
                    <a:prstGeom prst="rect">
                      <a:avLst/>
                    </a:prstGeom>
                  </pic:spPr>
                </pic:pic>
              </a:graphicData>
            </a:graphic>
          </wp:inline>
        </w:drawing>
      </w:r>
      <w:r>
        <w:rPr>
          <w:sz w:val="20"/>
        </w:rPr>
      </w:r>
    </w:p>
    <w:p>
      <w:pPr>
        <w:spacing w:line="235" w:lineRule="auto" w:before="7"/>
        <w:ind w:left="3113" w:right="513" w:hanging="2108"/>
        <w:jc w:val="left"/>
        <w:rPr>
          <w:sz w:val="24"/>
        </w:rPr>
      </w:pPr>
      <w:r>
        <w:rPr>
          <w:b/>
          <w:sz w:val="24"/>
        </w:rPr>
        <w:t>Figure</w:t>
      </w:r>
      <w:r>
        <w:rPr>
          <w:b/>
          <w:spacing w:val="-4"/>
          <w:sz w:val="24"/>
        </w:rPr>
        <w:t> </w:t>
      </w:r>
      <w:r>
        <w:rPr>
          <w:b/>
          <w:sz w:val="24"/>
        </w:rPr>
        <w:t>3.3:</w:t>
      </w:r>
      <w:r>
        <w:rPr>
          <w:b/>
          <w:spacing w:val="-3"/>
          <w:sz w:val="24"/>
        </w:rPr>
        <w:t> </w:t>
      </w:r>
      <w:r>
        <w:rPr>
          <w:b/>
          <w:sz w:val="24"/>
        </w:rPr>
        <w:t>Location</w:t>
      </w:r>
      <w:r>
        <w:rPr>
          <w:b/>
          <w:spacing w:val="-3"/>
          <w:sz w:val="24"/>
        </w:rPr>
        <w:t> </w:t>
      </w:r>
      <w:r>
        <w:rPr>
          <w:b/>
          <w:sz w:val="24"/>
        </w:rPr>
        <w:t>of</w:t>
      </w:r>
      <w:r>
        <w:rPr>
          <w:b/>
          <w:spacing w:val="-2"/>
          <w:sz w:val="24"/>
        </w:rPr>
        <w:t> </w:t>
      </w:r>
      <w:r>
        <w:rPr>
          <w:b/>
          <w:sz w:val="24"/>
        </w:rPr>
        <w:t>Buildings</w:t>
      </w:r>
      <w:r>
        <w:rPr>
          <w:b/>
          <w:spacing w:val="-3"/>
          <w:sz w:val="24"/>
        </w:rPr>
        <w:t> </w:t>
      </w:r>
      <w:r>
        <w:rPr>
          <w:b/>
          <w:sz w:val="24"/>
        </w:rPr>
        <w:t>in</w:t>
      </w:r>
      <w:r>
        <w:rPr>
          <w:b/>
          <w:spacing w:val="-3"/>
          <w:sz w:val="24"/>
        </w:rPr>
        <w:t> </w:t>
      </w:r>
      <w:r>
        <w:rPr>
          <w:b/>
          <w:sz w:val="24"/>
        </w:rPr>
        <w:t>the</w:t>
      </w:r>
      <w:r>
        <w:rPr>
          <w:b/>
          <w:spacing w:val="-3"/>
          <w:sz w:val="24"/>
        </w:rPr>
        <w:t> </w:t>
      </w:r>
      <w:r>
        <w:rPr>
          <w:b/>
          <w:sz w:val="24"/>
        </w:rPr>
        <w:t>Study</w:t>
      </w:r>
      <w:r>
        <w:rPr>
          <w:b/>
          <w:spacing w:val="-6"/>
          <w:sz w:val="24"/>
        </w:rPr>
        <w:t> </w:t>
      </w:r>
      <w:r>
        <w:rPr>
          <w:b/>
          <w:sz w:val="24"/>
        </w:rPr>
        <w:t>Area</w:t>
      </w:r>
      <w:r>
        <w:rPr>
          <w:b/>
          <w:spacing w:val="-3"/>
          <w:sz w:val="24"/>
        </w:rPr>
        <w:t> </w:t>
      </w:r>
      <w:r>
        <w:rPr>
          <w:b/>
          <w:sz w:val="24"/>
        </w:rPr>
        <w:t>for</w:t>
      </w:r>
      <w:r>
        <w:rPr>
          <w:b/>
          <w:spacing w:val="-4"/>
          <w:sz w:val="24"/>
        </w:rPr>
        <w:t> </w:t>
      </w:r>
      <w:r>
        <w:rPr>
          <w:b/>
          <w:sz w:val="24"/>
        </w:rPr>
        <w:t>the</w:t>
      </w:r>
      <w:r>
        <w:rPr>
          <w:b/>
          <w:spacing w:val="-3"/>
          <w:sz w:val="24"/>
        </w:rPr>
        <w:t> </w:t>
      </w:r>
      <w:r>
        <w:rPr>
          <w:b/>
          <w:sz w:val="24"/>
        </w:rPr>
        <w:t>Year</w:t>
      </w:r>
      <w:r>
        <w:rPr>
          <w:b/>
          <w:spacing w:val="-4"/>
          <w:sz w:val="24"/>
        </w:rPr>
        <w:t> </w:t>
      </w:r>
      <w:r>
        <w:rPr>
          <w:b/>
          <w:sz w:val="24"/>
        </w:rPr>
        <w:t>2008 Source</w:t>
      </w:r>
      <w:r>
        <w:rPr>
          <w:sz w:val="24"/>
        </w:rPr>
        <w:t>: Authors’ field survey</w:t>
      </w:r>
    </w:p>
    <w:p>
      <w:pPr>
        <w:spacing w:after="0" w:line="235" w:lineRule="auto"/>
        <w:jc w:val="left"/>
        <w:rPr>
          <w:sz w:val="24"/>
        </w:rPr>
        <w:sectPr>
          <w:pgSz w:w="11910" w:h="16840"/>
          <w:pgMar w:header="0" w:footer="1022" w:top="1400" w:bottom="1220" w:left="1680" w:right="900"/>
        </w:sectPr>
      </w:pPr>
    </w:p>
    <w:p>
      <w:pPr>
        <w:pStyle w:val="BodyText"/>
        <w:ind w:left="304"/>
        <w:jc w:val="left"/>
        <w:rPr>
          <w:sz w:val="20"/>
        </w:rPr>
      </w:pPr>
      <w:r>
        <w:rPr>
          <w:sz w:val="20"/>
        </w:rPr>
        <w:drawing>
          <wp:inline distT="0" distB="0" distL="0" distR="0">
            <wp:extent cx="5399503" cy="4844224"/>
            <wp:effectExtent l="0" t="0" r="0" b="0"/>
            <wp:docPr id="11" name="Image 11" descr="C:\Users\RAMATU S. MOHAMMED\Desktop\Output\Buildings 2013.jpg"/>
            <wp:cNvGraphicFramePr>
              <a:graphicFrameLocks/>
            </wp:cNvGraphicFramePr>
            <a:graphic>
              <a:graphicData uri="http://schemas.openxmlformats.org/drawingml/2006/picture">
                <pic:pic>
                  <pic:nvPicPr>
                    <pic:cNvPr id="11" name="Image 11" descr="C:\Users\RAMATU S. MOHAMMED\Desktop\Output\Buildings 2013.jpg"/>
                    <pic:cNvPicPr/>
                  </pic:nvPicPr>
                  <pic:blipFill>
                    <a:blip r:embed="rId16" cstate="print"/>
                    <a:stretch>
                      <a:fillRect/>
                    </a:stretch>
                  </pic:blipFill>
                  <pic:spPr>
                    <a:xfrm>
                      <a:off x="0" y="0"/>
                      <a:ext cx="5399503" cy="4844224"/>
                    </a:xfrm>
                    <a:prstGeom prst="rect">
                      <a:avLst/>
                    </a:prstGeom>
                  </pic:spPr>
                </pic:pic>
              </a:graphicData>
            </a:graphic>
          </wp:inline>
        </w:drawing>
      </w:r>
      <w:r>
        <w:rPr>
          <w:sz w:val="20"/>
        </w:rPr>
      </w:r>
    </w:p>
    <w:p>
      <w:pPr>
        <w:spacing w:line="235" w:lineRule="auto" w:before="0"/>
        <w:ind w:left="3113" w:right="513" w:hanging="2108"/>
        <w:jc w:val="left"/>
        <w:rPr>
          <w:sz w:val="24"/>
        </w:rPr>
      </w:pPr>
      <w:r>
        <w:rPr>
          <w:b/>
          <w:sz w:val="24"/>
        </w:rPr>
        <w:t>Figure</w:t>
      </w:r>
      <w:r>
        <w:rPr>
          <w:b/>
          <w:spacing w:val="-4"/>
          <w:sz w:val="24"/>
        </w:rPr>
        <w:t> </w:t>
      </w:r>
      <w:r>
        <w:rPr>
          <w:b/>
          <w:sz w:val="24"/>
        </w:rPr>
        <w:t>3.4:</w:t>
      </w:r>
      <w:r>
        <w:rPr>
          <w:b/>
          <w:spacing w:val="-3"/>
          <w:sz w:val="24"/>
        </w:rPr>
        <w:t> </w:t>
      </w:r>
      <w:r>
        <w:rPr>
          <w:b/>
          <w:sz w:val="24"/>
        </w:rPr>
        <w:t>Location</w:t>
      </w:r>
      <w:r>
        <w:rPr>
          <w:b/>
          <w:spacing w:val="-3"/>
          <w:sz w:val="24"/>
        </w:rPr>
        <w:t> </w:t>
      </w:r>
      <w:r>
        <w:rPr>
          <w:b/>
          <w:sz w:val="24"/>
        </w:rPr>
        <w:t>of</w:t>
      </w:r>
      <w:r>
        <w:rPr>
          <w:b/>
          <w:spacing w:val="-2"/>
          <w:sz w:val="24"/>
        </w:rPr>
        <w:t> </w:t>
      </w:r>
      <w:r>
        <w:rPr>
          <w:b/>
          <w:sz w:val="24"/>
        </w:rPr>
        <w:t>Buildings</w:t>
      </w:r>
      <w:r>
        <w:rPr>
          <w:b/>
          <w:spacing w:val="-3"/>
          <w:sz w:val="24"/>
        </w:rPr>
        <w:t> </w:t>
      </w:r>
      <w:r>
        <w:rPr>
          <w:b/>
          <w:sz w:val="24"/>
        </w:rPr>
        <w:t>in</w:t>
      </w:r>
      <w:r>
        <w:rPr>
          <w:b/>
          <w:spacing w:val="-3"/>
          <w:sz w:val="24"/>
        </w:rPr>
        <w:t> </w:t>
      </w:r>
      <w:r>
        <w:rPr>
          <w:b/>
          <w:sz w:val="24"/>
        </w:rPr>
        <w:t>the</w:t>
      </w:r>
      <w:r>
        <w:rPr>
          <w:b/>
          <w:spacing w:val="-3"/>
          <w:sz w:val="24"/>
        </w:rPr>
        <w:t> </w:t>
      </w:r>
      <w:r>
        <w:rPr>
          <w:b/>
          <w:sz w:val="24"/>
        </w:rPr>
        <w:t>Study</w:t>
      </w:r>
      <w:r>
        <w:rPr>
          <w:b/>
          <w:spacing w:val="-6"/>
          <w:sz w:val="24"/>
        </w:rPr>
        <w:t> </w:t>
      </w:r>
      <w:r>
        <w:rPr>
          <w:b/>
          <w:sz w:val="24"/>
        </w:rPr>
        <w:t>Area</w:t>
      </w:r>
      <w:r>
        <w:rPr>
          <w:b/>
          <w:spacing w:val="-3"/>
          <w:sz w:val="24"/>
        </w:rPr>
        <w:t> </w:t>
      </w:r>
      <w:r>
        <w:rPr>
          <w:b/>
          <w:sz w:val="24"/>
        </w:rPr>
        <w:t>for</w:t>
      </w:r>
      <w:r>
        <w:rPr>
          <w:b/>
          <w:spacing w:val="-4"/>
          <w:sz w:val="24"/>
        </w:rPr>
        <w:t> </w:t>
      </w:r>
      <w:r>
        <w:rPr>
          <w:b/>
          <w:sz w:val="24"/>
        </w:rPr>
        <w:t>the</w:t>
      </w:r>
      <w:r>
        <w:rPr>
          <w:b/>
          <w:spacing w:val="-3"/>
          <w:sz w:val="24"/>
        </w:rPr>
        <w:t> </w:t>
      </w:r>
      <w:r>
        <w:rPr>
          <w:b/>
          <w:sz w:val="24"/>
        </w:rPr>
        <w:t>Year</w:t>
      </w:r>
      <w:r>
        <w:rPr>
          <w:b/>
          <w:spacing w:val="-4"/>
          <w:sz w:val="24"/>
        </w:rPr>
        <w:t> </w:t>
      </w:r>
      <w:r>
        <w:rPr>
          <w:b/>
          <w:sz w:val="24"/>
        </w:rPr>
        <w:t>2013 Source</w:t>
      </w:r>
      <w:r>
        <w:rPr>
          <w:sz w:val="24"/>
        </w:rPr>
        <w:t>: Authors’ field survey</w:t>
      </w:r>
    </w:p>
    <w:p>
      <w:pPr>
        <w:spacing w:after="0" w:line="235" w:lineRule="auto"/>
        <w:jc w:val="left"/>
        <w:rPr>
          <w:sz w:val="24"/>
        </w:rPr>
        <w:sectPr>
          <w:pgSz w:w="11910" w:h="16840"/>
          <w:pgMar w:header="0" w:footer="1022" w:top="1400" w:bottom="1220" w:left="1680" w:right="900"/>
        </w:sectPr>
      </w:pPr>
    </w:p>
    <w:p>
      <w:pPr>
        <w:pStyle w:val="BodyText"/>
        <w:ind w:left="326"/>
        <w:jc w:val="left"/>
        <w:rPr>
          <w:sz w:val="20"/>
        </w:rPr>
      </w:pPr>
      <w:r>
        <w:rPr>
          <w:sz w:val="20"/>
        </w:rPr>
        <w:drawing>
          <wp:inline distT="0" distB="0" distL="0" distR="0">
            <wp:extent cx="5383033" cy="4800600"/>
            <wp:effectExtent l="0" t="0" r="0" b="0"/>
            <wp:docPr id="12" name="Image 12" descr="C:\Users\RAMATU S. MOHAMMED\Desktop\Output\Buildings 2018.jpg"/>
            <wp:cNvGraphicFramePr>
              <a:graphicFrameLocks/>
            </wp:cNvGraphicFramePr>
            <a:graphic>
              <a:graphicData uri="http://schemas.openxmlformats.org/drawingml/2006/picture">
                <pic:pic>
                  <pic:nvPicPr>
                    <pic:cNvPr id="12" name="Image 12" descr="C:\Users\RAMATU S. MOHAMMED\Desktop\Output\Buildings 2018.jpg"/>
                    <pic:cNvPicPr/>
                  </pic:nvPicPr>
                  <pic:blipFill>
                    <a:blip r:embed="rId17" cstate="print"/>
                    <a:stretch>
                      <a:fillRect/>
                    </a:stretch>
                  </pic:blipFill>
                  <pic:spPr>
                    <a:xfrm>
                      <a:off x="0" y="0"/>
                      <a:ext cx="5383033" cy="4800600"/>
                    </a:xfrm>
                    <a:prstGeom prst="rect">
                      <a:avLst/>
                    </a:prstGeom>
                  </pic:spPr>
                </pic:pic>
              </a:graphicData>
            </a:graphic>
          </wp:inline>
        </w:drawing>
      </w:r>
      <w:r>
        <w:rPr>
          <w:sz w:val="20"/>
        </w:rPr>
      </w:r>
    </w:p>
    <w:p>
      <w:pPr>
        <w:spacing w:line="235" w:lineRule="auto" w:before="48"/>
        <w:ind w:left="3113" w:right="513" w:hanging="2108"/>
        <w:jc w:val="left"/>
        <w:rPr>
          <w:sz w:val="24"/>
        </w:rPr>
      </w:pPr>
      <w:r>
        <w:rPr>
          <w:b/>
          <w:sz w:val="24"/>
        </w:rPr>
        <w:t>Figure</w:t>
      </w:r>
      <w:r>
        <w:rPr>
          <w:b/>
          <w:spacing w:val="-4"/>
          <w:sz w:val="24"/>
        </w:rPr>
        <w:t> </w:t>
      </w:r>
      <w:r>
        <w:rPr>
          <w:b/>
          <w:sz w:val="24"/>
        </w:rPr>
        <w:t>3.5:</w:t>
      </w:r>
      <w:r>
        <w:rPr>
          <w:b/>
          <w:spacing w:val="-3"/>
          <w:sz w:val="24"/>
        </w:rPr>
        <w:t> </w:t>
      </w:r>
      <w:r>
        <w:rPr>
          <w:b/>
          <w:sz w:val="24"/>
        </w:rPr>
        <w:t>Location</w:t>
      </w:r>
      <w:r>
        <w:rPr>
          <w:b/>
          <w:spacing w:val="-3"/>
          <w:sz w:val="24"/>
        </w:rPr>
        <w:t> </w:t>
      </w:r>
      <w:r>
        <w:rPr>
          <w:b/>
          <w:sz w:val="24"/>
        </w:rPr>
        <w:t>of</w:t>
      </w:r>
      <w:r>
        <w:rPr>
          <w:b/>
          <w:spacing w:val="-2"/>
          <w:sz w:val="24"/>
        </w:rPr>
        <w:t> </w:t>
      </w:r>
      <w:r>
        <w:rPr>
          <w:b/>
          <w:sz w:val="24"/>
        </w:rPr>
        <w:t>Buildings</w:t>
      </w:r>
      <w:r>
        <w:rPr>
          <w:b/>
          <w:spacing w:val="-3"/>
          <w:sz w:val="24"/>
        </w:rPr>
        <w:t> </w:t>
      </w:r>
      <w:r>
        <w:rPr>
          <w:b/>
          <w:sz w:val="24"/>
        </w:rPr>
        <w:t>in</w:t>
      </w:r>
      <w:r>
        <w:rPr>
          <w:b/>
          <w:spacing w:val="-3"/>
          <w:sz w:val="24"/>
        </w:rPr>
        <w:t> </w:t>
      </w:r>
      <w:r>
        <w:rPr>
          <w:b/>
          <w:sz w:val="24"/>
        </w:rPr>
        <w:t>the</w:t>
      </w:r>
      <w:r>
        <w:rPr>
          <w:b/>
          <w:spacing w:val="-3"/>
          <w:sz w:val="24"/>
        </w:rPr>
        <w:t> </w:t>
      </w:r>
      <w:r>
        <w:rPr>
          <w:b/>
          <w:sz w:val="24"/>
        </w:rPr>
        <w:t>Study</w:t>
      </w:r>
      <w:r>
        <w:rPr>
          <w:b/>
          <w:spacing w:val="-6"/>
          <w:sz w:val="24"/>
        </w:rPr>
        <w:t> </w:t>
      </w:r>
      <w:r>
        <w:rPr>
          <w:b/>
          <w:sz w:val="24"/>
        </w:rPr>
        <w:t>Area</w:t>
      </w:r>
      <w:r>
        <w:rPr>
          <w:b/>
          <w:spacing w:val="-3"/>
          <w:sz w:val="24"/>
        </w:rPr>
        <w:t> </w:t>
      </w:r>
      <w:r>
        <w:rPr>
          <w:b/>
          <w:sz w:val="24"/>
        </w:rPr>
        <w:t>for</w:t>
      </w:r>
      <w:r>
        <w:rPr>
          <w:b/>
          <w:spacing w:val="-4"/>
          <w:sz w:val="24"/>
        </w:rPr>
        <w:t> </w:t>
      </w:r>
      <w:r>
        <w:rPr>
          <w:b/>
          <w:sz w:val="24"/>
        </w:rPr>
        <w:t>the</w:t>
      </w:r>
      <w:r>
        <w:rPr>
          <w:b/>
          <w:spacing w:val="-3"/>
          <w:sz w:val="24"/>
        </w:rPr>
        <w:t> </w:t>
      </w:r>
      <w:r>
        <w:rPr>
          <w:b/>
          <w:sz w:val="24"/>
        </w:rPr>
        <w:t>Year</w:t>
      </w:r>
      <w:r>
        <w:rPr>
          <w:b/>
          <w:spacing w:val="-4"/>
          <w:sz w:val="24"/>
        </w:rPr>
        <w:t> </w:t>
      </w:r>
      <w:r>
        <w:rPr>
          <w:b/>
          <w:sz w:val="24"/>
        </w:rPr>
        <w:t>2018 Source</w:t>
      </w:r>
      <w:r>
        <w:rPr>
          <w:sz w:val="24"/>
        </w:rPr>
        <w:t>: Authors’ field survey</w:t>
      </w:r>
    </w:p>
    <w:p>
      <w:pPr>
        <w:spacing w:after="0" w:line="235" w:lineRule="auto"/>
        <w:jc w:val="left"/>
        <w:rPr>
          <w:sz w:val="24"/>
        </w:rPr>
        <w:sectPr>
          <w:pgSz w:w="11910" w:h="16840"/>
          <w:pgMar w:header="0" w:footer="1022" w:top="1400" w:bottom="1220" w:left="1680" w:right="900"/>
        </w:sectPr>
      </w:pPr>
    </w:p>
    <w:p>
      <w:pPr>
        <w:pStyle w:val="BodyText"/>
        <w:ind w:left="304"/>
        <w:jc w:val="left"/>
        <w:rPr>
          <w:sz w:val="20"/>
        </w:rPr>
      </w:pPr>
      <w:r>
        <w:rPr>
          <w:sz w:val="20"/>
        </w:rPr>
        <w:drawing>
          <wp:inline distT="0" distB="0" distL="0" distR="0">
            <wp:extent cx="5411697" cy="5376672"/>
            <wp:effectExtent l="0" t="0" r="0" b="0"/>
            <wp:docPr id="13" name="Image 13" descr="C:\Users\RAMATU S. MOHAMMED\Desktop\Property Market.jpg"/>
            <wp:cNvGraphicFramePr>
              <a:graphicFrameLocks/>
            </wp:cNvGraphicFramePr>
            <a:graphic>
              <a:graphicData uri="http://schemas.openxmlformats.org/drawingml/2006/picture">
                <pic:pic>
                  <pic:nvPicPr>
                    <pic:cNvPr id="13" name="Image 13" descr="C:\Users\RAMATU S. MOHAMMED\Desktop\Property Market.jpg"/>
                    <pic:cNvPicPr/>
                  </pic:nvPicPr>
                  <pic:blipFill>
                    <a:blip r:embed="rId18" cstate="print"/>
                    <a:stretch>
                      <a:fillRect/>
                    </a:stretch>
                  </pic:blipFill>
                  <pic:spPr>
                    <a:xfrm>
                      <a:off x="0" y="0"/>
                      <a:ext cx="5411697" cy="5376672"/>
                    </a:xfrm>
                    <a:prstGeom prst="rect">
                      <a:avLst/>
                    </a:prstGeom>
                  </pic:spPr>
                </pic:pic>
              </a:graphicData>
            </a:graphic>
          </wp:inline>
        </w:drawing>
      </w:r>
      <w:r>
        <w:rPr>
          <w:sz w:val="20"/>
        </w:rPr>
      </w:r>
    </w:p>
    <w:p>
      <w:pPr>
        <w:pStyle w:val="Heading1"/>
        <w:spacing w:before="2"/>
        <w:ind w:left="345" w:right="558" w:firstLine="0"/>
        <w:jc w:val="center"/>
      </w:pPr>
      <w:r>
        <w:rPr/>
        <w:t>Figure</w:t>
      </w:r>
      <w:r>
        <w:rPr>
          <w:spacing w:val="-5"/>
        </w:rPr>
        <w:t> </w:t>
      </w:r>
      <w:r>
        <w:rPr/>
        <w:t>3.6:</w:t>
      </w:r>
      <w:r>
        <w:rPr>
          <w:spacing w:val="-4"/>
        </w:rPr>
        <w:t> </w:t>
      </w:r>
      <w:r>
        <w:rPr/>
        <w:t>Sampled</w:t>
      </w:r>
      <w:r>
        <w:rPr>
          <w:spacing w:val="-4"/>
        </w:rPr>
        <w:t> </w:t>
      </w:r>
      <w:r>
        <w:rPr/>
        <w:t>Houses</w:t>
      </w:r>
      <w:r>
        <w:rPr>
          <w:spacing w:val="-4"/>
        </w:rPr>
        <w:t> </w:t>
      </w:r>
      <w:r>
        <w:rPr/>
        <w:t>Managed</w:t>
      </w:r>
      <w:r>
        <w:rPr>
          <w:spacing w:val="-4"/>
        </w:rPr>
        <w:t> </w:t>
      </w:r>
      <w:r>
        <w:rPr/>
        <w:t>by</w:t>
      </w:r>
      <w:r>
        <w:rPr>
          <w:spacing w:val="-1"/>
        </w:rPr>
        <w:t> </w:t>
      </w:r>
      <w:r>
        <w:rPr/>
        <w:t>Estate</w:t>
      </w:r>
      <w:r>
        <w:rPr>
          <w:spacing w:val="-5"/>
        </w:rPr>
        <w:t> </w:t>
      </w:r>
      <w:r>
        <w:rPr/>
        <w:t>Surveyors</w:t>
      </w:r>
      <w:r>
        <w:rPr>
          <w:spacing w:val="-4"/>
        </w:rPr>
        <w:t> </w:t>
      </w:r>
      <w:r>
        <w:rPr/>
        <w:t>and</w:t>
      </w:r>
      <w:r>
        <w:rPr>
          <w:spacing w:val="-4"/>
        </w:rPr>
        <w:t> </w:t>
      </w:r>
      <w:r>
        <w:rPr/>
        <w:t>Valuers</w:t>
      </w:r>
      <w:r>
        <w:rPr>
          <w:spacing w:val="-4"/>
        </w:rPr>
        <w:t> </w:t>
      </w:r>
      <w:r>
        <w:rPr/>
        <w:t>in</w:t>
      </w:r>
      <w:r>
        <w:rPr>
          <w:spacing w:val="-3"/>
        </w:rPr>
        <w:t> </w:t>
      </w:r>
      <w:r>
        <w:rPr/>
        <w:t>the study area</w:t>
      </w:r>
    </w:p>
    <w:p>
      <w:pPr>
        <w:spacing w:line="271" w:lineRule="exact" w:before="0"/>
        <w:ind w:left="296" w:right="503" w:firstLine="0"/>
        <w:jc w:val="center"/>
        <w:rPr>
          <w:sz w:val="24"/>
        </w:rPr>
      </w:pPr>
      <w:r>
        <w:rPr>
          <w:b/>
          <w:sz w:val="24"/>
        </w:rPr>
        <w:t>Source</w:t>
      </w:r>
      <w:r>
        <w:rPr>
          <w:sz w:val="24"/>
        </w:rPr>
        <w:t>:</w:t>
      </w:r>
      <w:r>
        <w:rPr>
          <w:spacing w:val="-2"/>
          <w:sz w:val="24"/>
        </w:rPr>
        <w:t> </w:t>
      </w:r>
      <w:r>
        <w:rPr>
          <w:sz w:val="24"/>
        </w:rPr>
        <w:t>Authors’</w:t>
      </w:r>
      <w:r>
        <w:rPr>
          <w:spacing w:val="-2"/>
          <w:sz w:val="24"/>
        </w:rPr>
        <w:t> </w:t>
      </w:r>
      <w:r>
        <w:rPr>
          <w:sz w:val="24"/>
        </w:rPr>
        <w:t>field</w:t>
      </w:r>
      <w:r>
        <w:rPr>
          <w:spacing w:val="-1"/>
          <w:sz w:val="24"/>
        </w:rPr>
        <w:t> </w:t>
      </w:r>
      <w:r>
        <w:rPr>
          <w:spacing w:val="-2"/>
          <w:sz w:val="24"/>
        </w:rPr>
        <w:t>survey</w:t>
      </w:r>
    </w:p>
    <w:p>
      <w:pPr>
        <w:pStyle w:val="Heading1"/>
        <w:numPr>
          <w:ilvl w:val="2"/>
          <w:numId w:val="6"/>
        </w:numPr>
        <w:tabs>
          <w:tab w:pos="1025" w:val="left" w:leader="none"/>
        </w:tabs>
        <w:spacing w:line="240" w:lineRule="auto" w:before="247" w:after="0"/>
        <w:ind w:left="1025" w:right="0" w:hanging="720"/>
        <w:jc w:val="left"/>
      </w:pPr>
      <w:r>
        <w:rPr/>
        <w:t>Residential</w:t>
      </w:r>
      <w:r>
        <w:rPr>
          <w:spacing w:val="-1"/>
        </w:rPr>
        <w:t> </w:t>
      </w:r>
      <w:r>
        <w:rPr/>
        <w:t>density</w:t>
      </w:r>
      <w:r>
        <w:rPr>
          <w:spacing w:val="-2"/>
        </w:rPr>
        <w:t> </w:t>
      </w:r>
      <w:r>
        <w:rPr/>
        <w:t>level</w:t>
      </w:r>
      <w:r>
        <w:rPr>
          <w:spacing w:val="-1"/>
        </w:rPr>
        <w:t> </w:t>
      </w:r>
      <w:r>
        <w:rPr>
          <w:spacing w:val="-2"/>
        </w:rPr>
        <w:t>measurements</w:t>
      </w:r>
    </w:p>
    <w:p>
      <w:pPr>
        <w:pStyle w:val="BodyText"/>
        <w:spacing w:before="233"/>
        <w:jc w:val="left"/>
        <w:rPr>
          <w:b/>
        </w:rPr>
      </w:pPr>
    </w:p>
    <w:p>
      <w:pPr>
        <w:pStyle w:val="BodyText"/>
        <w:spacing w:line="480" w:lineRule="auto"/>
        <w:ind w:left="305" w:right="508"/>
      </w:pPr>
      <w:r>
        <w:rPr/>
        <w:t>This research adopted residential density measurements by Niger State Urban Development Board (2015).</w:t>
      </w:r>
      <w:r>
        <w:rPr>
          <w:spacing w:val="-2"/>
        </w:rPr>
        <w:t> </w:t>
      </w:r>
      <w:r>
        <w:rPr/>
        <w:t>Using</w:t>
      </w:r>
      <w:r>
        <w:rPr>
          <w:spacing w:val="-3"/>
        </w:rPr>
        <w:t> </w:t>
      </w:r>
      <w:r>
        <w:rPr/>
        <w:t>this,</w:t>
      </w:r>
      <w:r>
        <w:rPr>
          <w:spacing w:val="-1"/>
        </w:rPr>
        <w:t> </w:t>
      </w:r>
      <w:r>
        <w:rPr/>
        <w:t>residential density</w:t>
      </w:r>
      <w:r>
        <w:rPr>
          <w:spacing w:val="-3"/>
        </w:rPr>
        <w:t> </w:t>
      </w:r>
      <w:r>
        <w:rPr/>
        <w:t>is</w:t>
      </w:r>
      <w:r>
        <w:rPr>
          <w:spacing w:val="-1"/>
        </w:rPr>
        <w:t> </w:t>
      </w:r>
      <w:r>
        <w:rPr/>
        <w:t>measured</w:t>
      </w:r>
      <w:r>
        <w:rPr>
          <w:spacing w:val="-1"/>
        </w:rPr>
        <w:t> </w:t>
      </w:r>
      <w:r>
        <w:rPr/>
        <w:t>using</w:t>
      </w:r>
      <w:r>
        <w:rPr>
          <w:spacing w:val="-3"/>
        </w:rPr>
        <w:t> </w:t>
      </w:r>
      <w:r>
        <w:rPr/>
        <w:t>occupancy rates of building in a given location to give</w:t>
      </w:r>
      <w:r>
        <w:rPr>
          <w:spacing w:val="-1"/>
        </w:rPr>
        <w:t> </w:t>
      </w:r>
      <w:r>
        <w:rPr/>
        <w:t>level of</w:t>
      </w:r>
      <w:r>
        <w:rPr>
          <w:spacing w:val="-1"/>
        </w:rPr>
        <w:t> </w:t>
      </w:r>
      <w:r>
        <w:rPr/>
        <w:t>density. For example, low density</w:t>
      </w:r>
      <w:r>
        <w:rPr>
          <w:spacing w:val="-5"/>
        </w:rPr>
        <w:t> </w:t>
      </w:r>
      <w:r>
        <w:rPr/>
        <w:t>is between 0 – 1.49 occupancy rate, medium density is between 1.5 – 1.99 occupancy rate while high density is 2.0 and above occupancy rate (see Table 3.3).</w:t>
      </w:r>
    </w:p>
    <w:p>
      <w:pPr>
        <w:spacing w:after="0" w:line="480" w:lineRule="auto"/>
        <w:sectPr>
          <w:pgSz w:w="11910" w:h="16840"/>
          <w:pgMar w:header="0" w:footer="1022" w:top="1400" w:bottom="1220" w:left="1680" w:right="900"/>
        </w:sectPr>
      </w:pPr>
    </w:p>
    <w:p>
      <w:pPr>
        <w:pStyle w:val="Heading1"/>
        <w:spacing w:before="79" w:after="42"/>
        <w:ind w:left="305" w:firstLine="0"/>
        <w:jc w:val="left"/>
      </w:pPr>
      <w:r>
        <w:rPr/>
        <w:t>Table</w:t>
      </w:r>
      <w:r>
        <w:rPr>
          <w:spacing w:val="-2"/>
        </w:rPr>
        <w:t> </w:t>
      </w:r>
      <w:r>
        <w:rPr/>
        <w:t>3.3:</w:t>
      </w:r>
      <w:r>
        <w:rPr>
          <w:spacing w:val="-2"/>
        </w:rPr>
        <w:t> </w:t>
      </w:r>
      <w:r>
        <w:rPr/>
        <w:t>Residential</w:t>
      </w:r>
      <w:r>
        <w:rPr>
          <w:spacing w:val="-1"/>
        </w:rPr>
        <w:t> </w:t>
      </w:r>
      <w:r>
        <w:rPr/>
        <w:t>Density</w:t>
      </w:r>
      <w:r>
        <w:rPr>
          <w:spacing w:val="-2"/>
        </w:rPr>
        <w:t> </w:t>
      </w:r>
      <w:r>
        <w:rPr/>
        <w:t>Level</w:t>
      </w:r>
      <w:r>
        <w:rPr>
          <w:spacing w:val="-1"/>
        </w:rPr>
        <w:t> </w:t>
      </w:r>
      <w:r>
        <w:rPr>
          <w:spacing w:val="-2"/>
        </w:rPr>
        <w:t>Measurement</w:t>
      </w:r>
    </w:p>
    <w:tbl>
      <w:tblPr>
        <w:tblW w:w="0" w:type="auto"/>
        <w:jc w:val="left"/>
        <w:tblInd w:w="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54"/>
        <w:gridCol w:w="4459"/>
      </w:tblGrid>
      <w:tr>
        <w:trPr>
          <w:trHeight w:val="431" w:hRule="atLeast"/>
        </w:trPr>
        <w:tc>
          <w:tcPr>
            <w:tcW w:w="4054" w:type="dxa"/>
            <w:tcBorders>
              <w:top w:val="single" w:sz="8" w:space="0" w:color="000000"/>
              <w:bottom w:val="single" w:sz="8" w:space="0" w:color="000000"/>
            </w:tcBorders>
          </w:tcPr>
          <w:p>
            <w:pPr>
              <w:pStyle w:val="TableParagraph"/>
              <w:spacing w:line="273" w:lineRule="exact"/>
              <w:ind w:left="211" w:right="1"/>
              <w:rPr>
                <w:b/>
                <w:sz w:val="24"/>
              </w:rPr>
            </w:pPr>
            <w:r>
              <w:rPr>
                <w:b/>
                <w:sz w:val="24"/>
              </w:rPr>
              <w:t>Occupancy</w:t>
            </w:r>
            <w:r>
              <w:rPr>
                <w:b/>
                <w:spacing w:val="-5"/>
                <w:sz w:val="24"/>
              </w:rPr>
              <w:t> </w:t>
            </w:r>
            <w:r>
              <w:rPr>
                <w:b/>
                <w:spacing w:val="-4"/>
                <w:sz w:val="24"/>
              </w:rPr>
              <w:t>Rates</w:t>
            </w:r>
          </w:p>
        </w:tc>
        <w:tc>
          <w:tcPr>
            <w:tcW w:w="4459" w:type="dxa"/>
            <w:tcBorders>
              <w:top w:val="single" w:sz="8" w:space="0" w:color="000000"/>
              <w:bottom w:val="single" w:sz="8" w:space="0" w:color="000000"/>
            </w:tcBorders>
          </w:tcPr>
          <w:p>
            <w:pPr>
              <w:pStyle w:val="TableParagraph"/>
              <w:spacing w:line="273" w:lineRule="exact"/>
              <w:ind w:left="206" w:right="3"/>
              <w:rPr>
                <w:b/>
                <w:sz w:val="24"/>
              </w:rPr>
            </w:pPr>
            <w:r>
              <w:rPr>
                <w:b/>
                <w:sz w:val="24"/>
              </w:rPr>
              <w:t>Residential</w:t>
            </w:r>
            <w:r>
              <w:rPr>
                <w:b/>
                <w:spacing w:val="-2"/>
                <w:sz w:val="24"/>
              </w:rPr>
              <w:t> </w:t>
            </w:r>
            <w:r>
              <w:rPr>
                <w:b/>
                <w:sz w:val="24"/>
              </w:rPr>
              <w:t>Density</w:t>
            </w:r>
            <w:r>
              <w:rPr>
                <w:b/>
                <w:spacing w:val="-2"/>
                <w:sz w:val="24"/>
              </w:rPr>
              <w:t> </w:t>
            </w:r>
            <w:r>
              <w:rPr>
                <w:b/>
                <w:spacing w:val="-4"/>
                <w:sz w:val="24"/>
              </w:rPr>
              <w:t>Level</w:t>
            </w:r>
          </w:p>
        </w:tc>
      </w:tr>
      <w:tr>
        <w:trPr>
          <w:trHeight w:val="353" w:hRule="atLeast"/>
        </w:trPr>
        <w:tc>
          <w:tcPr>
            <w:tcW w:w="4054" w:type="dxa"/>
            <w:tcBorders>
              <w:top w:val="single" w:sz="8" w:space="0" w:color="000000"/>
            </w:tcBorders>
          </w:tcPr>
          <w:p>
            <w:pPr>
              <w:pStyle w:val="TableParagraph"/>
              <w:spacing w:line="270" w:lineRule="exact"/>
              <w:ind w:left="211"/>
              <w:rPr>
                <w:sz w:val="24"/>
              </w:rPr>
            </w:pPr>
            <w:r>
              <w:rPr>
                <w:sz w:val="24"/>
              </w:rPr>
              <w:t>0 – </w:t>
            </w:r>
            <w:r>
              <w:rPr>
                <w:spacing w:val="-4"/>
                <w:sz w:val="24"/>
              </w:rPr>
              <w:t>1.49</w:t>
            </w:r>
          </w:p>
        </w:tc>
        <w:tc>
          <w:tcPr>
            <w:tcW w:w="4459" w:type="dxa"/>
            <w:tcBorders>
              <w:top w:val="single" w:sz="8" w:space="0" w:color="000000"/>
            </w:tcBorders>
          </w:tcPr>
          <w:p>
            <w:pPr>
              <w:pStyle w:val="TableParagraph"/>
              <w:spacing w:line="270" w:lineRule="exact"/>
              <w:ind w:left="206" w:right="2"/>
              <w:rPr>
                <w:sz w:val="24"/>
              </w:rPr>
            </w:pPr>
            <w:r>
              <w:rPr>
                <w:spacing w:val="-5"/>
                <w:sz w:val="24"/>
              </w:rPr>
              <w:t>Low</w:t>
            </w:r>
          </w:p>
        </w:tc>
      </w:tr>
      <w:tr>
        <w:trPr>
          <w:trHeight w:val="432" w:hRule="atLeast"/>
        </w:trPr>
        <w:tc>
          <w:tcPr>
            <w:tcW w:w="4054" w:type="dxa"/>
          </w:tcPr>
          <w:p>
            <w:pPr>
              <w:pStyle w:val="TableParagraph"/>
              <w:spacing w:line="240" w:lineRule="auto" w:before="73"/>
              <w:ind w:left="1654"/>
              <w:jc w:val="left"/>
              <w:rPr>
                <w:sz w:val="24"/>
              </w:rPr>
            </w:pPr>
            <w:r>
              <w:rPr>
                <w:sz w:val="24"/>
              </w:rPr>
              <w:t>1.5 – </w:t>
            </w:r>
            <w:r>
              <w:rPr>
                <w:spacing w:val="-4"/>
                <w:sz w:val="24"/>
              </w:rPr>
              <w:t>1.99</w:t>
            </w:r>
          </w:p>
        </w:tc>
        <w:tc>
          <w:tcPr>
            <w:tcW w:w="4459" w:type="dxa"/>
          </w:tcPr>
          <w:p>
            <w:pPr>
              <w:pStyle w:val="TableParagraph"/>
              <w:spacing w:line="240" w:lineRule="auto" w:before="73"/>
              <w:ind w:left="206" w:right="1"/>
              <w:rPr>
                <w:sz w:val="24"/>
              </w:rPr>
            </w:pPr>
            <w:r>
              <w:rPr>
                <w:spacing w:val="-2"/>
                <w:sz w:val="24"/>
              </w:rPr>
              <w:t>Medium</w:t>
            </w:r>
          </w:p>
        </w:tc>
      </w:tr>
      <w:tr>
        <w:trPr>
          <w:trHeight w:val="512" w:hRule="atLeast"/>
        </w:trPr>
        <w:tc>
          <w:tcPr>
            <w:tcW w:w="4054" w:type="dxa"/>
            <w:tcBorders>
              <w:bottom w:val="single" w:sz="8" w:space="0" w:color="000000"/>
            </w:tcBorders>
          </w:tcPr>
          <w:p>
            <w:pPr>
              <w:pStyle w:val="TableParagraph"/>
              <w:spacing w:line="240" w:lineRule="auto" w:before="73"/>
              <w:ind w:left="1464"/>
              <w:jc w:val="left"/>
              <w:rPr>
                <w:sz w:val="24"/>
              </w:rPr>
            </w:pPr>
            <w:r>
              <w:rPr>
                <w:sz w:val="24"/>
              </w:rPr>
              <w:t>2.0</w:t>
            </w:r>
            <w:r>
              <w:rPr>
                <w:spacing w:val="-1"/>
                <w:sz w:val="24"/>
              </w:rPr>
              <w:t> </w:t>
            </w:r>
            <w:r>
              <w:rPr>
                <w:sz w:val="24"/>
              </w:rPr>
              <w:t>and </w:t>
            </w:r>
            <w:r>
              <w:rPr>
                <w:spacing w:val="-2"/>
                <w:sz w:val="24"/>
              </w:rPr>
              <w:t>above</w:t>
            </w:r>
          </w:p>
        </w:tc>
        <w:tc>
          <w:tcPr>
            <w:tcW w:w="4459" w:type="dxa"/>
            <w:tcBorders>
              <w:bottom w:val="single" w:sz="8" w:space="0" w:color="000000"/>
            </w:tcBorders>
          </w:tcPr>
          <w:p>
            <w:pPr>
              <w:pStyle w:val="TableParagraph"/>
              <w:spacing w:line="240" w:lineRule="auto" w:before="73"/>
              <w:ind w:left="206"/>
              <w:rPr>
                <w:sz w:val="24"/>
              </w:rPr>
            </w:pPr>
            <w:r>
              <w:rPr>
                <w:spacing w:val="-4"/>
                <w:sz w:val="24"/>
              </w:rPr>
              <w:t>High</w:t>
            </w:r>
          </w:p>
        </w:tc>
      </w:tr>
    </w:tbl>
    <w:p>
      <w:pPr>
        <w:pStyle w:val="BodyText"/>
        <w:ind w:left="305"/>
        <w:jc w:val="left"/>
      </w:pPr>
      <w:r>
        <w:rPr>
          <w:b/>
        </w:rPr>
        <w:t>Source</w:t>
      </w:r>
      <w:r>
        <w:rPr/>
        <w:t>:</w:t>
      </w:r>
      <w:r>
        <w:rPr>
          <w:spacing w:val="-4"/>
        </w:rPr>
        <w:t> </w:t>
      </w:r>
      <w:r>
        <w:rPr/>
        <w:t>Niger</w:t>
      </w:r>
      <w:r>
        <w:rPr>
          <w:spacing w:val="-2"/>
        </w:rPr>
        <w:t> </w:t>
      </w:r>
      <w:r>
        <w:rPr/>
        <w:t>State</w:t>
      </w:r>
      <w:r>
        <w:rPr>
          <w:spacing w:val="-2"/>
        </w:rPr>
        <w:t> </w:t>
      </w:r>
      <w:r>
        <w:rPr/>
        <w:t>Urban</w:t>
      </w:r>
      <w:r>
        <w:rPr>
          <w:spacing w:val="-2"/>
        </w:rPr>
        <w:t> </w:t>
      </w:r>
      <w:r>
        <w:rPr/>
        <w:t>Development Board </w:t>
      </w:r>
      <w:r>
        <w:rPr>
          <w:spacing w:val="-2"/>
        </w:rPr>
        <w:t>(2015).</w:t>
      </w:r>
    </w:p>
    <w:p>
      <w:pPr>
        <w:pStyle w:val="BodyText"/>
        <w:spacing w:before="239"/>
        <w:jc w:val="left"/>
      </w:pPr>
    </w:p>
    <w:p>
      <w:pPr>
        <w:pStyle w:val="Heading1"/>
        <w:numPr>
          <w:ilvl w:val="2"/>
          <w:numId w:val="6"/>
        </w:numPr>
        <w:tabs>
          <w:tab w:pos="1024" w:val="left" w:leader="none"/>
        </w:tabs>
        <w:spacing w:line="240" w:lineRule="auto" w:before="0" w:after="0"/>
        <w:ind w:left="1024" w:right="0" w:hanging="719"/>
        <w:jc w:val="both"/>
      </w:pPr>
      <w:r>
        <w:rPr/>
        <w:t>Point</w:t>
      </w:r>
      <w:r>
        <w:rPr>
          <w:spacing w:val="-2"/>
        </w:rPr>
        <w:t> density</w:t>
      </w:r>
    </w:p>
    <w:p>
      <w:pPr>
        <w:pStyle w:val="BodyText"/>
        <w:spacing w:before="233"/>
        <w:jc w:val="left"/>
        <w:rPr>
          <w:b/>
        </w:rPr>
      </w:pPr>
    </w:p>
    <w:p>
      <w:pPr>
        <w:pStyle w:val="BodyText"/>
        <w:spacing w:line="480" w:lineRule="auto"/>
        <w:ind w:left="305" w:right="512"/>
      </w:pPr>
      <w:r>
        <w:rPr/>
        <w:t>Point density</w:t>
      </w:r>
      <w:r>
        <w:rPr>
          <w:spacing w:val="-5"/>
        </w:rPr>
        <w:t> </w:t>
      </w:r>
      <w:r>
        <w:rPr/>
        <w:t>spatial analyst tool of ArcGIS 10.6 was used to analyse residential density of the study area for the years under study. Point density produces a raster showing a magnitude per unit area from point features that fall within a neighborhood around each cell. Only the points that fall within the neighborhood are considered when calculating the density. If no points fall within the neighborhood at a particular cell, that cell is assigned NoData. Points used in the spatial model represent the location of buildings in the study area. The spatial analyses were extended to reach the boundary. Geo-pressing procedure</w:t>
      </w:r>
      <w:r>
        <w:rPr>
          <w:spacing w:val="-8"/>
        </w:rPr>
        <w:t> </w:t>
      </w:r>
      <w:r>
        <w:rPr/>
        <w:t>produces</w:t>
      </w:r>
      <w:r>
        <w:rPr>
          <w:spacing w:val="-5"/>
        </w:rPr>
        <w:t> </w:t>
      </w:r>
      <w:r>
        <w:rPr/>
        <w:t>raster</w:t>
      </w:r>
      <w:r>
        <w:rPr>
          <w:spacing w:val="-8"/>
        </w:rPr>
        <w:t> </w:t>
      </w:r>
      <w:r>
        <w:rPr/>
        <w:t>files</w:t>
      </w:r>
      <w:r>
        <w:rPr>
          <w:spacing w:val="-7"/>
        </w:rPr>
        <w:t> </w:t>
      </w:r>
      <w:r>
        <w:rPr/>
        <w:t>for</w:t>
      </w:r>
      <w:r>
        <w:rPr>
          <w:spacing w:val="-8"/>
        </w:rPr>
        <w:t> </w:t>
      </w:r>
      <w:r>
        <w:rPr/>
        <w:t>the</w:t>
      </w:r>
      <w:r>
        <w:rPr>
          <w:spacing w:val="-6"/>
        </w:rPr>
        <w:t> </w:t>
      </w:r>
      <w:r>
        <w:rPr/>
        <w:t>densities</w:t>
      </w:r>
      <w:r>
        <w:rPr>
          <w:spacing w:val="-8"/>
        </w:rPr>
        <w:t> </w:t>
      </w:r>
      <w:r>
        <w:rPr/>
        <w:t>for</w:t>
      </w:r>
      <w:r>
        <w:rPr>
          <w:spacing w:val="-8"/>
        </w:rPr>
        <w:t> </w:t>
      </w:r>
      <w:r>
        <w:rPr/>
        <w:t>the</w:t>
      </w:r>
      <w:r>
        <w:rPr>
          <w:spacing w:val="-3"/>
        </w:rPr>
        <w:t> </w:t>
      </w:r>
      <w:r>
        <w:rPr/>
        <w:t>year</w:t>
      </w:r>
      <w:r>
        <w:rPr>
          <w:spacing w:val="-6"/>
        </w:rPr>
        <w:t> </w:t>
      </w:r>
      <w:r>
        <w:rPr/>
        <w:t>2008,</w:t>
      </w:r>
      <w:r>
        <w:rPr>
          <w:spacing w:val="-7"/>
        </w:rPr>
        <w:t> </w:t>
      </w:r>
      <w:r>
        <w:rPr/>
        <w:t>2013</w:t>
      </w:r>
      <w:r>
        <w:rPr>
          <w:spacing w:val="-5"/>
        </w:rPr>
        <w:t> </w:t>
      </w:r>
      <w:r>
        <w:rPr/>
        <w:t>and</w:t>
      </w:r>
      <w:r>
        <w:rPr>
          <w:spacing w:val="-5"/>
        </w:rPr>
        <w:t> </w:t>
      </w:r>
      <w:r>
        <w:rPr/>
        <w:t>2018.</w:t>
      </w:r>
      <w:r>
        <w:rPr>
          <w:spacing w:val="-3"/>
        </w:rPr>
        <w:t> </w:t>
      </w:r>
      <w:r>
        <w:rPr/>
        <w:t>This</w:t>
      </w:r>
      <w:r>
        <w:rPr>
          <w:spacing w:val="-7"/>
        </w:rPr>
        <w:t> </w:t>
      </w:r>
      <w:r>
        <w:rPr/>
        <w:t>is adopted where ‘buildings within a fixed distance d from i’ is calculated in ArcGIS by using the ‘Point Density’ tool. This model was chosen for the benefit of better performance and visualization over land cover classification. The radius used for searching the neighbouring points d = 0.002672 m was chosen according to the content of data.</w:t>
      </w:r>
    </w:p>
    <w:p>
      <w:pPr>
        <w:pStyle w:val="Heading1"/>
        <w:numPr>
          <w:ilvl w:val="2"/>
          <w:numId w:val="6"/>
        </w:numPr>
        <w:tabs>
          <w:tab w:pos="1024" w:val="left" w:leader="none"/>
        </w:tabs>
        <w:spacing w:line="240" w:lineRule="auto" w:before="250" w:after="0"/>
        <w:ind w:left="1024" w:right="0" w:hanging="719"/>
        <w:jc w:val="both"/>
      </w:pPr>
      <w:r>
        <w:rPr/>
        <w:t>Spatial</w:t>
      </w:r>
      <w:r>
        <w:rPr>
          <w:spacing w:val="1"/>
        </w:rPr>
        <w:t> </w:t>
      </w:r>
      <w:r>
        <w:rPr>
          <w:spacing w:val="-2"/>
        </w:rPr>
        <w:t>interpolation</w:t>
      </w:r>
    </w:p>
    <w:p>
      <w:pPr>
        <w:pStyle w:val="BodyText"/>
        <w:spacing w:before="191"/>
        <w:jc w:val="left"/>
        <w:rPr>
          <w:b/>
        </w:rPr>
      </w:pPr>
    </w:p>
    <w:p>
      <w:pPr>
        <w:pStyle w:val="BodyText"/>
        <w:spacing w:line="480" w:lineRule="auto" w:before="1"/>
        <w:ind w:left="305" w:right="511"/>
      </w:pPr>
      <w:r>
        <w:rPr/>
        <w:t>Spatial interpolation methods were used to generate models for housing market. The interpolation</w:t>
      </w:r>
      <w:r>
        <w:rPr>
          <w:spacing w:val="-7"/>
        </w:rPr>
        <w:t> </w:t>
      </w:r>
      <w:r>
        <w:rPr/>
        <w:t>methods</w:t>
      </w:r>
      <w:r>
        <w:rPr>
          <w:spacing w:val="-7"/>
        </w:rPr>
        <w:t> </w:t>
      </w:r>
      <w:r>
        <w:rPr/>
        <w:t>used</w:t>
      </w:r>
      <w:r>
        <w:rPr>
          <w:spacing w:val="-7"/>
        </w:rPr>
        <w:t> </w:t>
      </w:r>
      <w:r>
        <w:rPr/>
        <w:t>was</w:t>
      </w:r>
      <w:r>
        <w:rPr>
          <w:spacing w:val="-7"/>
        </w:rPr>
        <w:t> </w:t>
      </w:r>
      <w:r>
        <w:rPr/>
        <w:t>Ordinary</w:t>
      </w:r>
      <w:r>
        <w:rPr>
          <w:spacing w:val="-12"/>
        </w:rPr>
        <w:t> </w:t>
      </w:r>
      <w:r>
        <w:rPr/>
        <w:t>Kriging</w:t>
      </w:r>
      <w:r>
        <w:rPr>
          <w:spacing w:val="-7"/>
        </w:rPr>
        <w:t> </w:t>
      </w:r>
      <w:r>
        <w:rPr/>
        <w:t>(OK).</w:t>
      </w:r>
      <w:r>
        <w:rPr>
          <w:spacing w:val="-7"/>
        </w:rPr>
        <w:t> </w:t>
      </w:r>
      <w:r>
        <w:rPr/>
        <w:t>Most</w:t>
      </w:r>
      <w:r>
        <w:rPr>
          <w:spacing w:val="-7"/>
        </w:rPr>
        <w:t> </w:t>
      </w:r>
      <w:r>
        <w:rPr/>
        <w:t>of</w:t>
      </w:r>
      <w:r>
        <w:rPr>
          <w:spacing w:val="-8"/>
        </w:rPr>
        <w:t> </w:t>
      </w:r>
      <w:r>
        <w:rPr/>
        <w:t>the</w:t>
      </w:r>
      <w:r>
        <w:rPr>
          <w:spacing w:val="-8"/>
        </w:rPr>
        <w:t> </w:t>
      </w:r>
      <w:r>
        <w:rPr/>
        <w:t>tools</w:t>
      </w:r>
      <w:r>
        <w:rPr>
          <w:spacing w:val="-7"/>
        </w:rPr>
        <w:t> </w:t>
      </w:r>
      <w:r>
        <w:rPr/>
        <w:t>for</w:t>
      </w:r>
      <w:r>
        <w:rPr>
          <w:spacing w:val="-9"/>
        </w:rPr>
        <w:t> </w:t>
      </w:r>
      <w:r>
        <w:rPr/>
        <w:t>performing interpolation require only one value subjected to interpolation, associated with a single point.</w:t>
      </w:r>
      <w:r>
        <w:rPr>
          <w:spacing w:val="-2"/>
        </w:rPr>
        <w:t> </w:t>
      </w:r>
      <w:r>
        <w:rPr/>
        <w:t>Geostatistical</w:t>
      </w:r>
      <w:r>
        <w:rPr>
          <w:spacing w:val="-4"/>
        </w:rPr>
        <w:t> </w:t>
      </w:r>
      <w:r>
        <w:rPr/>
        <w:t>Wizard,</w:t>
      </w:r>
      <w:r>
        <w:rPr>
          <w:spacing w:val="-1"/>
        </w:rPr>
        <w:t> </w:t>
      </w:r>
      <w:r>
        <w:rPr/>
        <w:t>a</w:t>
      </w:r>
      <w:r>
        <w:rPr>
          <w:spacing w:val="-4"/>
        </w:rPr>
        <w:t> </w:t>
      </w:r>
      <w:r>
        <w:rPr/>
        <w:t>part</w:t>
      </w:r>
      <w:r>
        <w:rPr>
          <w:spacing w:val="-2"/>
        </w:rPr>
        <w:t> </w:t>
      </w:r>
      <w:r>
        <w:rPr/>
        <w:t>of</w:t>
      </w:r>
      <w:r>
        <w:rPr>
          <w:spacing w:val="-2"/>
        </w:rPr>
        <w:t> </w:t>
      </w:r>
      <w:r>
        <w:rPr/>
        <w:t>the</w:t>
      </w:r>
      <w:r>
        <w:rPr>
          <w:spacing w:val="-2"/>
        </w:rPr>
        <w:t> </w:t>
      </w:r>
      <w:r>
        <w:rPr/>
        <w:t>Geospatial</w:t>
      </w:r>
      <w:r>
        <w:rPr>
          <w:spacing w:val="-2"/>
        </w:rPr>
        <w:t> </w:t>
      </w:r>
      <w:r>
        <w:rPr/>
        <w:t>Analyst</w:t>
      </w:r>
      <w:r>
        <w:rPr>
          <w:spacing w:val="-2"/>
        </w:rPr>
        <w:t> </w:t>
      </w:r>
      <w:r>
        <w:rPr/>
        <w:t>extension</w:t>
      </w:r>
      <w:r>
        <w:rPr>
          <w:spacing w:val="-1"/>
        </w:rPr>
        <w:t> </w:t>
      </w:r>
      <w:r>
        <w:rPr/>
        <w:t>of</w:t>
      </w:r>
      <w:r>
        <w:rPr>
          <w:spacing w:val="-5"/>
        </w:rPr>
        <w:t> </w:t>
      </w:r>
      <w:r>
        <w:rPr/>
        <w:t>Esri’s</w:t>
      </w:r>
      <w:r>
        <w:rPr>
          <w:spacing w:val="-2"/>
        </w:rPr>
        <w:t> ArcGIS</w:t>
      </w:r>
    </w:p>
    <w:p>
      <w:pPr>
        <w:spacing w:after="0" w:line="480" w:lineRule="auto"/>
        <w:sectPr>
          <w:pgSz w:w="11910" w:h="16840"/>
          <w:pgMar w:header="0" w:footer="1022" w:top="1320" w:bottom="1220" w:left="1680" w:right="900"/>
        </w:sectPr>
      </w:pPr>
    </w:p>
    <w:p>
      <w:pPr>
        <w:pStyle w:val="BodyText"/>
        <w:spacing w:line="480" w:lineRule="auto" w:before="72"/>
        <w:ind w:left="305" w:right="512"/>
      </w:pPr>
      <w:r>
        <w:rPr/>
        <w:t>software was used to automatically select the interpolation parameters of the examined data.</w:t>
      </w:r>
      <w:r>
        <w:rPr>
          <w:spacing w:val="-13"/>
        </w:rPr>
        <w:t> </w:t>
      </w:r>
      <w:r>
        <w:rPr/>
        <w:t>Rental</w:t>
      </w:r>
      <w:r>
        <w:rPr>
          <w:spacing w:val="-12"/>
        </w:rPr>
        <w:t> </w:t>
      </w:r>
      <w:r>
        <w:rPr/>
        <w:t>value</w:t>
      </w:r>
      <w:r>
        <w:rPr>
          <w:spacing w:val="-13"/>
        </w:rPr>
        <w:t> </w:t>
      </w:r>
      <w:r>
        <w:rPr/>
        <w:t>of</w:t>
      </w:r>
      <w:r>
        <w:rPr>
          <w:spacing w:val="-13"/>
        </w:rPr>
        <w:t> </w:t>
      </w:r>
      <w:r>
        <w:rPr/>
        <w:t>residential</w:t>
      </w:r>
      <w:r>
        <w:rPr>
          <w:spacing w:val="-11"/>
        </w:rPr>
        <w:t> </w:t>
      </w:r>
      <w:r>
        <w:rPr/>
        <w:t>rental</w:t>
      </w:r>
      <w:r>
        <w:rPr>
          <w:spacing w:val="-12"/>
        </w:rPr>
        <w:t> </w:t>
      </w:r>
      <w:r>
        <w:rPr/>
        <w:t>apartment</w:t>
      </w:r>
      <w:r>
        <w:rPr>
          <w:spacing w:val="-9"/>
        </w:rPr>
        <w:t> </w:t>
      </w:r>
      <w:r>
        <w:rPr/>
        <w:t>managed</w:t>
      </w:r>
      <w:r>
        <w:rPr>
          <w:spacing w:val="-12"/>
        </w:rPr>
        <w:t> </w:t>
      </w:r>
      <w:r>
        <w:rPr/>
        <w:t>by</w:t>
      </w:r>
      <w:r>
        <w:rPr>
          <w:spacing w:val="-13"/>
        </w:rPr>
        <w:t> </w:t>
      </w:r>
      <w:r>
        <w:rPr/>
        <w:t>estate</w:t>
      </w:r>
      <w:r>
        <w:rPr>
          <w:spacing w:val="-13"/>
        </w:rPr>
        <w:t> </w:t>
      </w:r>
      <w:r>
        <w:rPr/>
        <w:t>surveyors</w:t>
      </w:r>
      <w:r>
        <w:rPr>
          <w:spacing w:val="-13"/>
        </w:rPr>
        <w:t> </w:t>
      </w:r>
      <w:r>
        <w:rPr/>
        <w:t>firm</w:t>
      </w:r>
      <w:r>
        <w:rPr>
          <w:spacing w:val="-12"/>
        </w:rPr>
        <w:t> </w:t>
      </w:r>
      <w:r>
        <w:rPr/>
        <w:t>which would form group of X variables and space forming Y variable was interpolated with filled contours to show areas with higher rental values for a particular year and this was applied</w:t>
      </w:r>
      <w:r>
        <w:rPr>
          <w:spacing w:val="-1"/>
        </w:rPr>
        <w:t> </w:t>
      </w:r>
      <w:r>
        <w:rPr/>
        <w:t>to</w:t>
      </w:r>
      <w:r>
        <w:rPr>
          <w:spacing w:val="-1"/>
        </w:rPr>
        <w:t> </w:t>
      </w:r>
      <w:r>
        <w:rPr/>
        <w:t>the year</w:t>
      </w:r>
      <w:r>
        <w:rPr>
          <w:spacing w:val="-1"/>
        </w:rPr>
        <w:t> </w:t>
      </w:r>
      <w:r>
        <w:rPr/>
        <w:t>period</w:t>
      </w:r>
      <w:r>
        <w:rPr>
          <w:spacing w:val="-1"/>
        </w:rPr>
        <w:t> </w:t>
      </w:r>
      <w:r>
        <w:rPr/>
        <w:t>in</w:t>
      </w:r>
      <w:r>
        <w:rPr>
          <w:spacing w:val="-1"/>
        </w:rPr>
        <w:t> </w:t>
      </w:r>
      <w:r>
        <w:rPr/>
        <w:t>order</w:t>
      </w:r>
      <w:r>
        <w:rPr>
          <w:spacing w:val="-1"/>
        </w:rPr>
        <w:t> </w:t>
      </w:r>
      <w:r>
        <w:rPr/>
        <w:t>to examine</w:t>
      </w:r>
      <w:r>
        <w:rPr>
          <w:spacing w:val="-2"/>
        </w:rPr>
        <w:t> </w:t>
      </w:r>
      <w:r>
        <w:rPr/>
        <w:t>the</w:t>
      </w:r>
      <w:r>
        <w:rPr>
          <w:spacing w:val="-4"/>
        </w:rPr>
        <w:t> </w:t>
      </w:r>
      <w:r>
        <w:rPr/>
        <w:t>spatiotemporal</w:t>
      </w:r>
      <w:r>
        <w:rPr>
          <w:spacing w:val="-1"/>
        </w:rPr>
        <w:t> </w:t>
      </w:r>
      <w:r>
        <w:rPr/>
        <w:t>changes</w:t>
      </w:r>
      <w:r>
        <w:rPr>
          <w:spacing w:val="-1"/>
        </w:rPr>
        <w:t> </w:t>
      </w:r>
      <w:r>
        <w:rPr/>
        <w:t>in</w:t>
      </w:r>
      <w:r>
        <w:rPr>
          <w:spacing w:val="-1"/>
        </w:rPr>
        <w:t> </w:t>
      </w:r>
      <w:r>
        <w:rPr/>
        <w:t>the</w:t>
      </w:r>
      <w:r>
        <w:rPr>
          <w:spacing w:val="-2"/>
        </w:rPr>
        <w:t> </w:t>
      </w:r>
      <w:r>
        <w:rPr/>
        <w:t>housing market within the time period.</w:t>
      </w:r>
    </w:p>
    <w:p>
      <w:pPr>
        <w:pStyle w:val="Heading1"/>
        <w:numPr>
          <w:ilvl w:val="1"/>
          <w:numId w:val="6"/>
        </w:numPr>
        <w:tabs>
          <w:tab w:pos="1024" w:val="left" w:leader="none"/>
        </w:tabs>
        <w:spacing w:line="240" w:lineRule="auto" w:before="248" w:after="0"/>
        <w:ind w:left="1024" w:right="0" w:hanging="719"/>
        <w:jc w:val="both"/>
      </w:pPr>
      <w:r>
        <w:rPr/>
        <w:t>The</w:t>
      </w:r>
      <w:r>
        <w:rPr>
          <w:spacing w:val="-6"/>
        </w:rPr>
        <w:t> </w:t>
      </w:r>
      <w:r>
        <w:rPr/>
        <w:t>Predictive</w:t>
      </w:r>
      <w:r>
        <w:rPr>
          <w:spacing w:val="-1"/>
        </w:rPr>
        <w:t> </w:t>
      </w:r>
      <w:r>
        <w:rPr>
          <w:spacing w:val="-4"/>
        </w:rPr>
        <w:t>Model</w:t>
      </w:r>
    </w:p>
    <w:p>
      <w:pPr>
        <w:pStyle w:val="BodyText"/>
        <w:spacing w:before="199"/>
        <w:jc w:val="left"/>
        <w:rPr>
          <w:b/>
        </w:rPr>
      </w:pPr>
    </w:p>
    <w:p>
      <w:pPr>
        <w:pStyle w:val="ListParagraph"/>
        <w:numPr>
          <w:ilvl w:val="2"/>
          <w:numId w:val="6"/>
        </w:numPr>
        <w:tabs>
          <w:tab w:pos="1024" w:val="left" w:leader="none"/>
        </w:tabs>
        <w:spacing w:line="240" w:lineRule="auto" w:before="0" w:after="0"/>
        <w:ind w:left="1024" w:right="0" w:hanging="719"/>
        <w:jc w:val="both"/>
        <w:rPr>
          <w:b/>
          <w:sz w:val="24"/>
        </w:rPr>
      </w:pPr>
      <w:r>
        <w:rPr>
          <w:b/>
          <w:sz w:val="24"/>
        </w:rPr>
        <w:t>Raster, raster</w:t>
      </w:r>
      <w:r>
        <w:rPr>
          <w:b/>
          <w:spacing w:val="-2"/>
          <w:sz w:val="24"/>
        </w:rPr>
        <w:t> </w:t>
      </w:r>
      <w:r>
        <w:rPr>
          <w:b/>
          <w:sz w:val="24"/>
        </w:rPr>
        <w:t>clipping</w:t>
      </w:r>
      <w:r>
        <w:rPr>
          <w:b/>
          <w:spacing w:val="-4"/>
          <w:sz w:val="24"/>
        </w:rPr>
        <w:t> </w:t>
      </w:r>
      <w:r>
        <w:rPr>
          <w:b/>
          <w:sz w:val="24"/>
        </w:rPr>
        <w:t>and raster</w:t>
      </w:r>
      <w:r>
        <w:rPr>
          <w:b/>
          <w:spacing w:val="-2"/>
          <w:sz w:val="24"/>
        </w:rPr>
        <w:t> reclass</w:t>
      </w:r>
    </w:p>
    <w:p>
      <w:pPr>
        <w:pStyle w:val="BodyText"/>
        <w:spacing w:before="192"/>
        <w:jc w:val="left"/>
        <w:rPr>
          <w:b/>
        </w:rPr>
      </w:pPr>
    </w:p>
    <w:p>
      <w:pPr>
        <w:pStyle w:val="BodyText"/>
        <w:spacing w:line="480" w:lineRule="auto"/>
        <w:ind w:left="305" w:right="514"/>
      </w:pPr>
      <w:r>
        <w:rPr/>
        <w:t>The</w:t>
      </w:r>
      <w:r>
        <w:rPr>
          <w:spacing w:val="-12"/>
        </w:rPr>
        <w:t> </w:t>
      </w:r>
      <w:r>
        <w:rPr/>
        <w:t>Ordinary</w:t>
      </w:r>
      <w:r>
        <w:rPr>
          <w:spacing w:val="-14"/>
        </w:rPr>
        <w:t> </w:t>
      </w:r>
      <w:r>
        <w:rPr/>
        <w:t>Kriging</w:t>
      </w:r>
      <w:r>
        <w:rPr>
          <w:spacing w:val="-12"/>
        </w:rPr>
        <w:t> </w:t>
      </w:r>
      <w:r>
        <w:rPr/>
        <w:t>results</w:t>
      </w:r>
      <w:r>
        <w:rPr>
          <w:spacing w:val="-9"/>
        </w:rPr>
        <w:t> </w:t>
      </w:r>
      <w:r>
        <w:rPr/>
        <w:t>and</w:t>
      </w:r>
      <w:r>
        <w:rPr>
          <w:spacing w:val="-10"/>
        </w:rPr>
        <w:t> </w:t>
      </w:r>
      <w:r>
        <w:rPr/>
        <w:t>Point</w:t>
      </w:r>
      <w:r>
        <w:rPr>
          <w:spacing w:val="-11"/>
        </w:rPr>
        <w:t> </w:t>
      </w:r>
      <w:r>
        <w:rPr/>
        <w:t>density</w:t>
      </w:r>
      <w:r>
        <w:rPr>
          <w:spacing w:val="-15"/>
        </w:rPr>
        <w:t> </w:t>
      </w:r>
      <w:r>
        <w:rPr/>
        <w:t>results</w:t>
      </w:r>
      <w:r>
        <w:rPr>
          <w:spacing w:val="-9"/>
        </w:rPr>
        <w:t> </w:t>
      </w:r>
      <w:r>
        <w:rPr/>
        <w:t>were</w:t>
      </w:r>
      <w:r>
        <w:rPr>
          <w:spacing w:val="-11"/>
        </w:rPr>
        <w:t> </w:t>
      </w:r>
      <w:r>
        <w:rPr/>
        <w:t>exported</w:t>
      </w:r>
      <w:r>
        <w:rPr>
          <w:spacing w:val="-10"/>
        </w:rPr>
        <w:t> </w:t>
      </w:r>
      <w:r>
        <w:rPr/>
        <w:t>as</w:t>
      </w:r>
      <w:r>
        <w:rPr>
          <w:spacing w:val="-9"/>
        </w:rPr>
        <w:t> </w:t>
      </w:r>
      <w:r>
        <w:rPr/>
        <w:t>raster</w:t>
      </w:r>
      <w:r>
        <w:rPr>
          <w:spacing w:val="-10"/>
        </w:rPr>
        <w:t> </w:t>
      </w:r>
      <w:r>
        <w:rPr/>
        <w:t>files</w:t>
      </w:r>
      <w:r>
        <w:rPr>
          <w:spacing w:val="-9"/>
        </w:rPr>
        <w:t> </w:t>
      </w:r>
      <w:r>
        <w:rPr/>
        <w:t>where each was saved using their unique identity. Density Raster files were saved as D2008, D2013</w:t>
      </w:r>
      <w:r>
        <w:rPr>
          <w:spacing w:val="-12"/>
        </w:rPr>
        <w:t> </w:t>
      </w:r>
      <w:r>
        <w:rPr/>
        <w:t>and</w:t>
      </w:r>
      <w:r>
        <w:rPr>
          <w:spacing w:val="-11"/>
        </w:rPr>
        <w:t> </w:t>
      </w:r>
      <w:r>
        <w:rPr/>
        <w:t>D2018</w:t>
      </w:r>
      <w:r>
        <w:rPr>
          <w:spacing w:val="-11"/>
        </w:rPr>
        <w:t> </w:t>
      </w:r>
      <w:r>
        <w:rPr/>
        <w:t>for</w:t>
      </w:r>
      <w:r>
        <w:rPr>
          <w:spacing w:val="-11"/>
        </w:rPr>
        <w:t> </w:t>
      </w:r>
      <w:r>
        <w:rPr/>
        <w:t>density</w:t>
      </w:r>
      <w:r>
        <w:rPr>
          <w:spacing w:val="-15"/>
        </w:rPr>
        <w:t> </w:t>
      </w:r>
      <w:r>
        <w:rPr/>
        <w:t>of</w:t>
      </w:r>
      <w:r>
        <w:rPr>
          <w:spacing w:val="-11"/>
        </w:rPr>
        <w:t> </w:t>
      </w:r>
      <w:r>
        <w:rPr/>
        <w:t>the</w:t>
      </w:r>
      <w:r>
        <w:rPr>
          <w:spacing w:val="-9"/>
        </w:rPr>
        <w:t> </w:t>
      </w:r>
      <w:r>
        <w:rPr/>
        <w:t>years</w:t>
      </w:r>
      <w:r>
        <w:rPr>
          <w:spacing w:val="-11"/>
        </w:rPr>
        <w:t> </w:t>
      </w:r>
      <w:r>
        <w:rPr/>
        <w:t>2008,</w:t>
      </w:r>
      <w:r>
        <w:rPr>
          <w:spacing w:val="-11"/>
        </w:rPr>
        <w:t> </w:t>
      </w:r>
      <w:r>
        <w:rPr/>
        <w:t>2013</w:t>
      </w:r>
      <w:r>
        <w:rPr>
          <w:spacing w:val="-11"/>
        </w:rPr>
        <w:t> </w:t>
      </w:r>
      <w:r>
        <w:rPr/>
        <w:t>and</w:t>
      </w:r>
      <w:r>
        <w:rPr>
          <w:spacing w:val="-11"/>
        </w:rPr>
        <w:t> </w:t>
      </w:r>
      <w:r>
        <w:rPr/>
        <w:t>2018</w:t>
      </w:r>
      <w:r>
        <w:rPr>
          <w:spacing w:val="-11"/>
        </w:rPr>
        <w:t> </w:t>
      </w:r>
      <w:r>
        <w:rPr/>
        <w:t>respectively,</w:t>
      </w:r>
      <w:r>
        <w:rPr>
          <w:spacing w:val="-5"/>
        </w:rPr>
        <w:t> </w:t>
      </w:r>
      <w:r>
        <w:rPr/>
        <w:t>while</w:t>
      </w:r>
      <w:r>
        <w:rPr>
          <w:spacing w:val="-11"/>
        </w:rPr>
        <w:t> </w:t>
      </w:r>
      <w:r>
        <w:rPr/>
        <w:t>rental value raster files were saved as R1_2008, R1_2013 and R1_2018 for one bedrooms for the years 2008, 2013 and 2018 respectively; R2_2008, R2_2013 and R2_2018 for two bedrooms for the years 2008, 2013 and 2018 respectively; R3_2008, R3_2013 and R3_2018 for three bedrooms for the years 2008, 2013 and 2018 respectively.</w:t>
      </w:r>
    </w:p>
    <w:p>
      <w:pPr>
        <w:pStyle w:val="BodyText"/>
        <w:spacing w:line="480" w:lineRule="auto" w:before="241"/>
        <w:ind w:left="305" w:right="514"/>
      </w:pPr>
      <w:r>
        <w:rPr/>
        <w:t>The</w:t>
      </w:r>
      <w:r>
        <w:rPr>
          <w:spacing w:val="-1"/>
        </w:rPr>
        <w:t> </w:t>
      </w:r>
      <w:r>
        <w:rPr/>
        <w:t>raster data files were clipped to the boundary</w:t>
      </w:r>
      <w:r>
        <w:rPr>
          <w:spacing w:val="-2"/>
        </w:rPr>
        <w:t> </w:t>
      </w:r>
      <w:r>
        <w:rPr/>
        <w:t>of the study</w:t>
      </w:r>
      <w:r>
        <w:rPr>
          <w:spacing w:val="-2"/>
        </w:rPr>
        <w:t> </w:t>
      </w:r>
      <w:r>
        <w:rPr/>
        <w:t>area using clip tool in the data Management Toolbox of ArcGIS 10.6. This allowed equal measurements in terms of number cells in the raster files. The raster files were reclassed into the same class intervals.</w:t>
      </w:r>
      <w:r>
        <w:rPr>
          <w:spacing w:val="-2"/>
        </w:rPr>
        <w:t> </w:t>
      </w:r>
      <w:r>
        <w:rPr/>
        <w:t>The</w:t>
      </w:r>
      <w:r>
        <w:rPr>
          <w:spacing w:val="-2"/>
        </w:rPr>
        <w:t> </w:t>
      </w:r>
      <w:r>
        <w:rPr/>
        <w:t>density</w:t>
      </w:r>
      <w:r>
        <w:rPr>
          <w:spacing w:val="-7"/>
        </w:rPr>
        <w:t> </w:t>
      </w:r>
      <w:r>
        <w:rPr/>
        <w:t>raster</w:t>
      </w:r>
      <w:r>
        <w:rPr>
          <w:spacing w:val="-4"/>
        </w:rPr>
        <w:t> </w:t>
      </w:r>
      <w:r>
        <w:rPr/>
        <w:t>files</w:t>
      </w:r>
      <w:r>
        <w:rPr>
          <w:spacing w:val="-1"/>
        </w:rPr>
        <w:t> </w:t>
      </w:r>
      <w:r>
        <w:rPr/>
        <w:t>were</w:t>
      </w:r>
      <w:r>
        <w:rPr>
          <w:spacing w:val="-4"/>
        </w:rPr>
        <w:t> </w:t>
      </w:r>
      <w:r>
        <w:rPr/>
        <w:t>reclassed</w:t>
      </w:r>
      <w:r>
        <w:rPr>
          <w:spacing w:val="-2"/>
        </w:rPr>
        <w:t> </w:t>
      </w:r>
      <w:r>
        <w:rPr/>
        <w:t>into</w:t>
      </w:r>
      <w:r>
        <w:rPr>
          <w:spacing w:val="-2"/>
        </w:rPr>
        <w:t> </w:t>
      </w:r>
      <w:r>
        <w:rPr/>
        <w:t>nine</w:t>
      </w:r>
      <w:r>
        <w:rPr>
          <w:spacing w:val="-2"/>
        </w:rPr>
        <w:t> </w:t>
      </w:r>
      <w:r>
        <w:rPr/>
        <w:t>classes</w:t>
      </w:r>
      <w:r>
        <w:rPr>
          <w:spacing w:val="-2"/>
        </w:rPr>
        <w:t> </w:t>
      </w:r>
      <w:r>
        <w:rPr/>
        <w:t>while</w:t>
      </w:r>
      <w:r>
        <w:rPr>
          <w:spacing w:val="-3"/>
        </w:rPr>
        <w:t> </w:t>
      </w:r>
      <w:r>
        <w:rPr/>
        <w:t>rental</w:t>
      </w:r>
      <w:r>
        <w:rPr>
          <w:spacing w:val="-2"/>
        </w:rPr>
        <w:t> </w:t>
      </w:r>
      <w:r>
        <w:rPr/>
        <w:t>raster</w:t>
      </w:r>
      <w:r>
        <w:rPr>
          <w:spacing w:val="-1"/>
        </w:rPr>
        <w:t> </w:t>
      </w:r>
      <w:r>
        <w:rPr/>
        <w:t>files were recalssed into 10 classes. Thereafter, total cell count for each class was recorded.</w:t>
      </w:r>
    </w:p>
    <w:p>
      <w:pPr>
        <w:spacing w:after="0" w:line="480" w:lineRule="auto"/>
        <w:sectPr>
          <w:pgSz w:w="11910" w:h="16840"/>
          <w:pgMar w:header="0" w:footer="1022" w:top="1320" w:bottom="1220" w:left="1680" w:right="900"/>
        </w:sectPr>
      </w:pPr>
    </w:p>
    <w:p>
      <w:pPr>
        <w:pStyle w:val="Heading1"/>
        <w:numPr>
          <w:ilvl w:val="2"/>
          <w:numId w:val="6"/>
        </w:numPr>
        <w:tabs>
          <w:tab w:pos="1024" w:val="left" w:leader="none"/>
        </w:tabs>
        <w:spacing w:line="240" w:lineRule="auto" w:before="79" w:after="0"/>
        <w:ind w:left="1024" w:right="0" w:hanging="719"/>
        <w:jc w:val="left"/>
      </w:pPr>
      <w:r>
        <w:rPr/>
        <w:t>Artificial</w:t>
      </w:r>
      <w:r>
        <w:rPr>
          <w:spacing w:val="-2"/>
        </w:rPr>
        <w:t> </w:t>
      </w:r>
      <w:r>
        <w:rPr/>
        <w:t>neural</w:t>
      </w:r>
      <w:r>
        <w:rPr>
          <w:spacing w:val="-1"/>
        </w:rPr>
        <w:t> </w:t>
      </w:r>
      <w:r>
        <w:rPr>
          <w:spacing w:val="-2"/>
        </w:rPr>
        <w:t>network</w:t>
      </w:r>
    </w:p>
    <w:p>
      <w:pPr>
        <w:pStyle w:val="BodyText"/>
        <w:spacing w:before="192"/>
        <w:jc w:val="left"/>
        <w:rPr>
          <w:b/>
        </w:rPr>
      </w:pPr>
    </w:p>
    <w:p>
      <w:pPr>
        <w:pStyle w:val="BodyText"/>
        <w:spacing w:line="480" w:lineRule="auto"/>
        <w:ind w:left="305" w:right="511"/>
      </w:pPr>
      <w:r>
        <w:rPr/>
        <w:t>Machine</w:t>
      </w:r>
      <w:r>
        <w:rPr>
          <w:spacing w:val="-3"/>
        </w:rPr>
        <w:t> </w:t>
      </w:r>
      <w:r>
        <w:rPr/>
        <w:t>learning</w:t>
      </w:r>
      <w:r>
        <w:rPr>
          <w:spacing w:val="-4"/>
        </w:rPr>
        <w:t> </w:t>
      </w:r>
      <w:r>
        <w:rPr/>
        <w:t>approach</w:t>
      </w:r>
      <w:r>
        <w:rPr>
          <w:spacing w:val="-3"/>
        </w:rPr>
        <w:t> </w:t>
      </w:r>
      <w:r>
        <w:rPr/>
        <w:t>using</w:t>
      </w:r>
      <w:r>
        <w:rPr>
          <w:spacing w:val="-4"/>
        </w:rPr>
        <w:t> </w:t>
      </w:r>
      <w:r>
        <w:rPr/>
        <w:t>ANN</w:t>
      </w:r>
      <w:r>
        <w:rPr>
          <w:spacing w:val="-4"/>
        </w:rPr>
        <w:t> </w:t>
      </w:r>
      <w:r>
        <w:rPr/>
        <w:t>was</w:t>
      </w:r>
      <w:r>
        <w:rPr>
          <w:spacing w:val="-3"/>
        </w:rPr>
        <w:t> </w:t>
      </w:r>
      <w:r>
        <w:rPr/>
        <w:t>adopted</w:t>
      </w:r>
      <w:r>
        <w:rPr>
          <w:spacing w:val="-3"/>
        </w:rPr>
        <w:t> </w:t>
      </w:r>
      <w:r>
        <w:rPr/>
        <w:t>to</w:t>
      </w:r>
      <w:r>
        <w:rPr>
          <w:spacing w:val="-3"/>
        </w:rPr>
        <w:t> </w:t>
      </w:r>
      <w:r>
        <w:rPr/>
        <w:t>analyse</w:t>
      </w:r>
      <w:r>
        <w:rPr>
          <w:spacing w:val="-4"/>
        </w:rPr>
        <w:t> </w:t>
      </w:r>
      <w:r>
        <w:rPr/>
        <w:t>the</w:t>
      </w:r>
      <w:r>
        <w:rPr>
          <w:spacing w:val="-3"/>
        </w:rPr>
        <w:t> </w:t>
      </w:r>
      <w:r>
        <w:rPr/>
        <w:t>changes</w:t>
      </w:r>
      <w:r>
        <w:rPr>
          <w:spacing w:val="-1"/>
        </w:rPr>
        <w:t> </w:t>
      </w:r>
      <w:r>
        <w:rPr/>
        <w:t>that</w:t>
      </w:r>
      <w:r>
        <w:rPr>
          <w:spacing w:val="-3"/>
        </w:rPr>
        <w:t> </w:t>
      </w:r>
      <w:r>
        <w:rPr/>
        <w:t>occur</w:t>
      </w:r>
      <w:r>
        <w:rPr>
          <w:spacing w:val="-4"/>
        </w:rPr>
        <w:t> </w:t>
      </w:r>
      <w:r>
        <w:rPr/>
        <w:t>in the</w:t>
      </w:r>
      <w:r>
        <w:rPr>
          <w:spacing w:val="-10"/>
        </w:rPr>
        <w:t> </w:t>
      </w:r>
      <w:r>
        <w:rPr/>
        <w:t>residential</w:t>
      </w:r>
      <w:r>
        <w:rPr>
          <w:spacing w:val="-7"/>
        </w:rPr>
        <w:t> </w:t>
      </w:r>
      <w:r>
        <w:rPr/>
        <w:t>density</w:t>
      </w:r>
      <w:r>
        <w:rPr>
          <w:spacing w:val="-12"/>
        </w:rPr>
        <w:t> </w:t>
      </w:r>
      <w:r>
        <w:rPr/>
        <w:t>and</w:t>
      </w:r>
      <w:r>
        <w:rPr>
          <w:spacing w:val="-8"/>
        </w:rPr>
        <w:t> </w:t>
      </w:r>
      <w:r>
        <w:rPr/>
        <w:t>housing</w:t>
      </w:r>
      <w:r>
        <w:rPr>
          <w:spacing w:val="-10"/>
        </w:rPr>
        <w:t> </w:t>
      </w:r>
      <w:r>
        <w:rPr/>
        <w:t>market</w:t>
      </w:r>
      <w:r>
        <w:rPr>
          <w:spacing w:val="-7"/>
        </w:rPr>
        <w:t> </w:t>
      </w:r>
      <w:r>
        <w:rPr/>
        <w:t>within</w:t>
      </w:r>
      <w:r>
        <w:rPr>
          <w:spacing w:val="-10"/>
        </w:rPr>
        <w:t> </w:t>
      </w:r>
      <w:r>
        <w:rPr/>
        <w:t>the</w:t>
      </w:r>
      <w:r>
        <w:rPr>
          <w:spacing w:val="-10"/>
        </w:rPr>
        <w:t> </w:t>
      </w:r>
      <w:r>
        <w:rPr/>
        <w:t>10</w:t>
      </w:r>
      <w:r>
        <w:rPr>
          <w:spacing w:val="-5"/>
        </w:rPr>
        <w:t> </w:t>
      </w:r>
      <w:r>
        <w:rPr/>
        <w:t>years</w:t>
      </w:r>
      <w:r>
        <w:rPr>
          <w:spacing w:val="-8"/>
        </w:rPr>
        <w:t> </w:t>
      </w:r>
      <w:r>
        <w:rPr/>
        <w:t>period.</w:t>
      </w:r>
      <w:r>
        <w:rPr>
          <w:spacing w:val="-8"/>
        </w:rPr>
        <w:t> </w:t>
      </w:r>
      <w:r>
        <w:rPr/>
        <w:t>Based</w:t>
      </w:r>
      <w:r>
        <w:rPr>
          <w:spacing w:val="-8"/>
        </w:rPr>
        <w:t> </w:t>
      </w:r>
      <w:r>
        <w:rPr/>
        <w:t>on</w:t>
      </w:r>
      <w:r>
        <w:rPr>
          <w:spacing w:val="-10"/>
        </w:rPr>
        <w:t> </w:t>
      </w:r>
      <w:r>
        <w:rPr/>
        <w:t>historical land</w:t>
      </w:r>
      <w:r>
        <w:rPr>
          <w:spacing w:val="-1"/>
        </w:rPr>
        <w:t> </w:t>
      </w:r>
      <w:r>
        <w:rPr/>
        <w:t>use</w:t>
      </w:r>
      <w:r>
        <w:rPr>
          <w:spacing w:val="-1"/>
        </w:rPr>
        <w:t> </w:t>
      </w:r>
      <w:r>
        <w:rPr/>
        <w:t>change</w:t>
      </w:r>
      <w:r>
        <w:rPr>
          <w:spacing w:val="-1"/>
        </w:rPr>
        <w:t> </w:t>
      </w:r>
      <w:r>
        <w:rPr/>
        <w:t>data and changes in rental value, ANN predict the</w:t>
      </w:r>
      <w:r>
        <w:rPr>
          <w:spacing w:val="-1"/>
        </w:rPr>
        <w:t> </w:t>
      </w:r>
      <w:r>
        <w:rPr/>
        <w:t>changes that is likely to happen in 10 years to come. The ANN learns patterns of urban densification (using density</w:t>
      </w:r>
      <w:r>
        <w:rPr>
          <w:spacing w:val="-7"/>
        </w:rPr>
        <w:t> </w:t>
      </w:r>
      <w:r>
        <w:rPr/>
        <w:t>raster</w:t>
      </w:r>
      <w:r>
        <w:rPr>
          <w:spacing w:val="-1"/>
        </w:rPr>
        <w:t> </w:t>
      </w:r>
      <w:r>
        <w:rPr/>
        <w:t>cell</w:t>
      </w:r>
      <w:r>
        <w:rPr>
          <w:spacing w:val="-2"/>
        </w:rPr>
        <w:t> </w:t>
      </w:r>
      <w:r>
        <w:rPr/>
        <w:t>counts)</w:t>
      </w:r>
      <w:r>
        <w:rPr>
          <w:spacing w:val="-1"/>
        </w:rPr>
        <w:t> </w:t>
      </w:r>
      <w:r>
        <w:rPr/>
        <w:t>and</w:t>
      </w:r>
      <w:r>
        <w:rPr>
          <w:spacing w:val="-2"/>
        </w:rPr>
        <w:t> </w:t>
      </w:r>
      <w:r>
        <w:rPr/>
        <w:t>housing</w:t>
      </w:r>
      <w:r>
        <w:rPr>
          <w:spacing w:val="-5"/>
        </w:rPr>
        <w:t> </w:t>
      </w:r>
      <w:r>
        <w:rPr/>
        <w:t>market</w:t>
      </w:r>
      <w:r>
        <w:rPr>
          <w:spacing w:val="-1"/>
        </w:rPr>
        <w:t> </w:t>
      </w:r>
      <w:r>
        <w:rPr/>
        <w:t>(using</w:t>
      </w:r>
      <w:r>
        <w:rPr>
          <w:spacing w:val="-3"/>
        </w:rPr>
        <w:t> </w:t>
      </w:r>
      <w:r>
        <w:rPr/>
        <w:t>rental</w:t>
      </w:r>
      <w:r>
        <w:rPr>
          <w:spacing w:val="-2"/>
        </w:rPr>
        <w:t> </w:t>
      </w:r>
      <w:r>
        <w:rPr/>
        <w:t>value</w:t>
      </w:r>
      <w:r>
        <w:rPr>
          <w:spacing w:val="-3"/>
        </w:rPr>
        <w:t> </w:t>
      </w:r>
      <w:r>
        <w:rPr/>
        <w:t>raster</w:t>
      </w:r>
      <w:r>
        <w:rPr>
          <w:spacing w:val="-1"/>
        </w:rPr>
        <w:t> </w:t>
      </w:r>
      <w:r>
        <w:rPr/>
        <w:t>cell counts);</w:t>
      </w:r>
      <w:r>
        <w:rPr>
          <w:spacing w:val="-2"/>
        </w:rPr>
        <w:t> </w:t>
      </w:r>
      <w:r>
        <w:rPr/>
        <w:t>this information</w:t>
      </w:r>
      <w:r>
        <w:rPr>
          <w:spacing w:val="-4"/>
        </w:rPr>
        <w:t> </w:t>
      </w:r>
      <w:r>
        <w:rPr/>
        <w:t>is</w:t>
      </w:r>
      <w:r>
        <w:rPr>
          <w:spacing w:val="-4"/>
        </w:rPr>
        <w:t> </w:t>
      </w:r>
      <w:r>
        <w:rPr/>
        <w:t>then</w:t>
      </w:r>
      <w:r>
        <w:rPr>
          <w:spacing w:val="-5"/>
        </w:rPr>
        <w:t> </w:t>
      </w:r>
      <w:r>
        <w:rPr/>
        <w:t>saved</w:t>
      </w:r>
      <w:r>
        <w:rPr>
          <w:spacing w:val="-3"/>
        </w:rPr>
        <w:t> </w:t>
      </w:r>
      <w:r>
        <w:rPr/>
        <w:t>and</w:t>
      </w:r>
      <w:r>
        <w:rPr>
          <w:spacing w:val="-5"/>
        </w:rPr>
        <w:t> </w:t>
      </w:r>
      <w:r>
        <w:rPr/>
        <w:t>used</w:t>
      </w:r>
      <w:r>
        <w:rPr>
          <w:spacing w:val="-3"/>
        </w:rPr>
        <w:t> </w:t>
      </w:r>
      <w:r>
        <w:rPr/>
        <w:t>to</w:t>
      </w:r>
      <w:r>
        <w:rPr>
          <w:spacing w:val="-4"/>
        </w:rPr>
        <w:t> </w:t>
      </w:r>
      <w:r>
        <w:rPr/>
        <w:t>forecast</w:t>
      </w:r>
      <w:r>
        <w:rPr>
          <w:spacing w:val="-4"/>
        </w:rPr>
        <w:t> </w:t>
      </w:r>
      <w:r>
        <w:rPr/>
        <w:t>change</w:t>
      </w:r>
      <w:r>
        <w:rPr>
          <w:spacing w:val="-4"/>
        </w:rPr>
        <w:t> </w:t>
      </w:r>
      <w:r>
        <w:rPr/>
        <w:t>in</w:t>
      </w:r>
      <w:r>
        <w:rPr>
          <w:spacing w:val="-4"/>
        </w:rPr>
        <w:t> </w:t>
      </w:r>
      <w:r>
        <w:rPr/>
        <w:t>urban</w:t>
      </w:r>
      <w:r>
        <w:rPr>
          <w:spacing w:val="-5"/>
        </w:rPr>
        <w:t> </w:t>
      </w:r>
      <w:r>
        <w:rPr/>
        <w:t>densification</w:t>
      </w:r>
      <w:r>
        <w:rPr>
          <w:spacing w:val="-5"/>
        </w:rPr>
        <w:t> </w:t>
      </w:r>
      <w:r>
        <w:rPr/>
        <w:t>and</w:t>
      </w:r>
      <w:r>
        <w:rPr>
          <w:spacing w:val="-5"/>
        </w:rPr>
        <w:t> </w:t>
      </w:r>
      <w:r>
        <w:rPr/>
        <w:t>housing market. This allows the study to establish the relationship between urban densification and housing market.</w:t>
      </w:r>
    </w:p>
    <w:p>
      <w:pPr>
        <w:pStyle w:val="BodyText"/>
        <w:spacing w:line="480" w:lineRule="auto" w:before="241"/>
        <w:ind w:left="305" w:right="514"/>
      </w:pPr>
      <w:r>
        <w:rPr/>
        <w:t>The projected data from ANN was computed in a model built using Raster to polygon conversion</w:t>
      </w:r>
      <w:r>
        <w:rPr>
          <w:spacing w:val="-2"/>
        </w:rPr>
        <w:t> </w:t>
      </w:r>
      <w:r>
        <w:rPr/>
        <w:t>of</w:t>
      </w:r>
      <w:r>
        <w:rPr>
          <w:spacing w:val="-2"/>
        </w:rPr>
        <w:t> </w:t>
      </w:r>
      <w:r>
        <w:rPr/>
        <w:t>ArcGIS</w:t>
      </w:r>
      <w:r>
        <w:rPr>
          <w:spacing w:val="-2"/>
        </w:rPr>
        <w:t> </w:t>
      </w:r>
      <w:r>
        <w:rPr/>
        <w:t>10.6</w:t>
      </w:r>
      <w:r>
        <w:rPr>
          <w:spacing w:val="-2"/>
        </w:rPr>
        <w:t> </w:t>
      </w:r>
      <w:r>
        <w:rPr/>
        <w:t>Tookbox</w:t>
      </w:r>
      <w:r>
        <w:rPr>
          <w:spacing w:val="-1"/>
        </w:rPr>
        <w:t> </w:t>
      </w:r>
      <w:r>
        <w:rPr/>
        <w:t>to</w:t>
      </w:r>
      <w:r>
        <w:rPr>
          <w:spacing w:val="-2"/>
        </w:rPr>
        <w:t> </w:t>
      </w:r>
      <w:r>
        <w:rPr/>
        <w:t>produce</w:t>
      </w:r>
      <w:r>
        <w:rPr>
          <w:spacing w:val="-2"/>
        </w:rPr>
        <w:t> </w:t>
      </w:r>
      <w:r>
        <w:rPr/>
        <w:t>maps</w:t>
      </w:r>
      <w:r>
        <w:rPr>
          <w:spacing w:val="-2"/>
        </w:rPr>
        <w:t> </w:t>
      </w:r>
      <w:r>
        <w:rPr/>
        <w:t>for</w:t>
      </w:r>
      <w:r>
        <w:rPr>
          <w:spacing w:val="-2"/>
        </w:rPr>
        <w:t> </w:t>
      </w:r>
      <w:r>
        <w:rPr/>
        <w:t>projected</w:t>
      </w:r>
      <w:r>
        <w:rPr>
          <w:spacing w:val="-2"/>
        </w:rPr>
        <w:t> </w:t>
      </w:r>
      <w:r>
        <w:rPr/>
        <w:t>raster</w:t>
      </w:r>
      <w:r>
        <w:rPr>
          <w:spacing w:val="-2"/>
        </w:rPr>
        <w:t> </w:t>
      </w:r>
      <w:r>
        <w:rPr/>
        <w:t>cell</w:t>
      </w:r>
      <w:r>
        <w:rPr>
          <w:spacing w:val="-2"/>
        </w:rPr>
        <w:t> </w:t>
      </w:r>
      <w:r>
        <w:rPr/>
        <w:t>counts</w:t>
      </w:r>
      <w:r>
        <w:rPr>
          <w:spacing w:val="-2"/>
        </w:rPr>
        <w:t> </w:t>
      </w:r>
      <w:r>
        <w:rPr/>
        <w:t>for both</w:t>
      </w:r>
      <w:r>
        <w:rPr>
          <w:spacing w:val="-1"/>
        </w:rPr>
        <w:t> </w:t>
      </w:r>
      <w:r>
        <w:rPr/>
        <w:t>residential</w:t>
      </w:r>
      <w:r>
        <w:rPr>
          <w:spacing w:val="-1"/>
        </w:rPr>
        <w:t> </w:t>
      </w:r>
      <w:r>
        <w:rPr/>
        <w:t>densities to</w:t>
      </w:r>
      <w:r>
        <w:rPr>
          <w:spacing w:val="-1"/>
        </w:rPr>
        <w:t> </w:t>
      </w:r>
      <w:r>
        <w:rPr/>
        <w:t>2023,</w:t>
      </w:r>
      <w:r>
        <w:rPr>
          <w:spacing w:val="-1"/>
        </w:rPr>
        <w:t> </w:t>
      </w:r>
      <w:r>
        <w:rPr/>
        <w:t>2028</w:t>
      </w:r>
      <w:r>
        <w:rPr>
          <w:spacing w:val="-1"/>
        </w:rPr>
        <w:t> </w:t>
      </w:r>
      <w:r>
        <w:rPr/>
        <w:t>and</w:t>
      </w:r>
      <w:r>
        <w:rPr>
          <w:spacing w:val="-1"/>
        </w:rPr>
        <w:t> </w:t>
      </w:r>
      <w:r>
        <w:rPr/>
        <w:t>2033 respectively. Also,</w:t>
      </w:r>
      <w:r>
        <w:rPr>
          <w:spacing w:val="-1"/>
        </w:rPr>
        <w:t> </w:t>
      </w:r>
      <w:r>
        <w:rPr/>
        <w:t>the model</w:t>
      </w:r>
      <w:r>
        <w:rPr>
          <w:spacing w:val="-1"/>
        </w:rPr>
        <w:t> </w:t>
      </w:r>
      <w:r>
        <w:rPr/>
        <w:t>was also used to project raster cell counts for rental values to one bedroom 2023, 2028 and 2023; two bedroom 2023, 2028 and 2033; three bedroom 2.23, 2028 and 2033 respectively (Appendix A).</w:t>
      </w:r>
    </w:p>
    <w:p>
      <w:pPr>
        <w:spacing w:after="0" w:line="480" w:lineRule="auto"/>
        <w:sectPr>
          <w:pgSz w:w="11910" w:h="16840"/>
          <w:pgMar w:header="0" w:footer="1022" w:top="1320" w:bottom="1220" w:left="1680" w:right="900"/>
        </w:sectPr>
      </w:pPr>
    </w:p>
    <w:p>
      <w:pPr>
        <w:pStyle w:val="Heading1"/>
        <w:numPr>
          <w:ilvl w:val="1"/>
          <w:numId w:val="6"/>
        </w:numPr>
        <w:tabs>
          <w:tab w:pos="1025" w:val="left" w:leader="none"/>
        </w:tabs>
        <w:spacing w:line="240" w:lineRule="auto" w:before="76" w:after="0"/>
        <w:ind w:left="1025" w:right="0" w:hanging="720"/>
        <w:jc w:val="left"/>
      </w:pPr>
      <w:r>
        <w:rPr/>
        <w:t>Summary</w:t>
      </w:r>
      <w:r>
        <w:rPr>
          <w:spacing w:val="-3"/>
        </w:rPr>
        <w:t> </w:t>
      </w:r>
      <w:r>
        <w:rPr/>
        <w:t>of</w:t>
      </w:r>
      <w:r>
        <w:rPr>
          <w:spacing w:val="-2"/>
        </w:rPr>
        <w:t> Methodology</w:t>
      </w:r>
    </w:p>
    <w:p>
      <w:pPr>
        <w:pStyle w:val="BodyText"/>
        <w:spacing w:before="236"/>
        <w:jc w:val="left"/>
        <w:rPr>
          <w:b/>
        </w:rPr>
      </w:pPr>
    </w:p>
    <w:p>
      <w:pPr>
        <w:pStyle w:val="BodyText"/>
        <w:ind w:left="305"/>
        <w:jc w:val="left"/>
      </w:pPr>
      <w:r>
        <w:rPr/>
        <w:t>The</w:t>
      </w:r>
      <w:r>
        <w:rPr>
          <w:spacing w:val="-4"/>
        </w:rPr>
        <w:t> </w:t>
      </w:r>
      <w:r>
        <w:rPr/>
        <w:t>summary</w:t>
      </w:r>
      <w:r>
        <w:rPr>
          <w:spacing w:val="-5"/>
        </w:rPr>
        <w:t> </w:t>
      </w:r>
      <w:r>
        <w:rPr/>
        <w:t>of the research methodology</w:t>
      </w:r>
      <w:r>
        <w:rPr>
          <w:spacing w:val="-5"/>
        </w:rPr>
        <w:t> </w:t>
      </w:r>
      <w:r>
        <w:rPr/>
        <w:t>is</w:t>
      </w:r>
      <w:r>
        <w:rPr>
          <w:spacing w:val="2"/>
        </w:rPr>
        <w:t> </w:t>
      </w:r>
      <w:r>
        <w:rPr/>
        <w:t>presented in Table</w:t>
      </w:r>
      <w:r>
        <w:rPr>
          <w:spacing w:val="1"/>
        </w:rPr>
        <w:t> </w:t>
      </w:r>
      <w:r>
        <w:rPr>
          <w:spacing w:val="-4"/>
        </w:rPr>
        <w:t>3.4.</w:t>
      </w:r>
    </w:p>
    <w:p>
      <w:pPr>
        <w:pStyle w:val="BodyText"/>
        <w:spacing w:before="247"/>
        <w:jc w:val="left"/>
      </w:pPr>
    </w:p>
    <w:p>
      <w:pPr>
        <w:spacing w:before="0" w:after="42"/>
        <w:ind w:left="305" w:right="0" w:firstLine="0"/>
        <w:jc w:val="left"/>
        <w:rPr>
          <w:b/>
          <w:sz w:val="24"/>
        </w:rPr>
      </w:pPr>
      <w:r>
        <w:rPr>
          <w:b/>
          <w:sz w:val="24"/>
        </w:rPr>
        <w:t>Table</w:t>
      </w:r>
      <w:r>
        <w:rPr>
          <w:b/>
          <w:spacing w:val="-4"/>
          <w:sz w:val="24"/>
        </w:rPr>
        <w:t> </w:t>
      </w:r>
      <w:r>
        <w:rPr>
          <w:b/>
          <w:sz w:val="24"/>
        </w:rPr>
        <w:t>3.4:</w:t>
      </w:r>
      <w:r>
        <w:rPr>
          <w:b/>
          <w:spacing w:val="-3"/>
          <w:sz w:val="24"/>
        </w:rPr>
        <w:t> </w:t>
      </w:r>
      <w:r>
        <w:rPr>
          <w:b/>
          <w:sz w:val="24"/>
        </w:rPr>
        <w:t>Objectives, Data</w:t>
      </w:r>
      <w:r>
        <w:rPr>
          <w:b/>
          <w:spacing w:val="-1"/>
          <w:sz w:val="24"/>
        </w:rPr>
        <w:t> </w:t>
      </w:r>
      <w:r>
        <w:rPr>
          <w:b/>
          <w:sz w:val="24"/>
        </w:rPr>
        <w:t>Needed</w:t>
      </w:r>
      <w:r>
        <w:rPr>
          <w:b/>
          <w:spacing w:val="-2"/>
          <w:sz w:val="24"/>
        </w:rPr>
        <w:t> </w:t>
      </w:r>
      <w:r>
        <w:rPr>
          <w:b/>
          <w:sz w:val="24"/>
        </w:rPr>
        <w:t>and</w:t>
      </w:r>
      <w:r>
        <w:rPr>
          <w:b/>
          <w:spacing w:val="-2"/>
          <w:sz w:val="24"/>
        </w:rPr>
        <w:t> </w:t>
      </w:r>
      <w:r>
        <w:rPr>
          <w:b/>
          <w:sz w:val="24"/>
        </w:rPr>
        <w:t>Analysis</w:t>
      </w:r>
      <w:r>
        <w:rPr>
          <w:b/>
          <w:spacing w:val="-1"/>
          <w:sz w:val="24"/>
        </w:rPr>
        <w:t> </w:t>
      </w:r>
      <w:r>
        <w:rPr>
          <w:b/>
          <w:spacing w:val="-2"/>
          <w:sz w:val="24"/>
        </w:rPr>
        <w:t>Techniques</w:t>
      </w:r>
    </w:p>
    <w:tbl>
      <w:tblPr>
        <w:tblW w:w="0" w:type="auto"/>
        <w:jc w:val="left"/>
        <w:tblInd w:w="3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53"/>
        <w:gridCol w:w="2699"/>
        <w:gridCol w:w="1778"/>
        <w:gridCol w:w="1487"/>
      </w:tblGrid>
      <w:tr>
        <w:trPr>
          <w:trHeight w:val="551" w:hRule="atLeast"/>
        </w:trPr>
        <w:tc>
          <w:tcPr>
            <w:tcW w:w="2653" w:type="dxa"/>
            <w:tcBorders>
              <w:top w:val="single" w:sz="8" w:space="0" w:color="000000"/>
              <w:bottom w:val="single" w:sz="8" w:space="0" w:color="000000"/>
            </w:tcBorders>
          </w:tcPr>
          <w:p>
            <w:pPr>
              <w:pStyle w:val="TableParagraph"/>
              <w:spacing w:line="268" w:lineRule="exact"/>
              <w:ind w:left="789"/>
              <w:jc w:val="left"/>
              <w:rPr>
                <w:sz w:val="24"/>
              </w:rPr>
            </w:pPr>
            <w:r>
              <w:rPr>
                <w:b/>
                <w:spacing w:val="-2"/>
                <w:sz w:val="24"/>
              </w:rPr>
              <w:t>Objective</w:t>
            </w:r>
            <w:r>
              <w:rPr>
                <w:spacing w:val="-2"/>
                <w:sz w:val="24"/>
              </w:rPr>
              <w:t>s</w:t>
            </w:r>
          </w:p>
        </w:tc>
        <w:tc>
          <w:tcPr>
            <w:tcW w:w="2699" w:type="dxa"/>
            <w:tcBorders>
              <w:top w:val="single" w:sz="8" w:space="0" w:color="000000"/>
              <w:bottom w:val="single" w:sz="8" w:space="0" w:color="000000"/>
            </w:tcBorders>
          </w:tcPr>
          <w:p>
            <w:pPr>
              <w:pStyle w:val="TableParagraph"/>
              <w:spacing w:line="272" w:lineRule="exact"/>
              <w:ind w:left="695"/>
              <w:jc w:val="left"/>
              <w:rPr>
                <w:b/>
                <w:sz w:val="24"/>
              </w:rPr>
            </w:pPr>
            <w:r>
              <w:rPr>
                <w:b/>
                <w:sz w:val="24"/>
              </w:rPr>
              <w:t>Data</w:t>
            </w:r>
            <w:r>
              <w:rPr>
                <w:b/>
                <w:spacing w:val="-4"/>
                <w:sz w:val="24"/>
              </w:rPr>
              <w:t> </w:t>
            </w:r>
            <w:r>
              <w:rPr>
                <w:b/>
                <w:spacing w:val="-2"/>
                <w:sz w:val="24"/>
              </w:rPr>
              <w:t>Needed</w:t>
            </w:r>
          </w:p>
        </w:tc>
        <w:tc>
          <w:tcPr>
            <w:tcW w:w="1778" w:type="dxa"/>
            <w:tcBorders>
              <w:top w:val="single" w:sz="8" w:space="0" w:color="000000"/>
              <w:bottom w:val="single" w:sz="8" w:space="0" w:color="000000"/>
            </w:tcBorders>
          </w:tcPr>
          <w:p>
            <w:pPr>
              <w:pStyle w:val="TableParagraph"/>
              <w:spacing w:line="272" w:lineRule="exact"/>
              <w:ind w:left="17"/>
              <w:rPr>
                <w:b/>
                <w:sz w:val="24"/>
              </w:rPr>
            </w:pPr>
            <w:r>
              <w:rPr>
                <w:b/>
                <w:sz w:val="24"/>
              </w:rPr>
              <w:t>Sources</w:t>
            </w:r>
            <w:r>
              <w:rPr>
                <w:b/>
                <w:spacing w:val="-3"/>
                <w:sz w:val="24"/>
              </w:rPr>
              <w:t> </w:t>
            </w:r>
            <w:r>
              <w:rPr>
                <w:b/>
                <w:spacing w:val="-5"/>
                <w:sz w:val="24"/>
              </w:rPr>
              <w:t>of</w:t>
            </w:r>
          </w:p>
          <w:p>
            <w:pPr>
              <w:pStyle w:val="TableParagraph"/>
              <w:spacing w:line="259" w:lineRule="exact"/>
              <w:ind w:left="17"/>
              <w:rPr>
                <w:b/>
                <w:sz w:val="24"/>
              </w:rPr>
            </w:pPr>
            <w:r>
              <w:rPr>
                <w:b/>
                <w:spacing w:val="-4"/>
                <w:sz w:val="24"/>
              </w:rPr>
              <w:t>Data</w:t>
            </w:r>
          </w:p>
        </w:tc>
        <w:tc>
          <w:tcPr>
            <w:tcW w:w="1487" w:type="dxa"/>
            <w:tcBorders>
              <w:top w:val="single" w:sz="8" w:space="0" w:color="000000"/>
              <w:bottom w:val="single" w:sz="8" w:space="0" w:color="000000"/>
            </w:tcBorders>
          </w:tcPr>
          <w:p>
            <w:pPr>
              <w:pStyle w:val="TableParagraph"/>
              <w:spacing w:line="272" w:lineRule="exact"/>
              <w:ind w:left="13"/>
              <w:rPr>
                <w:b/>
                <w:sz w:val="24"/>
              </w:rPr>
            </w:pPr>
            <w:r>
              <w:rPr>
                <w:b/>
                <w:spacing w:val="-2"/>
                <w:sz w:val="24"/>
              </w:rPr>
              <w:t>Analysis</w:t>
            </w:r>
          </w:p>
          <w:p>
            <w:pPr>
              <w:pStyle w:val="TableParagraph"/>
              <w:spacing w:line="259" w:lineRule="exact"/>
              <w:ind w:left="13"/>
              <w:rPr>
                <w:b/>
                <w:sz w:val="24"/>
              </w:rPr>
            </w:pPr>
            <w:r>
              <w:rPr>
                <w:b/>
                <w:spacing w:val="-2"/>
                <w:sz w:val="24"/>
              </w:rPr>
              <w:t>Techniques</w:t>
            </w:r>
          </w:p>
        </w:tc>
      </w:tr>
      <w:tr>
        <w:trPr>
          <w:trHeight w:val="3311" w:hRule="atLeast"/>
        </w:trPr>
        <w:tc>
          <w:tcPr>
            <w:tcW w:w="2653" w:type="dxa"/>
            <w:tcBorders>
              <w:top w:val="single" w:sz="8" w:space="0" w:color="000000"/>
            </w:tcBorders>
          </w:tcPr>
          <w:p>
            <w:pPr>
              <w:pStyle w:val="TableParagraph"/>
              <w:numPr>
                <w:ilvl w:val="0"/>
                <w:numId w:val="11"/>
              </w:numPr>
              <w:tabs>
                <w:tab w:pos="293" w:val="left" w:leader="none"/>
              </w:tabs>
              <w:spacing w:line="240" w:lineRule="auto" w:before="0" w:after="0"/>
              <w:ind w:left="107" w:right="163" w:firstLine="0"/>
              <w:jc w:val="left"/>
              <w:rPr>
                <w:sz w:val="24"/>
              </w:rPr>
            </w:pPr>
            <w:r>
              <w:rPr>
                <w:sz w:val="24"/>
              </w:rPr>
              <w:t>Examine</w:t>
            </w:r>
            <w:r>
              <w:rPr>
                <w:spacing w:val="-13"/>
                <w:sz w:val="24"/>
              </w:rPr>
              <w:t> </w:t>
            </w:r>
            <w:r>
              <w:rPr>
                <w:sz w:val="24"/>
              </w:rPr>
              <w:t>the</w:t>
            </w:r>
            <w:r>
              <w:rPr>
                <w:spacing w:val="-12"/>
                <w:sz w:val="24"/>
              </w:rPr>
              <w:t> </w:t>
            </w:r>
            <w:r>
              <w:rPr>
                <w:sz w:val="24"/>
              </w:rPr>
              <w:t>pattern</w:t>
            </w:r>
            <w:r>
              <w:rPr>
                <w:spacing w:val="-12"/>
                <w:sz w:val="24"/>
              </w:rPr>
              <w:t> </w:t>
            </w:r>
            <w:r>
              <w:rPr>
                <w:sz w:val="24"/>
              </w:rPr>
              <w:t>of residential density of housing submarkets in the study area</w:t>
            </w:r>
          </w:p>
        </w:tc>
        <w:tc>
          <w:tcPr>
            <w:tcW w:w="2699" w:type="dxa"/>
            <w:tcBorders>
              <w:top w:val="single" w:sz="8" w:space="0" w:color="000000"/>
            </w:tcBorders>
          </w:tcPr>
          <w:p>
            <w:pPr>
              <w:pStyle w:val="TableParagraph"/>
              <w:numPr>
                <w:ilvl w:val="0"/>
                <w:numId w:val="12"/>
              </w:numPr>
              <w:tabs>
                <w:tab w:pos="300" w:val="left" w:leader="none"/>
              </w:tabs>
              <w:spacing w:line="240" w:lineRule="auto" w:before="0" w:after="0"/>
              <w:ind w:left="114" w:right="244" w:firstLine="0"/>
              <w:jc w:val="left"/>
              <w:rPr>
                <w:sz w:val="24"/>
              </w:rPr>
            </w:pPr>
            <w:r>
              <w:rPr>
                <w:sz w:val="24"/>
              </w:rPr>
              <w:t>Satellite imageries of the study area between for</w:t>
            </w:r>
            <w:r>
              <w:rPr>
                <w:spacing w:val="-12"/>
                <w:sz w:val="24"/>
              </w:rPr>
              <w:t> </w:t>
            </w:r>
            <w:r>
              <w:rPr>
                <w:sz w:val="24"/>
              </w:rPr>
              <w:t>the</w:t>
            </w:r>
            <w:r>
              <w:rPr>
                <w:spacing w:val="-7"/>
                <w:sz w:val="24"/>
              </w:rPr>
              <w:t> </w:t>
            </w:r>
            <w:r>
              <w:rPr>
                <w:sz w:val="24"/>
              </w:rPr>
              <w:t>years</w:t>
            </w:r>
            <w:r>
              <w:rPr>
                <w:spacing w:val="-11"/>
                <w:sz w:val="24"/>
              </w:rPr>
              <w:t> </w:t>
            </w:r>
            <w:r>
              <w:rPr>
                <w:sz w:val="24"/>
              </w:rPr>
              <w:t>2008,</w:t>
            </w:r>
            <w:r>
              <w:rPr>
                <w:spacing w:val="-11"/>
                <w:sz w:val="24"/>
              </w:rPr>
              <w:t> </w:t>
            </w:r>
            <w:r>
              <w:rPr>
                <w:sz w:val="24"/>
              </w:rPr>
              <w:t>2013</w:t>
            </w:r>
          </w:p>
          <w:p>
            <w:pPr>
              <w:pStyle w:val="TableParagraph"/>
              <w:spacing w:line="240" w:lineRule="auto"/>
              <w:ind w:left="114"/>
              <w:jc w:val="left"/>
              <w:rPr>
                <w:sz w:val="24"/>
              </w:rPr>
            </w:pPr>
            <w:r>
              <w:rPr>
                <w:sz w:val="24"/>
              </w:rPr>
              <w:t>and</w:t>
            </w:r>
            <w:r>
              <w:rPr>
                <w:spacing w:val="-1"/>
                <w:sz w:val="24"/>
              </w:rPr>
              <w:t> </w:t>
            </w:r>
            <w:r>
              <w:rPr>
                <w:spacing w:val="-4"/>
                <w:sz w:val="24"/>
              </w:rPr>
              <w:t>2018</w:t>
            </w:r>
          </w:p>
          <w:p>
            <w:pPr>
              <w:pStyle w:val="TableParagraph"/>
              <w:numPr>
                <w:ilvl w:val="0"/>
                <w:numId w:val="12"/>
              </w:numPr>
              <w:tabs>
                <w:tab w:pos="367" w:val="left" w:leader="none"/>
              </w:tabs>
              <w:spacing w:line="240" w:lineRule="auto" w:before="0" w:after="0"/>
              <w:ind w:left="114" w:right="412" w:firstLine="0"/>
              <w:jc w:val="left"/>
              <w:rPr>
                <w:sz w:val="24"/>
              </w:rPr>
            </w:pPr>
            <w:r>
              <w:rPr>
                <w:sz w:val="24"/>
              </w:rPr>
              <w:t>Overall</w:t>
            </w:r>
            <w:r>
              <w:rPr>
                <w:spacing w:val="-15"/>
                <w:sz w:val="24"/>
              </w:rPr>
              <w:t> </w:t>
            </w:r>
            <w:r>
              <w:rPr>
                <w:sz w:val="24"/>
              </w:rPr>
              <w:t>buildings</w:t>
            </w:r>
            <w:r>
              <w:rPr>
                <w:spacing w:val="-15"/>
                <w:sz w:val="24"/>
              </w:rPr>
              <w:t> </w:t>
            </w:r>
            <w:r>
              <w:rPr>
                <w:sz w:val="24"/>
              </w:rPr>
              <w:t>in the study area for the years 2008, 2013 and</w:t>
            </w:r>
          </w:p>
          <w:p>
            <w:pPr>
              <w:pStyle w:val="TableParagraph"/>
              <w:spacing w:line="240" w:lineRule="auto"/>
              <w:ind w:left="114"/>
              <w:jc w:val="left"/>
              <w:rPr>
                <w:sz w:val="24"/>
              </w:rPr>
            </w:pPr>
            <w:r>
              <w:rPr>
                <w:spacing w:val="-4"/>
                <w:sz w:val="24"/>
              </w:rPr>
              <w:t>2018</w:t>
            </w:r>
          </w:p>
          <w:p>
            <w:pPr>
              <w:pStyle w:val="TableParagraph"/>
              <w:numPr>
                <w:ilvl w:val="0"/>
                <w:numId w:val="12"/>
              </w:numPr>
              <w:tabs>
                <w:tab w:pos="434" w:val="left" w:leader="none"/>
              </w:tabs>
              <w:spacing w:line="240" w:lineRule="auto" w:before="0" w:after="0"/>
              <w:ind w:left="114" w:right="431" w:firstLine="0"/>
              <w:jc w:val="left"/>
              <w:rPr>
                <w:sz w:val="24"/>
              </w:rPr>
            </w:pPr>
            <w:r>
              <w:rPr>
                <w:sz w:val="24"/>
              </w:rPr>
              <w:t>Changes in the residential</w:t>
            </w:r>
            <w:r>
              <w:rPr>
                <w:spacing w:val="-13"/>
                <w:sz w:val="24"/>
              </w:rPr>
              <w:t> </w:t>
            </w:r>
            <w:r>
              <w:rPr>
                <w:sz w:val="24"/>
              </w:rPr>
              <w:t>area</w:t>
            </w:r>
            <w:r>
              <w:rPr>
                <w:spacing w:val="-14"/>
                <w:sz w:val="24"/>
              </w:rPr>
              <w:t> </w:t>
            </w:r>
            <w:r>
              <w:rPr>
                <w:sz w:val="24"/>
              </w:rPr>
              <w:t>for</w:t>
            </w:r>
            <w:r>
              <w:rPr>
                <w:spacing w:val="-13"/>
                <w:sz w:val="24"/>
              </w:rPr>
              <w:t> </w:t>
            </w:r>
            <w:r>
              <w:rPr>
                <w:sz w:val="24"/>
              </w:rPr>
              <w:t>the years 2008, 2013 and</w:t>
            </w:r>
          </w:p>
          <w:p>
            <w:pPr>
              <w:pStyle w:val="TableParagraph"/>
              <w:spacing w:line="261" w:lineRule="exact"/>
              <w:ind w:left="114"/>
              <w:jc w:val="left"/>
              <w:rPr>
                <w:sz w:val="24"/>
              </w:rPr>
            </w:pPr>
            <w:r>
              <w:rPr>
                <w:spacing w:val="-4"/>
                <w:sz w:val="24"/>
              </w:rPr>
              <w:t>2018</w:t>
            </w:r>
          </w:p>
        </w:tc>
        <w:tc>
          <w:tcPr>
            <w:tcW w:w="1778" w:type="dxa"/>
            <w:tcBorders>
              <w:top w:val="single" w:sz="8" w:space="0" w:color="000000"/>
            </w:tcBorders>
          </w:tcPr>
          <w:p>
            <w:pPr>
              <w:pStyle w:val="TableParagraph"/>
              <w:spacing w:line="240" w:lineRule="auto"/>
              <w:ind w:left="111" w:right="215"/>
              <w:jc w:val="left"/>
              <w:rPr>
                <w:sz w:val="24"/>
              </w:rPr>
            </w:pPr>
            <w:r>
              <w:rPr>
                <w:spacing w:val="-2"/>
                <w:sz w:val="24"/>
              </w:rPr>
              <w:t>Satellite imagery </w:t>
            </w:r>
            <w:r>
              <w:rPr>
                <w:sz w:val="24"/>
              </w:rPr>
              <w:t>(Google</w:t>
            </w:r>
            <w:r>
              <w:rPr>
                <w:spacing w:val="-15"/>
                <w:sz w:val="24"/>
              </w:rPr>
              <w:t> </w:t>
            </w:r>
            <w:r>
              <w:rPr>
                <w:sz w:val="24"/>
              </w:rPr>
              <w:t>Earth)</w:t>
            </w:r>
          </w:p>
        </w:tc>
        <w:tc>
          <w:tcPr>
            <w:tcW w:w="1487" w:type="dxa"/>
            <w:tcBorders>
              <w:top w:val="single" w:sz="8" w:space="0" w:color="000000"/>
            </w:tcBorders>
          </w:tcPr>
          <w:p>
            <w:pPr>
              <w:pStyle w:val="TableParagraph"/>
              <w:spacing w:line="240" w:lineRule="auto"/>
              <w:ind w:left="126" w:right="309"/>
              <w:jc w:val="left"/>
              <w:rPr>
                <w:sz w:val="24"/>
              </w:rPr>
            </w:pPr>
            <w:r>
              <w:rPr>
                <w:sz w:val="24"/>
              </w:rPr>
              <w:t>Tables</w:t>
            </w:r>
            <w:r>
              <w:rPr>
                <w:spacing w:val="-15"/>
                <w:sz w:val="24"/>
              </w:rPr>
              <w:t> </w:t>
            </w:r>
            <w:r>
              <w:rPr>
                <w:sz w:val="24"/>
              </w:rPr>
              <w:t>and </w:t>
            </w:r>
            <w:r>
              <w:rPr>
                <w:spacing w:val="-4"/>
                <w:sz w:val="24"/>
              </w:rPr>
              <w:t>Maps</w:t>
            </w:r>
          </w:p>
        </w:tc>
      </w:tr>
      <w:tr>
        <w:trPr>
          <w:trHeight w:val="3585" w:hRule="atLeast"/>
        </w:trPr>
        <w:tc>
          <w:tcPr>
            <w:tcW w:w="2653" w:type="dxa"/>
          </w:tcPr>
          <w:p>
            <w:pPr>
              <w:pStyle w:val="TableParagraph"/>
              <w:spacing w:line="240" w:lineRule="auto"/>
              <w:ind w:left="107" w:right="108"/>
              <w:jc w:val="left"/>
              <w:rPr>
                <w:sz w:val="24"/>
              </w:rPr>
            </w:pPr>
            <w:r>
              <w:rPr>
                <w:sz w:val="24"/>
              </w:rPr>
              <w:t>ii. Examine spatiotemporal</w:t>
            </w:r>
            <w:r>
              <w:rPr>
                <w:spacing w:val="-15"/>
                <w:sz w:val="24"/>
              </w:rPr>
              <w:t> </w:t>
            </w:r>
            <w:r>
              <w:rPr>
                <w:sz w:val="24"/>
              </w:rPr>
              <w:t>variations in residential density of the study area between years 2008 – 2018</w:t>
            </w:r>
          </w:p>
        </w:tc>
        <w:tc>
          <w:tcPr>
            <w:tcW w:w="2699" w:type="dxa"/>
          </w:tcPr>
          <w:p>
            <w:pPr>
              <w:pStyle w:val="TableParagraph"/>
              <w:numPr>
                <w:ilvl w:val="0"/>
                <w:numId w:val="13"/>
              </w:numPr>
              <w:tabs>
                <w:tab w:pos="300" w:val="left" w:leader="none"/>
              </w:tabs>
              <w:spacing w:line="240" w:lineRule="auto" w:before="0" w:after="0"/>
              <w:ind w:left="114" w:right="393" w:firstLine="0"/>
              <w:jc w:val="left"/>
              <w:rPr>
                <w:sz w:val="24"/>
              </w:rPr>
            </w:pPr>
            <w:r>
              <w:rPr>
                <w:sz w:val="24"/>
              </w:rPr>
              <w:t>Area</w:t>
            </w:r>
            <w:r>
              <w:rPr>
                <w:spacing w:val="-14"/>
                <w:sz w:val="24"/>
              </w:rPr>
              <w:t> </w:t>
            </w:r>
            <w:r>
              <w:rPr>
                <w:sz w:val="24"/>
              </w:rPr>
              <w:t>coverage</w:t>
            </w:r>
            <w:r>
              <w:rPr>
                <w:spacing w:val="-14"/>
                <w:sz w:val="24"/>
              </w:rPr>
              <w:t> </w:t>
            </w:r>
            <w:r>
              <w:rPr>
                <w:sz w:val="24"/>
              </w:rPr>
              <w:t>of</w:t>
            </w:r>
            <w:r>
              <w:rPr>
                <w:spacing w:val="-13"/>
                <w:sz w:val="24"/>
              </w:rPr>
              <w:t> </w:t>
            </w:r>
            <w:r>
              <w:rPr>
                <w:sz w:val="24"/>
              </w:rPr>
              <w:t>the housing submarkets.</w:t>
            </w:r>
          </w:p>
          <w:p>
            <w:pPr>
              <w:pStyle w:val="TableParagraph"/>
              <w:numPr>
                <w:ilvl w:val="0"/>
                <w:numId w:val="13"/>
              </w:numPr>
              <w:tabs>
                <w:tab w:pos="367" w:val="left" w:leader="none"/>
              </w:tabs>
              <w:spacing w:line="240" w:lineRule="auto" w:before="0" w:after="0"/>
              <w:ind w:left="114" w:right="123" w:firstLine="0"/>
              <w:jc w:val="left"/>
              <w:rPr>
                <w:sz w:val="24"/>
              </w:rPr>
            </w:pPr>
            <w:r>
              <w:rPr>
                <w:sz w:val="24"/>
              </w:rPr>
              <w:t>Number of buildings</w:t>
            </w:r>
            <w:r>
              <w:rPr>
                <w:spacing w:val="40"/>
                <w:sz w:val="24"/>
              </w:rPr>
              <w:t> </w:t>
            </w:r>
            <w:r>
              <w:rPr>
                <w:sz w:val="24"/>
              </w:rPr>
              <w:t>in the housing submarkets</w:t>
            </w:r>
            <w:r>
              <w:rPr>
                <w:spacing w:val="-13"/>
                <w:sz w:val="24"/>
              </w:rPr>
              <w:t> </w:t>
            </w:r>
            <w:r>
              <w:rPr>
                <w:sz w:val="24"/>
              </w:rPr>
              <w:t>for</w:t>
            </w:r>
            <w:r>
              <w:rPr>
                <w:spacing w:val="-14"/>
                <w:sz w:val="24"/>
              </w:rPr>
              <w:t> </w:t>
            </w:r>
            <w:r>
              <w:rPr>
                <w:sz w:val="24"/>
              </w:rPr>
              <w:t>the</w:t>
            </w:r>
            <w:r>
              <w:rPr>
                <w:spacing w:val="-13"/>
                <w:sz w:val="24"/>
              </w:rPr>
              <w:t> </w:t>
            </w:r>
            <w:r>
              <w:rPr>
                <w:sz w:val="24"/>
              </w:rPr>
              <w:t>period under study.</w:t>
            </w:r>
          </w:p>
          <w:p>
            <w:pPr>
              <w:pStyle w:val="TableParagraph"/>
              <w:numPr>
                <w:ilvl w:val="0"/>
                <w:numId w:val="13"/>
              </w:numPr>
              <w:tabs>
                <w:tab w:pos="434" w:val="left" w:leader="none"/>
              </w:tabs>
              <w:spacing w:line="240" w:lineRule="auto" w:before="0" w:after="0"/>
              <w:ind w:left="114" w:right="123" w:firstLine="0"/>
              <w:jc w:val="left"/>
              <w:rPr>
                <w:sz w:val="24"/>
              </w:rPr>
            </w:pPr>
            <w:r>
              <w:rPr>
                <w:sz w:val="24"/>
              </w:rPr>
              <w:t>Building to area ratio for the housing submarkets</w:t>
            </w:r>
            <w:r>
              <w:rPr>
                <w:spacing w:val="-13"/>
                <w:sz w:val="24"/>
              </w:rPr>
              <w:t> </w:t>
            </w:r>
            <w:r>
              <w:rPr>
                <w:sz w:val="24"/>
              </w:rPr>
              <w:t>for</w:t>
            </w:r>
            <w:r>
              <w:rPr>
                <w:spacing w:val="-14"/>
                <w:sz w:val="24"/>
              </w:rPr>
              <w:t> </w:t>
            </w:r>
            <w:r>
              <w:rPr>
                <w:sz w:val="24"/>
              </w:rPr>
              <w:t>the</w:t>
            </w:r>
            <w:r>
              <w:rPr>
                <w:spacing w:val="-13"/>
                <w:sz w:val="24"/>
              </w:rPr>
              <w:t> </w:t>
            </w:r>
            <w:r>
              <w:rPr>
                <w:sz w:val="24"/>
              </w:rPr>
              <w:t>period under study.</w:t>
            </w:r>
          </w:p>
          <w:p>
            <w:pPr>
              <w:pStyle w:val="TableParagraph"/>
              <w:numPr>
                <w:ilvl w:val="0"/>
                <w:numId w:val="13"/>
              </w:numPr>
              <w:tabs>
                <w:tab w:pos="420" w:val="left" w:leader="none"/>
              </w:tabs>
              <w:spacing w:line="276" w:lineRule="exact" w:before="0" w:after="0"/>
              <w:ind w:left="114" w:right="377" w:firstLine="0"/>
              <w:jc w:val="left"/>
              <w:rPr>
                <w:sz w:val="24"/>
              </w:rPr>
            </w:pPr>
            <w:r>
              <w:rPr>
                <w:sz w:val="24"/>
              </w:rPr>
              <w:t>Building units per hectares</w:t>
            </w:r>
            <w:r>
              <w:rPr>
                <w:spacing w:val="-13"/>
                <w:sz w:val="24"/>
              </w:rPr>
              <w:t> </w:t>
            </w:r>
            <w:r>
              <w:rPr>
                <w:sz w:val="24"/>
              </w:rPr>
              <w:t>in</w:t>
            </w:r>
            <w:r>
              <w:rPr>
                <w:spacing w:val="-13"/>
                <w:sz w:val="24"/>
              </w:rPr>
              <w:t> </w:t>
            </w:r>
            <w:r>
              <w:rPr>
                <w:sz w:val="24"/>
              </w:rPr>
              <w:t>the</w:t>
            </w:r>
            <w:r>
              <w:rPr>
                <w:spacing w:val="-14"/>
                <w:sz w:val="24"/>
              </w:rPr>
              <w:t> </w:t>
            </w:r>
            <w:r>
              <w:rPr>
                <w:sz w:val="24"/>
              </w:rPr>
              <w:t>housing </w:t>
            </w:r>
            <w:r>
              <w:rPr>
                <w:spacing w:val="-2"/>
                <w:sz w:val="24"/>
              </w:rPr>
              <w:t>submarkets</w:t>
            </w:r>
          </w:p>
        </w:tc>
        <w:tc>
          <w:tcPr>
            <w:tcW w:w="1778" w:type="dxa"/>
          </w:tcPr>
          <w:p>
            <w:pPr>
              <w:pStyle w:val="TableParagraph"/>
              <w:spacing w:line="240" w:lineRule="auto"/>
              <w:ind w:left="111" w:right="215"/>
              <w:jc w:val="left"/>
              <w:rPr>
                <w:sz w:val="24"/>
              </w:rPr>
            </w:pPr>
            <w:r>
              <w:rPr>
                <w:spacing w:val="-2"/>
                <w:sz w:val="24"/>
              </w:rPr>
              <w:t>Satellite imagery </w:t>
            </w:r>
            <w:r>
              <w:rPr>
                <w:sz w:val="24"/>
              </w:rPr>
              <w:t>(Google</w:t>
            </w:r>
            <w:r>
              <w:rPr>
                <w:spacing w:val="-15"/>
                <w:sz w:val="24"/>
              </w:rPr>
              <w:t> </w:t>
            </w:r>
            <w:r>
              <w:rPr>
                <w:sz w:val="24"/>
              </w:rPr>
              <w:t>Earth)</w:t>
            </w:r>
          </w:p>
        </w:tc>
        <w:tc>
          <w:tcPr>
            <w:tcW w:w="1487" w:type="dxa"/>
          </w:tcPr>
          <w:p>
            <w:pPr>
              <w:pStyle w:val="TableParagraph"/>
              <w:spacing w:line="240" w:lineRule="auto"/>
              <w:ind w:left="126" w:right="517"/>
              <w:jc w:val="left"/>
              <w:rPr>
                <w:sz w:val="24"/>
              </w:rPr>
            </w:pPr>
            <w:r>
              <w:rPr>
                <w:spacing w:val="-2"/>
                <w:sz w:val="24"/>
              </w:rPr>
              <w:t>Point Density Analysis</w:t>
            </w:r>
          </w:p>
        </w:tc>
      </w:tr>
      <w:tr>
        <w:trPr>
          <w:trHeight w:val="4409" w:hRule="atLeast"/>
        </w:trPr>
        <w:tc>
          <w:tcPr>
            <w:tcW w:w="2653" w:type="dxa"/>
          </w:tcPr>
          <w:p>
            <w:pPr>
              <w:pStyle w:val="TableParagraph"/>
              <w:spacing w:line="240" w:lineRule="auto"/>
              <w:ind w:left="107" w:right="134"/>
              <w:jc w:val="left"/>
              <w:rPr>
                <w:sz w:val="24"/>
              </w:rPr>
            </w:pPr>
            <w:r>
              <w:rPr>
                <w:sz w:val="24"/>
              </w:rPr>
              <w:t>iii. Examine the spatiotemporal</w:t>
            </w:r>
            <w:r>
              <w:rPr>
                <w:spacing w:val="-15"/>
                <w:sz w:val="24"/>
              </w:rPr>
              <w:t> </w:t>
            </w:r>
            <w:r>
              <w:rPr>
                <w:sz w:val="24"/>
              </w:rPr>
              <w:t>dynamic</w:t>
            </w:r>
            <w:r>
              <w:rPr>
                <w:sz w:val="24"/>
              </w:rPr>
              <w:t>s in the housing market of the study area between years 2008 – 2018</w:t>
            </w:r>
          </w:p>
        </w:tc>
        <w:tc>
          <w:tcPr>
            <w:tcW w:w="2699" w:type="dxa"/>
          </w:tcPr>
          <w:p>
            <w:pPr>
              <w:pStyle w:val="TableParagraph"/>
              <w:numPr>
                <w:ilvl w:val="0"/>
                <w:numId w:val="14"/>
              </w:numPr>
              <w:tabs>
                <w:tab w:pos="300" w:val="left" w:leader="none"/>
              </w:tabs>
              <w:spacing w:line="240" w:lineRule="auto" w:before="0" w:after="0"/>
              <w:ind w:left="114" w:right="563" w:firstLine="0"/>
              <w:jc w:val="both"/>
              <w:rPr>
                <w:sz w:val="24"/>
              </w:rPr>
            </w:pPr>
            <w:r>
              <w:rPr>
                <w:sz w:val="24"/>
              </w:rPr>
              <w:t>Type</w:t>
            </w:r>
            <w:r>
              <w:rPr>
                <w:spacing w:val="-9"/>
                <w:sz w:val="24"/>
              </w:rPr>
              <w:t> </w:t>
            </w:r>
            <w:r>
              <w:rPr>
                <w:sz w:val="24"/>
              </w:rPr>
              <w:t>of</w:t>
            </w:r>
            <w:r>
              <w:rPr>
                <w:spacing w:val="-8"/>
                <w:sz w:val="24"/>
              </w:rPr>
              <w:t> </w:t>
            </w:r>
            <w:r>
              <w:rPr>
                <w:sz w:val="24"/>
              </w:rPr>
              <w:t>residential rented</w:t>
            </w:r>
            <w:r>
              <w:rPr>
                <w:spacing w:val="-12"/>
                <w:sz w:val="24"/>
              </w:rPr>
              <w:t> </w:t>
            </w:r>
            <w:r>
              <w:rPr>
                <w:sz w:val="24"/>
              </w:rPr>
              <w:t>housing</w:t>
            </w:r>
            <w:r>
              <w:rPr>
                <w:spacing w:val="-15"/>
                <w:sz w:val="24"/>
              </w:rPr>
              <w:t> </w:t>
            </w:r>
            <w:r>
              <w:rPr>
                <w:sz w:val="24"/>
              </w:rPr>
              <w:t>in</w:t>
            </w:r>
            <w:r>
              <w:rPr>
                <w:spacing w:val="-12"/>
                <w:sz w:val="24"/>
              </w:rPr>
              <w:t> </w:t>
            </w:r>
            <w:r>
              <w:rPr>
                <w:sz w:val="24"/>
              </w:rPr>
              <w:t>the study area</w:t>
            </w:r>
          </w:p>
          <w:p>
            <w:pPr>
              <w:pStyle w:val="TableParagraph"/>
              <w:numPr>
                <w:ilvl w:val="0"/>
                <w:numId w:val="14"/>
              </w:numPr>
              <w:tabs>
                <w:tab w:pos="367" w:val="left" w:leader="none"/>
              </w:tabs>
              <w:spacing w:line="240" w:lineRule="auto" w:before="0" w:after="0"/>
              <w:ind w:left="114" w:right="300" w:firstLine="0"/>
              <w:jc w:val="left"/>
              <w:rPr>
                <w:sz w:val="24"/>
              </w:rPr>
            </w:pPr>
            <w:r>
              <w:rPr>
                <w:sz w:val="24"/>
              </w:rPr>
              <w:t>Number and type of rental housing apartments</w:t>
            </w:r>
            <w:r>
              <w:rPr>
                <w:spacing w:val="-15"/>
                <w:sz w:val="24"/>
              </w:rPr>
              <w:t> </w:t>
            </w:r>
            <w:r>
              <w:rPr>
                <w:sz w:val="24"/>
              </w:rPr>
              <w:t>managed</w:t>
            </w:r>
            <w:r>
              <w:rPr>
                <w:spacing w:val="-15"/>
                <w:sz w:val="24"/>
              </w:rPr>
              <w:t> </w:t>
            </w:r>
            <w:r>
              <w:rPr>
                <w:sz w:val="24"/>
              </w:rPr>
              <w:t>by registered estate surveyors in the study </w:t>
            </w:r>
            <w:r>
              <w:rPr>
                <w:spacing w:val="-4"/>
                <w:sz w:val="24"/>
              </w:rPr>
              <w:t>area</w:t>
            </w:r>
          </w:p>
          <w:p>
            <w:pPr>
              <w:pStyle w:val="TableParagraph"/>
              <w:numPr>
                <w:ilvl w:val="0"/>
                <w:numId w:val="14"/>
              </w:numPr>
              <w:tabs>
                <w:tab w:pos="434" w:val="left" w:leader="none"/>
              </w:tabs>
              <w:spacing w:line="240" w:lineRule="auto" w:before="0" w:after="0"/>
              <w:ind w:left="114" w:right="110" w:firstLine="0"/>
              <w:jc w:val="left"/>
              <w:rPr>
                <w:sz w:val="24"/>
              </w:rPr>
            </w:pPr>
            <w:r>
              <w:rPr>
                <w:sz w:val="24"/>
              </w:rPr>
              <w:t>Annual</w:t>
            </w:r>
            <w:r>
              <w:rPr>
                <w:spacing w:val="-13"/>
                <w:sz w:val="24"/>
              </w:rPr>
              <w:t> </w:t>
            </w:r>
            <w:r>
              <w:rPr>
                <w:sz w:val="24"/>
              </w:rPr>
              <w:t>rental</w:t>
            </w:r>
            <w:r>
              <w:rPr>
                <w:spacing w:val="-13"/>
                <w:sz w:val="24"/>
              </w:rPr>
              <w:t> </w:t>
            </w:r>
            <w:r>
              <w:rPr>
                <w:sz w:val="24"/>
              </w:rPr>
              <w:t>value</w:t>
            </w:r>
            <w:r>
              <w:rPr>
                <w:spacing w:val="-13"/>
                <w:sz w:val="24"/>
              </w:rPr>
              <w:t> </w:t>
            </w:r>
            <w:r>
              <w:rPr>
                <w:sz w:val="24"/>
              </w:rPr>
              <w:t>of residential houses in the study area for the years 2008, 2013 and 2018</w:t>
            </w:r>
          </w:p>
          <w:p>
            <w:pPr>
              <w:pStyle w:val="TableParagraph"/>
              <w:numPr>
                <w:ilvl w:val="0"/>
                <w:numId w:val="14"/>
              </w:numPr>
              <w:tabs>
                <w:tab w:pos="420" w:val="left" w:leader="none"/>
              </w:tabs>
              <w:spacing w:line="240" w:lineRule="auto" w:before="0" w:after="0"/>
              <w:ind w:left="114" w:right="117" w:firstLine="0"/>
              <w:jc w:val="left"/>
              <w:rPr>
                <w:sz w:val="24"/>
              </w:rPr>
            </w:pPr>
            <w:r>
              <w:rPr>
                <w:sz w:val="24"/>
              </w:rPr>
              <w:t>Coordinates</w:t>
            </w:r>
            <w:r>
              <w:rPr>
                <w:spacing w:val="-15"/>
                <w:sz w:val="24"/>
              </w:rPr>
              <w:t> </w:t>
            </w:r>
            <w:r>
              <w:rPr>
                <w:sz w:val="24"/>
              </w:rPr>
              <w:t>of</w:t>
            </w:r>
            <w:r>
              <w:rPr>
                <w:spacing w:val="-15"/>
                <w:sz w:val="24"/>
              </w:rPr>
              <w:t> </w:t>
            </w:r>
            <w:r>
              <w:rPr>
                <w:sz w:val="24"/>
              </w:rPr>
              <w:t>sample rental housing</w:t>
            </w:r>
          </w:p>
          <w:p>
            <w:pPr>
              <w:pStyle w:val="TableParagraph"/>
              <w:tabs>
                <w:tab w:pos="5962" w:val="left" w:leader="none"/>
              </w:tabs>
              <w:spacing w:line="256" w:lineRule="exact"/>
              <w:ind w:left="-2668" w:right="-3269"/>
              <w:jc w:val="left"/>
              <w:rPr>
                <w:sz w:val="24"/>
              </w:rPr>
            </w:pPr>
            <w:r>
              <w:rPr>
                <w:spacing w:val="73"/>
                <w:w w:val="150"/>
                <w:sz w:val="24"/>
                <w:u w:val="single"/>
              </w:rPr>
              <w:t>                 </w:t>
            </w:r>
            <w:r>
              <w:rPr>
                <w:spacing w:val="-2"/>
                <w:sz w:val="24"/>
                <w:u w:val="single"/>
              </w:rPr>
              <w:t>apartments.</w:t>
            </w:r>
            <w:r>
              <w:rPr>
                <w:sz w:val="24"/>
                <w:u w:val="single"/>
              </w:rPr>
              <w:tab/>
            </w:r>
          </w:p>
        </w:tc>
        <w:tc>
          <w:tcPr>
            <w:tcW w:w="1778" w:type="dxa"/>
          </w:tcPr>
          <w:p>
            <w:pPr>
              <w:pStyle w:val="TableParagraph"/>
              <w:spacing w:line="240" w:lineRule="auto"/>
              <w:ind w:left="111" w:right="122"/>
              <w:jc w:val="left"/>
              <w:rPr>
                <w:sz w:val="24"/>
              </w:rPr>
            </w:pPr>
            <w:r>
              <w:rPr>
                <w:sz w:val="24"/>
              </w:rPr>
              <w:t>Handheld GPS and</w:t>
            </w:r>
            <w:r>
              <w:rPr>
                <w:spacing w:val="-15"/>
                <w:sz w:val="24"/>
              </w:rPr>
              <w:t> </w:t>
            </w:r>
            <w:r>
              <w:rPr>
                <w:sz w:val="24"/>
              </w:rPr>
              <w:t>rental</w:t>
            </w:r>
            <w:r>
              <w:rPr>
                <w:spacing w:val="-15"/>
                <w:sz w:val="24"/>
              </w:rPr>
              <w:t> </w:t>
            </w:r>
            <w:r>
              <w:rPr>
                <w:sz w:val="24"/>
              </w:rPr>
              <w:t>value </w:t>
            </w:r>
            <w:r>
              <w:rPr>
                <w:spacing w:val="-4"/>
                <w:sz w:val="24"/>
              </w:rPr>
              <w:t>from </w:t>
            </w:r>
            <w:r>
              <w:rPr>
                <w:spacing w:val="-2"/>
                <w:sz w:val="24"/>
              </w:rPr>
              <w:t>professional </w:t>
            </w:r>
            <w:r>
              <w:rPr>
                <w:sz w:val="24"/>
              </w:rPr>
              <w:t>estate</w:t>
            </w:r>
            <w:r>
              <w:rPr>
                <w:spacing w:val="-15"/>
                <w:sz w:val="24"/>
              </w:rPr>
              <w:t> </w:t>
            </w:r>
            <w:r>
              <w:rPr>
                <w:sz w:val="24"/>
              </w:rPr>
              <w:t>surveyors and valuers</w:t>
            </w:r>
          </w:p>
        </w:tc>
        <w:tc>
          <w:tcPr>
            <w:tcW w:w="1487" w:type="dxa"/>
          </w:tcPr>
          <w:p>
            <w:pPr>
              <w:pStyle w:val="TableParagraph"/>
              <w:spacing w:line="240" w:lineRule="auto"/>
              <w:ind w:left="126" w:right="35"/>
              <w:jc w:val="left"/>
              <w:rPr>
                <w:sz w:val="24"/>
              </w:rPr>
            </w:pPr>
            <w:r>
              <w:rPr>
                <w:spacing w:val="-2"/>
                <w:sz w:val="24"/>
              </w:rPr>
              <w:t>Kriging spatial interpolation</w:t>
            </w:r>
          </w:p>
        </w:tc>
      </w:tr>
    </w:tbl>
    <w:p>
      <w:pPr>
        <w:spacing w:after="0" w:line="240" w:lineRule="auto"/>
        <w:jc w:val="left"/>
        <w:rPr>
          <w:sz w:val="24"/>
        </w:rPr>
        <w:sectPr>
          <w:pgSz w:w="11910" w:h="16840"/>
          <w:pgMar w:header="0" w:footer="1022" w:top="1320" w:bottom="1220" w:left="1680" w:right="900"/>
        </w:sectPr>
      </w:pPr>
    </w:p>
    <w:tbl>
      <w:tblPr>
        <w:tblW w:w="0" w:type="auto"/>
        <w:jc w:val="left"/>
        <w:tblInd w:w="3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16"/>
        <w:gridCol w:w="2802"/>
        <w:gridCol w:w="1673"/>
        <w:gridCol w:w="1623"/>
      </w:tblGrid>
      <w:tr>
        <w:trPr>
          <w:trHeight w:val="3855" w:hRule="atLeast"/>
        </w:trPr>
        <w:tc>
          <w:tcPr>
            <w:tcW w:w="2516" w:type="dxa"/>
            <w:tcBorders>
              <w:top w:val="single" w:sz="8" w:space="0" w:color="000000"/>
            </w:tcBorders>
          </w:tcPr>
          <w:p>
            <w:pPr>
              <w:pStyle w:val="TableParagraph"/>
              <w:spacing w:line="240" w:lineRule="auto"/>
              <w:ind w:left="107" w:right="249"/>
              <w:jc w:val="left"/>
              <w:rPr>
                <w:sz w:val="24"/>
              </w:rPr>
            </w:pPr>
            <w:r>
              <w:rPr>
                <w:sz w:val="24"/>
              </w:rPr>
              <w:t>iv. Develop a model predictive</w:t>
            </w:r>
            <w:r>
              <w:rPr>
                <w:spacing w:val="-14"/>
                <w:sz w:val="24"/>
              </w:rPr>
              <w:t> </w:t>
            </w:r>
            <w:r>
              <w:rPr>
                <w:sz w:val="24"/>
              </w:rPr>
              <w:t>and</w:t>
            </w:r>
            <w:r>
              <w:rPr>
                <w:spacing w:val="-13"/>
                <w:sz w:val="24"/>
              </w:rPr>
              <w:t> </w:t>
            </w:r>
            <w:r>
              <w:rPr>
                <w:sz w:val="24"/>
              </w:rPr>
              <w:t>analyse relationship between residential</w:t>
            </w:r>
            <w:r>
              <w:rPr>
                <w:spacing w:val="-15"/>
                <w:sz w:val="24"/>
              </w:rPr>
              <w:t> </w:t>
            </w:r>
            <w:r>
              <w:rPr>
                <w:sz w:val="24"/>
              </w:rPr>
              <w:t>density</w:t>
            </w:r>
            <w:r>
              <w:rPr>
                <w:spacing w:val="-15"/>
                <w:sz w:val="24"/>
              </w:rPr>
              <w:t> </w:t>
            </w:r>
            <w:r>
              <w:rPr>
                <w:sz w:val="24"/>
              </w:rPr>
              <w:t>and rental value</w:t>
            </w:r>
          </w:p>
        </w:tc>
        <w:tc>
          <w:tcPr>
            <w:tcW w:w="2802" w:type="dxa"/>
            <w:tcBorders>
              <w:top w:val="single" w:sz="8" w:space="0" w:color="000000"/>
            </w:tcBorders>
          </w:tcPr>
          <w:p>
            <w:pPr>
              <w:pStyle w:val="TableParagraph"/>
              <w:numPr>
                <w:ilvl w:val="0"/>
                <w:numId w:val="15"/>
              </w:numPr>
              <w:tabs>
                <w:tab w:pos="437" w:val="left" w:leader="none"/>
              </w:tabs>
              <w:spacing w:line="240" w:lineRule="auto" w:before="0" w:after="0"/>
              <w:ind w:left="251" w:right="142" w:firstLine="0"/>
              <w:jc w:val="left"/>
              <w:rPr>
                <w:sz w:val="24"/>
              </w:rPr>
            </w:pPr>
            <w:r>
              <w:rPr>
                <w:sz w:val="24"/>
              </w:rPr>
              <w:t>Raster data of Kriging result of rental value of different types of residential</w:t>
            </w:r>
            <w:r>
              <w:rPr>
                <w:spacing w:val="-13"/>
                <w:sz w:val="24"/>
              </w:rPr>
              <w:t> </w:t>
            </w:r>
            <w:r>
              <w:rPr>
                <w:sz w:val="24"/>
              </w:rPr>
              <w:t>houses</w:t>
            </w:r>
            <w:r>
              <w:rPr>
                <w:spacing w:val="-12"/>
                <w:sz w:val="24"/>
              </w:rPr>
              <w:t> </w:t>
            </w:r>
            <w:r>
              <w:rPr>
                <w:sz w:val="24"/>
              </w:rPr>
              <w:t>for</w:t>
            </w:r>
            <w:r>
              <w:rPr>
                <w:spacing w:val="-14"/>
                <w:sz w:val="24"/>
              </w:rPr>
              <w:t> </w:t>
            </w:r>
            <w:r>
              <w:rPr>
                <w:sz w:val="24"/>
              </w:rPr>
              <w:t>the years 2008, 2013 and</w:t>
            </w:r>
          </w:p>
          <w:p>
            <w:pPr>
              <w:pStyle w:val="TableParagraph"/>
              <w:spacing w:line="240" w:lineRule="auto"/>
              <w:ind w:left="251"/>
              <w:jc w:val="left"/>
              <w:rPr>
                <w:sz w:val="24"/>
              </w:rPr>
            </w:pPr>
            <w:r>
              <w:rPr>
                <w:spacing w:val="-2"/>
                <w:sz w:val="24"/>
              </w:rPr>
              <w:t>2018.</w:t>
            </w:r>
          </w:p>
          <w:p>
            <w:pPr>
              <w:pStyle w:val="TableParagraph"/>
              <w:numPr>
                <w:ilvl w:val="0"/>
                <w:numId w:val="15"/>
              </w:numPr>
              <w:tabs>
                <w:tab w:pos="504" w:val="left" w:leader="none"/>
              </w:tabs>
              <w:spacing w:line="240" w:lineRule="auto" w:before="0" w:after="0"/>
              <w:ind w:left="251" w:right="144" w:firstLine="0"/>
              <w:jc w:val="left"/>
              <w:rPr>
                <w:sz w:val="24"/>
              </w:rPr>
            </w:pPr>
            <w:r>
              <w:rPr>
                <w:sz w:val="24"/>
              </w:rPr>
              <w:t>Raster data of Point density result for residential densities for the</w:t>
            </w:r>
            <w:r>
              <w:rPr>
                <w:spacing w:val="-10"/>
                <w:sz w:val="24"/>
              </w:rPr>
              <w:t> </w:t>
            </w:r>
            <w:r>
              <w:rPr>
                <w:sz w:val="24"/>
              </w:rPr>
              <w:t>years</w:t>
            </w:r>
            <w:r>
              <w:rPr>
                <w:spacing w:val="-11"/>
                <w:sz w:val="24"/>
              </w:rPr>
              <w:t> </w:t>
            </w:r>
            <w:r>
              <w:rPr>
                <w:sz w:val="24"/>
              </w:rPr>
              <w:t>2008,</w:t>
            </w:r>
            <w:r>
              <w:rPr>
                <w:spacing w:val="-11"/>
                <w:sz w:val="24"/>
              </w:rPr>
              <w:t> </w:t>
            </w:r>
            <w:r>
              <w:rPr>
                <w:sz w:val="24"/>
              </w:rPr>
              <w:t>2013</w:t>
            </w:r>
            <w:r>
              <w:rPr>
                <w:spacing w:val="-10"/>
                <w:sz w:val="24"/>
              </w:rPr>
              <w:t> </w:t>
            </w:r>
            <w:r>
              <w:rPr>
                <w:sz w:val="24"/>
              </w:rPr>
              <w:t>and</w:t>
            </w:r>
          </w:p>
          <w:p>
            <w:pPr>
              <w:pStyle w:val="TableParagraph"/>
              <w:spacing w:line="240" w:lineRule="auto"/>
              <w:ind w:left="251"/>
              <w:jc w:val="left"/>
              <w:rPr>
                <w:sz w:val="24"/>
              </w:rPr>
            </w:pPr>
            <w:r>
              <w:rPr>
                <w:spacing w:val="-2"/>
                <w:sz w:val="24"/>
              </w:rPr>
              <w:t>2018.</w:t>
            </w:r>
          </w:p>
          <w:p>
            <w:pPr>
              <w:pStyle w:val="TableParagraph"/>
              <w:numPr>
                <w:ilvl w:val="0"/>
                <w:numId w:val="15"/>
              </w:numPr>
              <w:tabs>
                <w:tab w:pos="571" w:val="left" w:leader="none"/>
              </w:tabs>
              <w:spacing w:line="240" w:lineRule="auto" w:before="0" w:after="0"/>
              <w:ind w:left="251" w:right="210" w:firstLine="0"/>
              <w:jc w:val="left"/>
              <w:rPr>
                <w:sz w:val="24"/>
              </w:rPr>
            </w:pPr>
            <w:r>
              <w:rPr>
                <w:sz w:val="24"/>
              </w:rPr>
              <w:t>Number</w:t>
            </w:r>
            <w:r>
              <w:rPr>
                <w:spacing w:val="-9"/>
                <w:sz w:val="24"/>
              </w:rPr>
              <w:t> </w:t>
            </w:r>
            <w:r>
              <w:rPr>
                <w:sz w:val="24"/>
              </w:rPr>
              <w:t>of</w:t>
            </w:r>
            <w:r>
              <w:rPr>
                <w:spacing w:val="-11"/>
                <w:sz w:val="24"/>
              </w:rPr>
              <w:t> </w:t>
            </w:r>
            <w:r>
              <w:rPr>
                <w:sz w:val="24"/>
              </w:rPr>
              <w:t>buildings for</w:t>
            </w:r>
            <w:r>
              <w:rPr>
                <w:spacing w:val="-12"/>
                <w:sz w:val="24"/>
              </w:rPr>
              <w:t> </w:t>
            </w:r>
            <w:r>
              <w:rPr>
                <w:sz w:val="24"/>
              </w:rPr>
              <w:t>the</w:t>
            </w:r>
            <w:r>
              <w:rPr>
                <w:spacing w:val="-7"/>
                <w:sz w:val="24"/>
              </w:rPr>
              <w:t> </w:t>
            </w:r>
            <w:r>
              <w:rPr>
                <w:sz w:val="24"/>
              </w:rPr>
              <w:t>years</w:t>
            </w:r>
            <w:r>
              <w:rPr>
                <w:spacing w:val="-11"/>
                <w:sz w:val="24"/>
              </w:rPr>
              <w:t> </w:t>
            </w:r>
            <w:r>
              <w:rPr>
                <w:sz w:val="24"/>
              </w:rPr>
              <w:t>2008,</w:t>
            </w:r>
            <w:r>
              <w:rPr>
                <w:spacing w:val="-11"/>
                <w:sz w:val="24"/>
              </w:rPr>
              <w:t> </w:t>
            </w:r>
            <w:r>
              <w:rPr>
                <w:sz w:val="24"/>
              </w:rPr>
              <w:t>2013</w:t>
            </w:r>
          </w:p>
          <w:p>
            <w:pPr>
              <w:pStyle w:val="TableParagraph"/>
              <w:tabs>
                <w:tab w:pos="6099" w:val="left" w:leader="none"/>
              </w:tabs>
              <w:spacing w:line="256" w:lineRule="exact"/>
              <w:ind w:left="-2531" w:right="-3298"/>
              <w:jc w:val="left"/>
              <w:rPr>
                <w:sz w:val="24"/>
              </w:rPr>
            </w:pPr>
            <w:r>
              <w:rPr>
                <w:spacing w:val="71"/>
                <w:w w:val="150"/>
                <w:sz w:val="24"/>
                <w:u w:val="single"/>
              </w:rPr>
              <w:t>                 </w:t>
            </w:r>
            <w:r>
              <w:rPr>
                <w:sz w:val="24"/>
                <w:u w:val="single"/>
              </w:rPr>
              <w:t>and</w:t>
            </w:r>
            <w:r>
              <w:rPr>
                <w:spacing w:val="10"/>
                <w:sz w:val="24"/>
                <w:u w:val="single"/>
              </w:rPr>
              <w:t> </w:t>
            </w:r>
            <w:r>
              <w:rPr>
                <w:spacing w:val="-2"/>
                <w:sz w:val="24"/>
                <w:u w:val="single"/>
              </w:rPr>
              <w:t>2018.</w:t>
            </w:r>
            <w:r>
              <w:rPr>
                <w:sz w:val="24"/>
                <w:u w:val="single"/>
              </w:rPr>
              <w:tab/>
            </w:r>
          </w:p>
        </w:tc>
        <w:tc>
          <w:tcPr>
            <w:tcW w:w="1673" w:type="dxa"/>
            <w:tcBorders>
              <w:top w:val="single" w:sz="8" w:space="0" w:color="000000"/>
            </w:tcBorders>
          </w:tcPr>
          <w:p>
            <w:pPr>
              <w:pStyle w:val="TableParagraph"/>
              <w:spacing w:line="240" w:lineRule="auto"/>
              <w:ind w:left="145" w:right="261"/>
              <w:jc w:val="left"/>
              <w:rPr>
                <w:sz w:val="24"/>
              </w:rPr>
            </w:pPr>
            <w:r>
              <w:rPr>
                <w:sz w:val="24"/>
              </w:rPr>
              <w:t>Point</w:t>
            </w:r>
            <w:r>
              <w:rPr>
                <w:spacing w:val="-15"/>
                <w:sz w:val="24"/>
              </w:rPr>
              <w:t> </w:t>
            </w:r>
            <w:r>
              <w:rPr>
                <w:sz w:val="24"/>
              </w:rPr>
              <w:t>density map and Kriging map</w:t>
            </w:r>
          </w:p>
        </w:tc>
        <w:tc>
          <w:tcPr>
            <w:tcW w:w="1623" w:type="dxa"/>
            <w:tcBorders>
              <w:top w:val="single" w:sz="8" w:space="0" w:color="000000"/>
            </w:tcBorders>
          </w:tcPr>
          <w:p>
            <w:pPr>
              <w:pStyle w:val="TableParagraph"/>
              <w:spacing w:line="240" w:lineRule="auto"/>
              <w:ind w:left="265" w:right="477"/>
              <w:jc w:val="left"/>
              <w:rPr>
                <w:sz w:val="24"/>
              </w:rPr>
            </w:pPr>
            <w:r>
              <w:rPr>
                <w:spacing w:val="-2"/>
                <w:sz w:val="24"/>
              </w:rPr>
              <w:t>Artificial Neural Network</w:t>
            </w:r>
          </w:p>
        </w:tc>
      </w:tr>
    </w:tbl>
    <w:p>
      <w:pPr>
        <w:spacing w:after="0" w:line="240" w:lineRule="auto"/>
        <w:jc w:val="left"/>
        <w:rPr>
          <w:sz w:val="24"/>
        </w:rPr>
        <w:sectPr>
          <w:type w:val="continuous"/>
          <w:pgSz w:w="11910" w:h="16840"/>
          <w:pgMar w:header="0" w:footer="1022" w:top="1380" w:bottom="1220" w:left="1680" w:right="900"/>
        </w:sectPr>
      </w:pPr>
    </w:p>
    <w:p>
      <w:pPr>
        <w:spacing w:before="76"/>
        <w:ind w:left="292" w:right="504" w:firstLine="0"/>
        <w:jc w:val="center"/>
        <w:rPr>
          <w:b/>
          <w:sz w:val="24"/>
        </w:rPr>
      </w:pPr>
      <w:r>
        <w:rPr>
          <w:b/>
          <w:sz w:val="24"/>
        </w:rPr>
        <w:t>CHAPTER</w:t>
      </w:r>
      <w:r>
        <w:rPr>
          <w:b/>
          <w:spacing w:val="-5"/>
          <w:sz w:val="24"/>
        </w:rPr>
        <w:t> </w:t>
      </w:r>
      <w:r>
        <w:rPr>
          <w:b/>
          <w:spacing w:val="-4"/>
          <w:sz w:val="24"/>
        </w:rPr>
        <w:t>FOUR</w:t>
      </w:r>
    </w:p>
    <w:p>
      <w:pPr>
        <w:pStyle w:val="BodyText"/>
        <w:spacing w:before="241"/>
        <w:jc w:val="left"/>
        <w:rPr>
          <w:b/>
        </w:rPr>
      </w:pPr>
    </w:p>
    <w:p>
      <w:pPr>
        <w:pStyle w:val="ListParagraph"/>
        <w:numPr>
          <w:ilvl w:val="1"/>
          <w:numId w:val="16"/>
        </w:numPr>
        <w:tabs>
          <w:tab w:pos="2945" w:val="left" w:leader="none"/>
        </w:tabs>
        <w:spacing w:line="240" w:lineRule="auto" w:before="0" w:after="0"/>
        <w:ind w:left="2945" w:right="0" w:hanging="2640"/>
        <w:jc w:val="left"/>
        <w:rPr>
          <w:b/>
          <w:sz w:val="24"/>
        </w:rPr>
      </w:pPr>
      <w:r>
        <w:rPr>
          <w:b/>
          <w:sz w:val="24"/>
        </w:rPr>
        <w:t>RESULTS</w:t>
      </w:r>
      <w:r>
        <w:rPr>
          <w:b/>
          <w:spacing w:val="-1"/>
          <w:sz w:val="24"/>
        </w:rPr>
        <w:t> </w:t>
      </w:r>
      <w:r>
        <w:rPr>
          <w:b/>
          <w:sz w:val="24"/>
        </w:rPr>
        <w:t>AND </w:t>
      </w:r>
      <w:r>
        <w:rPr>
          <w:b/>
          <w:spacing w:val="-2"/>
          <w:sz w:val="24"/>
        </w:rPr>
        <w:t>DISCUSSION</w:t>
      </w:r>
    </w:p>
    <w:p>
      <w:pPr>
        <w:pStyle w:val="BodyText"/>
        <w:spacing w:before="242"/>
        <w:jc w:val="left"/>
        <w:rPr>
          <w:b/>
        </w:rPr>
      </w:pPr>
    </w:p>
    <w:p>
      <w:pPr>
        <w:pStyle w:val="Heading1"/>
        <w:numPr>
          <w:ilvl w:val="1"/>
          <w:numId w:val="16"/>
        </w:numPr>
        <w:tabs>
          <w:tab w:pos="1025" w:val="left" w:leader="none"/>
        </w:tabs>
        <w:spacing w:line="240" w:lineRule="auto" w:before="0" w:after="0"/>
        <w:ind w:left="1025" w:right="0" w:hanging="720"/>
        <w:jc w:val="left"/>
      </w:pPr>
      <w:r>
        <w:rPr/>
        <w:t>Pattern</w:t>
      </w:r>
      <w:r>
        <w:rPr>
          <w:spacing w:val="-1"/>
        </w:rPr>
        <w:t> </w:t>
      </w:r>
      <w:r>
        <w:rPr/>
        <w:t>of</w:t>
      </w:r>
      <w:r>
        <w:rPr>
          <w:spacing w:val="-1"/>
        </w:rPr>
        <w:t> </w:t>
      </w:r>
      <w:r>
        <w:rPr/>
        <w:t>Residential</w:t>
      </w:r>
      <w:r>
        <w:rPr>
          <w:spacing w:val="-2"/>
        </w:rPr>
        <w:t> </w:t>
      </w:r>
      <w:r>
        <w:rPr/>
        <w:t>Density</w:t>
      </w:r>
      <w:r>
        <w:rPr>
          <w:spacing w:val="-1"/>
        </w:rPr>
        <w:t> </w:t>
      </w:r>
      <w:r>
        <w:rPr/>
        <w:t>of</w:t>
      </w:r>
      <w:r>
        <w:rPr>
          <w:spacing w:val="-1"/>
        </w:rPr>
        <w:t> </w:t>
      </w:r>
      <w:r>
        <w:rPr/>
        <w:t>Housing</w:t>
      </w:r>
      <w:r>
        <w:rPr>
          <w:spacing w:val="-1"/>
        </w:rPr>
        <w:t> </w:t>
      </w:r>
      <w:r>
        <w:rPr/>
        <w:t>Submarkets</w:t>
      </w:r>
      <w:r>
        <w:rPr>
          <w:spacing w:val="-1"/>
        </w:rPr>
        <w:t> </w:t>
      </w:r>
      <w:r>
        <w:rPr/>
        <w:t>in</w:t>
      </w:r>
      <w:r>
        <w:rPr>
          <w:spacing w:val="-1"/>
        </w:rPr>
        <w:t> </w:t>
      </w:r>
      <w:r>
        <w:rPr/>
        <w:t>the</w:t>
      </w:r>
      <w:r>
        <w:rPr>
          <w:spacing w:val="-3"/>
        </w:rPr>
        <w:t> </w:t>
      </w:r>
      <w:r>
        <w:rPr/>
        <w:t>Study</w:t>
      </w:r>
      <w:r>
        <w:rPr>
          <w:spacing w:val="-1"/>
        </w:rPr>
        <w:t> </w:t>
      </w:r>
      <w:r>
        <w:rPr>
          <w:spacing w:val="-4"/>
        </w:rPr>
        <w:t>Area</w:t>
      </w:r>
    </w:p>
    <w:p>
      <w:pPr>
        <w:pStyle w:val="BodyText"/>
        <w:spacing w:before="197"/>
        <w:jc w:val="left"/>
        <w:rPr>
          <w:b/>
        </w:rPr>
      </w:pPr>
    </w:p>
    <w:p>
      <w:pPr>
        <w:pStyle w:val="ListParagraph"/>
        <w:numPr>
          <w:ilvl w:val="2"/>
          <w:numId w:val="16"/>
        </w:numPr>
        <w:tabs>
          <w:tab w:pos="1025" w:val="left" w:leader="none"/>
        </w:tabs>
        <w:spacing w:line="242" w:lineRule="auto" w:before="0" w:after="0"/>
        <w:ind w:left="1025" w:right="512" w:hanging="720"/>
        <w:jc w:val="both"/>
        <w:rPr>
          <w:b/>
          <w:sz w:val="24"/>
        </w:rPr>
      </w:pPr>
      <w:r>
        <w:rPr>
          <w:b/>
          <w:sz w:val="24"/>
        </w:rPr>
        <w:t>Residential density level and building units per hectares by housing </w:t>
      </w:r>
      <w:r>
        <w:rPr>
          <w:b/>
          <w:spacing w:val="-2"/>
          <w:sz w:val="24"/>
        </w:rPr>
        <w:t>submarkets</w:t>
      </w:r>
    </w:p>
    <w:p>
      <w:pPr>
        <w:pStyle w:val="BodyText"/>
        <w:spacing w:line="480" w:lineRule="auto" w:before="230"/>
        <w:ind w:left="305" w:right="507"/>
      </w:pPr>
      <w:r>
        <w:rPr/>
        <w:t>The pattern of urban densification dynamics in terms of level of residential density by housing submarkets and number of buildings and area coverage by housing submarkets is</w:t>
      </w:r>
      <w:r>
        <w:rPr>
          <w:spacing w:val="-2"/>
        </w:rPr>
        <w:t> </w:t>
      </w:r>
      <w:r>
        <w:rPr/>
        <w:t>discussed</w:t>
      </w:r>
      <w:r>
        <w:rPr>
          <w:spacing w:val="-2"/>
        </w:rPr>
        <w:t> </w:t>
      </w:r>
      <w:r>
        <w:rPr/>
        <w:t>in</w:t>
      </w:r>
      <w:r>
        <w:rPr>
          <w:spacing w:val="-5"/>
        </w:rPr>
        <w:t> </w:t>
      </w:r>
      <w:r>
        <w:rPr/>
        <w:t>this</w:t>
      </w:r>
      <w:r>
        <w:rPr>
          <w:spacing w:val="-2"/>
        </w:rPr>
        <w:t> </w:t>
      </w:r>
      <w:r>
        <w:rPr/>
        <w:t>section.</w:t>
      </w:r>
      <w:r>
        <w:rPr>
          <w:spacing w:val="-2"/>
        </w:rPr>
        <w:t> </w:t>
      </w:r>
      <w:r>
        <w:rPr/>
        <w:t>This</w:t>
      </w:r>
      <w:r>
        <w:rPr>
          <w:spacing w:val="-2"/>
        </w:rPr>
        <w:t> </w:t>
      </w:r>
      <w:r>
        <w:rPr/>
        <w:t>was</w:t>
      </w:r>
      <w:r>
        <w:rPr>
          <w:spacing w:val="-2"/>
        </w:rPr>
        <w:t> </w:t>
      </w:r>
      <w:r>
        <w:rPr/>
        <w:t>achieved</w:t>
      </w:r>
      <w:r>
        <w:rPr>
          <w:spacing w:val="-2"/>
        </w:rPr>
        <w:t> </w:t>
      </w:r>
      <w:r>
        <w:rPr/>
        <w:t>by</w:t>
      </w:r>
      <w:r>
        <w:rPr>
          <w:spacing w:val="-5"/>
        </w:rPr>
        <w:t> </w:t>
      </w:r>
      <w:r>
        <w:rPr/>
        <w:t>measuring</w:t>
      </w:r>
      <w:r>
        <w:rPr>
          <w:spacing w:val="-5"/>
        </w:rPr>
        <w:t> </w:t>
      </w:r>
      <w:r>
        <w:rPr/>
        <w:t>the</w:t>
      </w:r>
      <w:r>
        <w:rPr>
          <w:spacing w:val="-2"/>
        </w:rPr>
        <w:t> </w:t>
      </w:r>
      <w:r>
        <w:rPr/>
        <w:t>total</w:t>
      </w:r>
      <w:r>
        <w:rPr>
          <w:spacing w:val="-2"/>
        </w:rPr>
        <w:t> </w:t>
      </w:r>
      <w:r>
        <w:rPr/>
        <w:t>area</w:t>
      </w:r>
      <w:r>
        <w:rPr>
          <w:spacing w:val="-3"/>
        </w:rPr>
        <w:t> </w:t>
      </w:r>
      <w:r>
        <w:rPr/>
        <w:t>of</w:t>
      </w:r>
      <w:r>
        <w:rPr>
          <w:spacing w:val="-2"/>
        </w:rPr>
        <w:t> </w:t>
      </w:r>
      <w:r>
        <w:rPr/>
        <w:t>the</w:t>
      </w:r>
      <w:r>
        <w:rPr>
          <w:spacing w:val="-4"/>
        </w:rPr>
        <w:t> </w:t>
      </w:r>
      <w:r>
        <w:rPr/>
        <w:t>housing submarkets,</w:t>
      </w:r>
      <w:r>
        <w:rPr>
          <w:spacing w:val="-15"/>
        </w:rPr>
        <w:t> </w:t>
      </w:r>
      <w:r>
        <w:rPr/>
        <w:t>number</w:t>
      </w:r>
      <w:r>
        <w:rPr>
          <w:spacing w:val="-15"/>
        </w:rPr>
        <w:t> </w:t>
      </w:r>
      <w:r>
        <w:rPr/>
        <w:t>of</w:t>
      </w:r>
      <w:r>
        <w:rPr>
          <w:spacing w:val="-15"/>
        </w:rPr>
        <w:t> </w:t>
      </w:r>
      <w:r>
        <w:rPr/>
        <w:t>buildings</w:t>
      </w:r>
      <w:r>
        <w:rPr>
          <w:spacing w:val="-15"/>
        </w:rPr>
        <w:t> </w:t>
      </w:r>
      <w:r>
        <w:rPr/>
        <w:t>in</w:t>
      </w:r>
      <w:r>
        <w:rPr>
          <w:spacing w:val="-15"/>
        </w:rPr>
        <w:t> </w:t>
      </w:r>
      <w:r>
        <w:rPr/>
        <w:t>the</w:t>
      </w:r>
      <w:r>
        <w:rPr>
          <w:spacing w:val="-15"/>
        </w:rPr>
        <w:t> </w:t>
      </w:r>
      <w:r>
        <w:rPr/>
        <w:t>housing</w:t>
      </w:r>
      <w:r>
        <w:rPr>
          <w:spacing w:val="-15"/>
        </w:rPr>
        <w:t> </w:t>
      </w:r>
      <w:r>
        <w:rPr/>
        <w:t>submarkets</w:t>
      </w:r>
      <w:r>
        <w:rPr>
          <w:spacing w:val="-15"/>
        </w:rPr>
        <w:t> </w:t>
      </w:r>
      <w:r>
        <w:rPr/>
        <w:t>and</w:t>
      </w:r>
      <w:r>
        <w:rPr>
          <w:spacing w:val="-15"/>
        </w:rPr>
        <w:t> </w:t>
      </w:r>
      <w:r>
        <w:rPr/>
        <w:t>buildings</w:t>
      </w:r>
      <w:r>
        <w:rPr>
          <w:spacing w:val="-15"/>
        </w:rPr>
        <w:t> </w:t>
      </w:r>
      <w:r>
        <w:rPr/>
        <w:t>per</w:t>
      </w:r>
      <w:r>
        <w:rPr>
          <w:spacing w:val="-15"/>
        </w:rPr>
        <w:t> </w:t>
      </w:r>
      <w:r>
        <w:rPr/>
        <w:t>hectare</w:t>
      </w:r>
      <w:r>
        <w:rPr>
          <w:spacing w:val="-15"/>
        </w:rPr>
        <w:t> </w:t>
      </w:r>
      <w:r>
        <w:rPr/>
        <w:t>(ha) in the housing submarket. It was found out that Town housing submarket have highest area</w:t>
      </w:r>
      <w:r>
        <w:rPr>
          <w:spacing w:val="-7"/>
        </w:rPr>
        <w:t> </w:t>
      </w:r>
      <w:r>
        <w:rPr/>
        <w:t>coverage</w:t>
      </w:r>
      <w:r>
        <w:rPr>
          <w:spacing w:val="-7"/>
        </w:rPr>
        <w:t> </w:t>
      </w:r>
      <w:r>
        <w:rPr/>
        <w:t>with</w:t>
      </w:r>
      <w:r>
        <w:rPr>
          <w:spacing w:val="-4"/>
        </w:rPr>
        <w:t> </w:t>
      </w:r>
      <w:r>
        <w:rPr/>
        <w:t>1,214.97ha.</w:t>
      </w:r>
      <w:r>
        <w:rPr>
          <w:spacing w:val="-6"/>
        </w:rPr>
        <w:t> </w:t>
      </w:r>
      <w:r>
        <w:rPr/>
        <w:t>This</w:t>
      </w:r>
      <w:r>
        <w:rPr>
          <w:spacing w:val="-5"/>
        </w:rPr>
        <w:t> </w:t>
      </w:r>
      <w:r>
        <w:rPr/>
        <w:t>is</w:t>
      </w:r>
      <w:r>
        <w:rPr>
          <w:spacing w:val="-5"/>
        </w:rPr>
        <w:t> </w:t>
      </w:r>
      <w:r>
        <w:rPr/>
        <w:t>followed</w:t>
      </w:r>
      <w:r>
        <w:rPr>
          <w:spacing w:val="-6"/>
        </w:rPr>
        <w:t> </w:t>
      </w:r>
      <w:r>
        <w:rPr/>
        <w:t>by</w:t>
      </w:r>
      <w:r>
        <w:rPr>
          <w:spacing w:val="-11"/>
        </w:rPr>
        <w:t> </w:t>
      </w:r>
      <w:r>
        <w:rPr/>
        <w:t>Project</w:t>
      </w:r>
      <w:r>
        <w:rPr>
          <w:spacing w:val="-5"/>
        </w:rPr>
        <w:t> </w:t>
      </w:r>
      <w:r>
        <w:rPr/>
        <w:t>Quarters</w:t>
      </w:r>
      <w:r>
        <w:rPr>
          <w:spacing w:val="-6"/>
        </w:rPr>
        <w:t> </w:t>
      </w:r>
      <w:r>
        <w:rPr/>
        <w:t>with</w:t>
      </w:r>
      <w:r>
        <w:rPr>
          <w:spacing w:val="-4"/>
        </w:rPr>
        <w:t> </w:t>
      </w:r>
      <w:r>
        <w:rPr/>
        <w:t>984.31ha;</w:t>
      </w:r>
      <w:r>
        <w:rPr>
          <w:spacing w:val="-5"/>
        </w:rPr>
        <w:t> </w:t>
      </w:r>
      <w:r>
        <w:rPr/>
        <w:t>Poly Area</w:t>
      </w:r>
      <w:r>
        <w:rPr>
          <w:spacing w:val="-8"/>
        </w:rPr>
        <w:t> </w:t>
      </w:r>
      <w:r>
        <w:rPr/>
        <w:t>and</w:t>
      </w:r>
      <w:r>
        <w:rPr>
          <w:spacing w:val="-10"/>
        </w:rPr>
        <w:t> </w:t>
      </w:r>
      <w:r>
        <w:rPr/>
        <w:t>GRA</w:t>
      </w:r>
      <w:r>
        <w:rPr>
          <w:spacing w:val="-8"/>
        </w:rPr>
        <w:t> </w:t>
      </w:r>
      <w:r>
        <w:rPr/>
        <w:t>have</w:t>
      </w:r>
      <w:r>
        <w:rPr>
          <w:spacing w:val="-8"/>
        </w:rPr>
        <w:t> </w:t>
      </w:r>
      <w:r>
        <w:rPr/>
        <w:t>area</w:t>
      </w:r>
      <w:r>
        <w:rPr>
          <w:spacing w:val="-8"/>
        </w:rPr>
        <w:t> </w:t>
      </w:r>
      <w:r>
        <w:rPr/>
        <w:t>coverage</w:t>
      </w:r>
      <w:r>
        <w:rPr>
          <w:spacing w:val="-11"/>
        </w:rPr>
        <w:t> </w:t>
      </w:r>
      <w:r>
        <w:rPr/>
        <w:t>of</w:t>
      </w:r>
      <w:r>
        <w:rPr>
          <w:spacing w:val="-8"/>
        </w:rPr>
        <w:t> </w:t>
      </w:r>
      <w:r>
        <w:rPr/>
        <w:t>823.13ha</w:t>
      </w:r>
      <w:r>
        <w:rPr>
          <w:spacing w:val="-8"/>
        </w:rPr>
        <w:t> </w:t>
      </w:r>
      <w:r>
        <w:rPr/>
        <w:t>and</w:t>
      </w:r>
      <w:r>
        <w:rPr>
          <w:spacing w:val="-10"/>
        </w:rPr>
        <w:t> </w:t>
      </w:r>
      <w:r>
        <w:rPr/>
        <w:t>800.08ha</w:t>
      </w:r>
      <w:r>
        <w:rPr>
          <w:spacing w:val="-11"/>
        </w:rPr>
        <w:t> </w:t>
      </w:r>
      <w:r>
        <w:rPr/>
        <w:t>respectively</w:t>
      </w:r>
      <w:r>
        <w:rPr>
          <w:spacing w:val="-8"/>
        </w:rPr>
        <w:t> </w:t>
      </w:r>
      <w:r>
        <w:rPr/>
        <w:t>(see</w:t>
      </w:r>
      <w:r>
        <w:rPr>
          <w:spacing w:val="-11"/>
        </w:rPr>
        <w:t> </w:t>
      </w:r>
      <w:r>
        <w:rPr/>
        <w:t>Table</w:t>
      </w:r>
      <w:r>
        <w:rPr>
          <w:spacing w:val="-11"/>
        </w:rPr>
        <w:t> </w:t>
      </w:r>
      <w:r>
        <w:rPr/>
        <w:t>4.1, 4.2 and 4.3).</w:t>
      </w:r>
    </w:p>
    <w:p>
      <w:pPr>
        <w:pStyle w:val="Heading1"/>
        <w:spacing w:line="276" w:lineRule="auto" w:before="248"/>
        <w:ind w:left="1565" w:right="512" w:hanging="1261"/>
      </w:pPr>
      <w:r>
        <w:rPr/>
        <w:t>Table 4.1: Residential Density Level and Building Units Per Hectares by Housing Submarkets 2008</w:t>
      </w:r>
    </w:p>
    <w:tbl>
      <w:tblPr>
        <w:tblW w:w="0" w:type="auto"/>
        <w:jc w:val="left"/>
        <w:tblInd w:w="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79"/>
        <w:gridCol w:w="1398"/>
        <w:gridCol w:w="1346"/>
        <w:gridCol w:w="839"/>
        <w:gridCol w:w="1208"/>
        <w:gridCol w:w="1542"/>
      </w:tblGrid>
      <w:tr>
        <w:trPr>
          <w:trHeight w:val="829" w:hRule="atLeast"/>
        </w:trPr>
        <w:tc>
          <w:tcPr>
            <w:tcW w:w="2079" w:type="dxa"/>
            <w:tcBorders>
              <w:top w:val="single" w:sz="8" w:space="0" w:color="000000"/>
              <w:bottom w:val="single" w:sz="8" w:space="0" w:color="000000"/>
            </w:tcBorders>
          </w:tcPr>
          <w:p>
            <w:pPr>
              <w:pStyle w:val="TableParagraph"/>
              <w:spacing w:line="240" w:lineRule="auto" w:before="274"/>
              <w:ind w:left="115"/>
              <w:jc w:val="left"/>
              <w:rPr>
                <w:b/>
                <w:sz w:val="24"/>
              </w:rPr>
            </w:pPr>
            <w:r>
              <w:rPr>
                <w:b/>
                <w:spacing w:val="-2"/>
                <w:sz w:val="24"/>
              </w:rPr>
              <w:t>Submarket</w:t>
            </w:r>
          </w:p>
        </w:tc>
        <w:tc>
          <w:tcPr>
            <w:tcW w:w="1398" w:type="dxa"/>
            <w:tcBorders>
              <w:top w:val="single" w:sz="8" w:space="0" w:color="000000"/>
              <w:bottom w:val="single" w:sz="8" w:space="0" w:color="000000"/>
            </w:tcBorders>
          </w:tcPr>
          <w:p>
            <w:pPr>
              <w:pStyle w:val="TableParagraph"/>
              <w:spacing w:line="276" w:lineRule="exact"/>
              <w:ind w:left="187" w:right="238" w:hanging="1"/>
              <w:rPr>
                <w:b/>
                <w:sz w:val="24"/>
              </w:rPr>
            </w:pPr>
            <w:r>
              <w:rPr>
                <w:b/>
                <w:spacing w:val="-4"/>
                <w:sz w:val="24"/>
              </w:rPr>
              <w:t>Area </w:t>
            </w:r>
            <w:r>
              <w:rPr>
                <w:b/>
                <w:spacing w:val="-2"/>
                <w:sz w:val="24"/>
              </w:rPr>
              <w:t>Coverage </w:t>
            </w:r>
            <w:r>
              <w:rPr>
                <w:b/>
                <w:spacing w:val="-4"/>
                <w:sz w:val="24"/>
              </w:rPr>
              <w:t>(Ha)</w:t>
            </w:r>
          </w:p>
        </w:tc>
        <w:tc>
          <w:tcPr>
            <w:tcW w:w="1346" w:type="dxa"/>
            <w:tcBorders>
              <w:top w:val="single" w:sz="8" w:space="0" w:color="000000"/>
              <w:bottom w:val="single" w:sz="8" w:space="0" w:color="000000"/>
            </w:tcBorders>
          </w:tcPr>
          <w:p>
            <w:pPr>
              <w:pStyle w:val="TableParagraph"/>
              <w:spacing w:line="240" w:lineRule="auto" w:before="135"/>
              <w:ind w:left="239" w:firstLine="180"/>
              <w:jc w:val="left"/>
              <w:rPr>
                <w:b/>
                <w:sz w:val="24"/>
              </w:rPr>
            </w:pPr>
            <w:r>
              <w:rPr>
                <w:b/>
                <w:sz w:val="24"/>
              </w:rPr>
              <w:t>No. of </w:t>
            </w:r>
            <w:r>
              <w:rPr>
                <w:b/>
                <w:spacing w:val="-2"/>
                <w:sz w:val="24"/>
              </w:rPr>
              <w:t>Buildings</w:t>
            </w:r>
          </w:p>
        </w:tc>
        <w:tc>
          <w:tcPr>
            <w:tcW w:w="839" w:type="dxa"/>
            <w:tcBorders>
              <w:top w:val="single" w:sz="8" w:space="0" w:color="000000"/>
              <w:bottom w:val="single" w:sz="8" w:space="0" w:color="000000"/>
            </w:tcBorders>
          </w:tcPr>
          <w:p>
            <w:pPr>
              <w:pStyle w:val="TableParagraph"/>
              <w:spacing w:line="240" w:lineRule="auto" w:before="274"/>
              <w:ind w:left="0" w:right="20"/>
              <w:rPr>
                <w:b/>
                <w:sz w:val="24"/>
              </w:rPr>
            </w:pPr>
            <w:r>
              <w:rPr>
                <w:b/>
                <w:spacing w:val="-2"/>
                <w:sz w:val="24"/>
              </w:rPr>
              <w:t>Ratio</w:t>
            </w:r>
          </w:p>
        </w:tc>
        <w:tc>
          <w:tcPr>
            <w:tcW w:w="1208" w:type="dxa"/>
            <w:tcBorders>
              <w:top w:val="single" w:sz="8" w:space="0" w:color="000000"/>
              <w:bottom w:val="single" w:sz="8" w:space="0" w:color="000000"/>
            </w:tcBorders>
          </w:tcPr>
          <w:p>
            <w:pPr>
              <w:pStyle w:val="TableParagraph"/>
              <w:spacing w:line="240" w:lineRule="auto" w:before="135"/>
              <w:ind w:left="147" w:right="136" w:firstLine="16"/>
              <w:jc w:val="left"/>
              <w:rPr>
                <w:b/>
                <w:sz w:val="24"/>
              </w:rPr>
            </w:pPr>
            <w:r>
              <w:rPr>
                <w:b/>
                <w:spacing w:val="-2"/>
                <w:sz w:val="24"/>
              </w:rPr>
              <w:t>Building Units/Ha</w:t>
            </w:r>
          </w:p>
        </w:tc>
        <w:tc>
          <w:tcPr>
            <w:tcW w:w="1542" w:type="dxa"/>
            <w:tcBorders>
              <w:top w:val="single" w:sz="8" w:space="0" w:color="000000"/>
              <w:bottom w:val="single" w:sz="8" w:space="0" w:color="000000"/>
            </w:tcBorders>
          </w:tcPr>
          <w:p>
            <w:pPr>
              <w:pStyle w:val="TableParagraph"/>
              <w:spacing w:line="240" w:lineRule="auto" w:before="274"/>
              <w:ind w:left="118"/>
              <w:rPr>
                <w:b/>
                <w:sz w:val="24"/>
              </w:rPr>
            </w:pPr>
            <w:r>
              <w:rPr>
                <w:b/>
                <w:sz w:val="24"/>
              </w:rPr>
              <w:t>Density</w:t>
            </w:r>
            <w:r>
              <w:rPr>
                <w:b/>
                <w:spacing w:val="-2"/>
                <w:sz w:val="24"/>
              </w:rPr>
              <w:t> Level</w:t>
            </w:r>
          </w:p>
        </w:tc>
      </w:tr>
      <w:tr>
        <w:trPr>
          <w:trHeight w:val="314" w:hRule="atLeast"/>
        </w:trPr>
        <w:tc>
          <w:tcPr>
            <w:tcW w:w="2079" w:type="dxa"/>
            <w:tcBorders>
              <w:top w:val="single" w:sz="8" w:space="0" w:color="000000"/>
            </w:tcBorders>
          </w:tcPr>
          <w:p>
            <w:pPr>
              <w:pStyle w:val="TableParagraph"/>
              <w:spacing w:line="268" w:lineRule="exact"/>
              <w:ind w:left="115"/>
              <w:jc w:val="left"/>
              <w:rPr>
                <w:sz w:val="24"/>
              </w:rPr>
            </w:pPr>
            <w:r>
              <w:rPr>
                <w:spacing w:val="-2"/>
                <w:sz w:val="24"/>
              </w:rPr>
              <w:t>Kangi</w:t>
            </w:r>
          </w:p>
        </w:tc>
        <w:tc>
          <w:tcPr>
            <w:tcW w:w="1398" w:type="dxa"/>
            <w:tcBorders>
              <w:top w:val="single" w:sz="8" w:space="0" w:color="000000"/>
            </w:tcBorders>
          </w:tcPr>
          <w:p>
            <w:pPr>
              <w:pStyle w:val="TableParagraph"/>
              <w:spacing w:line="268" w:lineRule="exact"/>
              <w:ind w:left="0" w:right="49"/>
              <w:rPr>
                <w:sz w:val="24"/>
              </w:rPr>
            </w:pPr>
            <w:r>
              <w:rPr>
                <w:spacing w:val="-2"/>
                <w:sz w:val="24"/>
              </w:rPr>
              <w:t>457.52</w:t>
            </w:r>
          </w:p>
        </w:tc>
        <w:tc>
          <w:tcPr>
            <w:tcW w:w="1346" w:type="dxa"/>
            <w:tcBorders>
              <w:top w:val="single" w:sz="8" w:space="0" w:color="000000"/>
            </w:tcBorders>
          </w:tcPr>
          <w:p>
            <w:pPr>
              <w:pStyle w:val="TableParagraph"/>
              <w:spacing w:line="268" w:lineRule="exact"/>
              <w:ind w:left="546"/>
              <w:jc w:val="left"/>
              <w:rPr>
                <w:sz w:val="24"/>
              </w:rPr>
            </w:pPr>
            <w:r>
              <w:rPr>
                <w:spacing w:val="-5"/>
                <w:sz w:val="24"/>
              </w:rPr>
              <w:t>661</w:t>
            </w:r>
          </w:p>
        </w:tc>
        <w:tc>
          <w:tcPr>
            <w:tcW w:w="839" w:type="dxa"/>
            <w:tcBorders>
              <w:top w:val="single" w:sz="8" w:space="0" w:color="000000"/>
            </w:tcBorders>
          </w:tcPr>
          <w:p>
            <w:pPr>
              <w:pStyle w:val="TableParagraph"/>
              <w:spacing w:line="268" w:lineRule="exact"/>
              <w:ind w:left="1" w:right="20"/>
              <w:rPr>
                <w:sz w:val="24"/>
              </w:rPr>
            </w:pPr>
            <w:r>
              <w:rPr>
                <w:spacing w:val="-4"/>
                <w:sz w:val="24"/>
              </w:rPr>
              <w:t>1.44</w:t>
            </w:r>
          </w:p>
        </w:tc>
        <w:tc>
          <w:tcPr>
            <w:tcW w:w="1208" w:type="dxa"/>
            <w:tcBorders>
              <w:top w:val="single" w:sz="8" w:space="0" w:color="000000"/>
            </w:tcBorders>
          </w:tcPr>
          <w:p>
            <w:pPr>
              <w:pStyle w:val="TableParagraph"/>
              <w:spacing w:line="268" w:lineRule="exact"/>
              <w:ind w:left="6" w:right="4"/>
              <w:rPr>
                <w:sz w:val="24"/>
              </w:rPr>
            </w:pPr>
            <w:r>
              <w:rPr>
                <w:spacing w:val="-5"/>
                <w:sz w:val="24"/>
              </w:rPr>
              <w:t>&lt;2</w:t>
            </w:r>
          </w:p>
        </w:tc>
        <w:tc>
          <w:tcPr>
            <w:tcW w:w="1542" w:type="dxa"/>
            <w:tcBorders>
              <w:top w:val="single" w:sz="8" w:space="0" w:color="000000"/>
            </w:tcBorders>
          </w:tcPr>
          <w:p>
            <w:pPr>
              <w:pStyle w:val="TableParagraph"/>
              <w:spacing w:line="268" w:lineRule="exact"/>
              <w:ind w:left="18"/>
              <w:rPr>
                <w:sz w:val="24"/>
              </w:rPr>
            </w:pPr>
            <w:r>
              <w:rPr>
                <w:sz w:val="24"/>
              </w:rPr>
              <w:t>Low</w:t>
            </w:r>
            <w:r>
              <w:rPr>
                <w:spacing w:val="-2"/>
                <w:sz w:val="24"/>
              </w:rPr>
              <w:t> Density</w:t>
            </w:r>
          </w:p>
        </w:tc>
      </w:tr>
      <w:tr>
        <w:trPr>
          <w:trHeight w:val="360" w:hRule="atLeast"/>
        </w:trPr>
        <w:tc>
          <w:tcPr>
            <w:tcW w:w="2079" w:type="dxa"/>
          </w:tcPr>
          <w:p>
            <w:pPr>
              <w:pStyle w:val="TableParagraph"/>
              <w:spacing w:line="240" w:lineRule="auto" w:before="37"/>
              <w:ind w:left="115"/>
              <w:jc w:val="left"/>
              <w:rPr>
                <w:sz w:val="24"/>
              </w:rPr>
            </w:pPr>
            <w:r>
              <w:rPr>
                <w:sz w:val="24"/>
              </w:rPr>
              <w:t>Rahmatu</w:t>
            </w:r>
            <w:r>
              <w:rPr>
                <w:spacing w:val="-1"/>
                <w:sz w:val="24"/>
              </w:rPr>
              <w:t> </w:t>
            </w:r>
            <w:r>
              <w:rPr>
                <w:spacing w:val="-2"/>
                <w:sz w:val="24"/>
              </w:rPr>
              <w:t>Dangana</w:t>
            </w:r>
          </w:p>
        </w:tc>
        <w:tc>
          <w:tcPr>
            <w:tcW w:w="1398" w:type="dxa"/>
          </w:tcPr>
          <w:p>
            <w:pPr>
              <w:pStyle w:val="TableParagraph"/>
              <w:spacing w:line="240" w:lineRule="auto" w:before="37"/>
              <w:ind w:left="0" w:right="49"/>
              <w:rPr>
                <w:sz w:val="24"/>
              </w:rPr>
            </w:pPr>
            <w:r>
              <w:rPr>
                <w:spacing w:val="-4"/>
                <w:sz w:val="24"/>
              </w:rPr>
              <w:t>14.5</w:t>
            </w:r>
          </w:p>
        </w:tc>
        <w:tc>
          <w:tcPr>
            <w:tcW w:w="1346" w:type="dxa"/>
          </w:tcPr>
          <w:p>
            <w:pPr>
              <w:pStyle w:val="TableParagraph"/>
              <w:spacing w:line="240" w:lineRule="auto" w:before="37"/>
              <w:ind w:left="106"/>
              <w:rPr>
                <w:sz w:val="24"/>
              </w:rPr>
            </w:pPr>
            <w:r>
              <w:rPr>
                <w:spacing w:val="-5"/>
                <w:sz w:val="24"/>
              </w:rPr>
              <w:t>83</w:t>
            </w:r>
          </w:p>
        </w:tc>
        <w:tc>
          <w:tcPr>
            <w:tcW w:w="839" w:type="dxa"/>
          </w:tcPr>
          <w:p>
            <w:pPr>
              <w:pStyle w:val="TableParagraph"/>
              <w:spacing w:line="240" w:lineRule="auto" w:before="37"/>
              <w:ind w:left="1" w:right="20"/>
              <w:rPr>
                <w:sz w:val="24"/>
              </w:rPr>
            </w:pPr>
            <w:r>
              <w:rPr>
                <w:spacing w:val="-4"/>
                <w:sz w:val="24"/>
              </w:rPr>
              <w:t>5.72</w:t>
            </w:r>
          </w:p>
        </w:tc>
        <w:tc>
          <w:tcPr>
            <w:tcW w:w="1208" w:type="dxa"/>
          </w:tcPr>
          <w:p>
            <w:pPr>
              <w:pStyle w:val="TableParagraph"/>
              <w:spacing w:line="240" w:lineRule="auto" w:before="37"/>
              <w:ind w:left="6"/>
              <w:rPr>
                <w:sz w:val="24"/>
              </w:rPr>
            </w:pPr>
            <w:r>
              <w:rPr>
                <w:spacing w:val="-2"/>
                <w:sz w:val="24"/>
              </w:rPr>
              <w:t>5-</w:t>
            </w:r>
            <w:r>
              <w:rPr>
                <w:spacing w:val="-10"/>
                <w:sz w:val="24"/>
              </w:rPr>
              <w:t>6</w:t>
            </w:r>
          </w:p>
        </w:tc>
        <w:tc>
          <w:tcPr>
            <w:tcW w:w="1542" w:type="dxa"/>
          </w:tcPr>
          <w:p>
            <w:pPr>
              <w:pStyle w:val="TableParagraph"/>
              <w:spacing w:line="240" w:lineRule="auto" w:before="37"/>
              <w:ind w:left="15"/>
              <w:rPr>
                <w:sz w:val="24"/>
              </w:rPr>
            </w:pPr>
            <w:r>
              <w:rPr>
                <w:sz w:val="24"/>
              </w:rPr>
              <w:t>High</w:t>
            </w:r>
            <w:r>
              <w:rPr>
                <w:spacing w:val="-3"/>
                <w:sz w:val="24"/>
              </w:rPr>
              <w:t> </w:t>
            </w:r>
            <w:r>
              <w:rPr>
                <w:spacing w:val="-2"/>
                <w:sz w:val="24"/>
              </w:rPr>
              <w:t>Density</w:t>
            </w:r>
          </w:p>
        </w:tc>
      </w:tr>
      <w:tr>
        <w:trPr>
          <w:trHeight w:val="360" w:hRule="atLeast"/>
        </w:trPr>
        <w:tc>
          <w:tcPr>
            <w:tcW w:w="2079" w:type="dxa"/>
          </w:tcPr>
          <w:p>
            <w:pPr>
              <w:pStyle w:val="TableParagraph"/>
              <w:spacing w:line="240" w:lineRule="auto" w:before="37"/>
              <w:ind w:left="115"/>
              <w:jc w:val="left"/>
              <w:rPr>
                <w:sz w:val="24"/>
              </w:rPr>
            </w:pPr>
            <w:r>
              <w:rPr>
                <w:spacing w:val="-4"/>
                <w:sz w:val="24"/>
              </w:rPr>
              <w:t>Town</w:t>
            </w:r>
          </w:p>
        </w:tc>
        <w:tc>
          <w:tcPr>
            <w:tcW w:w="1398" w:type="dxa"/>
          </w:tcPr>
          <w:p>
            <w:pPr>
              <w:pStyle w:val="TableParagraph"/>
              <w:spacing w:line="240" w:lineRule="auto" w:before="37"/>
              <w:ind w:left="0" w:right="49"/>
              <w:rPr>
                <w:sz w:val="24"/>
              </w:rPr>
            </w:pPr>
            <w:r>
              <w:rPr>
                <w:spacing w:val="-2"/>
                <w:sz w:val="24"/>
              </w:rPr>
              <w:t>1214.97</w:t>
            </w:r>
          </w:p>
        </w:tc>
        <w:tc>
          <w:tcPr>
            <w:tcW w:w="1346" w:type="dxa"/>
          </w:tcPr>
          <w:p>
            <w:pPr>
              <w:pStyle w:val="TableParagraph"/>
              <w:spacing w:line="240" w:lineRule="auto" w:before="37"/>
              <w:ind w:left="426"/>
              <w:jc w:val="left"/>
              <w:rPr>
                <w:sz w:val="24"/>
              </w:rPr>
            </w:pPr>
            <w:r>
              <w:rPr>
                <w:spacing w:val="-2"/>
                <w:sz w:val="24"/>
              </w:rPr>
              <w:t>25945</w:t>
            </w:r>
          </w:p>
        </w:tc>
        <w:tc>
          <w:tcPr>
            <w:tcW w:w="839" w:type="dxa"/>
          </w:tcPr>
          <w:p>
            <w:pPr>
              <w:pStyle w:val="TableParagraph"/>
              <w:spacing w:line="240" w:lineRule="auto" w:before="37"/>
              <w:ind w:left="1" w:right="20"/>
              <w:rPr>
                <w:sz w:val="24"/>
              </w:rPr>
            </w:pPr>
            <w:r>
              <w:rPr>
                <w:spacing w:val="-2"/>
                <w:sz w:val="24"/>
              </w:rPr>
              <w:t>21.35</w:t>
            </w:r>
          </w:p>
        </w:tc>
        <w:tc>
          <w:tcPr>
            <w:tcW w:w="1208" w:type="dxa"/>
          </w:tcPr>
          <w:p>
            <w:pPr>
              <w:pStyle w:val="TableParagraph"/>
              <w:spacing w:line="240" w:lineRule="auto" w:before="37"/>
              <w:ind w:left="6" w:right="3"/>
              <w:rPr>
                <w:sz w:val="24"/>
              </w:rPr>
            </w:pPr>
            <w:r>
              <w:rPr>
                <w:spacing w:val="-5"/>
                <w:sz w:val="24"/>
              </w:rPr>
              <w:t>&gt;10</w:t>
            </w:r>
          </w:p>
        </w:tc>
        <w:tc>
          <w:tcPr>
            <w:tcW w:w="1542" w:type="dxa"/>
          </w:tcPr>
          <w:p>
            <w:pPr>
              <w:pStyle w:val="TableParagraph"/>
              <w:spacing w:line="240" w:lineRule="auto" w:before="37"/>
              <w:ind w:left="15"/>
              <w:rPr>
                <w:sz w:val="24"/>
              </w:rPr>
            </w:pPr>
            <w:r>
              <w:rPr>
                <w:sz w:val="24"/>
              </w:rPr>
              <w:t>High</w:t>
            </w:r>
            <w:r>
              <w:rPr>
                <w:spacing w:val="-3"/>
                <w:sz w:val="24"/>
              </w:rPr>
              <w:t> </w:t>
            </w:r>
            <w:r>
              <w:rPr>
                <w:spacing w:val="-2"/>
                <w:sz w:val="24"/>
              </w:rPr>
              <w:t>Density</w:t>
            </w:r>
          </w:p>
        </w:tc>
      </w:tr>
      <w:tr>
        <w:trPr>
          <w:trHeight w:val="360" w:hRule="atLeast"/>
        </w:trPr>
        <w:tc>
          <w:tcPr>
            <w:tcW w:w="2079" w:type="dxa"/>
          </w:tcPr>
          <w:p>
            <w:pPr>
              <w:pStyle w:val="TableParagraph"/>
              <w:spacing w:line="240" w:lineRule="auto" w:before="37"/>
              <w:ind w:left="115"/>
              <w:jc w:val="left"/>
              <w:rPr>
                <w:sz w:val="24"/>
              </w:rPr>
            </w:pPr>
            <w:r>
              <w:rPr>
                <w:sz w:val="24"/>
              </w:rPr>
              <w:t>Poly</w:t>
            </w:r>
            <w:r>
              <w:rPr>
                <w:spacing w:val="-6"/>
                <w:sz w:val="24"/>
              </w:rPr>
              <w:t> </w:t>
            </w:r>
            <w:r>
              <w:rPr>
                <w:spacing w:val="-4"/>
                <w:sz w:val="24"/>
              </w:rPr>
              <w:t>Area</w:t>
            </w:r>
          </w:p>
        </w:tc>
        <w:tc>
          <w:tcPr>
            <w:tcW w:w="1398" w:type="dxa"/>
          </w:tcPr>
          <w:p>
            <w:pPr>
              <w:pStyle w:val="TableParagraph"/>
              <w:spacing w:line="240" w:lineRule="auto" w:before="37"/>
              <w:ind w:left="0" w:right="49"/>
              <w:rPr>
                <w:sz w:val="24"/>
              </w:rPr>
            </w:pPr>
            <w:r>
              <w:rPr>
                <w:spacing w:val="-2"/>
                <w:sz w:val="24"/>
              </w:rPr>
              <w:t>823.13</w:t>
            </w:r>
          </w:p>
        </w:tc>
        <w:tc>
          <w:tcPr>
            <w:tcW w:w="1346" w:type="dxa"/>
          </w:tcPr>
          <w:p>
            <w:pPr>
              <w:pStyle w:val="TableParagraph"/>
              <w:spacing w:line="240" w:lineRule="auto" w:before="37"/>
              <w:ind w:left="546"/>
              <w:jc w:val="left"/>
              <w:rPr>
                <w:sz w:val="24"/>
              </w:rPr>
            </w:pPr>
            <w:r>
              <w:rPr>
                <w:spacing w:val="-5"/>
                <w:sz w:val="24"/>
              </w:rPr>
              <w:t>787</w:t>
            </w:r>
          </w:p>
        </w:tc>
        <w:tc>
          <w:tcPr>
            <w:tcW w:w="839" w:type="dxa"/>
          </w:tcPr>
          <w:p>
            <w:pPr>
              <w:pStyle w:val="TableParagraph"/>
              <w:spacing w:line="240" w:lineRule="auto" w:before="37"/>
              <w:ind w:left="1" w:right="20"/>
              <w:rPr>
                <w:sz w:val="24"/>
              </w:rPr>
            </w:pPr>
            <w:r>
              <w:rPr>
                <w:spacing w:val="-4"/>
                <w:sz w:val="24"/>
              </w:rPr>
              <w:t>0.96</w:t>
            </w:r>
          </w:p>
        </w:tc>
        <w:tc>
          <w:tcPr>
            <w:tcW w:w="1208" w:type="dxa"/>
          </w:tcPr>
          <w:p>
            <w:pPr>
              <w:pStyle w:val="TableParagraph"/>
              <w:spacing w:line="240" w:lineRule="auto" w:before="37"/>
              <w:ind w:left="6" w:right="4"/>
              <w:rPr>
                <w:sz w:val="24"/>
              </w:rPr>
            </w:pPr>
            <w:r>
              <w:rPr>
                <w:spacing w:val="-5"/>
                <w:sz w:val="24"/>
              </w:rPr>
              <w:t>&lt;2</w:t>
            </w:r>
          </w:p>
        </w:tc>
        <w:tc>
          <w:tcPr>
            <w:tcW w:w="1542" w:type="dxa"/>
          </w:tcPr>
          <w:p>
            <w:pPr>
              <w:pStyle w:val="TableParagraph"/>
              <w:spacing w:line="240" w:lineRule="auto" w:before="37"/>
              <w:ind w:left="18"/>
              <w:rPr>
                <w:sz w:val="24"/>
              </w:rPr>
            </w:pPr>
            <w:r>
              <w:rPr>
                <w:sz w:val="24"/>
              </w:rPr>
              <w:t>Low</w:t>
            </w:r>
            <w:r>
              <w:rPr>
                <w:spacing w:val="-2"/>
                <w:sz w:val="24"/>
              </w:rPr>
              <w:t> Density</w:t>
            </w:r>
          </w:p>
        </w:tc>
      </w:tr>
      <w:tr>
        <w:trPr>
          <w:trHeight w:val="360" w:hRule="atLeast"/>
        </w:trPr>
        <w:tc>
          <w:tcPr>
            <w:tcW w:w="2079" w:type="dxa"/>
          </w:tcPr>
          <w:p>
            <w:pPr>
              <w:pStyle w:val="TableParagraph"/>
              <w:spacing w:line="240" w:lineRule="auto" w:before="37"/>
              <w:ind w:left="115"/>
              <w:jc w:val="left"/>
              <w:rPr>
                <w:sz w:val="24"/>
              </w:rPr>
            </w:pPr>
            <w:r>
              <w:rPr>
                <w:spacing w:val="-2"/>
                <w:sz w:val="24"/>
              </w:rPr>
              <w:t>Eyagi</w:t>
            </w:r>
          </w:p>
        </w:tc>
        <w:tc>
          <w:tcPr>
            <w:tcW w:w="1398" w:type="dxa"/>
          </w:tcPr>
          <w:p>
            <w:pPr>
              <w:pStyle w:val="TableParagraph"/>
              <w:spacing w:line="240" w:lineRule="auto" w:before="37"/>
              <w:ind w:left="0" w:right="49"/>
              <w:rPr>
                <w:sz w:val="24"/>
              </w:rPr>
            </w:pPr>
            <w:r>
              <w:rPr>
                <w:spacing w:val="-2"/>
                <w:sz w:val="24"/>
              </w:rPr>
              <w:t>725.34</w:t>
            </w:r>
          </w:p>
        </w:tc>
        <w:tc>
          <w:tcPr>
            <w:tcW w:w="1346" w:type="dxa"/>
          </w:tcPr>
          <w:p>
            <w:pPr>
              <w:pStyle w:val="TableParagraph"/>
              <w:spacing w:line="240" w:lineRule="auto" w:before="37"/>
              <w:ind w:left="546"/>
              <w:jc w:val="left"/>
              <w:rPr>
                <w:sz w:val="24"/>
              </w:rPr>
            </w:pPr>
            <w:r>
              <w:rPr>
                <w:spacing w:val="-5"/>
                <w:sz w:val="24"/>
              </w:rPr>
              <w:t>165</w:t>
            </w:r>
          </w:p>
        </w:tc>
        <w:tc>
          <w:tcPr>
            <w:tcW w:w="839" w:type="dxa"/>
          </w:tcPr>
          <w:p>
            <w:pPr>
              <w:pStyle w:val="TableParagraph"/>
              <w:spacing w:line="240" w:lineRule="auto" w:before="37"/>
              <w:ind w:left="1" w:right="20"/>
              <w:rPr>
                <w:sz w:val="24"/>
              </w:rPr>
            </w:pPr>
            <w:r>
              <w:rPr>
                <w:spacing w:val="-4"/>
                <w:sz w:val="24"/>
              </w:rPr>
              <w:t>0.23</w:t>
            </w:r>
          </w:p>
        </w:tc>
        <w:tc>
          <w:tcPr>
            <w:tcW w:w="1208" w:type="dxa"/>
          </w:tcPr>
          <w:p>
            <w:pPr>
              <w:pStyle w:val="TableParagraph"/>
              <w:spacing w:line="240" w:lineRule="auto" w:before="37"/>
              <w:ind w:left="6" w:right="4"/>
              <w:rPr>
                <w:sz w:val="24"/>
              </w:rPr>
            </w:pPr>
            <w:r>
              <w:rPr>
                <w:spacing w:val="-5"/>
                <w:sz w:val="24"/>
              </w:rPr>
              <w:t>&lt;2</w:t>
            </w:r>
          </w:p>
        </w:tc>
        <w:tc>
          <w:tcPr>
            <w:tcW w:w="1542" w:type="dxa"/>
          </w:tcPr>
          <w:p>
            <w:pPr>
              <w:pStyle w:val="TableParagraph"/>
              <w:spacing w:line="240" w:lineRule="auto" w:before="37"/>
              <w:ind w:left="18"/>
              <w:rPr>
                <w:sz w:val="24"/>
              </w:rPr>
            </w:pPr>
            <w:r>
              <w:rPr>
                <w:sz w:val="24"/>
              </w:rPr>
              <w:t>Low</w:t>
            </w:r>
            <w:r>
              <w:rPr>
                <w:spacing w:val="-2"/>
                <w:sz w:val="24"/>
              </w:rPr>
              <w:t> Density</w:t>
            </w:r>
          </w:p>
        </w:tc>
      </w:tr>
      <w:tr>
        <w:trPr>
          <w:trHeight w:val="360" w:hRule="atLeast"/>
        </w:trPr>
        <w:tc>
          <w:tcPr>
            <w:tcW w:w="2079" w:type="dxa"/>
          </w:tcPr>
          <w:p>
            <w:pPr>
              <w:pStyle w:val="TableParagraph"/>
              <w:spacing w:line="240" w:lineRule="auto" w:before="37"/>
              <w:ind w:left="115"/>
              <w:jc w:val="left"/>
              <w:rPr>
                <w:sz w:val="24"/>
              </w:rPr>
            </w:pPr>
            <w:r>
              <w:rPr>
                <w:spacing w:val="-2"/>
                <w:sz w:val="24"/>
              </w:rPr>
              <w:t>Gbazhi</w:t>
            </w:r>
          </w:p>
        </w:tc>
        <w:tc>
          <w:tcPr>
            <w:tcW w:w="1398" w:type="dxa"/>
          </w:tcPr>
          <w:p>
            <w:pPr>
              <w:pStyle w:val="TableParagraph"/>
              <w:spacing w:line="240" w:lineRule="auto" w:before="37"/>
              <w:ind w:left="0" w:right="49"/>
              <w:rPr>
                <w:sz w:val="24"/>
              </w:rPr>
            </w:pPr>
            <w:r>
              <w:rPr>
                <w:spacing w:val="-2"/>
                <w:sz w:val="24"/>
              </w:rPr>
              <w:t>215.81</w:t>
            </w:r>
          </w:p>
        </w:tc>
        <w:tc>
          <w:tcPr>
            <w:tcW w:w="1346" w:type="dxa"/>
          </w:tcPr>
          <w:p>
            <w:pPr>
              <w:pStyle w:val="TableParagraph"/>
              <w:spacing w:line="240" w:lineRule="auto" w:before="37"/>
              <w:ind w:left="546"/>
              <w:jc w:val="left"/>
              <w:rPr>
                <w:sz w:val="24"/>
              </w:rPr>
            </w:pPr>
            <w:r>
              <w:rPr>
                <w:spacing w:val="-5"/>
                <w:sz w:val="24"/>
              </w:rPr>
              <w:t>489</w:t>
            </w:r>
          </w:p>
        </w:tc>
        <w:tc>
          <w:tcPr>
            <w:tcW w:w="839" w:type="dxa"/>
          </w:tcPr>
          <w:p>
            <w:pPr>
              <w:pStyle w:val="TableParagraph"/>
              <w:spacing w:line="240" w:lineRule="auto" w:before="37"/>
              <w:ind w:left="1" w:right="20"/>
              <w:rPr>
                <w:sz w:val="24"/>
              </w:rPr>
            </w:pPr>
            <w:r>
              <w:rPr>
                <w:spacing w:val="-4"/>
                <w:sz w:val="24"/>
              </w:rPr>
              <w:t>2.27</w:t>
            </w:r>
          </w:p>
        </w:tc>
        <w:tc>
          <w:tcPr>
            <w:tcW w:w="1208" w:type="dxa"/>
          </w:tcPr>
          <w:p>
            <w:pPr>
              <w:pStyle w:val="TableParagraph"/>
              <w:spacing w:line="240" w:lineRule="auto" w:before="37"/>
              <w:ind w:left="6"/>
              <w:rPr>
                <w:sz w:val="24"/>
              </w:rPr>
            </w:pPr>
            <w:r>
              <w:rPr>
                <w:spacing w:val="-2"/>
                <w:sz w:val="24"/>
              </w:rPr>
              <w:t>2-</w:t>
            </w:r>
            <w:r>
              <w:rPr>
                <w:spacing w:val="-10"/>
                <w:sz w:val="24"/>
              </w:rPr>
              <w:t>4</w:t>
            </w:r>
          </w:p>
        </w:tc>
        <w:tc>
          <w:tcPr>
            <w:tcW w:w="1542" w:type="dxa"/>
          </w:tcPr>
          <w:p>
            <w:pPr>
              <w:pStyle w:val="TableParagraph"/>
              <w:spacing w:line="240" w:lineRule="auto" w:before="37"/>
              <w:ind w:left="15"/>
              <w:rPr>
                <w:sz w:val="24"/>
              </w:rPr>
            </w:pPr>
            <w:r>
              <w:rPr>
                <w:sz w:val="24"/>
              </w:rPr>
              <w:t>High</w:t>
            </w:r>
            <w:r>
              <w:rPr>
                <w:spacing w:val="-3"/>
                <w:sz w:val="24"/>
              </w:rPr>
              <w:t> </w:t>
            </w:r>
            <w:r>
              <w:rPr>
                <w:spacing w:val="-2"/>
                <w:sz w:val="24"/>
              </w:rPr>
              <w:t>Density</w:t>
            </w:r>
          </w:p>
        </w:tc>
      </w:tr>
      <w:tr>
        <w:trPr>
          <w:trHeight w:val="360" w:hRule="atLeast"/>
        </w:trPr>
        <w:tc>
          <w:tcPr>
            <w:tcW w:w="2079" w:type="dxa"/>
          </w:tcPr>
          <w:p>
            <w:pPr>
              <w:pStyle w:val="TableParagraph"/>
              <w:spacing w:line="240" w:lineRule="auto" w:before="37"/>
              <w:ind w:left="115"/>
              <w:jc w:val="left"/>
              <w:rPr>
                <w:sz w:val="24"/>
              </w:rPr>
            </w:pPr>
            <w:r>
              <w:rPr>
                <w:spacing w:val="-2"/>
                <w:sz w:val="24"/>
              </w:rPr>
              <w:t>Wadata</w:t>
            </w:r>
          </w:p>
        </w:tc>
        <w:tc>
          <w:tcPr>
            <w:tcW w:w="1398" w:type="dxa"/>
          </w:tcPr>
          <w:p>
            <w:pPr>
              <w:pStyle w:val="TableParagraph"/>
              <w:spacing w:line="240" w:lineRule="auto" w:before="37"/>
              <w:ind w:left="0" w:right="49"/>
              <w:rPr>
                <w:sz w:val="24"/>
              </w:rPr>
            </w:pPr>
            <w:r>
              <w:rPr>
                <w:spacing w:val="-2"/>
                <w:sz w:val="24"/>
              </w:rPr>
              <w:t>398.51</w:t>
            </w:r>
          </w:p>
        </w:tc>
        <w:tc>
          <w:tcPr>
            <w:tcW w:w="1346" w:type="dxa"/>
          </w:tcPr>
          <w:p>
            <w:pPr>
              <w:pStyle w:val="TableParagraph"/>
              <w:spacing w:line="240" w:lineRule="auto" w:before="37"/>
              <w:ind w:left="486"/>
              <w:jc w:val="left"/>
              <w:rPr>
                <w:sz w:val="24"/>
              </w:rPr>
            </w:pPr>
            <w:r>
              <w:rPr>
                <w:spacing w:val="-4"/>
                <w:sz w:val="24"/>
              </w:rPr>
              <w:t>1020</w:t>
            </w:r>
          </w:p>
        </w:tc>
        <w:tc>
          <w:tcPr>
            <w:tcW w:w="839" w:type="dxa"/>
          </w:tcPr>
          <w:p>
            <w:pPr>
              <w:pStyle w:val="TableParagraph"/>
              <w:spacing w:line="240" w:lineRule="auto" w:before="37"/>
              <w:ind w:left="1" w:right="20"/>
              <w:rPr>
                <w:sz w:val="24"/>
              </w:rPr>
            </w:pPr>
            <w:r>
              <w:rPr>
                <w:spacing w:val="-4"/>
                <w:sz w:val="24"/>
              </w:rPr>
              <w:t>2.56</w:t>
            </w:r>
          </w:p>
        </w:tc>
        <w:tc>
          <w:tcPr>
            <w:tcW w:w="1208" w:type="dxa"/>
          </w:tcPr>
          <w:p>
            <w:pPr>
              <w:pStyle w:val="TableParagraph"/>
              <w:spacing w:line="240" w:lineRule="auto" w:before="37"/>
              <w:ind w:left="6"/>
              <w:rPr>
                <w:sz w:val="24"/>
              </w:rPr>
            </w:pPr>
            <w:r>
              <w:rPr>
                <w:spacing w:val="-2"/>
                <w:sz w:val="24"/>
              </w:rPr>
              <w:t>2-</w:t>
            </w:r>
            <w:r>
              <w:rPr>
                <w:spacing w:val="-10"/>
                <w:sz w:val="24"/>
              </w:rPr>
              <w:t>4</w:t>
            </w:r>
          </w:p>
        </w:tc>
        <w:tc>
          <w:tcPr>
            <w:tcW w:w="1542" w:type="dxa"/>
          </w:tcPr>
          <w:p>
            <w:pPr>
              <w:pStyle w:val="TableParagraph"/>
              <w:spacing w:line="240" w:lineRule="auto" w:before="37"/>
              <w:ind w:left="15"/>
              <w:rPr>
                <w:sz w:val="24"/>
              </w:rPr>
            </w:pPr>
            <w:r>
              <w:rPr>
                <w:sz w:val="24"/>
              </w:rPr>
              <w:t>High</w:t>
            </w:r>
            <w:r>
              <w:rPr>
                <w:spacing w:val="-3"/>
                <w:sz w:val="24"/>
              </w:rPr>
              <w:t> </w:t>
            </w:r>
            <w:r>
              <w:rPr>
                <w:spacing w:val="-2"/>
                <w:sz w:val="24"/>
              </w:rPr>
              <w:t>Density</w:t>
            </w:r>
          </w:p>
        </w:tc>
      </w:tr>
      <w:tr>
        <w:trPr>
          <w:trHeight w:val="360" w:hRule="atLeast"/>
        </w:trPr>
        <w:tc>
          <w:tcPr>
            <w:tcW w:w="2079" w:type="dxa"/>
          </w:tcPr>
          <w:p>
            <w:pPr>
              <w:pStyle w:val="TableParagraph"/>
              <w:spacing w:line="240" w:lineRule="auto" w:before="37"/>
              <w:ind w:left="115"/>
              <w:jc w:val="left"/>
              <w:rPr>
                <w:sz w:val="24"/>
              </w:rPr>
            </w:pPr>
            <w:r>
              <w:rPr>
                <w:spacing w:val="-2"/>
                <w:sz w:val="24"/>
              </w:rPr>
              <w:t>Avenue</w:t>
            </w:r>
          </w:p>
        </w:tc>
        <w:tc>
          <w:tcPr>
            <w:tcW w:w="1398" w:type="dxa"/>
          </w:tcPr>
          <w:p>
            <w:pPr>
              <w:pStyle w:val="TableParagraph"/>
              <w:spacing w:line="240" w:lineRule="auto" w:before="37"/>
              <w:ind w:left="0" w:right="49"/>
              <w:rPr>
                <w:sz w:val="24"/>
              </w:rPr>
            </w:pPr>
            <w:r>
              <w:rPr>
                <w:spacing w:val="-2"/>
                <w:sz w:val="24"/>
              </w:rPr>
              <w:t>417.08</w:t>
            </w:r>
          </w:p>
        </w:tc>
        <w:tc>
          <w:tcPr>
            <w:tcW w:w="1346" w:type="dxa"/>
          </w:tcPr>
          <w:p>
            <w:pPr>
              <w:pStyle w:val="TableParagraph"/>
              <w:spacing w:line="240" w:lineRule="auto" w:before="37"/>
              <w:ind w:left="546"/>
              <w:jc w:val="left"/>
              <w:rPr>
                <w:sz w:val="24"/>
              </w:rPr>
            </w:pPr>
            <w:r>
              <w:rPr>
                <w:spacing w:val="-5"/>
                <w:sz w:val="24"/>
              </w:rPr>
              <w:t>524</w:t>
            </w:r>
          </w:p>
        </w:tc>
        <w:tc>
          <w:tcPr>
            <w:tcW w:w="839" w:type="dxa"/>
          </w:tcPr>
          <w:p>
            <w:pPr>
              <w:pStyle w:val="TableParagraph"/>
              <w:spacing w:line="240" w:lineRule="auto" w:before="37"/>
              <w:ind w:left="1" w:right="20"/>
              <w:rPr>
                <w:sz w:val="24"/>
              </w:rPr>
            </w:pPr>
            <w:r>
              <w:rPr>
                <w:spacing w:val="-4"/>
                <w:sz w:val="24"/>
              </w:rPr>
              <w:t>1.26</w:t>
            </w:r>
          </w:p>
        </w:tc>
        <w:tc>
          <w:tcPr>
            <w:tcW w:w="1208" w:type="dxa"/>
          </w:tcPr>
          <w:p>
            <w:pPr>
              <w:pStyle w:val="TableParagraph"/>
              <w:spacing w:line="240" w:lineRule="auto" w:before="37"/>
              <w:ind w:left="6" w:right="4"/>
              <w:rPr>
                <w:sz w:val="24"/>
              </w:rPr>
            </w:pPr>
            <w:r>
              <w:rPr>
                <w:spacing w:val="-5"/>
                <w:sz w:val="24"/>
              </w:rPr>
              <w:t>&lt;2</w:t>
            </w:r>
          </w:p>
        </w:tc>
        <w:tc>
          <w:tcPr>
            <w:tcW w:w="1542" w:type="dxa"/>
          </w:tcPr>
          <w:p>
            <w:pPr>
              <w:pStyle w:val="TableParagraph"/>
              <w:spacing w:line="240" w:lineRule="auto" w:before="37"/>
              <w:ind w:left="18"/>
              <w:rPr>
                <w:sz w:val="24"/>
              </w:rPr>
            </w:pPr>
            <w:r>
              <w:rPr>
                <w:sz w:val="24"/>
              </w:rPr>
              <w:t>Low</w:t>
            </w:r>
            <w:r>
              <w:rPr>
                <w:spacing w:val="-2"/>
                <w:sz w:val="24"/>
              </w:rPr>
              <w:t> Density</w:t>
            </w:r>
          </w:p>
        </w:tc>
      </w:tr>
      <w:tr>
        <w:trPr>
          <w:trHeight w:val="360" w:hRule="atLeast"/>
        </w:trPr>
        <w:tc>
          <w:tcPr>
            <w:tcW w:w="2079" w:type="dxa"/>
          </w:tcPr>
          <w:p>
            <w:pPr>
              <w:pStyle w:val="TableParagraph"/>
              <w:spacing w:line="240" w:lineRule="auto" w:before="37"/>
              <w:ind w:left="115"/>
              <w:jc w:val="left"/>
              <w:rPr>
                <w:sz w:val="24"/>
              </w:rPr>
            </w:pPr>
            <w:r>
              <w:rPr>
                <w:spacing w:val="-2"/>
                <w:sz w:val="24"/>
              </w:rPr>
              <w:t>Ndazabo</w:t>
            </w:r>
          </w:p>
        </w:tc>
        <w:tc>
          <w:tcPr>
            <w:tcW w:w="1398" w:type="dxa"/>
          </w:tcPr>
          <w:p>
            <w:pPr>
              <w:pStyle w:val="TableParagraph"/>
              <w:spacing w:line="240" w:lineRule="auto" w:before="37"/>
              <w:ind w:left="0" w:right="49"/>
              <w:rPr>
                <w:sz w:val="24"/>
              </w:rPr>
            </w:pPr>
            <w:r>
              <w:rPr>
                <w:spacing w:val="-2"/>
                <w:sz w:val="24"/>
              </w:rPr>
              <w:t>692.99</w:t>
            </w:r>
          </w:p>
        </w:tc>
        <w:tc>
          <w:tcPr>
            <w:tcW w:w="1346" w:type="dxa"/>
          </w:tcPr>
          <w:p>
            <w:pPr>
              <w:pStyle w:val="TableParagraph"/>
              <w:spacing w:line="240" w:lineRule="auto" w:before="37"/>
              <w:ind w:left="546"/>
              <w:jc w:val="left"/>
              <w:rPr>
                <w:sz w:val="24"/>
              </w:rPr>
            </w:pPr>
            <w:r>
              <w:rPr>
                <w:spacing w:val="-5"/>
                <w:sz w:val="24"/>
              </w:rPr>
              <w:t>605</w:t>
            </w:r>
          </w:p>
        </w:tc>
        <w:tc>
          <w:tcPr>
            <w:tcW w:w="839" w:type="dxa"/>
          </w:tcPr>
          <w:p>
            <w:pPr>
              <w:pStyle w:val="TableParagraph"/>
              <w:spacing w:line="240" w:lineRule="auto" w:before="37"/>
              <w:ind w:left="1" w:right="20"/>
              <w:rPr>
                <w:sz w:val="24"/>
              </w:rPr>
            </w:pPr>
            <w:r>
              <w:rPr>
                <w:spacing w:val="-4"/>
                <w:sz w:val="24"/>
              </w:rPr>
              <w:t>0.87</w:t>
            </w:r>
          </w:p>
        </w:tc>
        <w:tc>
          <w:tcPr>
            <w:tcW w:w="1208" w:type="dxa"/>
          </w:tcPr>
          <w:p>
            <w:pPr>
              <w:pStyle w:val="TableParagraph"/>
              <w:spacing w:line="240" w:lineRule="auto" w:before="37"/>
              <w:ind w:left="6" w:right="4"/>
              <w:rPr>
                <w:sz w:val="24"/>
              </w:rPr>
            </w:pPr>
            <w:r>
              <w:rPr>
                <w:spacing w:val="-5"/>
                <w:sz w:val="24"/>
              </w:rPr>
              <w:t>&lt;2</w:t>
            </w:r>
          </w:p>
        </w:tc>
        <w:tc>
          <w:tcPr>
            <w:tcW w:w="1542" w:type="dxa"/>
          </w:tcPr>
          <w:p>
            <w:pPr>
              <w:pStyle w:val="TableParagraph"/>
              <w:spacing w:line="240" w:lineRule="auto" w:before="37"/>
              <w:ind w:left="18"/>
              <w:rPr>
                <w:sz w:val="24"/>
              </w:rPr>
            </w:pPr>
            <w:r>
              <w:rPr>
                <w:sz w:val="24"/>
              </w:rPr>
              <w:t>Low</w:t>
            </w:r>
            <w:r>
              <w:rPr>
                <w:spacing w:val="-2"/>
                <w:sz w:val="24"/>
              </w:rPr>
              <w:t> Density</w:t>
            </w:r>
          </w:p>
        </w:tc>
      </w:tr>
      <w:tr>
        <w:trPr>
          <w:trHeight w:val="360" w:hRule="atLeast"/>
        </w:trPr>
        <w:tc>
          <w:tcPr>
            <w:tcW w:w="2079" w:type="dxa"/>
          </w:tcPr>
          <w:p>
            <w:pPr>
              <w:pStyle w:val="TableParagraph"/>
              <w:spacing w:line="240" w:lineRule="auto" w:before="37"/>
              <w:ind w:left="115"/>
              <w:jc w:val="left"/>
              <w:rPr>
                <w:sz w:val="24"/>
              </w:rPr>
            </w:pPr>
            <w:r>
              <w:rPr>
                <w:sz w:val="24"/>
              </w:rPr>
              <w:t>Project</w:t>
            </w:r>
            <w:r>
              <w:rPr>
                <w:spacing w:val="-5"/>
                <w:sz w:val="24"/>
              </w:rPr>
              <w:t> </w:t>
            </w:r>
            <w:r>
              <w:rPr>
                <w:spacing w:val="-4"/>
                <w:sz w:val="24"/>
              </w:rPr>
              <w:t>Qtrs</w:t>
            </w:r>
          </w:p>
        </w:tc>
        <w:tc>
          <w:tcPr>
            <w:tcW w:w="1398" w:type="dxa"/>
          </w:tcPr>
          <w:p>
            <w:pPr>
              <w:pStyle w:val="TableParagraph"/>
              <w:spacing w:line="240" w:lineRule="auto" w:before="37"/>
              <w:ind w:left="0" w:right="49"/>
              <w:rPr>
                <w:sz w:val="24"/>
              </w:rPr>
            </w:pPr>
            <w:r>
              <w:rPr>
                <w:spacing w:val="-2"/>
                <w:sz w:val="24"/>
              </w:rPr>
              <w:t>984.31</w:t>
            </w:r>
          </w:p>
        </w:tc>
        <w:tc>
          <w:tcPr>
            <w:tcW w:w="1346" w:type="dxa"/>
          </w:tcPr>
          <w:p>
            <w:pPr>
              <w:pStyle w:val="TableParagraph"/>
              <w:spacing w:line="240" w:lineRule="auto" w:before="37"/>
              <w:ind w:left="546"/>
              <w:jc w:val="left"/>
              <w:rPr>
                <w:sz w:val="24"/>
              </w:rPr>
            </w:pPr>
            <w:r>
              <w:rPr>
                <w:spacing w:val="-5"/>
                <w:sz w:val="24"/>
              </w:rPr>
              <w:t>358</w:t>
            </w:r>
          </w:p>
        </w:tc>
        <w:tc>
          <w:tcPr>
            <w:tcW w:w="839" w:type="dxa"/>
          </w:tcPr>
          <w:p>
            <w:pPr>
              <w:pStyle w:val="TableParagraph"/>
              <w:spacing w:line="240" w:lineRule="auto" w:before="37"/>
              <w:ind w:left="1" w:right="20"/>
              <w:rPr>
                <w:sz w:val="24"/>
              </w:rPr>
            </w:pPr>
            <w:r>
              <w:rPr>
                <w:spacing w:val="-4"/>
                <w:sz w:val="24"/>
              </w:rPr>
              <w:t>0.36</w:t>
            </w:r>
          </w:p>
        </w:tc>
        <w:tc>
          <w:tcPr>
            <w:tcW w:w="1208" w:type="dxa"/>
          </w:tcPr>
          <w:p>
            <w:pPr>
              <w:pStyle w:val="TableParagraph"/>
              <w:spacing w:line="240" w:lineRule="auto" w:before="37"/>
              <w:ind w:left="6" w:right="4"/>
              <w:rPr>
                <w:sz w:val="24"/>
              </w:rPr>
            </w:pPr>
            <w:r>
              <w:rPr>
                <w:spacing w:val="-5"/>
                <w:sz w:val="24"/>
              </w:rPr>
              <w:t>&lt;2</w:t>
            </w:r>
          </w:p>
        </w:tc>
        <w:tc>
          <w:tcPr>
            <w:tcW w:w="1542" w:type="dxa"/>
          </w:tcPr>
          <w:p>
            <w:pPr>
              <w:pStyle w:val="TableParagraph"/>
              <w:spacing w:line="240" w:lineRule="auto" w:before="37"/>
              <w:ind w:left="18"/>
              <w:rPr>
                <w:sz w:val="24"/>
              </w:rPr>
            </w:pPr>
            <w:r>
              <w:rPr>
                <w:sz w:val="24"/>
              </w:rPr>
              <w:t>Low</w:t>
            </w:r>
            <w:r>
              <w:rPr>
                <w:spacing w:val="-2"/>
                <w:sz w:val="24"/>
              </w:rPr>
              <w:t> Density</w:t>
            </w:r>
          </w:p>
        </w:tc>
      </w:tr>
      <w:tr>
        <w:trPr>
          <w:trHeight w:val="404" w:hRule="atLeast"/>
        </w:trPr>
        <w:tc>
          <w:tcPr>
            <w:tcW w:w="2079" w:type="dxa"/>
            <w:tcBorders>
              <w:bottom w:val="single" w:sz="8" w:space="0" w:color="000000"/>
            </w:tcBorders>
          </w:tcPr>
          <w:p>
            <w:pPr>
              <w:pStyle w:val="TableParagraph"/>
              <w:spacing w:line="240" w:lineRule="auto" w:before="37"/>
              <w:ind w:left="115"/>
              <w:jc w:val="left"/>
              <w:rPr>
                <w:sz w:val="24"/>
              </w:rPr>
            </w:pPr>
            <w:r>
              <w:rPr>
                <w:spacing w:val="-5"/>
                <w:sz w:val="24"/>
              </w:rPr>
              <w:t>GRA</w:t>
            </w:r>
          </w:p>
        </w:tc>
        <w:tc>
          <w:tcPr>
            <w:tcW w:w="1398" w:type="dxa"/>
            <w:tcBorders>
              <w:bottom w:val="single" w:sz="8" w:space="0" w:color="000000"/>
            </w:tcBorders>
          </w:tcPr>
          <w:p>
            <w:pPr>
              <w:pStyle w:val="TableParagraph"/>
              <w:spacing w:line="240" w:lineRule="auto" w:before="37"/>
              <w:ind w:left="0" w:right="49"/>
              <w:rPr>
                <w:sz w:val="24"/>
              </w:rPr>
            </w:pPr>
            <w:r>
              <w:rPr>
                <w:spacing w:val="-2"/>
                <w:sz w:val="24"/>
              </w:rPr>
              <w:t>800.08</w:t>
            </w:r>
          </w:p>
        </w:tc>
        <w:tc>
          <w:tcPr>
            <w:tcW w:w="1346" w:type="dxa"/>
            <w:tcBorders>
              <w:bottom w:val="single" w:sz="8" w:space="0" w:color="000000"/>
            </w:tcBorders>
          </w:tcPr>
          <w:p>
            <w:pPr>
              <w:pStyle w:val="TableParagraph"/>
              <w:spacing w:line="240" w:lineRule="auto" w:before="37"/>
              <w:ind w:left="546"/>
              <w:jc w:val="left"/>
              <w:rPr>
                <w:sz w:val="24"/>
              </w:rPr>
            </w:pPr>
            <w:r>
              <w:rPr>
                <w:spacing w:val="-5"/>
                <w:sz w:val="24"/>
              </w:rPr>
              <w:t>773</w:t>
            </w:r>
          </w:p>
        </w:tc>
        <w:tc>
          <w:tcPr>
            <w:tcW w:w="839" w:type="dxa"/>
            <w:tcBorders>
              <w:bottom w:val="single" w:sz="8" w:space="0" w:color="000000"/>
            </w:tcBorders>
          </w:tcPr>
          <w:p>
            <w:pPr>
              <w:pStyle w:val="TableParagraph"/>
              <w:spacing w:line="240" w:lineRule="auto" w:before="37"/>
              <w:ind w:left="1" w:right="20"/>
              <w:rPr>
                <w:sz w:val="24"/>
              </w:rPr>
            </w:pPr>
            <w:r>
              <w:rPr>
                <w:spacing w:val="-4"/>
                <w:sz w:val="24"/>
              </w:rPr>
              <w:t>0.97</w:t>
            </w:r>
          </w:p>
        </w:tc>
        <w:tc>
          <w:tcPr>
            <w:tcW w:w="1208" w:type="dxa"/>
            <w:tcBorders>
              <w:bottom w:val="single" w:sz="8" w:space="0" w:color="000000"/>
            </w:tcBorders>
          </w:tcPr>
          <w:p>
            <w:pPr>
              <w:pStyle w:val="TableParagraph"/>
              <w:spacing w:line="240" w:lineRule="auto" w:before="37"/>
              <w:ind w:left="6" w:right="4"/>
              <w:rPr>
                <w:sz w:val="24"/>
              </w:rPr>
            </w:pPr>
            <w:r>
              <w:rPr>
                <w:spacing w:val="-5"/>
                <w:sz w:val="24"/>
              </w:rPr>
              <w:t>&lt;2</w:t>
            </w:r>
          </w:p>
        </w:tc>
        <w:tc>
          <w:tcPr>
            <w:tcW w:w="1542" w:type="dxa"/>
            <w:tcBorders>
              <w:bottom w:val="single" w:sz="8" w:space="0" w:color="000000"/>
            </w:tcBorders>
          </w:tcPr>
          <w:p>
            <w:pPr>
              <w:pStyle w:val="TableParagraph"/>
              <w:spacing w:line="240" w:lineRule="auto" w:before="37"/>
              <w:ind w:left="18"/>
              <w:rPr>
                <w:sz w:val="24"/>
              </w:rPr>
            </w:pPr>
            <w:r>
              <w:rPr>
                <w:sz w:val="24"/>
              </w:rPr>
              <w:t>Low</w:t>
            </w:r>
            <w:r>
              <w:rPr>
                <w:spacing w:val="-2"/>
                <w:sz w:val="24"/>
              </w:rPr>
              <w:t> Density</w:t>
            </w:r>
          </w:p>
        </w:tc>
      </w:tr>
    </w:tbl>
    <w:p>
      <w:pPr>
        <w:spacing w:after="0" w:line="240" w:lineRule="auto"/>
        <w:rPr>
          <w:sz w:val="24"/>
        </w:rPr>
        <w:sectPr>
          <w:pgSz w:w="11910" w:h="16840"/>
          <w:pgMar w:header="0" w:footer="1022" w:top="1320" w:bottom="1220" w:left="1680" w:right="900"/>
        </w:sectPr>
      </w:pPr>
    </w:p>
    <w:p>
      <w:pPr>
        <w:pStyle w:val="BodyText"/>
        <w:spacing w:line="480" w:lineRule="auto" w:before="72"/>
        <w:ind w:left="305" w:right="510"/>
      </w:pPr>
      <w:r>
        <w:rPr/>
        <w:t>It was found out in Table 4.1 that in the year 2008, the Town housing submarket being the</w:t>
      </w:r>
      <w:r>
        <w:rPr>
          <w:spacing w:val="-1"/>
        </w:rPr>
        <w:t> </w:t>
      </w:r>
      <w:r>
        <w:rPr/>
        <w:t>largest submarket had the highest number of buildings with a</w:t>
      </w:r>
      <w:r>
        <w:rPr>
          <w:spacing w:val="-1"/>
        </w:rPr>
        <w:t> </w:t>
      </w:r>
      <w:r>
        <w:rPr/>
        <w:t>total of 25,945. This is followed by Wadata with 1,020 buildings, Poly area with 787 and GRA with 773. The study</w:t>
      </w:r>
      <w:r>
        <w:rPr>
          <w:spacing w:val="-5"/>
        </w:rPr>
        <w:t> </w:t>
      </w:r>
      <w:r>
        <w:rPr/>
        <w:t>shows that Rahmatu Dangana being the smallest housing submarket also recorded lowest</w:t>
      </w:r>
      <w:r>
        <w:rPr>
          <w:spacing w:val="-5"/>
        </w:rPr>
        <w:t> </w:t>
      </w:r>
      <w:r>
        <w:rPr/>
        <w:t>number</w:t>
      </w:r>
      <w:r>
        <w:rPr>
          <w:spacing w:val="-7"/>
        </w:rPr>
        <w:t> </w:t>
      </w:r>
      <w:r>
        <w:rPr/>
        <w:t>of</w:t>
      </w:r>
      <w:r>
        <w:rPr>
          <w:spacing w:val="-7"/>
        </w:rPr>
        <w:t> </w:t>
      </w:r>
      <w:r>
        <w:rPr/>
        <w:t>buildings</w:t>
      </w:r>
      <w:r>
        <w:rPr>
          <w:spacing w:val="-6"/>
        </w:rPr>
        <w:t> </w:t>
      </w:r>
      <w:r>
        <w:rPr/>
        <w:t>in</w:t>
      </w:r>
      <w:r>
        <w:rPr>
          <w:spacing w:val="-5"/>
        </w:rPr>
        <w:t> </w:t>
      </w:r>
      <w:r>
        <w:rPr/>
        <w:t>that</w:t>
      </w:r>
      <w:r>
        <w:rPr>
          <w:spacing w:val="-3"/>
        </w:rPr>
        <w:t> </w:t>
      </w:r>
      <w:r>
        <w:rPr/>
        <w:t>year.</w:t>
      </w:r>
      <w:r>
        <w:rPr>
          <w:spacing w:val="-6"/>
        </w:rPr>
        <w:t> </w:t>
      </w:r>
      <w:r>
        <w:rPr/>
        <w:t>The</w:t>
      </w:r>
      <w:r>
        <w:rPr>
          <w:spacing w:val="-7"/>
        </w:rPr>
        <w:t> </w:t>
      </w:r>
      <w:r>
        <w:rPr/>
        <w:t>result</w:t>
      </w:r>
      <w:r>
        <w:rPr>
          <w:spacing w:val="-3"/>
        </w:rPr>
        <w:t> </w:t>
      </w:r>
      <w:r>
        <w:rPr/>
        <w:t>also</w:t>
      </w:r>
      <w:r>
        <w:rPr>
          <w:spacing w:val="-5"/>
        </w:rPr>
        <w:t> </w:t>
      </w:r>
      <w:r>
        <w:rPr/>
        <w:t>shows</w:t>
      </w:r>
      <w:r>
        <w:rPr>
          <w:spacing w:val="-6"/>
        </w:rPr>
        <w:t> </w:t>
      </w:r>
      <w:r>
        <w:rPr/>
        <w:t>that</w:t>
      </w:r>
      <w:r>
        <w:rPr>
          <w:spacing w:val="-5"/>
        </w:rPr>
        <w:t> </w:t>
      </w:r>
      <w:r>
        <w:rPr/>
        <w:t>the</w:t>
      </w:r>
      <w:r>
        <w:rPr>
          <w:spacing w:val="-6"/>
        </w:rPr>
        <w:t> </w:t>
      </w:r>
      <w:r>
        <w:rPr/>
        <w:t>Town</w:t>
      </w:r>
      <w:r>
        <w:rPr>
          <w:spacing w:val="-6"/>
        </w:rPr>
        <w:t> </w:t>
      </w:r>
      <w:r>
        <w:rPr/>
        <w:t>with</w:t>
      </w:r>
      <w:r>
        <w:rPr>
          <w:spacing w:val="-5"/>
        </w:rPr>
        <w:t> </w:t>
      </w:r>
      <w:r>
        <w:rPr/>
        <w:t>largest area coverage and highest number of building</w:t>
      </w:r>
      <w:r>
        <w:rPr>
          <w:spacing w:val="-1"/>
        </w:rPr>
        <w:t> </w:t>
      </w:r>
      <w:r>
        <w:rPr/>
        <w:t>units had the highest number of buildings to</w:t>
      </w:r>
      <w:r>
        <w:rPr>
          <w:spacing w:val="-9"/>
        </w:rPr>
        <w:t> </w:t>
      </w:r>
      <w:r>
        <w:rPr/>
        <w:t>area</w:t>
      </w:r>
      <w:r>
        <w:rPr>
          <w:spacing w:val="-11"/>
        </w:rPr>
        <w:t> </w:t>
      </w:r>
      <w:r>
        <w:rPr/>
        <w:t>ratio</w:t>
      </w:r>
      <w:r>
        <w:rPr>
          <w:spacing w:val="-9"/>
        </w:rPr>
        <w:t> </w:t>
      </w:r>
      <w:r>
        <w:rPr/>
        <w:t>with</w:t>
      </w:r>
      <w:r>
        <w:rPr>
          <w:spacing w:val="-9"/>
        </w:rPr>
        <w:t> </w:t>
      </w:r>
      <w:r>
        <w:rPr/>
        <w:t>21.35</w:t>
      </w:r>
      <w:r>
        <w:rPr>
          <w:spacing w:val="-9"/>
        </w:rPr>
        <w:t> </w:t>
      </w:r>
      <w:r>
        <w:rPr/>
        <w:t>this</w:t>
      </w:r>
      <w:r>
        <w:rPr>
          <w:spacing w:val="-9"/>
        </w:rPr>
        <w:t> </w:t>
      </w:r>
      <w:r>
        <w:rPr/>
        <w:t>is</w:t>
      </w:r>
      <w:r>
        <w:rPr>
          <w:spacing w:val="-9"/>
        </w:rPr>
        <w:t> </w:t>
      </w:r>
      <w:r>
        <w:rPr/>
        <w:t>followed</w:t>
      </w:r>
      <w:r>
        <w:rPr>
          <w:spacing w:val="-10"/>
        </w:rPr>
        <w:t> </w:t>
      </w:r>
      <w:r>
        <w:rPr/>
        <w:t>by</w:t>
      </w:r>
      <w:r>
        <w:rPr>
          <w:spacing w:val="-15"/>
        </w:rPr>
        <w:t> </w:t>
      </w:r>
      <w:r>
        <w:rPr/>
        <w:t>Rahmatu</w:t>
      </w:r>
      <w:r>
        <w:rPr>
          <w:spacing w:val="-9"/>
        </w:rPr>
        <w:t> </w:t>
      </w:r>
      <w:r>
        <w:rPr/>
        <w:t>Dangana</w:t>
      </w:r>
      <w:r>
        <w:rPr>
          <w:spacing w:val="-11"/>
        </w:rPr>
        <w:t> </w:t>
      </w:r>
      <w:r>
        <w:rPr/>
        <w:t>with</w:t>
      </w:r>
      <w:r>
        <w:rPr>
          <w:spacing w:val="-9"/>
        </w:rPr>
        <w:t> </w:t>
      </w:r>
      <w:r>
        <w:rPr/>
        <w:t>5.72,</w:t>
      </w:r>
      <w:r>
        <w:rPr>
          <w:spacing w:val="-10"/>
        </w:rPr>
        <w:t> </w:t>
      </w:r>
      <w:r>
        <w:rPr/>
        <w:t>Wadata</w:t>
      </w:r>
      <w:r>
        <w:rPr>
          <w:spacing w:val="-10"/>
        </w:rPr>
        <w:t> </w:t>
      </w:r>
      <w:r>
        <w:rPr/>
        <w:t>2.56</w:t>
      </w:r>
      <w:r>
        <w:rPr>
          <w:spacing w:val="-10"/>
        </w:rPr>
        <w:t> </w:t>
      </w:r>
      <w:r>
        <w:rPr/>
        <w:t>and Gbazhi 2.27. The lowest buildings to area ratio is recorded for Eyagi with 0.23.</w:t>
      </w:r>
    </w:p>
    <w:p>
      <w:pPr>
        <w:pStyle w:val="BodyText"/>
        <w:spacing w:line="480" w:lineRule="auto" w:before="241"/>
        <w:ind w:left="305" w:right="512"/>
      </w:pPr>
      <w:r>
        <w:rPr/>
        <w:t>This implies that people live in the Town housing submarket than any other submarkets in the study area. The Town housing submarket is also the traditional city centre where major</w:t>
      </w:r>
      <w:r>
        <w:rPr>
          <w:spacing w:val="-15"/>
        </w:rPr>
        <w:t> </w:t>
      </w:r>
      <w:r>
        <w:rPr/>
        <w:t>commercial</w:t>
      </w:r>
      <w:r>
        <w:rPr>
          <w:spacing w:val="-15"/>
        </w:rPr>
        <w:t> </w:t>
      </w:r>
      <w:r>
        <w:rPr/>
        <w:t>and</w:t>
      </w:r>
      <w:r>
        <w:rPr>
          <w:spacing w:val="-15"/>
        </w:rPr>
        <w:t> </w:t>
      </w:r>
      <w:r>
        <w:rPr/>
        <w:t>cultural</w:t>
      </w:r>
      <w:r>
        <w:rPr>
          <w:spacing w:val="-14"/>
        </w:rPr>
        <w:t> </w:t>
      </w:r>
      <w:r>
        <w:rPr/>
        <w:t>activities</w:t>
      </w:r>
      <w:r>
        <w:rPr>
          <w:spacing w:val="-15"/>
        </w:rPr>
        <w:t> </w:t>
      </w:r>
      <w:r>
        <w:rPr/>
        <w:t>takes</w:t>
      </w:r>
      <w:r>
        <w:rPr>
          <w:spacing w:val="-15"/>
        </w:rPr>
        <w:t> </w:t>
      </w:r>
      <w:r>
        <w:rPr/>
        <w:t>place.</w:t>
      </w:r>
      <w:r>
        <w:rPr>
          <w:spacing w:val="-12"/>
        </w:rPr>
        <w:t> </w:t>
      </w:r>
      <w:r>
        <w:rPr/>
        <w:t>The</w:t>
      </w:r>
      <w:r>
        <w:rPr>
          <w:spacing w:val="-15"/>
        </w:rPr>
        <w:t> </w:t>
      </w:r>
      <w:r>
        <w:rPr/>
        <w:t>result</w:t>
      </w:r>
      <w:r>
        <w:rPr>
          <w:spacing w:val="-15"/>
        </w:rPr>
        <w:t> </w:t>
      </w:r>
      <w:r>
        <w:rPr/>
        <w:t>also</w:t>
      </w:r>
      <w:r>
        <w:rPr>
          <w:spacing w:val="-13"/>
        </w:rPr>
        <w:t> </w:t>
      </w:r>
      <w:r>
        <w:rPr/>
        <w:t>implies</w:t>
      </w:r>
      <w:r>
        <w:rPr>
          <w:spacing w:val="-15"/>
        </w:rPr>
        <w:t> </w:t>
      </w:r>
      <w:r>
        <w:rPr/>
        <w:t>that</w:t>
      </w:r>
      <w:r>
        <w:rPr>
          <w:spacing w:val="-15"/>
        </w:rPr>
        <w:t> </w:t>
      </w:r>
      <w:r>
        <w:rPr/>
        <w:t>Rahmatu Dangana with smallest area coverage is highly developed.</w:t>
      </w:r>
    </w:p>
    <w:p>
      <w:pPr>
        <w:pStyle w:val="Heading1"/>
        <w:spacing w:line="276" w:lineRule="auto" w:before="247"/>
        <w:ind w:left="1565" w:right="520" w:hanging="1261"/>
      </w:pPr>
      <w:r>
        <w:rPr/>
        <w:t>Table 4.2: Residential Density Level and Building Units Per Hectares by Housing Submarkets 2013</w:t>
      </w:r>
    </w:p>
    <w:tbl>
      <w:tblPr>
        <w:tblW w:w="0" w:type="auto"/>
        <w:jc w:val="left"/>
        <w:tblInd w:w="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59"/>
        <w:gridCol w:w="1739"/>
        <w:gridCol w:w="1255"/>
        <w:gridCol w:w="827"/>
        <w:gridCol w:w="1158"/>
        <w:gridCol w:w="1475"/>
      </w:tblGrid>
      <w:tr>
        <w:trPr>
          <w:trHeight w:val="551" w:hRule="atLeast"/>
        </w:trPr>
        <w:tc>
          <w:tcPr>
            <w:tcW w:w="1959" w:type="dxa"/>
            <w:tcBorders>
              <w:top w:val="single" w:sz="8" w:space="0" w:color="000000"/>
              <w:bottom w:val="single" w:sz="8" w:space="0" w:color="000000"/>
            </w:tcBorders>
          </w:tcPr>
          <w:p>
            <w:pPr>
              <w:pStyle w:val="TableParagraph"/>
              <w:spacing w:line="240" w:lineRule="auto" w:before="135"/>
              <w:ind w:left="115"/>
              <w:jc w:val="left"/>
              <w:rPr>
                <w:b/>
                <w:sz w:val="24"/>
              </w:rPr>
            </w:pPr>
            <w:r>
              <w:rPr>
                <w:b/>
                <w:spacing w:val="-2"/>
                <w:sz w:val="24"/>
              </w:rPr>
              <w:t>Submarket</w:t>
            </w:r>
          </w:p>
        </w:tc>
        <w:tc>
          <w:tcPr>
            <w:tcW w:w="1739" w:type="dxa"/>
            <w:tcBorders>
              <w:top w:val="single" w:sz="8" w:space="0" w:color="000000"/>
              <w:bottom w:val="single" w:sz="8" w:space="0" w:color="000000"/>
            </w:tcBorders>
          </w:tcPr>
          <w:p>
            <w:pPr>
              <w:pStyle w:val="TableParagraph"/>
              <w:spacing w:line="272" w:lineRule="exact"/>
              <w:ind w:left="3" w:right="69"/>
              <w:rPr>
                <w:b/>
                <w:sz w:val="24"/>
              </w:rPr>
            </w:pPr>
            <w:r>
              <w:rPr>
                <w:b/>
                <w:sz w:val="24"/>
              </w:rPr>
              <w:t>Area</w:t>
            </w:r>
            <w:r>
              <w:rPr>
                <w:b/>
                <w:spacing w:val="-3"/>
                <w:sz w:val="24"/>
              </w:rPr>
              <w:t> </w:t>
            </w:r>
            <w:r>
              <w:rPr>
                <w:b/>
                <w:spacing w:val="-2"/>
                <w:sz w:val="24"/>
              </w:rPr>
              <w:t>Coverage</w:t>
            </w:r>
          </w:p>
          <w:p>
            <w:pPr>
              <w:pStyle w:val="TableParagraph"/>
              <w:spacing w:line="259" w:lineRule="exact"/>
              <w:ind w:left="4" w:right="69"/>
              <w:rPr>
                <w:b/>
                <w:sz w:val="24"/>
              </w:rPr>
            </w:pPr>
            <w:r>
              <w:rPr>
                <w:b/>
                <w:spacing w:val="-4"/>
                <w:sz w:val="24"/>
              </w:rPr>
              <w:t>(Ha)</w:t>
            </w:r>
          </w:p>
        </w:tc>
        <w:tc>
          <w:tcPr>
            <w:tcW w:w="1255" w:type="dxa"/>
            <w:tcBorders>
              <w:top w:val="single" w:sz="8" w:space="0" w:color="000000"/>
              <w:bottom w:val="single" w:sz="8" w:space="0" w:color="000000"/>
            </w:tcBorders>
          </w:tcPr>
          <w:p>
            <w:pPr>
              <w:pStyle w:val="TableParagraph"/>
              <w:spacing w:line="272" w:lineRule="exact"/>
              <w:ind w:left="0" w:right="13"/>
              <w:rPr>
                <w:b/>
                <w:sz w:val="24"/>
              </w:rPr>
            </w:pPr>
            <w:r>
              <w:rPr>
                <w:b/>
                <w:sz w:val="24"/>
              </w:rPr>
              <w:t>No. </w:t>
            </w:r>
            <w:r>
              <w:rPr>
                <w:b/>
                <w:spacing w:val="-5"/>
                <w:sz w:val="24"/>
              </w:rPr>
              <w:t>of</w:t>
            </w:r>
          </w:p>
          <w:p>
            <w:pPr>
              <w:pStyle w:val="TableParagraph"/>
              <w:spacing w:line="259" w:lineRule="exact"/>
              <w:ind w:left="3" w:right="13"/>
              <w:rPr>
                <w:b/>
                <w:sz w:val="24"/>
              </w:rPr>
            </w:pPr>
            <w:r>
              <w:rPr>
                <w:b/>
                <w:spacing w:val="-2"/>
                <w:sz w:val="24"/>
              </w:rPr>
              <w:t>Buildings</w:t>
            </w:r>
          </w:p>
        </w:tc>
        <w:tc>
          <w:tcPr>
            <w:tcW w:w="827" w:type="dxa"/>
            <w:tcBorders>
              <w:top w:val="single" w:sz="8" w:space="0" w:color="000000"/>
              <w:bottom w:val="single" w:sz="8" w:space="0" w:color="000000"/>
            </w:tcBorders>
          </w:tcPr>
          <w:p>
            <w:pPr>
              <w:pStyle w:val="TableParagraph"/>
              <w:spacing w:line="240" w:lineRule="auto" w:before="135"/>
              <w:ind w:left="18" w:right="1"/>
              <w:rPr>
                <w:b/>
                <w:sz w:val="24"/>
              </w:rPr>
            </w:pPr>
            <w:r>
              <w:rPr>
                <w:b/>
                <w:spacing w:val="-2"/>
                <w:sz w:val="24"/>
              </w:rPr>
              <w:t>Ratio</w:t>
            </w:r>
          </w:p>
        </w:tc>
        <w:tc>
          <w:tcPr>
            <w:tcW w:w="1158" w:type="dxa"/>
            <w:tcBorders>
              <w:top w:val="single" w:sz="8" w:space="0" w:color="000000"/>
              <w:bottom w:val="single" w:sz="8" w:space="0" w:color="000000"/>
            </w:tcBorders>
          </w:tcPr>
          <w:p>
            <w:pPr>
              <w:pStyle w:val="TableParagraph"/>
              <w:spacing w:line="272" w:lineRule="exact"/>
              <w:ind w:left="137"/>
              <w:jc w:val="left"/>
              <w:rPr>
                <w:b/>
                <w:sz w:val="24"/>
              </w:rPr>
            </w:pPr>
            <w:r>
              <w:rPr>
                <w:b/>
                <w:spacing w:val="-2"/>
                <w:sz w:val="24"/>
              </w:rPr>
              <w:t>Building</w:t>
            </w:r>
          </w:p>
          <w:p>
            <w:pPr>
              <w:pStyle w:val="TableParagraph"/>
              <w:spacing w:line="259" w:lineRule="exact"/>
              <w:ind w:left="120"/>
              <w:jc w:val="left"/>
              <w:rPr>
                <w:b/>
                <w:sz w:val="24"/>
              </w:rPr>
            </w:pPr>
            <w:r>
              <w:rPr>
                <w:b/>
                <w:spacing w:val="-2"/>
                <w:sz w:val="24"/>
              </w:rPr>
              <w:t>Units/Ha</w:t>
            </w:r>
          </w:p>
        </w:tc>
        <w:tc>
          <w:tcPr>
            <w:tcW w:w="1475" w:type="dxa"/>
            <w:tcBorders>
              <w:top w:val="single" w:sz="8" w:space="0" w:color="000000"/>
              <w:bottom w:val="single" w:sz="8" w:space="0" w:color="000000"/>
            </w:tcBorders>
          </w:tcPr>
          <w:p>
            <w:pPr>
              <w:pStyle w:val="TableParagraph"/>
              <w:spacing w:line="272" w:lineRule="exact"/>
              <w:ind w:left="400"/>
              <w:jc w:val="left"/>
              <w:rPr>
                <w:b/>
                <w:sz w:val="24"/>
              </w:rPr>
            </w:pPr>
            <w:r>
              <w:rPr>
                <w:b/>
                <w:spacing w:val="-2"/>
                <w:sz w:val="24"/>
              </w:rPr>
              <w:t>Density</w:t>
            </w:r>
          </w:p>
          <w:p>
            <w:pPr>
              <w:pStyle w:val="TableParagraph"/>
              <w:spacing w:line="259" w:lineRule="exact"/>
              <w:ind w:left="505"/>
              <w:jc w:val="left"/>
              <w:rPr>
                <w:b/>
                <w:sz w:val="24"/>
              </w:rPr>
            </w:pPr>
            <w:r>
              <w:rPr>
                <w:b/>
                <w:spacing w:val="-2"/>
                <w:sz w:val="24"/>
              </w:rPr>
              <w:t>Level</w:t>
            </w:r>
          </w:p>
        </w:tc>
      </w:tr>
      <w:tr>
        <w:trPr>
          <w:trHeight w:val="551" w:hRule="atLeast"/>
        </w:trPr>
        <w:tc>
          <w:tcPr>
            <w:tcW w:w="1959" w:type="dxa"/>
            <w:tcBorders>
              <w:top w:val="single" w:sz="8" w:space="0" w:color="000000"/>
            </w:tcBorders>
          </w:tcPr>
          <w:p>
            <w:pPr>
              <w:pStyle w:val="TableParagraph"/>
              <w:spacing w:line="270" w:lineRule="exact"/>
              <w:ind w:left="115"/>
              <w:jc w:val="left"/>
              <w:rPr>
                <w:sz w:val="24"/>
              </w:rPr>
            </w:pPr>
            <w:r>
              <w:rPr>
                <w:spacing w:val="-2"/>
                <w:sz w:val="24"/>
              </w:rPr>
              <w:t>Kangi</w:t>
            </w:r>
          </w:p>
        </w:tc>
        <w:tc>
          <w:tcPr>
            <w:tcW w:w="1739" w:type="dxa"/>
            <w:tcBorders>
              <w:top w:val="single" w:sz="8" w:space="0" w:color="000000"/>
            </w:tcBorders>
          </w:tcPr>
          <w:p>
            <w:pPr>
              <w:pStyle w:val="TableParagraph"/>
              <w:spacing w:line="270" w:lineRule="exact"/>
              <w:ind w:left="0" w:right="69"/>
              <w:rPr>
                <w:sz w:val="24"/>
              </w:rPr>
            </w:pPr>
            <w:r>
              <w:rPr>
                <w:spacing w:val="-2"/>
                <w:sz w:val="24"/>
              </w:rPr>
              <w:t>457.52</w:t>
            </w:r>
          </w:p>
        </w:tc>
        <w:tc>
          <w:tcPr>
            <w:tcW w:w="1255" w:type="dxa"/>
            <w:tcBorders>
              <w:top w:val="single" w:sz="8" w:space="0" w:color="000000"/>
            </w:tcBorders>
          </w:tcPr>
          <w:p>
            <w:pPr>
              <w:pStyle w:val="TableParagraph"/>
              <w:spacing w:line="270" w:lineRule="exact"/>
              <w:ind w:left="2" w:right="13"/>
              <w:rPr>
                <w:sz w:val="24"/>
              </w:rPr>
            </w:pPr>
            <w:r>
              <w:rPr>
                <w:spacing w:val="-4"/>
                <w:sz w:val="24"/>
              </w:rPr>
              <w:t>1103</w:t>
            </w:r>
          </w:p>
        </w:tc>
        <w:tc>
          <w:tcPr>
            <w:tcW w:w="827" w:type="dxa"/>
            <w:tcBorders>
              <w:top w:val="single" w:sz="8" w:space="0" w:color="000000"/>
            </w:tcBorders>
          </w:tcPr>
          <w:p>
            <w:pPr>
              <w:pStyle w:val="TableParagraph"/>
              <w:spacing w:line="270" w:lineRule="exact"/>
              <w:ind w:left="18"/>
              <w:rPr>
                <w:sz w:val="24"/>
              </w:rPr>
            </w:pPr>
            <w:r>
              <w:rPr>
                <w:spacing w:val="-4"/>
                <w:sz w:val="24"/>
              </w:rPr>
              <w:t>2.41</w:t>
            </w:r>
          </w:p>
        </w:tc>
        <w:tc>
          <w:tcPr>
            <w:tcW w:w="1158" w:type="dxa"/>
            <w:tcBorders>
              <w:top w:val="single" w:sz="8" w:space="0" w:color="000000"/>
            </w:tcBorders>
          </w:tcPr>
          <w:p>
            <w:pPr>
              <w:pStyle w:val="TableParagraph"/>
              <w:spacing w:line="270" w:lineRule="exact"/>
              <w:ind w:left="2"/>
              <w:rPr>
                <w:sz w:val="24"/>
              </w:rPr>
            </w:pPr>
            <w:r>
              <w:rPr>
                <w:spacing w:val="-2"/>
                <w:sz w:val="24"/>
              </w:rPr>
              <w:t>2-</w:t>
            </w:r>
            <w:r>
              <w:rPr>
                <w:spacing w:val="-10"/>
                <w:sz w:val="24"/>
              </w:rPr>
              <w:t>4</w:t>
            </w:r>
          </w:p>
        </w:tc>
        <w:tc>
          <w:tcPr>
            <w:tcW w:w="1475" w:type="dxa"/>
            <w:tcBorders>
              <w:top w:val="single" w:sz="8" w:space="0" w:color="000000"/>
            </w:tcBorders>
          </w:tcPr>
          <w:p>
            <w:pPr>
              <w:pStyle w:val="TableParagraph"/>
              <w:spacing w:line="270" w:lineRule="exact"/>
              <w:ind w:left="0" w:right="7"/>
              <w:rPr>
                <w:sz w:val="24"/>
              </w:rPr>
            </w:pPr>
            <w:r>
              <w:rPr>
                <w:spacing w:val="-4"/>
                <w:sz w:val="24"/>
              </w:rPr>
              <w:t>High</w:t>
            </w:r>
          </w:p>
          <w:p>
            <w:pPr>
              <w:pStyle w:val="TableParagraph"/>
              <w:spacing w:line="261" w:lineRule="exact"/>
              <w:ind w:left="2" w:right="7"/>
              <w:rPr>
                <w:sz w:val="24"/>
              </w:rPr>
            </w:pPr>
            <w:r>
              <w:rPr>
                <w:spacing w:val="-2"/>
                <w:sz w:val="24"/>
              </w:rPr>
              <w:t>Density</w:t>
            </w:r>
          </w:p>
        </w:tc>
      </w:tr>
      <w:tr>
        <w:trPr>
          <w:trHeight w:val="551" w:hRule="atLeast"/>
        </w:trPr>
        <w:tc>
          <w:tcPr>
            <w:tcW w:w="1959" w:type="dxa"/>
          </w:tcPr>
          <w:p>
            <w:pPr>
              <w:pStyle w:val="TableParagraph"/>
              <w:spacing w:line="271" w:lineRule="exact"/>
              <w:ind w:left="115"/>
              <w:jc w:val="left"/>
              <w:rPr>
                <w:sz w:val="24"/>
              </w:rPr>
            </w:pPr>
            <w:r>
              <w:rPr>
                <w:sz w:val="24"/>
              </w:rPr>
              <w:t>Rahmatu</w:t>
            </w:r>
            <w:r>
              <w:rPr>
                <w:spacing w:val="-1"/>
                <w:sz w:val="24"/>
              </w:rPr>
              <w:t> </w:t>
            </w:r>
            <w:r>
              <w:rPr>
                <w:spacing w:val="-2"/>
                <w:sz w:val="24"/>
              </w:rPr>
              <w:t>Dangana</w:t>
            </w:r>
          </w:p>
        </w:tc>
        <w:tc>
          <w:tcPr>
            <w:tcW w:w="1739" w:type="dxa"/>
          </w:tcPr>
          <w:p>
            <w:pPr>
              <w:pStyle w:val="TableParagraph"/>
              <w:spacing w:line="271" w:lineRule="exact"/>
              <w:ind w:left="0" w:right="69"/>
              <w:rPr>
                <w:sz w:val="24"/>
              </w:rPr>
            </w:pPr>
            <w:r>
              <w:rPr>
                <w:spacing w:val="-4"/>
                <w:sz w:val="24"/>
              </w:rPr>
              <w:t>14.5</w:t>
            </w:r>
          </w:p>
        </w:tc>
        <w:tc>
          <w:tcPr>
            <w:tcW w:w="1255" w:type="dxa"/>
          </w:tcPr>
          <w:p>
            <w:pPr>
              <w:pStyle w:val="TableParagraph"/>
              <w:spacing w:line="271" w:lineRule="exact"/>
              <w:ind w:left="2" w:right="13"/>
              <w:rPr>
                <w:sz w:val="24"/>
              </w:rPr>
            </w:pPr>
            <w:r>
              <w:rPr>
                <w:spacing w:val="-5"/>
                <w:sz w:val="24"/>
              </w:rPr>
              <w:t>132</w:t>
            </w:r>
          </w:p>
        </w:tc>
        <w:tc>
          <w:tcPr>
            <w:tcW w:w="827" w:type="dxa"/>
          </w:tcPr>
          <w:p>
            <w:pPr>
              <w:pStyle w:val="TableParagraph"/>
              <w:spacing w:line="271" w:lineRule="exact"/>
              <w:ind w:left="18"/>
              <w:rPr>
                <w:sz w:val="24"/>
              </w:rPr>
            </w:pPr>
            <w:r>
              <w:rPr>
                <w:spacing w:val="-4"/>
                <w:sz w:val="24"/>
              </w:rPr>
              <w:t>9.10</w:t>
            </w:r>
          </w:p>
        </w:tc>
        <w:tc>
          <w:tcPr>
            <w:tcW w:w="1158" w:type="dxa"/>
          </w:tcPr>
          <w:p>
            <w:pPr>
              <w:pStyle w:val="TableParagraph"/>
              <w:spacing w:line="271" w:lineRule="exact"/>
              <w:ind w:left="2"/>
              <w:rPr>
                <w:sz w:val="24"/>
              </w:rPr>
            </w:pPr>
            <w:r>
              <w:rPr>
                <w:spacing w:val="-2"/>
                <w:sz w:val="24"/>
              </w:rPr>
              <w:t>9-</w:t>
            </w:r>
            <w:r>
              <w:rPr>
                <w:spacing w:val="-5"/>
                <w:sz w:val="24"/>
              </w:rPr>
              <w:t>10</w:t>
            </w:r>
          </w:p>
        </w:tc>
        <w:tc>
          <w:tcPr>
            <w:tcW w:w="1475" w:type="dxa"/>
          </w:tcPr>
          <w:p>
            <w:pPr>
              <w:pStyle w:val="TableParagraph"/>
              <w:spacing w:line="271" w:lineRule="exact"/>
              <w:ind w:left="0" w:right="7"/>
              <w:rPr>
                <w:sz w:val="24"/>
              </w:rPr>
            </w:pPr>
            <w:r>
              <w:rPr>
                <w:spacing w:val="-4"/>
                <w:sz w:val="24"/>
              </w:rPr>
              <w:t>High</w:t>
            </w:r>
          </w:p>
          <w:p>
            <w:pPr>
              <w:pStyle w:val="TableParagraph"/>
              <w:spacing w:line="261" w:lineRule="exact"/>
              <w:ind w:left="2" w:right="7"/>
              <w:rPr>
                <w:sz w:val="24"/>
              </w:rPr>
            </w:pPr>
            <w:r>
              <w:rPr>
                <w:spacing w:val="-2"/>
                <w:sz w:val="24"/>
              </w:rPr>
              <w:t>Density</w:t>
            </w:r>
          </w:p>
        </w:tc>
      </w:tr>
      <w:tr>
        <w:trPr>
          <w:trHeight w:val="551" w:hRule="atLeast"/>
        </w:trPr>
        <w:tc>
          <w:tcPr>
            <w:tcW w:w="1959" w:type="dxa"/>
          </w:tcPr>
          <w:p>
            <w:pPr>
              <w:pStyle w:val="TableParagraph"/>
              <w:spacing w:line="271" w:lineRule="exact"/>
              <w:ind w:left="115"/>
              <w:jc w:val="left"/>
              <w:rPr>
                <w:sz w:val="24"/>
              </w:rPr>
            </w:pPr>
            <w:r>
              <w:rPr>
                <w:spacing w:val="-4"/>
                <w:sz w:val="24"/>
              </w:rPr>
              <w:t>Town</w:t>
            </w:r>
          </w:p>
        </w:tc>
        <w:tc>
          <w:tcPr>
            <w:tcW w:w="1739" w:type="dxa"/>
          </w:tcPr>
          <w:p>
            <w:pPr>
              <w:pStyle w:val="TableParagraph"/>
              <w:spacing w:line="271" w:lineRule="exact"/>
              <w:ind w:left="0" w:right="69"/>
              <w:rPr>
                <w:sz w:val="24"/>
              </w:rPr>
            </w:pPr>
            <w:r>
              <w:rPr>
                <w:spacing w:val="-2"/>
                <w:sz w:val="24"/>
              </w:rPr>
              <w:t>1214.97</w:t>
            </w:r>
          </w:p>
        </w:tc>
        <w:tc>
          <w:tcPr>
            <w:tcW w:w="1255" w:type="dxa"/>
          </w:tcPr>
          <w:p>
            <w:pPr>
              <w:pStyle w:val="TableParagraph"/>
              <w:spacing w:line="271" w:lineRule="exact"/>
              <w:ind w:left="2" w:right="13"/>
              <w:rPr>
                <w:sz w:val="24"/>
              </w:rPr>
            </w:pPr>
            <w:r>
              <w:rPr>
                <w:spacing w:val="-2"/>
                <w:sz w:val="24"/>
              </w:rPr>
              <w:t>34242</w:t>
            </w:r>
          </w:p>
        </w:tc>
        <w:tc>
          <w:tcPr>
            <w:tcW w:w="827" w:type="dxa"/>
          </w:tcPr>
          <w:p>
            <w:pPr>
              <w:pStyle w:val="TableParagraph"/>
              <w:spacing w:line="271" w:lineRule="exact"/>
              <w:ind w:left="18"/>
              <w:rPr>
                <w:sz w:val="24"/>
              </w:rPr>
            </w:pPr>
            <w:r>
              <w:rPr>
                <w:spacing w:val="-2"/>
                <w:sz w:val="24"/>
              </w:rPr>
              <w:t>28.18</w:t>
            </w:r>
          </w:p>
        </w:tc>
        <w:tc>
          <w:tcPr>
            <w:tcW w:w="1158" w:type="dxa"/>
          </w:tcPr>
          <w:p>
            <w:pPr>
              <w:pStyle w:val="TableParagraph"/>
              <w:spacing w:line="271" w:lineRule="exact"/>
              <w:ind w:left="2" w:right="2"/>
              <w:rPr>
                <w:sz w:val="24"/>
              </w:rPr>
            </w:pPr>
            <w:r>
              <w:rPr>
                <w:spacing w:val="-5"/>
                <w:sz w:val="24"/>
              </w:rPr>
              <w:t>&gt;10</w:t>
            </w:r>
          </w:p>
        </w:tc>
        <w:tc>
          <w:tcPr>
            <w:tcW w:w="1475" w:type="dxa"/>
          </w:tcPr>
          <w:p>
            <w:pPr>
              <w:pStyle w:val="TableParagraph"/>
              <w:spacing w:line="271" w:lineRule="exact"/>
              <w:ind w:left="0" w:right="7"/>
              <w:rPr>
                <w:sz w:val="24"/>
              </w:rPr>
            </w:pPr>
            <w:r>
              <w:rPr>
                <w:spacing w:val="-4"/>
                <w:sz w:val="24"/>
              </w:rPr>
              <w:t>High</w:t>
            </w:r>
          </w:p>
          <w:p>
            <w:pPr>
              <w:pStyle w:val="TableParagraph"/>
              <w:spacing w:line="261" w:lineRule="exact"/>
              <w:ind w:left="2" w:right="7"/>
              <w:rPr>
                <w:sz w:val="24"/>
              </w:rPr>
            </w:pPr>
            <w:r>
              <w:rPr>
                <w:spacing w:val="-2"/>
                <w:sz w:val="24"/>
              </w:rPr>
              <w:t>Density</w:t>
            </w:r>
          </w:p>
        </w:tc>
      </w:tr>
      <w:tr>
        <w:trPr>
          <w:trHeight w:val="552" w:hRule="atLeast"/>
        </w:trPr>
        <w:tc>
          <w:tcPr>
            <w:tcW w:w="1959" w:type="dxa"/>
          </w:tcPr>
          <w:p>
            <w:pPr>
              <w:pStyle w:val="TableParagraph"/>
              <w:spacing w:line="271" w:lineRule="exact"/>
              <w:ind w:left="115"/>
              <w:jc w:val="left"/>
              <w:rPr>
                <w:sz w:val="24"/>
              </w:rPr>
            </w:pPr>
            <w:r>
              <w:rPr>
                <w:sz w:val="24"/>
              </w:rPr>
              <w:t>Poly</w:t>
            </w:r>
            <w:r>
              <w:rPr>
                <w:spacing w:val="-6"/>
                <w:sz w:val="24"/>
              </w:rPr>
              <w:t> </w:t>
            </w:r>
            <w:r>
              <w:rPr>
                <w:spacing w:val="-4"/>
                <w:sz w:val="24"/>
              </w:rPr>
              <w:t>Area</w:t>
            </w:r>
          </w:p>
        </w:tc>
        <w:tc>
          <w:tcPr>
            <w:tcW w:w="1739" w:type="dxa"/>
          </w:tcPr>
          <w:p>
            <w:pPr>
              <w:pStyle w:val="TableParagraph"/>
              <w:spacing w:line="271" w:lineRule="exact"/>
              <w:ind w:left="0" w:right="69"/>
              <w:rPr>
                <w:sz w:val="24"/>
              </w:rPr>
            </w:pPr>
            <w:r>
              <w:rPr>
                <w:spacing w:val="-2"/>
                <w:sz w:val="24"/>
              </w:rPr>
              <w:t>823.13</w:t>
            </w:r>
          </w:p>
        </w:tc>
        <w:tc>
          <w:tcPr>
            <w:tcW w:w="1255" w:type="dxa"/>
          </w:tcPr>
          <w:p>
            <w:pPr>
              <w:pStyle w:val="TableParagraph"/>
              <w:spacing w:line="271" w:lineRule="exact"/>
              <w:ind w:left="2" w:right="13"/>
              <w:rPr>
                <w:sz w:val="24"/>
              </w:rPr>
            </w:pPr>
            <w:r>
              <w:rPr>
                <w:spacing w:val="-4"/>
                <w:sz w:val="24"/>
              </w:rPr>
              <w:t>1648</w:t>
            </w:r>
          </w:p>
        </w:tc>
        <w:tc>
          <w:tcPr>
            <w:tcW w:w="827" w:type="dxa"/>
          </w:tcPr>
          <w:p>
            <w:pPr>
              <w:pStyle w:val="TableParagraph"/>
              <w:spacing w:line="271" w:lineRule="exact"/>
              <w:ind w:left="18"/>
              <w:rPr>
                <w:sz w:val="24"/>
              </w:rPr>
            </w:pPr>
            <w:r>
              <w:rPr>
                <w:spacing w:val="-4"/>
                <w:sz w:val="24"/>
              </w:rPr>
              <w:t>2.00</w:t>
            </w:r>
          </w:p>
        </w:tc>
        <w:tc>
          <w:tcPr>
            <w:tcW w:w="1158" w:type="dxa"/>
          </w:tcPr>
          <w:p>
            <w:pPr>
              <w:pStyle w:val="TableParagraph"/>
              <w:spacing w:line="271" w:lineRule="exact"/>
              <w:ind w:left="2"/>
              <w:rPr>
                <w:sz w:val="24"/>
              </w:rPr>
            </w:pPr>
            <w:r>
              <w:rPr>
                <w:spacing w:val="-2"/>
                <w:sz w:val="24"/>
              </w:rPr>
              <w:t>2-</w:t>
            </w:r>
            <w:r>
              <w:rPr>
                <w:spacing w:val="-10"/>
                <w:sz w:val="24"/>
              </w:rPr>
              <w:t>4</w:t>
            </w:r>
          </w:p>
        </w:tc>
        <w:tc>
          <w:tcPr>
            <w:tcW w:w="1475" w:type="dxa"/>
          </w:tcPr>
          <w:p>
            <w:pPr>
              <w:pStyle w:val="TableParagraph"/>
              <w:spacing w:line="271" w:lineRule="exact"/>
              <w:ind w:left="0" w:right="7"/>
              <w:rPr>
                <w:sz w:val="24"/>
              </w:rPr>
            </w:pPr>
            <w:r>
              <w:rPr>
                <w:spacing w:val="-4"/>
                <w:sz w:val="24"/>
              </w:rPr>
              <w:t>High</w:t>
            </w:r>
          </w:p>
          <w:p>
            <w:pPr>
              <w:pStyle w:val="TableParagraph"/>
              <w:spacing w:line="261" w:lineRule="exact"/>
              <w:ind w:left="2" w:right="7"/>
              <w:rPr>
                <w:sz w:val="24"/>
              </w:rPr>
            </w:pPr>
            <w:r>
              <w:rPr>
                <w:spacing w:val="-2"/>
                <w:sz w:val="24"/>
              </w:rPr>
              <w:t>Density</w:t>
            </w:r>
          </w:p>
        </w:tc>
      </w:tr>
      <w:tr>
        <w:trPr>
          <w:trHeight w:val="318" w:hRule="atLeast"/>
        </w:trPr>
        <w:tc>
          <w:tcPr>
            <w:tcW w:w="1959" w:type="dxa"/>
          </w:tcPr>
          <w:p>
            <w:pPr>
              <w:pStyle w:val="TableParagraph"/>
              <w:spacing w:line="271" w:lineRule="exact"/>
              <w:ind w:left="115"/>
              <w:jc w:val="left"/>
              <w:rPr>
                <w:sz w:val="24"/>
              </w:rPr>
            </w:pPr>
            <w:r>
              <w:rPr>
                <w:spacing w:val="-2"/>
                <w:sz w:val="24"/>
              </w:rPr>
              <w:t>Eyagi</w:t>
            </w:r>
          </w:p>
        </w:tc>
        <w:tc>
          <w:tcPr>
            <w:tcW w:w="1739" w:type="dxa"/>
          </w:tcPr>
          <w:p>
            <w:pPr>
              <w:pStyle w:val="TableParagraph"/>
              <w:spacing w:line="271" w:lineRule="exact"/>
              <w:ind w:left="0" w:right="69"/>
              <w:rPr>
                <w:sz w:val="24"/>
              </w:rPr>
            </w:pPr>
            <w:r>
              <w:rPr>
                <w:spacing w:val="-2"/>
                <w:sz w:val="24"/>
              </w:rPr>
              <w:t>725.34</w:t>
            </w:r>
          </w:p>
        </w:tc>
        <w:tc>
          <w:tcPr>
            <w:tcW w:w="1255" w:type="dxa"/>
          </w:tcPr>
          <w:p>
            <w:pPr>
              <w:pStyle w:val="TableParagraph"/>
              <w:spacing w:line="271" w:lineRule="exact"/>
              <w:ind w:left="2" w:right="13"/>
              <w:rPr>
                <w:sz w:val="24"/>
              </w:rPr>
            </w:pPr>
            <w:r>
              <w:rPr>
                <w:spacing w:val="-5"/>
                <w:sz w:val="24"/>
              </w:rPr>
              <w:t>304</w:t>
            </w:r>
          </w:p>
        </w:tc>
        <w:tc>
          <w:tcPr>
            <w:tcW w:w="827" w:type="dxa"/>
          </w:tcPr>
          <w:p>
            <w:pPr>
              <w:pStyle w:val="TableParagraph"/>
              <w:spacing w:line="271" w:lineRule="exact"/>
              <w:ind w:left="18"/>
              <w:rPr>
                <w:sz w:val="24"/>
              </w:rPr>
            </w:pPr>
            <w:r>
              <w:rPr>
                <w:spacing w:val="-4"/>
                <w:sz w:val="24"/>
              </w:rPr>
              <w:t>0.42</w:t>
            </w:r>
          </w:p>
        </w:tc>
        <w:tc>
          <w:tcPr>
            <w:tcW w:w="1158" w:type="dxa"/>
          </w:tcPr>
          <w:p>
            <w:pPr>
              <w:pStyle w:val="TableParagraph"/>
              <w:spacing w:line="271" w:lineRule="exact"/>
              <w:ind w:left="2" w:right="2"/>
              <w:rPr>
                <w:sz w:val="24"/>
              </w:rPr>
            </w:pPr>
            <w:r>
              <w:rPr>
                <w:spacing w:val="-5"/>
                <w:sz w:val="24"/>
              </w:rPr>
              <w:t>&lt;2</w:t>
            </w:r>
          </w:p>
        </w:tc>
        <w:tc>
          <w:tcPr>
            <w:tcW w:w="1475" w:type="dxa"/>
          </w:tcPr>
          <w:p>
            <w:pPr>
              <w:pStyle w:val="TableParagraph"/>
              <w:spacing w:line="271" w:lineRule="exact"/>
              <w:ind w:left="2" w:right="7"/>
              <w:rPr>
                <w:sz w:val="24"/>
              </w:rPr>
            </w:pPr>
            <w:r>
              <w:rPr>
                <w:sz w:val="24"/>
              </w:rPr>
              <w:t>Low</w:t>
            </w:r>
            <w:r>
              <w:rPr>
                <w:spacing w:val="-2"/>
                <w:sz w:val="24"/>
              </w:rPr>
              <w:t> Density</w:t>
            </w:r>
          </w:p>
        </w:tc>
      </w:tr>
      <w:tr>
        <w:trPr>
          <w:trHeight w:val="594" w:hRule="atLeast"/>
        </w:trPr>
        <w:tc>
          <w:tcPr>
            <w:tcW w:w="1959" w:type="dxa"/>
          </w:tcPr>
          <w:p>
            <w:pPr>
              <w:pStyle w:val="TableParagraph"/>
              <w:spacing w:line="240" w:lineRule="auto" w:before="37"/>
              <w:ind w:left="115"/>
              <w:jc w:val="left"/>
              <w:rPr>
                <w:sz w:val="24"/>
              </w:rPr>
            </w:pPr>
            <w:r>
              <w:rPr>
                <w:spacing w:val="-2"/>
                <w:sz w:val="24"/>
              </w:rPr>
              <w:t>Gbazhi</w:t>
            </w:r>
          </w:p>
        </w:tc>
        <w:tc>
          <w:tcPr>
            <w:tcW w:w="1739" w:type="dxa"/>
          </w:tcPr>
          <w:p>
            <w:pPr>
              <w:pStyle w:val="TableParagraph"/>
              <w:spacing w:line="240" w:lineRule="auto" w:before="37"/>
              <w:ind w:left="0" w:right="69"/>
              <w:rPr>
                <w:sz w:val="24"/>
              </w:rPr>
            </w:pPr>
            <w:r>
              <w:rPr>
                <w:spacing w:val="-2"/>
                <w:sz w:val="24"/>
              </w:rPr>
              <w:t>215.81</w:t>
            </w:r>
          </w:p>
        </w:tc>
        <w:tc>
          <w:tcPr>
            <w:tcW w:w="1255" w:type="dxa"/>
          </w:tcPr>
          <w:p>
            <w:pPr>
              <w:pStyle w:val="TableParagraph"/>
              <w:spacing w:line="240" w:lineRule="auto" w:before="37"/>
              <w:ind w:left="2" w:right="13"/>
              <w:rPr>
                <w:sz w:val="24"/>
              </w:rPr>
            </w:pPr>
            <w:r>
              <w:rPr>
                <w:spacing w:val="-4"/>
                <w:sz w:val="24"/>
              </w:rPr>
              <w:t>2077</w:t>
            </w:r>
          </w:p>
        </w:tc>
        <w:tc>
          <w:tcPr>
            <w:tcW w:w="827" w:type="dxa"/>
          </w:tcPr>
          <w:p>
            <w:pPr>
              <w:pStyle w:val="TableParagraph"/>
              <w:spacing w:line="240" w:lineRule="auto" w:before="37"/>
              <w:ind w:left="18"/>
              <w:rPr>
                <w:sz w:val="24"/>
              </w:rPr>
            </w:pPr>
            <w:r>
              <w:rPr>
                <w:spacing w:val="-4"/>
                <w:sz w:val="24"/>
              </w:rPr>
              <w:t>9.62</w:t>
            </w:r>
          </w:p>
        </w:tc>
        <w:tc>
          <w:tcPr>
            <w:tcW w:w="1158" w:type="dxa"/>
          </w:tcPr>
          <w:p>
            <w:pPr>
              <w:pStyle w:val="TableParagraph"/>
              <w:spacing w:line="240" w:lineRule="auto" w:before="37"/>
              <w:ind w:left="2"/>
              <w:rPr>
                <w:sz w:val="24"/>
              </w:rPr>
            </w:pPr>
            <w:r>
              <w:rPr>
                <w:spacing w:val="-2"/>
                <w:sz w:val="24"/>
              </w:rPr>
              <w:t>9-</w:t>
            </w:r>
            <w:r>
              <w:rPr>
                <w:spacing w:val="-5"/>
                <w:sz w:val="24"/>
              </w:rPr>
              <w:t>10</w:t>
            </w:r>
          </w:p>
        </w:tc>
        <w:tc>
          <w:tcPr>
            <w:tcW w:w="1475" w:type="dxa"/>
          </w:tcPr>
          <w:p>
            <w:pPr>
              <w:pStyle w:val="TableParagraph"/>
              <w:spacing w:line="270" w:lineRule="atLeast" w:before="22"/>
              <w:ind w:left="359" w:right="363" w:firstLine="134"/>
              <w:jc w:val="left"/>
              <w:rPr>
                <w:sz w:val="24"/>
              </w:rPr>
            </w:pPr>
            <w:r>
              <w:rPr>
                <w:spacing w:val="-4"/>
                <w:sz w:val="24"/>
              </w:rPr>
              <w:t>High </w:t>
            </w:r>
            <w:r>
              <w:rPr>
                <w:spacing w:val="-2"/>
                <w:sz w:val="24"/>
              </w:rPr>
              <w:t>Density</w:t>
            </w:r>
          </w:p>
        </w:tc>
      </w:tr>
      <w:tr>
        <w:trPr>
          <w:trHeight w:val="552" w:hRule="atLeast"/>
        </w:trPr>
        <w:tc>
          <w:tcPr>
            <w:tcW w:w="1959" w:type="dxa"/>
          </w:tcPr>
          <w:p>
            <w:pPr>
              <w:pStyle w:val="TableParagraph"/>
              <w:spacing w:line="271" w:lineRule="exact"/>
              <w:ind w:left="115"/>
              <w:jc w:val="left"/>
              <w:rPr>
                <w:sz w:val="24"/>
              </w:rPr>
            </w:pPr>
            <w:r>
              <w:rPr>
                <w:spacing w:val="-2"/>
                <w:sz w:val="24"/>
              </w:rPr>
              <w:t>Wadata</w:t>
            </w:r>
          </w:p>
        </w:tc>
        <w:tc>
          <w:tcPr>
            <w:tcW w:w="1739" w:type="dxa"/>
          </w:tcPr>
          <w:p>
            <w:pPr>
              <w:pStyle w:val="TableParagraph"/>
              <w:spacing w:line="271" w:lineRule="exact"/>
              <w:ind w:left="0" w:right="69"/>
              <w:rPr>
                <w:sz w:val="24"/>
              </w:rPr>
            </w:pPr>
            <w:r>
              <w:rPr>
                <w:spacing w:val="-2"/>
                <w:sz w:val="24"/>
              </w:rPr>
              <w:t>398.51</w:t>
            </w:r>
          </w:p>
        </w:tc>
        <w:tc>
          <w:tcPr>
            <w:tcW w:w="1255" w:type="dxa"/>
          </w:tcPr>
          <w:p>
            <w:pPr>
              <w:pStyle w:val="TableParagraph"/>
              <w:spacing w:line="271" w:lineRule="exact"/>
              <w:ind w:left="2" w:right="13"/>
              <w:rPr>
                <w:sz w:val="24"/>
              </w:rPr>
            </w:pPr>
            <w:r>
              <w:rPr>
                <w:spacing w:val="-4"/>
                <w:sz w:val="24"/>
              </w:rPr>
              <w:t>1707</w:t>
            </w:r>
          </w:p>
        </w:tc>
        <w:tc>
          <w:tcPr>
            <w:tcW w:w="827" w:type="dxa"/>
          </w:tcPr>
          <w:p>
            <w:pPr>
              <w:pStyle w:val="TableParagraph"/>
              <w:spacing w:line="271" w:lineRule="exact"/>
              <w:ind w:left="18"/>
              <w:rPr>
                <w:sz w:val="24"/>
              </w:rPr>
            </w:pPr>
            <w:r>
              <w:rPr>
                <w:spacing w:val="-4"/>
                <w:sz w:val="24"/>
              </w:rPr>
              <w:t>4.28</w:t>
            </w:r>
          </w:p>
        </w:tc>
        <w:tc>
          <w:tcPr>
            <w:tcW w:w="1158" w:type="dxa"/>
          </w:tcPr>
          <w:p>
            <w:pPr>
              <w:pStyle w:val="TableParagraph"/>
              <w:spacing w:line="271" w:lineRule="exact"/>
              <w:ind w:left="2"/>
              <w:rPr>
                <w:sz w:val="24"/>
              </w:rPr>
            </w:pPr>
            <w:r>
              <w:rPr>
                <w:spacing w:val="-2"/>
                <w:sz w:val="24"/>
              </w:rPr>
              <w:t>2-</w:t>
            </w:r>
            <w:r>
              <w:rPr>
                <w:spacing w:val="-10"/>
                <w:sz w:val="24"/>
              </w:rPr>
              <w:t>4</w:t>
            </w:r>
          </w:p>
        </w:tc>
        <w:tc>
          <w:tcPr>
            <w:tcW w:w="1475" w:type="dxa"/>
          </w:tcPr>
          <w:p>
            <w:pPr>
              <w:pStyle w:val="TableParagraph"/>
              <w:spacing w:line="271" w:lineRule="exact"/>
              <w:ind w:left="0" w:right="7"/>
              <w:rPr>
                <w:sz w:val="24"/>
              </w:rPr>
            </w:pPr>
            <w:r>
              <w:rPr>
                <w:spacing w:val="-4"/>
                <w:sz w:val="24"/>
              </w:rPr>
              <w:t>High</w:t>
            </w:r>
          </w:p>
          <w:p>
            <w:pPr>
              <w:pStyle w:val="TableParagraph"/>
              <w:spacing w:line="261" w:lineRule="exact"/>
              <w:ind w:left="2" w:right="7"/>
              <w:rPr>
                <w:sz w:val="24"/>
              </w:rPr>
            </w:pPr>
            <w:r>
              <w:rPr>
                <w:spacing w:val="-2"/>
                <w:sz w:val="24"/>
              </w:rPr>
              <w:t>Density</w:t>
            </w:r>
          </w:p>
        </w:tc>
      </w:tr>
      <w:tr>
        <w:trPr>
          <w:trHeight w:val="551" w:hRule="atLeast"/>
        </w:trPr>
        <w:tc>
          <w:tcPr>
            <w:tcW w:w="1959" w:type="dxa"/>
          </w:tcPr>
          <w:p>
            <w:pPr>
              <w:pStyle w:val="TableParagraph"/>
              <w:spacing w:line="271" w:lineRule="exact"/>
              <w:ind w:left="115"/>
              <w:jc w:val="left"/>
              <w:rPr>
                <w:sz w:val="24"/>
              </w:rPr>
            </w:pPr>
            <w:r>
              <w:rPr>
                <w:spacing w:val="-2"/>
                <w:sz w:val="24"/>
              </w:rPr>
              <w:t>Avenue</w:t>
            </w:r>
          </w:p>
        </w:tc>
        <w:tc>
          <w:tcPr>
            <w:tcW w:w="1739" w:type="dxa"/>
          </w:tcPr>
          <w:p>
            <w:pPr>
              <w:pStyle w:val="TableParagraph"/>
              <w:spacing w:line="271" w:lineRule="exact"/>
              <w:ind w:left="0" w:right="69"/>
              <w:rPr>
                <w:sz w:val="24"/>
              </w:rPr>
            </w:pPr>
            <w:r>
              <w:rPr>
                <w:spacing w:val="-2"/>
                <w:sz w:val="24"/>
              </w:rPr>
              <w:t>417.08</w:t>
            </w:r>
          </w:p>
        </w:tc>
        <w:tc>
          <w:tcPr>
            <w:tcW w:w="1255" w:type="dxa"/>
          </w:tcPr>
          <w:p>
            <w:pPr>
              <w:pStyle w:val="TableParagraph"/>
              <w:spacing w:line="271" w:lineRule="exact"/>
              <w:ind w:left="2" w:right="13"/>
              <w:rPr>
                <w:sz w:val="24"/>
              </w:rPr>
            </w:pPr>
            <w:r>
              <w:rPr>
                <w:spacing w:val="-4"/>
                <w:sz w:val="24"/>
              </w:rPr>
              <w:t>1283</w:t>
            </w:r>
          </w:p>
        </w:tc>
        <w:tc>
          <w:tcPr>
            <w:tcW w:w="827" w:type="dxa"/>
          </w:tcPr>
          <w:p>
            <w:pPr>
              <w:pStyle w:val="TableParagraph"/>
              <w:spacing w:line="271" w:lineRule="exact"/>
              <w:ind w:left="18"/>
              <w:rPr>
                <w:sz w:val="24"/>
              </w:rPr>
            </w:pPr>
            <w:r>
              <w:rPr>
                <w:spacing w:val="-4"/>
                <w:sz w:val="24"/>
              </w:rPr>
              <w:t>3.08</w:t>
            </w:r>
          </w:p>
        </w:tc>
        <w:tc>
          <w:tcPr>
            <w:tcW w:w="1158" w:type="dxa"/>
          </w:tcPr>
          <w:p>
            <w:pPr>
              <w:pStyle w:val="TableParagraph"/>
              <w:spacing w:line="271" w:lineRule="exact"/>
              <w:ind w:left="2"/>
              <w:rPr>
                <w:sz w:val="24"/>
              </w:rPr>
            </w:pPr>
            <w:r>
              <w:rPr>
                <w:spacing w:val="-2"/>
                <w:sz w:val="24"/>
              </w:rPr>
              <w:t>2-</w:t>
            </w:r>
            <w:r>
              <w:rPr>
                <w:spacing w:val="-10"/>
                <w:sz w:val="24"/>
              </w:rPr>
              <w:t>4</w:t>
            </w:r>
          </w:p>
        </w:tc>
        <w:tc>
          <w:tcPr>
            <w:tcW w:w="1475" w:type="dxa"/>
          </w:tcPr>
          <w:p>
            <w:pPr>
              <w:pStyle w:val="TableParagraph"/>
              <w:spacing w:line="271" w:lineRule="exact"/>
              <w:ind w:left="0" w:right="7"/>
              <w:rPr>
                <w:sz w:val="24"/>
              </w:rPr>
            </w:pPr>
            <w:r>
              <w:rPr>
                <w:spacing w:val="-4"/>
                <w:sz w:val="24"/>
              </w:rPr>
              <w:t>High</w:t>
            </w:r>
          </w:p>
          <w:p>
            <w:pPr>
              <w:pStyle w:val="TableParagraph"/>
              <w:spacing w:line="261" w:lineRule="exact"/>
              <w:ind w:left="2" w:right="7"/>
              <w:rPr>
                <w:sz w:val="24"/>
              </w:rPr>
            </w:pPr>
            <w:r>
              <w:rPr>
                <w:spacing w:val="-2"/>
                <w:sz w:val="24"/>
              </w:rPr>
              <w:t>Density</w:t>
            </w:r>
          </w:p>
        </w:tc>
      </w:tr>
      <w:tr>
        <w:trPr>
          <w:trHeight w:val="551" w:hRule="atLeast"/>
        </w:trPr>
        <w:tc>
          <w:tcPr>
            <w:tcW w:w="1959" w:type="dxa"/>
          </w:tcPr>
          <w:p>
            <w:pPr>
              <w:pStyle w:val="TableParagraph"/>
              <w:spacing w:line="271" w:lineRule="exact"/>
              <w:ind w:left="115"/>
              <w:jc w:val="left"/>
              <w:rPr>
                <w:sz w:val="24"/>
              </w:rPr>
            </w:pPr>
            <w:r>
              <w:rPr>
                <w:spacing w:val="-2"/>
                <w:sz w:val="24"/>
              </w:rPr>
              <w:t>Ndazabo</w:t>
            </w:r>
          </w:p>
        </w:tc>
        <w:tc>
          <w:tcPr>
            <w:tcW w:w="1739" w:type="dxa"/>
          </w:tcPr>
          <w:p>
            <w:pPr>
              <w:pStyle w:val="TableParagraph"/>
              <w:spacing w:line="271" w:lineRule="exact"/>
              <w:ind w:left="0" w:right="69"/>
              <w:rPr>
                <w:sz w:val="24"/>
              </w:rPr>
            </w:pPr>
            <w:r>
              <w:rPr>
                <w:spacing w:val="-2"/>
                <w:sz w:val="24"/>
              </w:rPr>
              <w:t>692.99</w:t>
            </w:r>
          </w:p>
        </w:tc>
        <w:tc>
          <w:tcPr>
            <w:tcW w:w="1255" w:type="dxa"/>
          </w:tcPr>
          <w:p>
            <w:pPr>
              <w:pStyle w:val="TableParagraph"/>
              <w:spacing w:line="271" w:lineRule="exact"/>
              <w:ind w:left="2" w:right="13"/>
              <w:rPr>
                <w:sz w:val="24"/>
              </w:rPr>
            </w:pPr>
            <w:r>
              <w:rPr>
                <w:spacing w:val="-4"/>
                <w:sz w:val="24"/>
              </w:rPr>
              <w:t>1758</w:t>
            </w:r>
          </w:p>
        </w:tc>
        <w:tc>
          <w:tcPr>
            <w:tcW w:w="827" w:type="dxa"/>
          </w:tcPr>
          <w:p>
            <w:pPr>
              <w:pStyle w:val="TableParagraph"/>
              <w:spacing w:line="271" w:lineRule="exact"/>
              <w:ind w:left="18"/>
              <w:rPr>
                <w:sz w:val="24"/>
              </w:rPr>
            </w:pPr>
            <w:r>
              <w:rPr>
                <w:spacing w:val="-4"/>
                <w:sz w:val="24"/>
              </w:rPr>
              <w:t>2.54</w:t>
            </w:r>
          </w:p>
        </w:tc>
        <w:tc>
          <w:tcPr>
            <w:tcW w:w="1158" w:type="dxa"/>
          </w:tcPr>
          <w:p>
            <w:pPr>
              <w:pStyle w:val="TableParagraph"/>
              <w:spacing w:line="271" w:lineRule="exact"/>
              <w:ind w:left="2"/>
              <w:rPr>
                <w:sz w:val="24"/>
              </w:rPr>
            </w:pPr>
            <w:r>
              <w:rPr>
                <w:spacing w:val="-2"/>
                <w:sz w:val="24"/>
              </w:rPr>
              <w:t>2-</w:t>
            </w:r>
            <w:r>
              <w:rPr>
                <w:spacing w:val="-10"/>
                <w:sz w:val="24"/>
              </w:rPr>
              <w:t>4</w:t>
            </w:r>
          </w:p>
        </w:tc>
        <w:tc>
          <w:tcPr>
            <w:tcW w:w="1475" w:type="dxa"/>
          </w:tcPr>
          <w:p>
            <w:pPr>
              <w:pStyle w:val="TableParagraph"/>
              <w:spacing w:line="271" w:lineRule="exact"/>
              <w:ind w:left="0" w:right="7"/>
              <w:rPr>
                <w:sz w:val="24"/>
              </w:rPr>
            </w:pPr>
            <w:r>
              <w:rPr>
                <w:spacing w:val="-4"/>
                <w:sz w:val="24"/>
              </w:rPr>
              <w:t>High</w:t>
            </w:r>
          </w:p>
          <w:p>
            <w:pPr>
              <w:pStyle w:val="TableParagraph"/>
              <w:spacing w:line="261" w:lineRule="exact"/>
              <w:ind w:left="2" w:right="7"/>
              <w:rPr>
                <w:sz w:val="24"/>
              </w:rPr>
            </w:pPr>
            <w:r>
              <w:rPr>
                <w:spacing w:val="-2"/>
                <w:sz w:val="24"/>
              </w:rPr>
              <w:t>Density</w:t>
            </w:r>
          </w:p>
        </w:tc>
      </w:tr>
      <w:tr>
        <w:trPr>
          <w:trHeight w:val="362" w:hRule="atLeast"/>
        </w:trPr>
        <w:tc>
          <w:tcPr>
            <w:tcW w:w="1959" w:type="dxa"/>
            <w:tcBorders>
              <w:bottom w:val="single" w:sz="8" w:space="0" w:color="000000"/>
            </w:tcBorders>
          </w:tcPr>
          <w:p>
            <w:pPr>
              <w:pStyle w:val="TableParagraph"/>
              <w:spacing w:line="271" w:lineRule="exact"/>
              <w:ind w:left="115"/>
              <w:jc w:val="left"/>
              <w:rPr>
                <w:sz w:val="24"/>
              </w:rPr>
            </w:pPr>
            <w:r>
              <w:rPr>
                <w:sz w:val="24"/>
              </w:rPr>
              <w:t>Project</w:t>
            </w:r>
            <w:r>
              <w:rPr>
                <w:spacing w:val="-5"/>
                <w:sz w:val="24"/>
              </w:rPr>
              <w:t> </w:t>
            </w:r>
            <w:r>
              <w:rPr>
                <w:spacing w:val="-4"/>
                <w:sz w:val="24"/>
              </w:rPr>
              <w:t>Qtrs</w:t>
            </w:r>
          </w:p>
        </w:tc>
        <w:tc>
          <w:tcPr>
            <w:tcW w:w="1739" w:type="dxa"/>
            <w:tcBorders>
              <w:bottom w:val="single" w:sz="8" w:space="0" w:color="000000"/>
            </w:tcBorders>
          </w:tcPr>
          <w:p>
            <w:pPr>
              <w:pStyle w:val="TableParagraph"/>
              <w:spacing w:line="271" w:lineRule="exact"/>
              <w:ind w:left="0" w:right="69"/>
              <w:rPr>
                <w:sz w:val="24"/>
              </w:rPr>
            </w:pPr>
            <w:r>
              <w:rPr>
                <w:spacing w:val="-2"/>
                <w:sz w:val="24"/>
              </w:rPr>
              <w:t>984.31</w:t>
            </w:r>
          </w:p>
        </w:tc>
        <w:tc>
          <w:tcPr>
            <w:tcW w:w="1255" w:type="dxa"/>
            <w:tcBorders>
              <w:bottom w:val="single" w:sz="8" w:space="0" w:color="000000"/>
            </w:tcBorders>
          </w:tcPr>
          <w:p>
            <w:pPr>
              <w:pStyle w:val="TableParagraph"/>
              <w:spacing w:line="271" w:lineRule="exact"/>
              <w:ind w:left="2" w:right="13"/>
              <w:rPr>
                <w:sz w:val="24"/>
              </w:rPr>
            </w:pPr>
            <w:r>
              <w:rPr>
                <w:spacing w:val="-5"/>
                <w:sz w:val="24"/>
              </w:rPr>
              <w:t>793</w:t>
            </w:r>
          </w:p>
        </w:tc>
        <w:tc>
          <w:tcPr>
            <w:tcW w:w="827" w:type="dxa"/>
            <w:tcBorders>
              <w:bottom w:val="single" w:sz="8" w:space="0" w:color="000000"/>
            </w:tcBorders>
          </w:tcPr>
          <w:p>
            <w:pPr>
              <w:pStyle w:val="TableParagraph"/>
              <w:spacing w:line="271" w:lineRule="exact"/>
              <w:ind w:left="18"/>
              <w:rPr>
                <w:sz w:val="24"/>
              </w:rPr>
            </w:pPr>
            <w:r>
              <w:rPr>
                <w:spacing w:val="-4"/>
                <w:sz w:val="24"/>
              </w:rPr>
              <w:t>0.81</w:t>
            </w:r>
          </w:p>
        </w:tc>
        <w:tc>
          <w:tcPr>
            <w:tcW w:w="1158" w:type="dxa"/>
            <w:tcBorders>
              <w:bottom w:val="single" w:sz="8" w:space="0" w:color="000000"/>
            </w:tcBorders>
          </w:tcPr>
          <w:p>
            <w:pPr>
              <w:pStyle w:val="TableParagraph"/>
              <w:spacing w:line="271" w:lineRule="exact"/>
              <w:ind w:left="2" w:right="2"/>
              <w:rPr>
                <w:sz w:val="24"/>
              </w:rPr>
            </w:pPr>
            <w:r>
              <w:rPr>
                <w:spacing w:val="-5"/>
                <w:sz w:val="24"/>
              </w:rPr>
              <w:t>&lt;2</w:t>
            </w:r>
          </w:p>
        </w:tc>
        <w:tc>
          <w:tcPr>
            <w:tcW w:w="1475" w:type="dxa"/>
            <w:tcBorders>
              <w:bottom w:val="single" w:sz="8" w:space="0" w:color="000000"/>
            </w:tcBorders>
          </w:tcPr>
          <w:p>
            <w:pPr>
              <w:pStyle w:val="TableParagraph"/>
              <w:spacing w:line="271" w:lineRule="exact"/>
              <w:ind w:left="2" w:right="7"/>
              <w:rPr>
                <w:sz w:val="24"/>
              </w:rPr>
            </w:pPr>
            <w:r>
              <w:rPr>
                <w:sz w:val="24"/>
              </w:rPr>
              <w:t>Low</w:t>
            </w:r>
            <w:r>
              <w:rPr>
                <w:spacing w:val="-2"/>
                <w:sz w:val="24"/>
              </w:rPr>
              <w:t> Density</w:t>
            </w:r>
          </w:p>
        </w:tc>
      </w:tr>
    </w:tbl>
    <w:p>
      <w:pPr>
        <w:spacing w:after="0" w:line="271" w:lineRule="exact"/>
        <w:rPr>
          <w:sz w:val="24"/>
        </w:rPr>
        <w:sectPr>
          <w:pgSz w:w="11910" w:h="16840"/>
          <w:pgMar w:header="0" w:footer="1022" w:top="1320" w:bottom="1681" w:left="1680" w:right="900"/>
        </w:sectPr>
      </w:pPr>
    </w:p>
    <w:tbl>
      <w:tblPr>
        <w:tblW w:w="0" w:type="auto"/>
        <w:jc w:val="left"/>
        <w:tblInd w:w="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42"/>
        <w:gridCol w:w="2058"/>
        <w:gridCol w:w="1261"/>
        <w:gridCol w:w="1046"/>
        <w:gridCol w:w="965"/>
        <w:gridCol w:w="1534"/>
      </w:tblGrid>
      <w:tr>
        <w:trPr>
          <w:trHeight w:val="551" w:hRule="atLeast"/>
        </w:trPr>
        <w:tc>
          <w:tcPr>
            <w:tcW w:w="1542" w:type="dxa"/>
            <w:tcBorders>
              <w:top w:val="single" w:sz="8" w:space="0" w:color="000000"/>
              <w:bottom w:val="single" w:sz="8" w:space="0" w:color="000000"/>
            </w:tcBorders>
          </w:tcPr>
          <w:p>
            <w:pPr>
              <w:pStyle w:val="TableParagraph"/>
              <w:spacing w:line="268" w:lineRule="exact"/>
              <w:ind w:left="115"/>
              <w:jc w:val="left"/>
              <w:rPr>
                <w:sz w:val="24"/>
              </w:rPr>
            </w:pPr>
            <w:r>
              <w:rPr>
                <w:spacing w:val="-5"/>
                <w:sz w:val="24"/>
              </w:rPr>
              <w:t>GRA</w:t>
            </w:r>
          </w:p>
        </w:tc>
        <w:tc>
          <w:tcPr>
            <w:tcW w:w="2058" w:type="dxa"/>
            <w:tcBorders>
              <w:top w:val="single" w:sz="8" w:space="0" w:color="000000"/>
              <w:bottom w:val="single" w:sz="8" w:space="0" w:color="000000"/>
            </w:tcBorders>
          </w:tcPr>
          <w:p>
            <w:pPr>
              <w:pStyle w:val="TableParagraph"/>
              <w:spacing w:line="268" w:lineRule="exact"/>
              <w:ind w:left="920"/>
              <w:jc w:val="left"/>
              <w:rPr>
                <w:sz w:val="24"/>
              </w:rPr>
            </w:pPr>
            <w:r>
              <w:rPr>
                <w:spacing w:val="-2"/>
                <w:sz w:val="24"/>
              </w:rPr>
              <w:t>800.08</w:t>
            </w:r>
          </w:p>
        </w:tc>
        <w:tc>
          <w:tcPr>
            <w:tcW w:w="1261" w:type="dxa"/>
            <w:tcBorders>
              <w:top w:val="single" w:sz="8" w:space="0" w:color="000000"/>
              <w:bottom w:val="single" w:sz="8" w:space="0" w:color="000000"/>
            </w:tcBorders>
          </w:tcPr>
          <w:p>
            <w:pPr>
              <w:pStyle w:val="TableParagraph"/>
              <w:spacing w:line="268" w:lineRule="exact"/>
              <w:ind w:left="478"/>
              <w:jc w:val="left"/>
              <w:rPr>
                <w:sz w:val="24"/>
              </w:rPr>
            </w:pPr>
            <w:r>
              <w:rPr>
                <w:spacing w:val="-4"/>
                <w:sz w:val="24"/>
              </w:rPr>
              <w:t>1442</w:t>
            </w:r>
          </w:p>
        </w:tc>
        <w:tc>
          <w:tcPr>
            <w:tcW w:w="1046" w:type="dxa"/>
            <w:tcBorders>
              <w:top w:val="single" w:sz="8" w:space="0" w:color="000000"/>
              <w:bottom w:val="single" w:sz="8" w:space="0" w:color="000000"/>
            </w:tcBorders>
          </w:tcPr>
          <w:p>
            <w:pPr>
              <w:pStyle w:val="TableParagraph"/>
              <w:spacing w:line="268" w:lineRule="exact"/>
              <w:ind w:left="304"/>
              <w:jc w:val="left"/>
              <w:rPr>
                <w:sz w:val="24"/>
              </w:rPr>
            </w:pPr>
            <w:r>
              <w:rPr>
                <w:spacing w:val="-4"/>
                <w:sz w:val="24"/>
              </w:rPr>
              <w:t>1.80</w:t>
            </w:r>
          </w:p>
        </w:tc>
        <w:tc>
          <w:tcPr>
            <w:tcW w:w="965" w:type="dxa"/>
            <w:tcBorders>
              <w:top w:val="single" w:sz="8" w:space="0" w:color="000000"/>
              <w:bottom w:val="single" w:sz="8" w:space="0" w:color="000000"/>
            </w:tcBorders>
          </w:tcPr>
          <w:p>
            <w:pPr>
              <w:pStyle w:val="TableParagraph"/>
              <w:spacing w:line="268" w:lineRule="exact"/>
              <w:ind w:left="0" w:right="59"/>
              <w:rPr>
                <w:sz w:val="24"/>
              </w:rPr>
            </w:pPr>
            <w:r>
              <w:rPr>
                <w:spacing w:val="-5"/>
                <w:sz w:val="24"/>
              </w:rPr>
              <w:t>&lt;2</w:t>
            </w:r>
          </w:p>
        </w:tc>
        <w:tc>
          <w:tcPr>
            <w:tcW w:w="1534" w:type="dxa"/>
            <w:tcBorders>
              <w:top w:val="single" w:sz="8" w:space="0" w:color="000000"/>
              <w:bottom w:val="single" w:sz="8" w:space="0" w:color="000000"/>
            </w:tcBorders>
          </w:tcPr>
          <w:p>
            <w:pPr>
              <w:pStyle w:val="TableParagraph"/>
              <w:spacing w:line="268" w:lineRule="exact"/>
              <w:ind w:left="391"/>
              <w:jc w:val="left"/>
              <w:rPr>
                <w:sz w:val="24"/>
              </w:rPr>
            </w:pPr>
            <w:r>
              <w:rPr>
                <w:spacing w:val="-2"/>
                <w:sz w:val="24"/>
              </w:rPr>
              <w:t>Medium</w:t>
            </w:r>
          </w:p>
          <w:p>
            <w:pPr>
              <w:pStyle w:val="TableParagraph"/>
              <w:spacing w:line="264" w:lineRule="exact"/>
              <w:ind w:left="425"/>
              <w:jc w:val="left"/>
              <w:rPr>
                <w:sz w:val="24"/>
              </w:rPr>
            </w:pPr>
            <w:r>
              <w:rPr>
                <w:spacing w:val="-2"/>
                <w:sz w:val="24"/>
              </w:rPr>
              <w:t>Density</w:t>
            </w:r>
          </w:p>
        </w:tc>
      </w:tr>
    </w:tbl>
    <w:p>
      <w:pPr>
        <w:pStyle w:val="BodyText"/>
        <w:spacing w:line="480" w:lineRule="auto" w:before="251"/>
        <w:ind w:left="305" w:right="513"/>
      </w:pPr>
      <w:r>
        <w:rPr/>
        <w:t>The</w:t>
      </w:r>
      <w:r>
        <w:rPr>
          <w:spacing w:val="-6"/>
        </w:rPr>
        <w:t> </w:t>
      </w:r>
      <w:r>
        <w:rPr/>
        <w:t>result</w:t>
      </w:r>
      <w:r>
        <w:rPr>
          <w:spacing w:val="-4"/>
        </w:rPr>
        <w:t> </w:t>
      </w:r>
      <w:r>
        <w:rPr/>
        <w:t>in</w:t>
      </w:r>
      <w:r>
        <w:rPr>
          <w:spacing w:val="-4"/>
        </w:rPr>
        <w:t> </w:t>
      </w:r>
      <w:r>
        <w:rPr/>
        <w:t>Table</w:t>
      </w:r>
      <w:r>
        <w:rPr>
          <w:spacing w:val="-5"/>
        </w:rPr>
        <w:t> </w:t>
      </w:r>
      <w:r>
        <w:rPr/>
        <w:t>4.2</w:t>
      </w:r>
      <w:r>
        <w:rPr>
          <w:spacing w:val="-5"/>
        </w:rPr>
        <w:t> </w:t>
      </w:r>
      <w:r>
        <w:rPr/>
        <w:t>shows</w:t>
      </w:r>
      <w:r>
        <w:rPr>
          <w:spacing w:val="-5"/>
        </w:rPr>
        <w:t> </w:t>
      </w:r>
      <w:r>
        <w:rPr/>
        <w:t>that</w:t>
      </w:r>
      <w:r>
        <w:rPr>
          <w:spacing w:val="-5"/>
        </w:rPr>
        <w:t> </w:t>
      </w:r>
      <w:r>
        <w:rPr/>
        <w:t>in</w:t>
      </w:r>
      <w:r>
        <w:rPr>
          <w:spacing w:val="-4"/>
        </w:rPr>
        <w:t> </w:t>
      </w:r>
      <w:r>
        <w:rPr/>
        <w:t>the</w:t>
      </w:r>
      <w:r>
        <w:rPr>
          <w:spacing w:val="-1"/>
        </w:rPr>
        <w:t> </w:t>
      </w:r>
      <w:r>
        <w:rPr/>
        <w:t>year</w:t>
      </w:r>
      <w:r>
        <w:rPr>
          <w:spacing w:val="-6"/>
        </w:rPr>
        <w:t> </w:t>
      </w:r>
      <w:r>
        <w:rPr/>
        <w:t>2013</w:t>
      </w:r>
      <w:r>
        <w:rPr>
          <w:spacing w:val="-1"/>
        </w:rPr>
        <w:t> </w:t>
      </w:r>
      <w:r>
        <w:rPr/>
        <w:t>Town</w:t>
      </w:r>
      <w:r>
        <w:rPr>
          <w:spacing w:val="-5"/>
        </w:rPr>
        <w:t> </w:t>
      </w:r>
      <w:r>
        <w:rPr/>
        <w:t>housing</w:t>
      </w:r>
      <w:r>
        <w:rPr>
          <w:spacing w:val="-7"/>
        </w:rPr>
        <w:t> </w:t>
      </w:r>
      <w:r>
        <w:rPr/>
        <w:t>submarket</w:t>
      </w:r>
      <w:r>
        <w:rPr>
          <w:spacing w:val="-4"/>
        </w:rPr>
        <w:t> </w:t>
      </w:r>
      <w:r>
        <w:rPr/>
        <w:t>had</w:t>
      </w:r>
      <w:r>
        <w:rPr>
          <w:spacing w:val="-5"/>
        </w:rPr>
        <w:t> </w:t>
      </w:r>
      <w:r>
        <w:rPr/>
        <w:t>highest number of building units with 34,242. This is followed by Gbazhi with 2,077, Ndazabo 1,758,</w:t>
      </w:r>
      <w:r>
        <w:rPr>
          <w:spacing w:val="-7"/>
        </w:rPr>
        <w:t> </w:t>
      </w:r>
      <w:r>
        <w:rPr/>
        <w:t>Wadata</w:t>
      </w:r>
      <w:r>
        <w:rPr>
          <w:spacing w:val="-8"/>
        </w:rPr>
        <w:t> </w:t>
      </w:r>
      <w:r>
        <w:rPr/>
        <w:t>1,707</w:t>
      </w:r>
      <w:r>
        <w:rPr>
          <w:spacing w:val="-7"/>
        </w:rPr>
        <w:t> </w:t>
      </w:r>
      <w:r>
        <w:rPr/>
        <w:t>building</w:t>
      </w:r>
      <w:r>
        <w:rPr>
          <w:spacing w:val="-9"/>
        </w:rPr>
        <w:t> </w:t>
      </w:r>
      <w:r>
        <w:rPr/>
        <w:t>units</w:t>
      </w:r>
      <w:r>
        <w:rPr>
          <w:spacing w:val="-7"/>
        </w:rPr>
        <w:t> </w:t>
      </w:r>
      <w:r>
        <w:rPr/>
        <w:t>respectively.</w:t>
      </w:r>
      <w:r>
        <w:rPr>
          <w:spacing w:val="-2"/>
        </w:rPr>
        <w:t> </w:t>
      </w:r>
      <w:r>
        <w:rPr/>
        <w:t>During</w:t>
      </w:r>
      <w:r>
        <w:rPr>
          <w:spacing w:val="-10"/>
        </w:rPr>
        <w:t> </w:t>
      </w:r>
      <w:r>
        <w:rPr/>
        <w:t>this</w:t>
      </w:r>
      <w:r>
        <w:rPr>
          <w:spacing w:val="-7"/>
        </w:rPr>
        <w:t> </w:t>
      </w:r>
      <w:r>
        <w:rPr/>
        <w:t>period,</w:t>
      </w:r>
      <w:r>
        <w:rPr>
          <w:spacing w:val="-8"/>
        </w:rPr>
        <w:t> </w:t>
      </w:r>
      <w:r>
        <w:rPr/>
        <w:t>the</w:t>
      </w:r>
      <w:r>
        <w:rPr>
          <w:spacing w:val="-6"/>
        </w:rPr>
        <w:t> </w:t>
      </w:r>
      <w:r>
        <w:rPr/>
        <w:t>study</w:t>
      </w:r>
      <w:r>
        <w:rPr>
          <w:spacing w:val="-9"/>
        </w:rPr>
        <w:t> </w:t>
      </w:r>
      <w:r>
        <w:rPr/>
        <w:t>shows</w:t>
      </w:r>
      <w:r>
        <w:rPr>
          <w:spacing w:val="-5"/>
        </w:rPr>
        <w:t> </w:t>
      </w:r>
      <w:r>
        <w:rPr/>
        <w:t>that Rahmatu Dangana had smallest number of building units. The result also shows that Town submarket recorded highest number of building</w:t>
      </w:r>
      <w:r>
        <w:rPr>
          <w:spacing w:val="-1"/>
        </w:rPr>
        <w:t> </w:t>
      </w:r>
      <w:r>
        <w:rPr/>
        <w:t>to area ratio with 28.18, followed by</w:t>
      </w:r>
      <w:r>
        <w:rPr>
          <w:spacing w:val="-1"/>
        </w:rPr>
        <w:t> </w:t>
      </w:r>
      <w:r>
        <w:rPr/>
        <w:t>Gbazhi with 9.62, Rahmatu Dangana 9.10 and Wadata 4.28 respectively. The lowest building to area ratio is recorded for Eyagi with 0.42.</w:t>
      </w:r>
    </w:p>
    <w:p>
      <w:pPr>
        <w:pStyle w:val="BodyText"/>
        <w:spacing w:line="480" w:lineRule="auto" w:before="241"/>
        <w:ind w:left="305" w:right="512"/>
      </w:pPr>
      <w:r>
        <w:rPr/>
        <w:t>Consequently, this result shows a tremendous transition in the housing</w:t>
      </w:r>
      <w:r>
        <w:rPr>
          <w:spacing w:val="-1"/>
        </w:rPr>
        <w:t> </w:t>
      </w:r>
      <w:r>
        <w:rPr/>
        <w:t>submarket of the study area where all the housing submarkets had the number of their housing units increased</w:t>
      </w:r>
      <w:r>
        <w:rPr>
          <w:spacing w:val="-6"/>
        </w:rPr>
        <w:t> </w:t>
      </w:r>
      <w:r>
        <w:rPr/>
        <w:t>at</w:t>
      </w:r>
      <w:r>
        <w:rPr>
          <w:spacing w:val="-5"/>
        </w:rPr>
        <w:t> </w:t>
      </w:r>
      <w:r>
        <w:rPr/>
        <w:t>different</w:t>
      </w:r>
      <w:r>
        <w:rPr>
          <w:spacing w:val="-5"/>
        </w:rPr>
        <w:t> </w:t>
      </w:r>
      <w:r>
        <w:rPr/>
        <w:t>rates.</w:t>
      </w:r>
      <w:r>
        <w:rPr>
          <w:spacing w:val="-4"/>
        </w:rPr>
        <w:t> </w:t>
      </w:r>
      <w:r>
        <w:rPr/>
        <w:t>The</w:t>
      </w:r>
      <w:r>
        <w:rPr>
          <w:spacing w:val="-7"/>
        </w:rPr>
        <w:t> </w:t>
      </w:r>
      <w:r>
        <w:rPr/>
        <w:t>results</w:t>
      </w:r>
      <w:r>
        <w:rPr>
          <w:spacing w:val="-6"/>
        </w:rPr>
        <w:t> </w:t>
      </w:r>
      <w:r>
        <w:rPr/>
        <w:t>also</w:t>
      </w:r>
      <w:r>
        <w:rPr>
          <w:spacing w:val="-5"/>
        </w:rPr>
        <w:t> </w:t>
      </w:r>
      <w:r>
        <w:rPr/>
        <w:t>implies</w:t>
      </w:r>
      <w:r>
        <w:rPr>
          <w:spacing w:val="-6"/>
        </w:rPr>
        <w:t> </w:t>
      </w:r>
      <w:r>
        <w:rPr/>
        <w:t>that</w:t>
      </w:r>
      <w:r>
        <w:rPr>
          <w:spacing w:val="-4"/>
        </w:rPr>
        <w:t> </w:t>
      </w:r>
      <w:r>
        <w:rPr/>
        <w:t>Gbazhi</w:t>
      </w:r>
      <w:r>
        <w:rPr>
          <w:spacing w:val="-5"/>
        </w:rPr>
        <w:t> </w:t>
      </w:r>
      <w:r>
        <w:rPr/>
        <w:t>had</w:t>
      </w:r>
      <w:r>
        <w:rPr>
          <w:spacing w:val="-6"/>
        </w:rPr>
        <w:t> </w:t>
      </w:r>
      <w:r>
        <w:rPr/>
        <w:t>very</w:t>
      </w:r>
      <w:r>
        <w:rPr>
          <w:spacing w:val="-13"/>
        </w:rPr>
        <w:t> </w:t>
      </w:r>
      <w:r>
        <w:rPr/>
        <w:t>high</w:t>
      </w:r>
      <w:r>
        <w:rPr>
          <w:spacing w:val="-5"/>
        </w:rPr>
        <w:t> </w:t>
      </w:r>
      <w:r>
        <w:rPr/>
        <w:t>residential development where the number housing units recorded for the year 2008 was 489 with building</w:t>
      </w:r>
      <w:r>
        <w:rPr>
          <w:spacing w:val="-3"/>
        </w:rPr>
        <w:t> </w:t>
      </w:r>
      <w:r>
        <w:rPr/>
        <w:t>to</w:t>
      </w:r>
      <w:r>
        <w:rPr>
          <w:spacing w:val="-1"/>
        </w:rPr>
        <w:t> </w:t>
      </w:r>
      <w:r>
        <w:rPr/>
        <w:t>area</w:t>
      </w:r>
      <w:r>
        <w:rPr>
          <w:spacing w:val="-2"/>
        </w:rPr>
        <w:t> </w:t>
      </w:r>
      <w:r>
        <w:rPr/>
        <w:t>ratio</w:t>
      </w:r>
      <w:r>
        <w:rPr>
          <w:spacing w:val="-1"/>
        </w:rPr>
        <w:t> </w:t>
      </w:r>
      <w:r>
        <w:rPr/>
        <w:t>of</w:t>
      </w:r>
      <w:r>
        <w:rPr>
          <w:spacing w:val="-2"/>
        </w:rPr>
        <w:t> </w:t>
      </w:r>
      <w:r>
        <w:rPr/>
        <w:t>2.27 and</w:t>
      </w:r>
      <w:r>
        <w:rPr>
          <w:spacing w:val="-1"/>
        </w:rPr>
        <w:t> </w:t>
      </w:r>
      <w:r>
        <w:rPr/>
        <w:t>increases to</w:t>
      </w:r>
      <w:r>
        <w:rPr>
          <w:spacing w:val="-1"/>
        </w:rPr>
        <w:t> </w:t>
      </w:r>
      <w:r>
        <w:rPr/>
        <w:t>2,077</w:t>
      </w:r>
      <w:r>
        <w:rPr>
          <w:spacing w:val="-1"/>
        </w:rPr>
        <w:t> </w:t>
      </w:r>
      <w:r>
        <w:rPr/>
        <w:t>with</w:t>
      </w:r>
      <w:r>
        <w:rPr>
          <w:spacing w:val="-1"/>
        </w:rPr>
        <w:t> </w:t>
      </w:r>
      <w:r>
        <w:rPr/>
        <w:t>building</w:t>
      </w:r>
      <w:r>
        <w:rPr>
          <w:spacing w:val="-3"/>
        </w:rPr>
        <w:t> </w:t>
      </w:r>
      <w:r>
        <w:rPr/>
        <w:t>to</w:t>
      </w:r>
      <w:r>
        <w:rPr>
          <w:spacing w:val="-1"/>
        </w:rPr>
        <w:t> </w:t>
      </w:r>
      <w:r>
        <w:rPr/>
        <w:t>area</w:t>
      </w:r>
      <w:r>
        <w:rPr>
          <w:spacing w:val="-2"/>
        </w:rPr>
        <w:t> </w:t>
      </w:r>
      <w:r>
        <w:rPr/>
        <w:t>ratio</w:t>
      </w:r>
      <w:r>
        <w:rPr>
          <w:spacing w:val="-1"/>
        </w:rPr>
        <w:t> </w:t>
      </w:r>
      <w:r>
        <w:rPr/>
        <w:t>of</w:t>
      </w:r>
      <w:r>
        <w:rPr>
          <w:spacing w:val="-2"/>
        </w:rPr>
        <w:t> </w:t>
      </w:r>
      <w:r>
        <w:rPr/>
        <w:t>9.62 in the year 2013.</w:t>
      </w:r>
    </w:p>
    <w:p>
      <w:pPr>
        <w:pStyle w:val="Heading1"/>
        <w:spacing w:line="276" w:lineRule="auto" w:before="248" w:after="3"/>
        <w:ind w:left="1565" w:right="517" w:hanging="1261"/>
      </w:pPr>
      <w:r>
        <w:rPr/>
        <w:t>Table 4.3: Residential Density Level and Building Units Per Hectares by Housing Submarkets 2018</w:t>
      </w:r>
    </w:p>
    <w:tbl>
      <w:tblPr>
        <w:tblW w:w="0" w:type="auto"/>
        <w:jc w:val="left"/>
        <w:tblInd w:w="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86"/>
        <w:gridCol w:w="1425"/>
        <w:gridCol w:w="1287"/>
        <w:gridCol w:w="856"/>
        <w:gridCol w:w="1212"/>
        <w:gridCol w:w="1543"/>
      </w:tblGrid>
      <w:tr>
        <w:trPr>
          <w:trHeight w:val="827" w:hRule="atLeast"/>
        </w:trPr>
        <w:tc>
          <w:tcPr>
            <w:tcW w:w="2086" w:type="dxa"/>
            <w:tcBorders>
              <w:top w:val="single" w:sz="8" w:space="0" w:color="000000"/>
              <w:bottom w:val="single" w:sz="8" w:space="0" w:color="000000"/>
            </w:tcBorders>
          </w:tcPr>
          <w:p>
            <w:pPr>
              <w:pStyle w:val="TableParagraph"/>
              <w:spacing w:line="240" w:lineRule="auto" w:before="272"/>
              <w:ind w:left="115"/>
              <w:jc w:val="left"/>
              <w:rPr>
                <w:b/>
                <w:sz w:val="24"/>
              </w:rPr>
            </w:pPr>
            <w:r>
              <w:rPr>
                <w:b/>
                <w:spacing w:val="-2"/>
                <w:sz w:val="24"/>
              </w:rPr>
              <w:t>Submarket</w:t>
            </w:r>
          </w:p>
        </w:tc>
        <w:tc>
          <w:tcPr>
            <w:tcW w:w="1425" w:type="dxa"/>
            <w:tcBorders>
              <w:top w:val="single" w:sz="8" w:space="0" w:color="000000"/>
              <w:bottom w:val="single" w:sz="8" w:space="0" w:color="000000"/>
            </w:tcBorders>
          </w:tcPr>
          <w:p>
            <w:pPr>
              <w:pStyle w:val="TableParagraph"/>
              <w:spacing w:line="240" w:lineRule="auto"/>
              <w:ind w:left="194" w:right="254" w:firstLine="232"/>
              <w:jc w:val="left"/>
              <w:rPr>
                <w:b/>
                <w:sz w:val="24"/>
              </w:rPr>
            </w:pPr>
            <w:r>
              <w:rPr>
                <w:b/>
                <w:spacing w:val="-4"/>
                <w:sz w:val="24"/>
              </w:rPr>
              <w:t>Area </w:t>
            </w:r>
            <w:r>
              <w:rPr>
                <w:b/>
                <w:spacing w:val="-2"/>
                <w:sz w:val="24"/>
              </w:rPr>
              <w:t>Coverage</w:t>
            </w:r>
          </w:p>
          <w:p>
            <w:pPr>
              <w:pStyle w:val="TableParagraph"/>
              <w:spacing w:line="259" w:lineRule="exact"/>
              <w:ind w:left="446"/>
              <w:jc w:val="left"/>
              <w:rPr>
                <w:b/>
                <w:sz w:val="24"/>
              </w:rPr>
            </w:pPr>
            <w:r>
              <w:rPr>
                <w:b/>
                <w:spacing w:val="-4"/>
                <w:sz w:val="24"/>
              </w:rPr>
              <w:t>(Ha)</w:t>
            </w:r>
          </w:p>
        </w:tc>
        <w:tc>
          <w:tcPr>
            <w:tcW w:w="1287" w:type="dxa"/>
            <w:tcBorders>
              <w:top w:val="single" w:sz="8" w:space="0" w:color="000000"/>
              <w:bottom w:val="single" w:sz="8" w:space="0" w:color="000000"/>
            </w:tcBorders>
          </w:tcPr>
          <w:p>
            <w:pPr>
              <w:pStyle w:val="TableParagraph"/>
              <w:spacing w:line="240" w:lineRule="auto"/>
              <w:ind w:left="260" w:right="142" w:hanging="1"/>
              <w:rPr>
                <w:b/>
                <w:sz w:val="24"/>
              </w:rPr>
            </w:pPr>
            <w:r>
              <w:rPr>
                <w:b/>
                <w:sz w:val="24"/>
              </w:rPr>
              <w:t>No. of </w:t>
            </w:r>
            <w:r>
              <w:rPr>
                <w:b/>
                <w:spacing w:val="-2"/>
                <w:sz w:val="24"/>
              </w:rPr>
              <w:t>Building</w:t>
            </w:r>
          </w:p>
          <w:p>
            <w:pPr>
              <w:pStyle w:val="TableParagraph"/>
              <w:spacing w:line="259" w:lineRule="exact"/>
              <w:ind w:left="116" w:right="2"/>
              <w:rPr>
                <w:b/>
                <w:sz w:val="24"/>
              </w:rPr>
            </w:pPr>
            <w:r>
              <w:rPr>
                <w:b/>
                <w:spacing w:val="-10"/>
                <w:sz w:val="24"/>
              </w:rPr>
              <w:t>s</w:t>
            </w:r>
          </w:p>
        </w:tc>
        <w:tc>
          <w:tcPr>
            <w:tcW w:w="856" w:type="dxa"/>
            <w:tcBorders>
              <w:top w:val="single" w:sz="8" w:space="0" w:color="000000"/>
              <w:bottom w:val="single" w:sz="8" w:space="0" w:color="000000"/>
            </w:tcBorders>
          </w:tcPr>
          <w:p>
            <w:pPr>
              <w:pStyle w:val="TableParagraph"/>
              <w:spacing w:line="240" w:lineRule="auto" w:before="272"/>
              <w:ind w:left="0" w:right="6"/>
              <w:rPr>
                <w:b/>
                <w:sz w:val="24"/>
              </w:rPr>
            </w:pPr>
            <w:r>
              <w:rPr>
                <w:b/>
                <w:spacing w:val="-2"/>
                <w:sz w:val="24"/>
              </w:rPr>
              <w:t>Ratio</w:t>
            </w:r>
          </w:p>
        </w:tc>
        <w:tc>
          <w:tcPr>
            <w:tcW w:w="1212" w:type="dxa"/>
            <w:tcBorders>
              <w:top w:val="single" w:sz="8" w:space="0" w:color="000000"/>
              <w:bottom w:val="single" w:sz="8" w:space="0" w:color="000000"/>
            </w:tcBorders>
          </w:tcPr>
          <w:p>
            <w:pPr>
              <w:pStyle w:val="TableParagraph"/>
              <w:spacing w:line="240" w:lineRule="auto" w:before="135"/>
              <w:ind w:left="153" w:right="134" w:firstLine="16"/>
              <w:jc w:val="left"/>
              <w:rPr>
                <w:b/>
                <w:sz w:val="24"/>
              </w:rPr>
            </w:pPr>
            <w:r>
              <w:rPr>
                <w:b/>
                <w:spacing w:val="-2"/>
                <w:sz w:val="24"/>
              </w:rPr>
              <w:t>Building Units/Ha</w:t>
            </w:r>
          </w:p>
        </w:tc>
        <w:tc>
          <w:tcPr>
            <w:tcW w:w="1543" w:type="dxa"/>
            <w:tcBorders>
              <w:top w:val="single" w:sz="8" w:space="0" w:color="000000"/>
              <w:bottom w:val="single" w:sz="8" w:space="0" w:color="000000"/>
            </w:tcBorders>
          </w:tcPr>
          <w:p>
            <w:pPr>
              <w:pStyle w:val="TableParagraph"/>
              <w:spacing w:line="240" w:lineRule="auto" w:before="272"/>
              <w:ind w:left="125"/>
              <w:rPr>
                <w:b/>
                <w:sz w:val="24"/>
              </w:rPr>
            </w:pPr>
            <w:r>
              <w:rPr>
                <w:b/>
                <w:sz w:val="24"/>
              </w:rPr>
              <w:t>Density</w:t>
            </w:r>
            <w:r>
              <w:rPr>
                <w:b/>
                <w:spacing w:val="-2"/>
                <w:sz w:val="24"/>
              </w:rPr>
              <w:t> Level</w:t>
            </w:r>
          </w:p>
        </w:tc>
      </w:tr>
      <w:tr>
        <w:trPr>
          <w:trHeight w:val="314" w:hRule="atLeast"/>
        </w:trPr>
        <w:tc>
          <w:tcPr>
            <w:tcW w:w="2086" w:type="dxa"/>
            <w:tcBorders>
              <w:top w:val="single" w:sz="8" w:space="0" w:color="000000"/>
            </w:tcBorders>
          </w:tcPr>
          <w:p>
            <w:pPr>
              <w:pStyle w:val="TableParagraph"/>
              <w:spacing w:line="268" w:lineRule="exact"/>
              <w:ind w:left="115"/>
              <w:jc w:val="left"/>
              <w:rPr>
                <w:sz w:val="24"/>
              </w:rPr>
            </w:pPr>
            <w:r>
              <w:rPr>
                <w:spacing w:val="-2"/>
                <w:sz w:val="24"/>
              </w:rPr>
              <w:t>Kangi</w:t>
            </w:r>
          </w:p>
        </w:tc>
        <w:tc>
          <w:tcPr>
            <w:tcW w:w="1425" w:type="dxa"/>
            <w:tcBorders>
              <w:top w:val="single" w:sz="8" w:space="0" w:color="000000"/>
            </w:tcBorders>
          </w:tcPr>
          <w:p>
            <w:pPr>
              <w:pStyle w:val="TableParagraph"/>
              <w:spacing w:line="268" w:lineRule="exact"/>
              <w:ind w:left="0" w:right="61"/>
              <w:rPr>
                <w:sz w:val="24"/>
              </w:rPr>
            </w:pPr>
            <w:r>
              <w:rPr>
                <w:spacing w:val="-2"/>
                <w:sz w:val="24"/>
              </w:rPr>
              <w:t>457.52</w:t>
            </w:r>
          </w:p>
        </w:tc>
        <w:tc>
          <w:tcPr>
            <w:tcW w:w="1287" w:type="dxa"/>
            <w:tcBorders>
              <w:top w:val="single" w:sz="8" w:space="0" w:color="000000"/>
            </w:tcBorders>
          </w:tcPr>
          <w:p>
            <w:pPr>
              <w:pStyle w:val="TableParagraph"/>
              <w:spacing w:line="268" w:lineRule="exact"/>
              <w:ind w:left="116"/>
              <w:rPr>
                <w:sz w:val="24"/>
              </w:rPr>
            </w:pPr>
            <w:r>
              <w:rPr>
                <w:spacing w:val="-4"/>
                <w:sz w:val="24"/>
              </w:rPr>
              <w:t>2134</w:t>
            </w:r>
          </w:p>
        </w:tc>
        <w:tc>
          <w:tcPr>
            <w:tcW w:w="856" w:type="dxa"/>
            <w:tcBorders>
              <w:top w:val="single" w:sz="8" w:space="0" w:color="000000"/>
            </w:tcBorders>
          </w:tcPr>
          <w:p>
            <w:pPr>
              <w:pStyle w:val="TableParagraph"/>
              <w:spacing w:line="268" w:lineRule="exact"/>
              <w:ind w:left="1" w:right="6"/>
              <w:rPr>
                <w:sz w:val="24"/>
              </w:rPr>
            </w:pPr>
            <w:r>
              <w:rPr>
                <w:spacing w:val="-4"/>
                <w:sz w:val="24"/>
              </w:rPr>
              <w:t>4.66</w:t>
            </w:r>
          </w:p>
        </w:tc>
        <w:tc>
          <w:tcPr>
            <w:tcW w:w="1212" w:type="dxa"/>
            <w:tcBorders>
              <w:top w:val="single" w:sz="8" w:space="0" w:color="000000"/>
            </w:tcBorders>
          </w:tcPr>
          <w:p>
            <w:pPr>
              <w:pStyle w:val="TableParagraph"/>
              <w:spacing w:line="268" w:lineRule="exact"/>
              <w:ind w:left="13"/>
              <w:rPr>
                <w:sz w:val="24"/>
              </w:rPr>
            </w:pPr>
            <w:r>
              <w:rPr>
                <w:spacing w:val="-2"/>
                <w:sz w:val="24"/>
              </w:rPr>
              <w:t>2-</w:t>
            </w:r>
            <w:r>
              <w:rPr>
                <w:spacing w:val="-10"/>
                <w:sz w:val="24"/>
              </w:rPr>
              <w:t>4</w:t>
            </w:r>
          </w:p>
        </w:tc>
        <w:tc>
          <w:tcPr>
            <w:tcW w:w="1543" w:type="dxa"/>
            <w:tcBorders>
              <w:top w:val="single" w:sz="8" w:space="0" w:color="000000"/>
            </w:tcBorders>
          </w:tcPr>
          <w:p>
            <w:pPr>
              <w:pStyle w:val="TableParagraph"/>
              <w:spacing w:line="268" w:lineRule="exact"/>
              <w:ind w:left="22"/>
              <w:rPr>
                <w:sz w:val="24"/>
              </w:rPr>
            </w:pPr>
            <w:r>
              <w:rPr>
                <w:sz w:val="24"/>
              </w:rPr>
              <w:t>High</w:t>
            </w:r>
            <w:r>
              <w:rPr>
                <w:spacing w:val="-3"/>
                <w:sz w:val="24"/>
              </w:rPr>
              <w:t> </w:t>
            </w:r>
            <w:r>
              <w:rPr>
                <w:spacing w:val="-2"/>
                <w:sz w:val="24"/>
              </w:rPr>
              <w:t>Density</w:t>
            </w:r>
          </w:p>
        </w:tc>
      </w:tr>
      <w:tr>
        <w:trPr>
          <w:trHeight w:val="360" w:hRule="atLeast"/>
        </w:trPr>
        <w:tc>
          <w:tcPr>
            <w:tcW w:w="2086" w:type="dxa"/>
          </w:tcPr>
          <w:p>
            <w:pPr>
              <w:pStyle w:val="TableParagraph"/>
              <w:spacing w:line="240" w:lineRule="auto" w:before="37"/>
              <w:ind w:left="115"/>
              <w:jc w:val="left"/>
              <w:rPr>
                <w:sz w:val="24"/>
              </w:rPr>
            </w:pPr>
            <w:r>
              <w:rPr>
                <w:sz w:val="24"/>
              </w:rPr>
              <w:t>Rahmatu</w:t>
            </w:r>
            <w:r>
              <w:rPr>
                <w:spacing w:val="-1"/>
                <w:sz w:val="24"/>
              </w:rPr>
              <w:t> </w:t>
            </w:r>
            <w:r>
              <w:rPr>
                <w:spacing w:val="-2"/>
                <w:sz w:val="24"/>
              </w:rPr>
              <w:t>Dangana</w:t>
            </w:r>
          </w:p>
        </w:tc>
        <w:tc>
          <w:tcPr>
            <w:tcW w:w="1425" w:type="dxa"/>
          </w:tcPr>
          <w:p>
            <w:pPr>
              <w:pStyle w:val="TableParagraph"/>
              <w:spacing w:line="240" w:lineRule="auto" w:before="37"/>
              <w:ind w:left="0" w:right="61"/>
              <w:rPr>
                <w:sz w:val="24"/>
              </w:rPr>
            </w:pPr>
            <w:r>
              <w:rPr>
                <w:spacing w:val="-4"/>
                <w:sz w:val="24"/>
              </w:rPr>
              <w:t>14.5</w:t>
            </w:r>
          </w:p>
        </w:tc>
        <w:tc>
          <w:tcPr>
            <w:tcW w:w="1287" w:type="dxa"/>
          </w:tcPr>
          <w:p>
            <w:pPr>
              <w:pStyle w:val="TableParagraph"/>
              <w:spacing w:line="240" w:lineRule="auto" w:before="37"/>
              <w:ind w:left="116"/>
              <w:rPr>
                <w:sz w:val="24"/>
              </w:rPr>
            </w:pPr>
            <w:r>
              <w:rPr>
                <w:spacing w:val="-5"/>
                <w:sz w:val="24"/>
              </w:rPr>
              <w:t>124</w:t>
            </w:r>
          </w:p>
        </w:tc>
        <w:tc>
          <w:tcPr>
            <w:tcW w:w="856" w:type="dxa"/>
          </w:tcPr>
          <w:p>
            <w:pPr>
              <w:pStyle w:val="TableParagraph"/>
              <w:spacing w:line="240" w:lineRule="auto" w:before="37"/>
              <w:ind w:left="1" w:right="6"/>
              <w:rPr>
                <w:sz w:val="24"/>
              </w:rPr>
            </w:pPr>
            <w:r>
              <w:rPr>
                <w:spacing w:val="-4"/>
                <w:sz w:val="24"/>
              </w:rPr>
              <w:t>8.55</w:t>
            </w:r>
          </w:p>
        </w:tc>
        <w:tc>
          <w:tcPr>
            <w:tcW w:w="1212" w:type="dxa"/>
          </w:tcPr>
          <w:p>
            <w:pPr>
              <w:pStyle w:val="TableParagraph"/>
              <w:spacing w:line="240" w:lineRule="auto" w:before="37"/>
              <w:ind w:left="13"/>
              <w:rPr>
                <w:sz w:val="24"/>
              </w:rPr>
            </w:pPr>
            <w:r>
              <w:rPr>
                <w:spacing w:val="-2"/>
                <w:sz w:val="24"/>
              </w:rPr>
              <w:t>7-</w:t>
            </w:r>
            <w:r>
              <w:rPr>
                <w:spacing w:val="-10"/>
                <w:sz w:val="24"/>
              </w:rPr>
              <w:t>8</w:t>
            </w:r>
          </w:p>
        </w:tc>
        <w:tc>
          <w:tcPr>
            <w:tcW w:w="1543" w:type="dxa"/>
          </w:tcPr>
          <w:p>
            <w:pPr>
              <w:pStyle w:val="TableParagraph"/>
              <w:spacing w:line="240" w:lineRule="auto" w:before="37"/>
              <w:ind w:left="22"/>
              <w:rPr>
                <w:sz w:val="24"/>
              </w:rPr>
            </w:pPr>
            <w:r>
              <w:rPr>
                <w:sz w:val="24"/>
              </w:rPr>
              <w:t>High</w:t>
            </w:r>
            <w:r>
              <w:rPr>
                <w:spacing w:val="-3"/>
                <w:sz w:val="24"/>
              </w:rPr>
              <w:t> </w:t>
            </w:r>
            <w:r>
              <w:rPr>
                <w:spacing w:val="-2"/>
                <w:sz w:val="24"/>
              </w:rPr>
              <w:t>Density</w:t>
            </w:r>
          </w:p>
        </w:tc>
      </w:tr>
      <w:tr>
        <w:trPr>
          <w:trHeight w:val="360" w:hRule="atLeast"/>
        </w:trPr>
        <w:tc>
          <w:tcPr>
            <w:tcW w:w="2086" w:type="dxa"/>
          </w:tcPr>
          <w:p>
            <w:pPr>
              <w:pStyle w:val="TableParagraph"/>
              <w:spacing w:line="240" w:lineRule="auto" w:before="37"/>
              <w:ind w:left="115"/>
              <w:jc w:val="left"/>
              <w:rPr>
                <w:sz w:val="24"/>
              </w:rPr>
            </w:pPr>
            <w:r>
              <w:rPr>
                <w:spacing w:val="-4"/>
                <w:sz w:val="24"/>
              </w:rPr>
              <w:t>Town</w:t>
            </w:r>
          </w:p>
        </w:tc>
        <w:tc>
          <w:tcPr>
            <w:tcW w:w="1425" w:type="dxa"/>
          </w:tcPr>
          <w:p>
            <w:pPr>
              <w:pStyle w:val="TableParagraph"/>
              <w:spacing w:line="240" w:lineRule="auto" w:before="37"/>
              <w:ind w:left="0" w:right="61"/>
              <w:rPr>
                <w:sz w:val="24"/>
              </w:rPr>
            </w:pPr>
            <w:r>
              <w:rPr>
                <w:spacing w:val="-2"/>
                <w:sz w:val="24"/>
              </w:rPr>
              <w:t>1214.97</w:t>
            </w:r>
          </w:p>
        </w:tc>
        <w:tc>
          <w:tcPr>
            <w:tcW w:w="1287" w:type="dxa"/>
          </w:tcPr>
          <w:p>
            <w:pPr>
              <w:pStyle w:val="TableParagraph"/>
              <w:spacing w:line="240" w:lineRule="auto" w:before="37"/>
              <w:ind w:left="116"/>
              <w:rPr>
                <w:sz w:val="24"/>
              </w:rPr>
            </w:pPr>
            <w:r>
              <w:rPr>
                <w:spacing w:val="-2"/>
                <w:sz w:val="24"/>
              </w:rPr>
              <w:t>29985</w:t>
            </w:r>
          </w:p>
        </w:tc>
        <w:tc>
          <w:tcPr>
            <w:tcW w:w="856" w:type="dxa"/>
          </w:tcPr>
          <w:p>
            <w:pPr>
              <w:pStyle w:val="TableParagraph"/>
              <w:spacing w:line="240" w:lineRule="auto" w:before="37"/>
              <w:ind w:left="1" w:right="6"/>
              <w:rPr>
                <w:sz w:val="24"/>
              </w:rPr>
            </w:pPr>
            <w:r>
              <w:rPr>
                <w:spacing w:val="-2"/>
                <w:sz w:val="24"/>
              </w:rPr>
              <w:t>24.68</w:t>
            </w:r>
          </w:p>
        </w:tc>
        <w:tc>
          <w:tcPr>
            <w:tcW w:w="1212" w:type="dxa"/>
          </w:tcPr>
          <w:p>
            <w:pPr>
              <w:pStyle w:val="TableParagraph"/>
              <w:spacing w:line="240" w:lineRule="auto" w:before="37"/>
              <w:ind w:left="13" w:right="2"/>
              <w:rPr>
                <w:sz w:val="24"/>
              </w:rPr>
            </w:pPr>
            <w:r>
              <w:rPr>
                <w:spacing w:val="-5"/>
                <w:sz w:val="24"/>
              </w:rPr>
              <w:t>&gt;10</w:t>
            </w:r>
          </w:p>
        </w:tc>
        <w:tc>
          <w:tcPr>
            <w:tcW w:w="1543" w:type="dxa"/>
          </w:tcPr>
          <w:p>
            <w:pPr>
              <w:pStyle w:val="TableParagraph"/>
              <w:spacing w:line="240" w:lineRule="auto" w:before="37"/>
              <w:ind w:left="22"/>
              <w:rPr>
                <w:sz w:val="24"/>
              </w:rPr>
            </w:pPr>
            <w:r>
              <w:rPr>
                <w:sz w:val="24"/>
              </w:rPr>
              <w:t>High</w:t>
            </w:r>
            <w:r>
              <w:rPr>
                <w:spacing w:val="-3"/>
                <w:sz w:val="24"/>
              </w:rPr>
              <w:t> </w:t>
            </w:r>
            <w:r>
              <w:rPr>
                <w:spacing w:val="-2"/>
                <w:sz w:val="24"/>
              </w:rPr>
              <w:t>Density</w:t>
            </w:r>
          </w:p>
        </w:tc>
      </w:tr>
      <w:tr>
        <w:trPr>
          <w:trHeight w:val="360" w:hRule="atLeast"/>
        </w:trPr>
        <w:tc>
          <w:tcPr>
            <w:tcW w:w="2086" w:type="dxa"/>
          </w:tcPr>
          <w:p>
            <w:pPr>
              <w:pStyle w:val="TableParagraph"/>
              <w:spacing w:line="240" w:lineRule="auto" w:before="37"/>
              <w:ind w:left="115"/>
              <w:jc w:val="left"/>
              <w:rPr>
                <w:sz w:val="24"/>
              </w:rPr>
            </w:pPr>
            <w:r>
              <w:rPr>
                <w:sz w:val="24"/>
              </w:rPr>
              <w:t>Poly</w:t>
            </w:r>
            <w:r>
              <w:rPr>
                <w:spacing w:val="-6"/>
                <w:sz w:val="24"/>
              </w:rPr>
              <w:t> </w:t>
            </w:r>
            <w:r>
              <w:rPr>
                <w:spacing w:val="-4"/>
                <w:sz w:val="24"/>
              </w:rPr>
              <w:t>Area</w:t>
            </w:r>
          </w:p>
        </w:tc>
        <w:tc>
          <w:tcPr>
            <w:tcW w:w="1425" w:type="dxa"/>
          </w:tcPr>
          <w:p>
            <w:pPr>
              <w:pStyle w:val="TableParagraph"/>
              <w:spacing w:line="240" w:lineRule="auto" w:before="37"/>
              <w:ind w:left="0" w:right="61"/>
              <w:rPr>
                <w:sz w:val="24"/>
              </w:rPr>
            </w:pPr>
            <w:r>
              <w:rPr>
                <w:spacing w:val="-2"/>
                <w:sz w:val="24"/>
              </w:rPr>
              <w:t>823.13</w:t>
            </w:r>
          </w:p>
        </w:tc>
        <w:tc>
          <w:tcPr>
            <w:tcW w:w="1287" w:type="dxa"/>
          </w:tcPr>
          <w:p>
            <w:pPr>
              <w:pStyle w:val="TableParagraph"/>
              <w:spacing w:line="240" w:lineRule="auto" w:before="37"/>
              <w:ind w:left="116"/>
              <w:rPr>
                <w:sz w:val="24"/>
              </w:rPr>
            </w:pPr>
            <w:r>
              <w:rPr>
                <w:spacing w:val="-4"/>
                <w:sz w:val="24"/>
              </w:rPr>
              <w:t>2450</w:t>
            </w:r>
          </w:p>
        </w:tc>
        <w:tc>
          <w:tcPr>
            <w:tcW w:w="856" w:type="dxa"/>
          </w:tcPr>
          <w:p>
            <w:pPr>
              <w:pStyle w:val="TableParagraph"/>
              <w:spacing w:line="240" w:lineRule="auto" w:before="37"/>
              <w:ind w:left="1" w:right="6"/>
              <w:rPr>
                <w:sz w:val="24"/>
              </w:rPr>
            </w:pPr>
            <w:r>
              <w:rPr>
                <w:spacing w:val="-4"/>
                <w:sz w:val="24"/>
              </w:rPr>
              <w:t>2.98</w:t>
            </w:r>
          </w:p>
        </w:tc>
        <w:tc>
          <w:tcPr>
            <w:tcW w:w="1212" w:type="dxa"/>
          </w:tcPr>
          <w:p>
            <w:pPr>
              <w:pStyle w:val="TableParagraph"/>
              <w:spacing w:line="240" w:lineRule="auto" w:before="37"/>
              <w:ind w:left="13"/>
              <w:rPr>
                <w:sz w:val="24"/>
              </w:rPr>
            </w:pPr>
            <w:r>
              <w:rPr>
                <w:spacing w:val="-2"/>
                <w:sz w:val="24"/>
              </w:rPr>
              <w:t>2-</w:t>
            </w:r>
            <w:r>
              <w:rPr>
                <w:spacing w:val="-10"/>
                <w:sz w:val="24"/>
              </w:rPr>
              <w:t>4</w:t>
            </w:r>
          </w:p>
        </w:tc>
        <w:tc>
          <w:tcPr>
            <w:tcW w:w="1543" w:type="dxa"/>
          </w:tcPr>
          <w:p>
            <w:pPr>
              <w:pStyle w:val="TableParagraph"/>
              <w:spacing w:line="240" w:lineRule="auto" w:before="37"/>
              <w:ind w:left="22"/>
              <w:rPr>
                <w:sz w:val="24"/>
              </w:rPr>
            </w:pPr>
            <w:r>
              <w:rPr>
                <w:sz w:val="24"/>
              </w:rPr>
              <w:t>High</w:t>
            </w:r>
            <w:r>
              <w:rPr>
                <w:spacing w:val="-3"/>
                <w:sz w:val="24"/>
              </w:rPr>
              <w:t> </w:t>
            </w:r>
            <w:r>
              <w:rPr>
                <w:spacing w:val="-2"/>
                <w:sz w:val="24"/>
              </w:rPr>
              <w:t>Density</w:t>
            </w:r>
          </w:p>
        </w:tc>
      </w:tr>
      <w:tr>
        <w:trPr>
          <w:trHeight w:val="360" w:hRule="atLeast"/>
        </w:trPr>
        <w:tc>
          <w:tcPr>
            <w:tcW w:w="2086" w:type="dxa"/>
          </w:tcPr>
          <w:p>
            <w:pPr>
              <w:pStyle w:val="TableParagraph"/>
              <w:spacing w:line="240" w:lineRule="auto" w:before="37"/>
              <w:ind w:left="115"/>
              <w:jc w:val="left"/>
              <w:rPr>
                <w:sz w:val="24"/>
              </w:rPr>
            </w:pPr>
            <w:r>
              <w:rPr>
                <w:spacing w:val="-2"/>
                <w:sz w:val="24"/>
              </w:rPr>
              <w:t>Eyagi</w:t>
            </w:r>
          </w:p>
        </w:tc>
        <w:tc>
          <w:tcPr>
            <w:tcW w:w="1425" w:type="dxa"/>
          </w:tcPr>
          <w:p>
            <w:pPr>
              <w:pStyle w:val="TableParagraph"/>
              <w:spacing w:line="240" w:lineRule="auto" w:before="37"/>
              <w:ind w:left="0" w:right="61"/>
              <w:rPr>
                <w:sz w:val="24"/>
              </w:rPr>
            </w:pPr>
            <w:r>
              <w:rPr>
                <w:spacing w:val="-2"/>
                <w:sz w:val="24"/>
              </w:rPr>
              <w:t>725.34</w:t>
            </w:r>
          </w:p>
        </w:tc>
        <w:tc>
          <w:tcPr>
            <w:tcW w:w="1287" w:type="dxa"/>
          </w:tcPr>
          <w:p>
            <w:pPr>
              <w:pStyle w:val="TableParagraph"/>
              <w:spacing w:line="240" w:lineRule="auto" w:before="37"/>
              <w:ind w:left="116"/>
              <w:rPr>
                <w:sz w:val="24"/>
              </w:rPr>
            </w:pPr>
            <w:r>
              <w:rPr>
                <w:spacing w:val="-5"/>
                <w:sz w:val="24"/>
              </w:rPr>
              <w:t>393</w:t>
            </w:r>
          </w:p>
        </w:tc>
        <w:tc>
          <w:tcPr>
            <w:tcW w:w="856" w:type="dxa"/>
          </w:tcPr>
          <w:p>
            <w:pPr>
              <w:pStyle w:val="TableParagraph"/>
              <w:spacing w:line="240" w:lineRule="auto" w:before="37"/>
              <w:ind w:left="1" w:right="6"/>
              <w:rPr>
                <w:sz w:val="24"/>
              </w:rPr>
            </w:pPr>
            <w:r>
              <w:rPr>
                <w:spacing w:val="-4"/>
                <w:sz w:val="24"/>
              </w:rPr>
              <w:t>0.54</w:t>
            </w:r>
          </w:p>
        </w:tc>
        <w:tc>
          <w:tcPr>
            <w:tcW w:w="1212" w:type="dxa"/>
          </w:tcPr>
          <w:p>
            <w:pPr>
              <w:pStyle w:val="TableParagraph"/>
              <w:spacing w:line="240" w:lineRule="auto" w:before="37"/>
              <w:ind w:left="13" w:right="3"/>
              <w:rPr>
                <w:sz w:val="24"/>
              </w:rPr>
            </w:pPr>
            <w:r>
              <w:rPr>
                <w:spacing w:val="-5"/>
                <w:sz w:val="24"/>
              </w:rPr>
              <w:t>&lt;2</w:t>
            </w:r>
          </w:p>
        </w:tc>
        <w:tc>
          <w:tcPr>
            <w:tcW w:w="1543" w:type="dxa"/>
          </w:tcPr>
          <w:p>
            <w:pPr>
              <w:pStyle w:val="TableParagraph"/>
              <w:spacing w:line="240" w:lineRule="auto" w:before="37"/>
              <w:ind w:left="25"/>
              <w:rPr>
                <w:sz w:val="24"/>
              </w:rPr>
            </w:pPr>
            <w:r>
              <w:rPr>
                <w:sz w:val="24"/>
              </w:rPr>
              <w:t>Low</w:t>
            </w:r>
            <w:r>
              <w:rPr>
                <w:spacing w:val="-2"/>
                <w:sz w:val="24"/>
              </w:rPr>
              <w:t> Density</w:t>
            </w:r>
          </w:p>
        </w:tc>
      </w:tr>
      <w:tr>
        <w:trPr>
          <w:trHeight w:val="360" w:hRule="atLeast"/>
        </w:trPr>
        <w:tc>
          <w:tcPr>
            <w:tcW w:w="2086" w:type="dxa"/>
          </w:tcPr>
          <w:p>
            <w:pPr>
              <w:pStyle w:val="TableParagraph"/>
              <w:spacing w:line="240" w:lineRule="auto" w:before="37"/>
              <w:ind w:left="115"/>
              <w:jc w:val="left"/>
              <w:rPr>
                <w:sz w:val="24"/>
              </w:rPr>
            </w:pPr>
            <w:r>
              <w:rPr>
                <w:spacing w:val="-2"/>
                <w:sz w:val="24"/>
              </w:rPr>
              <w:t>Gbazhi</w:t>
            </w:r>
          </w:p>
        </w:tc>
        <w:tc>
          <w:tcPr>
            <w:tcW w:w="1425" w:type="dxa"/>
          </w:tcPr>
          <w:p>
            <w:pPr>
              <w:pStyle w:val="TableParagraph"/>
              <w:spacing w:line="240" w:lineRule="auto" w:before="37"/>
              <w:ind w:left="0" w:right="61"/>
              <w:rPr>
                <w:sz w:val="24"/>
              </w:rPr>
            </w:pPr>
            <w:r>
              <w:rPr>
                <w:spacing w:val="-2"/>
                <w:sz w:val="24"/>
              </w:rPr>
              <w:t>215.81</w:t>
            </w:r>
          </w:p>
        </w:tc>
        <w:tc>
          <w:tcPr>
            <w:tcW w:w="1287" w:type="dxa"/>
          </w:tcPr>
          <w:p>
            <w:pPr>
              <w:pStyle w:val="TableParagraph"/>
              <w:spacing w:line="240" w:lineRule="auto" w:before="37"/>
              <w:ind w:left="116"/>
              <w:rPr>
                <w:sz w:val="24"/>
              </w:rPr>
            </w:pPr>
            <w:r>
              <w:rPr>
                <w:spacing w:val="-4"/>
                <w:sz w:val="24"/>
              </w:rPr>
              <w:t>2331</w:t>
            </w:r>
          </w:p>
        </w:tc>
        <w:tc>
          <w:tcPr>
            <w:tcW w:w="856" w:type="dxa"/>
          </w:tcPr>
          <w:p>
            <w:pPr>
              <w:pStyle w:val="TableParagraph"/>
              <w:spacing w:line="240" w:lineRule="auto" w:before="37"/>
              <w:ind w:left="1" w:right="6"/>
              <w:rPr>
                <w:sz w:val="24"/>
              </w:rPr>
            </w:pPr>
            <w:r>
              <w:rPr>
                <w:spacing w:val="-2"/>
                <w:sz w:val="24"/>
              </w:rPr>
              <w:t>10.80</w:t>
            </w:r>
          </w:p>
        </w:tc>
        <w:tc>
          <w:tcPr>
            <w:tcW w:w="1212" w:type="dxa"/>
          </w:tcPr>
          <w:p>
            <w:pPr>
              <w:pStyle w:val="TableParagraph"/>
              <w:spacing w:line="240" w:lineRule="auto" w:before="37"/>
              <w:ind w:left="13" w:right="2"/>
              <w:rPr>
                <w:sz w:val="24"/>
              </w:rPr>
            </w:pPr>
            <w:r>
              <w:rPr>
                <w:spacing w:val="-5"/>
                <w:sz w:val="24"/>
              </w:rPr>
              <w:t>&gt;10</w:t>
            </w:r>
          </w:p>
        </w:tc>
        <w:tc>
          <w:tcPr>
            <w:tcW w:w="1543" w:type="dxa"/>
          </w:tcPr>
          <w:p>
            <w:pPr>
              <w:pStyle w:val="TableParagraph"/>
              <w:spacing w:line="240" w:lineRule="auto" w:before="37"/>
              <w:ind w:left="22"/>
              <w:rPr>
                <w:sz w:val="24"/>
              </w:rPr>
            </w:pPr>
            <w:r>
              <w:rPr>
                <w:sz w:val="24"/>
              </w:rPr>
              <w:t>High</w:t>
            </w:r>
            <w:r>
              <w:rPr>
                <w:spacing w:val="-3"/>
                <w:sz w:val="24"/>
              </w:rPr>
              <w:t> </w:t>
            </w:r>
            <w:r>
              <w:rPr>
                <w:spacing w:val="-2"/>
                <w:sz w:val="24"/>
              </w:rPr>
              <w:t>Density</w:t>
            </w:r>
          </w:p>
        </w:tc>
      </w:tr>
      <w:tr>
        <w:trPr>
          <w:trHeight w:val="360" w:hRule="atLeast"/>
        </w:trPr>
        <w:tc>
          <w:tcPr>
            <w:tcW w:w="2086" w:type="dxa"/>
          </w:tcPr>
          <w:p>
            <w:pPr>
              <w:pStyle w:val="TableParagraph"/>
              <w:spacing w:line="240" w:lineRule="auto" w:before="37"/>
              <w:ind w:left="115"/>
              <w:jc w:val="left"/>
              <w:rPr>
                <w:sz w:val="24"/>
              </w:rPr>
            </w:pPr>
            <w:r>
              <w:rPr>
                <w:spacing w:val="-2"/>
                <w:sz w:val="24"/>
              </w:rPr>
              <w:t>Wadata</w:t>
            </w:r>
          </w:p>
        </w:tc>
        <w:tc>
          <w:tcPr>
            <w:tcW w:w="1425" w:type="dxa"/>
          </w:tcPr>
          <w:p>
            <w:pPr>
              <w:pStyle w:val="TableParagraph"/>
              <w:spacing w:line="240" w:lineRule="auto" w:before="37"/>
              <w:ind w:left="0" w:right="61"/>
              <w:rPr>
                <w:sz w:val="24"/>
              </w:rPr>
            </w:pPr>
            <w:r>
              <w:rPr>
                <w:spacing w:val="-2"/>
                <w:sz w:val="24"/>
              </w:rPr>
              <w:t>398.51</w:t>
            </w:r>
          </w:p>
        </w:tc>
        <w:tc>
          <w:tcPr>
            <w:tcW w:w="1287" w:type="dxa"/>
          </w:tcPr>
          <w:p>
            <w:pPr>
              <w:pStyle w:val="TableParagraph"/>
              <w:spacing w:line="240" w:lineRule="auto" w:before="37"/>
              <w:ind w:left="116"/>
              <w:rPr>
                <w:sz w:val="24"/>
              </w:rPr>
            </w:pPr>
            <w:r>
              <w:rPr>
                <w:spacing w:val="-4"/>
                <w:sz w:val="24"/>
              </w:rPr>
              <w:t>2300</w:t>
            </w:r>
          </w:p>
        </w:tc>
        <w:tc>
          <w:tcPr>
            <w:tcW w:w="856" w:type="dxa"/>
          </w:tcPr>
          <w:p>
            <w:pPr>
              <w:pStyle w:val="TableParagraph"/>
              <w:spacing w:line="240" w:lineRule="auto" w:before="37"/>
              <w:ind w:left="1" w:right="6"/>
              <w:rPr>
                <w:sz w:val="24"/>
              </w:rPr>
            </w:pPr>
            <w:r>
              <w:rPr>
                <w:spacing w:val="-4"/>
                <w:sz w:val="24"/>
              </w:rPr>
              <w:t>5.77</w:t>
            </w:r>
          </w:p>
        </w:tc>
        <w:tc>
          <w:tcPr>
            <w:tcW w:w="1212" w:type="dxa"/>
          </w:tcPr>
          <w:p>
            <w:pPr>
              <w:pStyle w:val="TableParagraph"/>
              <w:spacing w:line="240" w:lineRule="auto" w:before="37"/>
              <w:ind w:left="13"/>
              <w:rPr>
                <w:sz w:val="24"/>
              </w:rPr>
            </w:pPr>
            <w:r>
              <w:rPr>
                <w:spacing w:val="-2"/>
                <w:sz w:val="24"/>
              </w:rPr>
              <w:t>5-</w:t>
            </w:r>
            <w:r>
              <w:rPr>
                <w:spacing w:val="-10"/>
                <w:sz w:val="24"/>
              </w:rPr>
              <w:t>6</w:t>
            </w:r>
          </w:p>
        </w:tc>
        <w:tc>
          <w:tcPr>
            <w:tcW w:w="1543" w:type="dxa"/>
          </w:tcPr>
          <w:p>
            <w:pPr>
              <w:pStyle w:val="TableParagraph"/>
              <w:spacing w:line="240" w:lineRule="auto" w:before="37"/>
              <w:ind w:left="22"/>
              <w:rPr>
                <w:sz w:val="24"/>
              </w:rPr>
            </w:pPr>
            <w:r>
              <w:rPr>
                <w:sz w:val="24"/>
              </w:rPr>
              <w:t>High</w:t>
            </w:r>
            <w:r>
              <w:rPr>
                <w:spacing w:val="-3"/>
                <w:sz w:val="24"/>
              </w:rPr>
              <w:t> </w:t>
            </w:r>
            <w:r>
              <w:rPr>
                <w:spacing w:val="-2"/>
                <w:sz w:val="24"/>
              </w:rPr>
              <w:t>Density</w:t>
            </w:r>
          </w:p>
        </w:tc>
      </w:tr>
      <w:tr>
        <w:trPr>
          <w:trHeight w:val="360" w:hRule="atLeast"/>
        </w:trPr>
        <w:tc>
          <w:tcPr>
            <w:tcW w:w="2086" w:type="dxa"/>
          </w:tcPr>
          <w:p>
            <w:pPr>
              <w:pStyle w:val="TableParagraph"/>
              <w:spacing w:line="240" w:lineRule="auto" w:before="37"/>
              <w:ind w:left="115"/>
              <w:jc w:val="left"/>
              <w:rPr>
                <w:sz w:val="24"/>
              </w:rPr>
            </w:pPr>
            <w:r>
              <w:rPr>
                <w:spacing w:val="-2"/>
                <w:sz w:val="24"/>
              </w:rPr>
              <w:t>Avenue</w:t>
            </w:r>
          </w:p>
        </w:tc>
        <w:tc>
          <w:tcPr>
            <w:tcW w:w="1425" w:type="dxa"/>
          </w:tcPr>
          <w:p>
            <w:pPr>
              <w:pStyle w:val="TableParagraph"/>
              <w:spacing w:line="240" w:lineRule="auto" w:before="37"/>
              <w:ind w:left="0" w:right="61"/>
              <w:rPr>
                <w:sz w:val="24"/>
              </w:rPr>
            </w:pPr>
            <w:r>
              <w:rPr>
                <w:spacing w:val="-2"/>
                <w:sz w:val="24"/>
              </w:rPr>
              <w:t>417.08</w:t>
            </w:r>
          </w:p>
        </w:tc>
        <w:tc>
          <w:tcPr>
            <w:tcW w:w="1287" w:type="dxa"/>
          </w:tcPr>
          <w:p>
            <w:pPr>
              <w:pStyle w:val="TableParagraph"/>
              <w:spacing w:line="240" w:lineRule="auto" w:before="37"/>
              <w:ind w:left="116"/>
              <w:rPr>
                <w:sz w:val="24"/>
              </w:rPr>
            </w:pPr>
            <w:r>
              <w:rPr>
                <w:spacing w:val="-4"/>
                <w:sz w:val="24"/>
              </w:rPr>
              <w:t>1976</w:t>
            </w:r>
          </w:p>
        </w:tc>
        <w:tc>
          <w:tcPr>
            <w:tcW w:w="856" w:type="dxa"/>
          </w:tcPr>
          <w:p>
            <w:pPr>
              <w:pStyle w:val="TableParagraph"/>
              <w:spacing w:line="240" w:lineRule="auto" w:before="37"/>
              <w:ind w:left="1" w:right="6"/>
              <w:rPr>
                <w:sz w:val="24"/>
              </w:rPr>
            </w:pPr>
            <w:r>
              <w:rPr>
                <w:spacing w:val="-4"/>
                <w:sz w:val="24"/>
              </w:rPr>
              <w:t>4.74</w:t>
            </w:r>
          </w:p>
        </w:tc>
        <w:tc>
          <w:tcPr>
            <w:tcW w:w="1212" w:type="dxa"/>
          </w:tcPr>
          <w:p>
            <w:pPr>
              <w:pStyle w:val="TableParagraph"/>
              <w:spacing w:line="240" w:lineRule="auto" w:before="37"/>
              <w:ind w:left="13"/>
              <w:rPr>
                <w:sz w:val="24"/>
              </w:rPr>
            </w:pPr>
            <w:r>
              <w:rPr>
                <w:spacing w:val="-2"/>
                <w:sz w:val="24"/>
              </w:rPr>
              <w:t>2-</w:t>
            </w:r>
            <w:r>
              <w:rPr>
                <w:spacing w:val="-10"/>
                <w:sz w:val="24"/>
              </w:rPr>
              <w:t>4</w:t>
            </w:r>
          </w:p>
        </w:tc>
        <w:tc>
          <w:tcPr>
            <w:tcW w:w="1543" w:type="dxa"/>
          </w:tcPr>
          <w:p>
            <w:pPr>
              <w:pStyle w:val="TableParagraph"/>
              <w:spacing w:line="240" w:lineRule="auto" w:before="37"/>
              <w:ind w:left="22"/>
              <w:rPr>
                <w:sz w:val="24"/>
              </w:rPr>
            </w:pPr>
            <w:r>
              <w:rPr>
                <w:sz w:val="24"/>
              </w:rPr>
              <w:t>High</w:t>
            </w:r>
            <w:r>
              <w:rPr>
                <w:spacing w:val="-3"/>
                <w:sz w:val="24"/>
              </w:rPr>
              <w:t> </w:t>
            </w:r>
            <w:r>
              <w:rPr>
                <w:spacing w:val="-2"/>
                <w:sz w:val="24"/>
              </w:rPr>
              <w:t>Density</w:t>
            </w:r>
          </w:p>
        </w:tc>
      </w:tr>
      <w:tr>
        <w:trPr>
          <w:trHeight w:val="359" w:hRule="atLeast"/>
        </w:trPr>
        <w:tc>
          <w:tcPr>
            <w:tcW w:w="2086" w:type="dxa"/>
          </w:tcPr>
          <w:p>
            <w:pPr>
              <w:pStyle w:val="TableParagraph"/>
              <w:spacing w:line="240" w:lineRule="auto" w:before="37"/>
              <w:ind w:left="115"/>
              <w:jc w:val="left"/>
              <w:rPr>
                <w:sz w:val="24"/>
              </w:rPr>
            </w:pPr>
            <w:r>
              <w:rPr>
                <w:spacing w:val="-2"/>
                <w:sz w:val="24"/>
              </w:rPr>
              <w:t>Ndazabo</w:t>
            </w:r>
          </w:p>
        </w:tc>
        <w:tc>
          <w:tcPr>
            <w:tcW w:w="1425" w:type="dxa"/>
          </w:tcPr>
          <w:p>
            <w:pPr>
              <w:pStyle w:val="TableParagraph"/>
              <w:spacing w:line="240" w:lineRule="auto" w:before="37"/>
              <w:ind w:left="0" w:right="61"/>
              <w:rPr>
                <w:sz w:val="24"/>
              </w:rPr>
            </w:pPr>
            <w:r>
              <w:rPr>
                <w:spacing w:val="-2"/>
                <w:sz w:val="24"/>
              </w:rPr>
              <w:t>692.99</w:t>
            </w:r>
          </w:p>
        </w:tc>
        <w:tc>
          <w:tcPr>
            <w:tcW w:w="1287" w:type="dxa"/>
          </w:tcPr>
          <w:p>
            <w:pPr>
              <w:pStyle w:val="TableParagraph"/>
              <w:spacing w:line="240" w:lineRule="auto" w:before="37"/>
              <w:ind w:left="116"/>
              <w:rPr>
                <w:sz w:val="24"/>
              </w:rPr>
            </w:pPr>
            <w:r>
              <w:rPr>
                <w:spacing w:val="-4"/>
                <w:sz w:val="24"/>
              </w:rPr>
              <w:t>2346</w:t>
            </w:r>
          </w:p>
        </w:tc>
        <w:tc>
          <w:tcPr>
            <w:tcW w:w="856" w:type="dxa"/>
          </w:tcPr>
          <w:p>
            <w:pPr>
              <w:pStyle w:val="TableParagraph"/>
              <w:spacing w:line="240" w:lineRule="auto" w:before="37"/>
              <w:ind w:left="1" w:right="6"/>
              <w:rPr>
                <w:sz w:val="24"/>
              </w:rPr>
            </w:pPr>
            <w:r>
              <w:rPr>
                <w:spacing w:val="-4"/>
                <w:sz w:val="24"/>
              </w:rPr>
              <w:t>3.39</w:t>
            </w:r>
          </w:p>
        </w:tc>
        <w:tc>
          <w:tcPr>
            <w:tcW w:w="1212" w:type="dxa"/>
          </w:tcPr>
          <w:p>
            <w:pPr>
              <w:pStyle w:val="TableParagraph"/>
              <w:spacing w:line="240" w:lineRule="auto" w:before="37"/>
              <w:ind w:left="13"/>
              <w:rPr>
                <w:sz w:val="24"/>
              </w:rPr>
            </w:pPr>
            <w:r>
              <w:rPr>
                <w:spacing w:val="-2"/>
                <w:sz w:val="24"/>
              </w:rPr>
              <w:t>2-</w:t>
            </w:r>
            <w:r>
              <w:rPr>
                <w:spacing w:val="-10"/>
                <w:sz w:val="24"/>
              </w:rPr>
              <w:t>4</w:t>
            </w:r>
          </w:p>
        </w:tc>
        <w:tc>
          <w:tcPr>
            <w:tcW w:w="1543" w:type="dxa"/>
          </w:tcPr>
          <w:p>
            <w:pPr>
              <w:pStyle w:val="TableParagraph"/>
              <w:spacing w:line="240" w:lineRule="auto" w:before="37"/>
              <w:ind w:left="22"/>
              <w:rPr>
                <w:sz w:val="24"/>
              </w:rPr>
            </w:pPr>
            <w:r>
              <w:rPr>
                <w:sz w:val="24"/>
              </w:rPr>
              <w:t>High</w:t>
            </w:r>
            <w:r>
              <w:rPr>
                <w:spacing w:val="-3"/>
                <w:sz w:val="24"/>
              </w:rPr>
              <w:t> </w:t>
            </w:r>
            <w:r>
              <w:rPr>
                <w:spacing w:val="-2"/>
                <w:sz w:val="24"/>
              </w:rPr>
              <w:t>Density</w:t>
            </w:r>
          </w:p>
        </w:tc>
      </w:tr>
      <w:tr>
        <w:trPr>
          <w:trHeight w:val="359" w:hRule="atLeast"/>
        </w:trPr>
        <w:tc>
          <w:tcPr>
            <w:tcW w:w="2086" w:type="dxa"/>
          </w:tcPr>
          <w:p>
            <w:pPr>
              <w:pStyle w:val="TableParagraph"/>
              <w:spacing w:line="240" w:lineRule="auto" w:before="37"/>
              <w:ind w:left="115"/>
              <w:jc w:val="left"/>
              <w:rPr>
                <w:sz w:val="24"/>
              </w:rPr>
            </w:pPr>
            <w:r>
              <w:rPr>
                <w:sz w:val="24"/>
              </w:rPr>
              <w:t>Project</w:t>
            </w:r>
            <w:r>
              <w:rPr>
                <w:spacing w:val="-5"/>
                <w:sz w:val="24"/>
              </w:rPr>
              <w:t> </w:t>
            </w:r>
            <w:r>
              <w:rPr>
                <w:spacing w:val="-4"/>
                <w:sz w:val="24"/>
              </w:rPr>
              <w:t>Qtrs</w:t>
            </w:r>
          </w:p>
        </w:tc>
        <w:tc>
          <w:tcPr>
            <w:tcW w:w="1425" w:type="dxa"/>
          </w:tcPr>
          <w:p>
            <w:pPr>
              <w:pStyle w:val="TableParagraph"/>
              <w:spacing w:line="240" w:lineRule="auto" w:before="37"/>
              <w:ind w:left="0" w:right="61"/>
              <w:rPr>
                <w:sz w:val="24"/>
              </w:rPr>
            </w:pPr>
            <w:r>
              <w:rPr>
                <w:spacing w:val="-2"/>
                <w:sz w:val="24"/>
              </w:rPr>
              <w:t>984.31</w:t>
            </w:r>
          </w:p>
        </w:tc>
        <w:tc>
          <w:tcPr>
            <w:tcW w:w="1287" w:type="dxa"/>
          </w:tcPr>
          <w:p>
            <w:pPr>
              <w:pStyle w:val="TableParagraph"/>
              <w:spacing w:line="240" w:lineRule="auto" w:before="37"/>
              <w:ind w:left="116"/>
              <w:rPr>
                <w:sz w:val="24"/>
              </w:rPr>
            </w:pPr>
            <w:r>
              <w:rPr>
                <w:spacing w:val="-4"/>
                <w:sz w:val="24"/>
              </w:rPr>
              <w:t>1466</w:t>
            </w:r>
          </w:p>
        </w:tc>
        <w:tc>
          <w:tcPr>
            <w:tcW w:w="856" w:type="dxa"/>
          </w:tcPr>
          <w:p>
            <w:pPr>
              <w:pStyle w:val="TableParagraph"/>
              <w:spacing w:line="240" w:lineRule="auto" w:before="37"/>
              <w:ind w:left="1" w:right="6"/>
              <w:rPr>
                <w:sz w:val="24"/>
              </w:rPr>
            </w:pPr>
            <w:r>
              <w:rPr>
                <w:spacing w:val="-4"/>
                <w:sz w:val="24"/>
              </w:rPr>
              <w:t>1.49</w:t>
            </w:r>
          </w:p>
        </w:tc>
        <w:tc>
          <w:tcPr>
            <w:tcW w:w="1212" w:type="dxa"/>
          </w:tcPr>
          <w:p>
            <w:pPr>
              <w:pStyle w:val="TableParagraph"/>
              <w:spacing w:line="240" w:lineRule="auto" w:before="37"/>
              <w:ind w:left="13" w:right="3"/>
              <w:rPr>
                <w:sz w:val="24"/>
              </w:rPr>
            </w:pPr>
            <w:r>
              <w:rPr>
                <w:spacing w:val="-5"/>
                <w:sz w:val="24"/>
              </w:rPr>
              <w:t>&lt;2</w:t>
            </w:r>
          </w:p>
        </w:tc>
        <w:tc>
          <w:tcPr>
            <w:tcW w:w="1543" w:type="dxa"/>
          </w:tcPr>
          <w:p>
            <w:pPr>
              <w:pStyle w:val="TableParagraph"/>
              <w:spacing w:line="240" w:lineRule="auto" w:before="37"/>
              <w:ind w:left="25"/>
              <w:rPr>
                <w:sz w:val="24"/>
              </w:rPr>
            </w:pPr>
            <w:r>
              <w:rPr>
                <w:sz w:val="24"/>
              </w:rPr>
              <w:t>Low</w:t>
            </w:r>
            <w:r>
              <w:rPr>
                <w:spacing w:val="-2"/>
                <w:sz w:val="24"/>
              </w:rPr>
              <w:t> Density</w:t>
            </w:r>
          </w:p>
        </w:tc>
      </w:tr>
      <w:tr>
        <w:trPr>
          <w:trHeight w:val="406" w:hRule="atLeast"/>
        </w:trPr>
        <w:tc>
          <w:tcPr>
            <w:tcW w:w="2086" w:type="dxa"/>
            <w:tcBorders>
              <w:bottom w:val="single" w:sz="8" w:space="0" w:color="000000"/>
            </w:tcBorders>
          </w:tcPr>
          <w:p>
            <w:pPr>
              <w:pStyle w:val="TableParagraph"/>
              <w:spacing w:line="240" w:lineRule="auto" w:before="37"/>
              <w:ind w:left="115"/>
              <w:jc w:val="left"/>
              <w:rPr>
                <w:sz w:val="24"/>
              </w:rPr>
            </w:pPr>
            <w:r>
              <w:rPr>
                <w:spacing w:val="-5"/>
                <w:sz w:val="24"/>
              </w:rPr>
              <w:t>GRA</w:t>
            </w:r>
          </w:p>
        </w:tc>
        <w:tc>
          <w:tcPr>
            <w:tcW w:w="1425" w:type="dxa"/>
            <w:tcBorders>
              <w:bottom w:val="single" w:sz="8" w:space="0" w:color="000000"/>
            </w:tcBorders>
          </w:tcPr>
          <w:p>
            <w:pPr>
              <w:pStyle w:val="TableParagraph"/>
              <w:spacing w:line="240" w:lineRule="auto" w:before="37"/>
              <w:ind w:left="0" w:right="61"/>
              <w:rPr>
                <w:sz w:val="24"/>
              </w:rPr>
            </w:pPr>
            <w:r>
              <w:rPr>
                <w:spacing w:val="-2"/>
                <w:sz w:val="24"/>
              </w:rPr>
              <w:t>800.08</w:t>
            </w:r>
          </w:p>
        </w:tc>
        <w:tc>
          <w:tcPr>
            <w:tcW w:w="1287" w:type="dxa"/>
            <w:tcBorders>
              <w:bottom w:val="single" w:sz="8" w:space="0" w:color="000000"/>
            </w:tcBorders>
          </w:tcPr>
          <w:p>
            <w:pPr>
              <w:pStyle w:val="TableParagraph"/>
              <w:spacing w:line="240" w:lineRule="auto" w:before="37"/>
              <w:ind w:left="116"/>
              <w:rPr>
                <w:sz w:val="24"/>
              </w:rPr>
            </w:pPr>
            <w:r>
              <w:rPr>
                <w:spacing w:val="-4"/>
                <w:sz w:val="24"/>
              </w:rPr>
              <w:t>1889</w:t>
            </w:r>
          </w:p>
        </w:tc>
        <w:tc>
          <w:tcPr>
            <w:tcW w:w="856" w:type="dxa"/>
            <w:tcBorders>
              <w:bottom w:val="single" w:sz="8" w:space="0" w:color="000000"/>
            </w:tcBorders>
          </w:tcPr>
          <w:p>
            <w:pPr>
              <w:pStyle w:val="TableParagraph"/>
              <w:spacing w:line="240" w:lineRule="auto" w:before="37"/>
              <w:ind w:left="1" w:right="6"/>
              <w:rPr>
                <w:sz w:val="24"/>
              </w:rPr>
            </w:pPr>
            <w:r>
              <w:rPr>
                <w:spacing w:val="-4"/>
                <w:sz w:val="24"/>
              </w:rPr>
              <w:t>2.36</w:t>
            </w:r>
          </w:p>
        </w:tc>
        <w:tc>
          <w:tcPr>
            <w:tcW w:w="1212" w:type="dxa"/>
            <w:tcBorders>
              <w:bottom w:val="single" w:sz="8" w:space="0" w:color="000000"/>
            </w:tcBorders>
          </w:tcPr>
          <w:p>
            <w:pPr>
              <w:pStyle w:val="TableParagraph"/>
              <w:spacing w:line="240" w:lineRule="auto" w:before="37"/>
              <w:ind w:left="13"/>
              <w:rPr>
                <w:sz w:val="24"/>
              </w:rPr>
            </w:pPr>
            <w:r>
              <w:rPr>
                <w:spacing w:val="-2"/>
                <w:sz w:val="24"/>
              </w:rPr>
              <w:t>2-</w:t>
            </w:r>
            <w:r>
              <w:rPr>
                <w:spacing w:val="-10"/>
                <w:sz w:val="24"/>
              </w:rPr>
              <w:t>4</w:t>
            </w:r>
          </w:p>
        </w:tc>
        <w:tc>
          <w:tcPr>
            <w:tcW w:w="1543" w:type="dxa"/>
            <w:tcBorders>
              <w:bottom w:val="single" w:sz="8" w:space="0" w:color="000000"/>
            </w:tcBorders>
          </w:tcPr>
          <w:p>
            <w:pPr>
              <w:pStyle w:val="TableParagraph"/>
              <w:spacing w:line="240" w:lineRule="auto" w:before="37"/>
              <w:ind w:left="22"/>
              <w:rPr>
                <w:sz w:val="24"/>
              </w:rPr>
            </w:pPr>
            <w:r>
              <w:rPr>
                <w:sz w:val="24"/>
              </w:rPr>
              <w:t>High</w:t>
            </w:r>
            <w:r>
              <w:rPr>
                <w:spacing w:val="-3"/>
                <w:sz w:val="24"/>
              </w:rPr>
              <w:t> </w:t>
            </w:r>
            <w:r>
              <w:rPr>
                <w:spacing w:val="-2"/>
                <w:sz w:val="24"/>
              </w:rPr>
              <w:t>Density</w:t>
            </w:r>
          </w:p>
        </w:tc>
      </w:tr>
    </w:tbl>
    <w:p>
      <w:pPr>
        <w:spacing w:after="0" w:line="240" w:lineRule="auto"/>
        <w:rPr>
          <w:sz w:val="24"/>
        </w:rPr>
        <w:sectPr>
          <w:type w:val="continuous"/>
          <w:pgSz w:w="11910" w:h="16840"/>
          <w:pgMar w:header="0" w:footer="1022" w:top="1380" w:bottom="1220" w:left="1680" w:right="900"/>
        </w:sectPr>
      </w:pPr>
    </w:p>
    <w:p>
      <w:pPr>
        <w:pStyle w:val="BodyText"/>
        <w:spacing w:line="480" w:lineRule="auto" w:before="264"/>
        <w:ind w:left="305" w:right="513"/>
      </w:pPr>
      <w:r>
        <w:rPr/>
        <w:t>The</w:t>
      </w:r>
      <w:r>
        <w:rPr>
          <w:spacing w:val="-15"/>
        </w:rPr>
        <w:t> </w:t>
      </w:r>
      <w:r>
        <w:rPr/>
        <w:t>study</w:t>
      </w:r>
      <w:r>
        <w:rPr>
          <w:spacing w:val="-15"/>
        </w:rPr>
        <w:t> </w:t>
      </w:r>
      <w:r>
        <w:rPr/>
        <w:t>revealed</w:t>
      </w:r>
      <w:r>
        <w:rPr>
          <w:spacing w:val="-15"/>
        </w:rPr>
        <w:t> </w:t>
      </w:r>
      <w:r>
        <w:rPr/>
        <w:t>in</w:t>
      </w:r>
      <w:r>
        <w:rPr>
          <w:spacing w:val="-15"/>
        </w:rPr>
        <w:t> </w:t>
      </w:r>
      <w:r>
        <w:rPr/>
        <w:t>Table</w:t>
      </w:r>
      <w:r>
        <w:rPr>
          <w:spacing w:val="-15"/>
        </w:rPr>
        <w:t> </w:t>
      </w:r>
      <w:r>
        <w:rPr/>
        <w:t>4.3</w:t>
      </w:r>
      <w:r>
        <w:rPr>
          <w:spacing w:val="-15"/>
        </w:rPr>
        <w:t> </w:t>
      </w:r>
      <w:r>
        <w:rPr/>
        <w:t>that</w:t>
      </w:r>
      <w:r>
        <w:rPr>
          <w:spacing w:val="-15"/>
        </w:rPr>
        <w:t> </w:t>
      </w:r>
      <w:r>
        <w:rPr/>
        <w:t>in</w:t>
      </w:r>
      <w:r>
        <w:rPr>
          <w:spacing w:val="-15"/>
        </w:rPr>
        <w:t> </w:t>
      </w:r>
      <w:r>
        <w:rPr/>
        <w:t>the</w:t>
      </w:r>
      <w:r>
        <w:rPr>
          <w:spacing w:val="-15"/>
        </w:rPr>
        <w:t> </w:t>
      </w:r>
      <w:r>
        <w:rPr/>
        <w:t>year</w:t>
      </w:r>
      <w:r>
        <w:rPr>
          <w:spacing w:val="-15"/>
        </w:rPr>
        <w:t> </w:t>
      </w:r>
      <w:r>
        <w:rPr/>
        <w:t>2018</w:t>
      </w:r>
      <w:r>
        <w:rPr>
          <w:spacing w:val="-15"/>
        </w:rPr>
        <w:t> </w:t>
      </w:r>
      <w:r>
        <w:rPr/>
        <w:t>Town</w:t>
      </w:r>
      <w:r>
        <w:rPr>
          <w:spacing w:val="-15"/>
        </w:rPr>
        <w:t> </w:t>
      </w:r>
      <w:r>
        <w:rPr/>
        <w:t>submarket</w:t>
      </w:r>
      <w:r>
        <w:rPr>
          <w:spacing w:val="-15"/>
        </w:rPr>
        <w:t> </w:t>
      </w:r>
      <w:r>
        <w:rPr/>
        <w:t>had</w:t>
      </w:r>
      <w:r>
        <w:rPr>
          <w:spacing w:val="-15"/>
        </w:rPr>
        <w:t> </w:t>
      </w:r>
      <w:r>
        <w:rPr/>
        <w:t>highest</w:t>
      </w:r>
      <w:r>
        <w:rPr>
          <w:spacing w:val="-15"/>
        </w:rPr>
        <w:t> </w:t>
      </w:r>
      <w:r>
        <w:rPr/>
        <w:t>number of buildings with 29,985 followed by Poly Area with 2,450, Ndazabo 2,346, Gbazhi 2,331,</w:t>
      </w:r>
      <w:r>
        <w:rPr>
          <w:spacing w:val="-1"/>
        </w:rPr>
        <w:t> </w:t>
      </w:r>
      <w:r>
        <w:rPr/>
        <w:t>Wadata</w:t>
      </w:r>
      <w:r>
        <w:rPr>
          <w:spacing w:val="-2"/>
        </w:rPr>
        <w:t> </w:t>
      </w:r>
      <w:r>
        <w:rPr/>
        <w:t>2,300</w:t>
      </w:r>
      <w:r>
        <w:rPr>
          <w:spacing w:val="-1"/>
        </w:rPr>
        <w:t> </w:t>
      </w:r>
      <w:r>
        <w:rPr/>
        <w:t>and</w:t>
      </w:r>
      <w:r>
        <w:rPr>
          <w:spacing w:val="-1"/>
        </w:rPr>
        <w:t> </w:t>
      </w:r>
      <w:r>
        <w:rPr/>
        <w:t>Kangi</w:t>
      </w:r>
      <w:r>
        <w:rPr>
          <w:spacing w:val="-1"/>
        </w:rPr>
        <w:t> </w:t>
      </w:r>
      <w:r>
        <w:rPr/>
        <w:t>2,134</w:t>
      </w:r>
      <w:r>
        <w:rPr>
          <w:spacing w:val="-1"/>
        </w:rPr>
        <w:t> </w:t>
      </w:r>
      <w:r>
        <w:rPr/>
        <w:t>building</w:t>
      </w:r>
      <w:r>
        <w:rPr>
          <w:spacing w:val="-3"/>
        </w:rPr>
        <w:t> </w:t>
      </w:r>
      <w:r>
        <w:rPr/>
        <w:t>units</w:t>
      </w:r>
      <w:r>
        <w:rPr>
          <w:spacing w:val="-1"/>
        </w:rPr>
        <w:t> </w:t>
      </w:r>
      <w:r>
        <w:rPr/>
        <w:t>respectively. The</w:t>
      </w:r>
      <w:r>
        <w:rPr>
          <w:spacing w:val="-3"/>
        </w:rPr>
        <w:t> </w:t>
      </w:r>
      <w:r>
        <w:rPr/>
        <w:t>lowest</w:t>
      </w:r>
      <w:r>
        <w:rPr>
          <w:spacing w:val="-1"/>
        </w:rPr>
        <w:t> </w:t>
      </w:r>
      <w:r>
        <w:rPr/>
        <w:t>number</w:t>
      </w:r>
      <w:r>
        <w:rPr>
          <w:spacing w:val="-3"/>
        </w:rPr>
        <w:t> </w:t>
      </w:r>
      <w:r>
        <w:rPr/>
        <w:t>of building</w:t>
      </w:r>
      <w:r>
        <w:rPr>
          <w:spacing w:val="-4"/>
        </w:rPr>
        <w:t> </w:t>
      </w:r>
      <w:r>
        <w:rPr/>
        <w:t>units</w:t>
      </w:r>
      <w:r>
        <w:rPr>
          <w:spacing w:val="-3"/>
        </w:rPr>
        <w:t> </w:t>
      </w:r>
      <w:r>
        <w:rPr/>
        <w:t>recorded</w:t>
      </w:r>
      <w:r>
        <w:rPr>
          <w:spacing w:val="-1"/>
        </w:rPr>
        <w:t> </w:t>
      </w:r>
      <w:r>
        <w:rPr/>
        <w:t>was</w:t>
      </w:r>
      <w:r>
        <w:rPr>
          <w:spacing w:val="-3"/>
        </w:rPr>
        <w:t> </w:t>
      </w:r>
      <w:r>
        <w:rPr/>
        <w:t>in</w:t>
      </w:r>
      <w:r>
        <w:rPr>
          <w:spacing w:val="-3"/>
        </w:rPr>
        <w:t> </w:t>
      </w:r>
      <w:r>
        <w:rPr/>
        <w:t>Rahmatu</w:t>
      </w:r>
      <w:r>
        <w:rPr>
          <w:spacing w:val="-1"/>
        </w:rPr>
        <w:t> </w:t>
      </w:r>
      <w:r>
        <w:rPr/>
        <w:t>Dangana</w:t>
      </w:r>
      <w:r>
        <w:rPr>
          <w:spacing w:val="-4"/>
        </w:rPr>
        <w:t> </w:t>
      </w:r>
      <w:r>
        <w:rPr/>
        <w:t>with</w:t>
      </w:r>
      <w:r>
        <w:rPr>
          <w:spacing w:val="-3"/>
        </w:rPr>
        <w:t> </w:t>
      </w:r>
      <w:r>
        <w:rPr/>
        <w:t>124. The</w:t>
      </w:r>
      <w:r>
        <w:rPr>
          <w:spacing w:val="-4"/>
        </w:rPr>
        <w:t> </w:t>
      </w:r>
      <w:r>
        <w:rPr/>
        <w:t>Table</w:t>
      </w:r>
      <w:r>
        <w:rPr>
          <w:spacing w:val="-2"/>
        </w:rPr>
        <w:t> </w:t>
      </w:r>
      <w:r>
        <w:rPr/>
        <w:t>also</w:t>
      </w:r>
      <w:r>
        <w:rPr>
          <w:spacing w:val="-3"/>
        </w:rPr>
        <w:t> </w:t>
      </w:r>
      <w:r>
        <w:rPr/>
        <w:t>revealed</w:t>
      </w:r>
      <w:r>
        <w:rPr>
          <w:spacing w:val="-2"/>
        </w:rPr>
        <w:t> </w:t>
      </w:r>
      <w:r>
        <w:rPr/>
        <w:t>that Town</w:t>
      </w:r>
      <w:r>
        <w:rPr>
          <w:spacing w:val="-15"/>
        </w:rPr>
        <w:t> </w:t>
      </w:r>
      <w:r>
        <w:rPr/>
        <w:t>submarket</w:t>
      </w:r>
      <w:r>
        <w:rPr>
          <w:spacing w:val="-15"/>
        </w:rPr>
        <w:t> </w:t>
      </w:r>
      <w:r>
        <w:rPr/>
        <w:t>had</w:t>
      </w:r>
      <w:r>
        <w:rPr>
          <w:spacing w:val="-14"/>
        </w:rPr>
        <w:t> </w:t>
      </w:r>
      <w:r>
        <w:rPr/>
        <w:t>highest</w:t>
      </w:r>
      <w:r>
        <w:rPr>
          <w:spacing w:val="-14"/>
        </w:rPr>
        <w:t> </w:t>
      </w:r>
      <w:r>
        <w:rPr/>
        <w:t>building</w:t>
      </w:r>
      <w:r>
        <w:rPr>
          <w:spacing w:val="-15"/>
        </w:rPr>
        <w:t> </w:t>
      </w:r>
      <w:r>
        <w:rPr/>
        <w:t>to</w:t>
      </w:r>
      <w:r>
        <w:rPr>
          <w:spacing w:val="-14"/>
        </w:rPr>
        <w:t> </w:t>
      </w:r>
      <w:r>
        <w:rPr/>
        <w:t>area</w:t>
      </w:r>
      <w:r>
        <w:rPr>
          <w:spacing w:val="-13"/>
        </w:rPr>
        <w:t> </w:t>
      </w:r>
      <w:r>
        <w:rPr/>
        <w:t>ratio</w:t>
      </w:r>
      <w:r>
        <w:rPr>
          <w:spacing w:val="-12"/>
        </w:rPr>
        <w:t> </w:t>
      </w:r>
      <w:r>
        <w:rPr/>
        <w:t>with</w:t>
      </w:r>
      <w:r>
        <w:rPr>
          <w:spacing w:val="-14"/>
        </w:rPr>
        <w:t> </w:t>
      </w:r>
      <w:r>
        <w:rPr/>
        <w:t>24.68.</w:t>
      </w:r>
      <w:r>
        <w:rPr>
          <w:spacing w:val="-14"/>
        </w:rPr>
        <w:t> </w:t>
      </w:r>
      <w:r>
        <w:rPr/>
        <w:t>This</w:t>
      </w:r>
      <w:r>
        <w:rPr>
          <w:spacing w:val="-14"/>
        </w:rPr>
        <w:t> </w:t>
      </w:r>
      <w:r>
        <w:rPr/>
        <w:t>is</w:t>
      </w:r>
      <w:r>
        <w:rPr>
          <w:spacing w:val="-14"/>
        </w:rPr>
        <w:t> </w:t>
      </w:r>
      <w:r>
        <w:rPr/>
        <w:t>followed</w:t>
      </w:r>
      <w:r>
        <w:rPr>
          <w:spacing w:val="-14"/>
        </w:rPr>
        <w:t> </w:t>
      </w:r>
      <w:r>
        <w:rPr/>
        <w:t>by</w:t>
      </w:r>
      <w:r>
        <w:rPr>
          <w:spacing w:val="-15"/>
        </w:rPr>
        <w:t> </w:t>
      </w:r>
      <w:r>
        <w:rPr/>
        <w:t>Gbazhi with 10.80 and Rahmatu Dangana 8.55. The lowest building to area ratio was recorded for Eyagi with 0.54.</w:t>
      </w:r>
    </w:p>
    <w:p>
      <w:pPr>
        <w:pStyle w:val="BodyText"/>
        <w:spacing w:line="480" w:lineRule="auto" w:before="241"/>
        <w:ind w:left="305" w:right="513"/>
      </w:pPr>
      <w:r>
        <w:rPr/>
        <w:t>The implication of this result is that transition in the urban morphology experienced tremendous changes where number of buildings in the Town submarket reduced from 34,242</w:t>
      </w:r>
      <w:r>
        <w:rPr>
          <w:spacing w:val="-11"/>
        </w:rPr>
        <w:t> </w:t>
      </w:r>
      <w:r>
        <w:rPr/>
        <w:t>in</w:t>
      </w:r>
      <w:r>
        <w:rPr>
          <w:spacing w:val="-10"/>
        </w:rPr>
        <w:t> </w:t>
      </w:r>
      <w:r>
        <w:rPr/>
        <w:t>the</w:t>
      </w:r>
      <w:r>
        <w:rPr>
          <w:spacing w:val="-9"/>
        </w:rPr>
        <w:t> </w:t>
      </w:r>
      <w:r>
        <w:rPr/>
        <w:t>year</w:t>
      </w:r>
      <w:r>
        <w:rPr>
          <w:spacing w:val="-11"/>
        </w:rPr>
        <w:t> </w:t>
      </w:r>
      <w:r>
        <w:rPr/>
        <w:t>2013</w:t>
      </w:r>
      <w:r>
        <w:rPr>
          <w:spacing w:val="-11"/>
        </w:rPr>
        <w:t> </w:t>
      </w:r>
      <w:r>
        <w:rPr/>
        <w:t>to</w:t>
      </w:r>
      <w:r>
        <w:rPr>
          <w:spacing w:val="-10"/>
        </w:rPr>
        <w:t> </w:t>
      </w:r>
      <w:r>
        <w:rPr/>
        <w:t>29,985</w:t>
      </w:r>
      <w:r>
        <w:rPr>
          <w:spacing w:val="-11"/>
        </w:rPr>
        <w:t> </w:t>
      </w:r>
      <w:r>
        <w:rPr/>
        <w:t>in</w:t>
      </w:r>
      <w:r>
        <w:rPr>
          <w:spacing w:val="-10"/>
        </w:rPr>
        <w:t> </w:t>
      </w:r>
      <w:r>
        <w:rPr/>
        <w:t>the</w:t>
      </w:r>
      <w:r>
        <w:rPr>
          <w:spacing w:val="-9"/>
        </w:rPr>
        <w:t> </w:t>
      </w:r>
      <w:r>
        <w:rPr/>
        <w:t>year</w:t>
      </w:r>
      <w:r>
        <w:rPr>
          <w:spacing w:val="-11"/>
        </w:rPr>
        <w:t> </w:t>
      </w:r>
      <w:r>
        <w:rPr/>
        <w:t>2018.</w:t>
      </w:r>
      <w:r>
        <w:rPr>
          <w:spacing w:val="-9"/>
        </w:rPr>
        <w:t> </w:t>
      </w:r>
      <w:r>
        <w:rPr/>
        <w:t>The</w:t>
      </w:r>
      <w:r>
        <w:rPr>
          <w:spacing w:val="-12"/>
        </w:rPr>
        <w:t> </w:t>
      </w:r>
      <w:r>
        <w:rPr/>
        <w:t>result</w:t>
      </w:r>
      <w:r>
        <w:rPr>
          <w:spacing w:val="-10"/>
        </w:rPr>
        <w:t> </w:t>
      </w:r>
      <w:r>
        <w:rPr/>
        <w:t>also</w:t>
      </w:r>
      <w:r>
        <w:rPr>
          <w:spacing w:val="-10"/>
        </w:rPr>
        <w:t> </w:t>
      </w:r>
      <w:r>
        <w:rPr/>
        <w:t>implies</w:t>
      </w:r>
      <w:r>
        <w:rPr>
          <w:spacing w:val="-10"/>
        </w:rPr>
        <w:t> </w:t>
      </w:r>
      <w:r>
        <w:rPr/>
        <w:t>that</w:t>
      </w:r>
      <w:r>
        <w:rPr>
          <w:spacing w:val="-10"/>
        </w:rPr>
        <w:t> </w:t>
      </w:r>
      <w:r>
        <w:rPr/>
        <w:t>there</w:t>
      </w:r>
      <w:r>
        <w:rPr>
          <w:spacing w:val="-9"/>
        </w:rPr>
        <w:t> </w:t>
      </w:r>
      <w:r>
        <w:rPr/>
        <w:t>were high residential development in Poly</w:t>
      </w:r>
      <w:r>
        <w:rPr>
          <w:spacing w:val="-4"/>
        </w:rPr>
        <w:t> </w:t>
      </w:r>
      <w:r>
        <w:rPr/>
        <w:t>Area, Ndazabo and Gbazhi submarkets during this period which may have occasioned the sudden reduction.</w:t>
      </w:r>
    </w:p>
    <w:p>
      <w:pPr>
        <w:pStyle w:val="Heading1"/>
        <w:numPr>
          <w:ilvl w:val="2"/>
          <w:numId w:val="16"/>
        </w:numPr>
        <w:tabs>
          <w:tab w:pos="1024" w:val="left" w:leader="none"/>
        </w:tabs>
        <w:spacing w:line="240" w:lineRule="auto" w:before="248" w:after="0"/>
        <w:ind w:left="1024" w:right="0" w:hanging="719"/>
        <w:jc w:val="both"/>
      </w:pPr>
      <w:r>
        <w:rPr/>
        <w:t>Level</w:t>
      </w:r>
      <w:r>
        <w:rPr>
          <w:spacing w:val="-2"/>
        </w:rPr>
        <w:t> </w:t>
      </w:r>
      <w:r>
        <w:rPr/>
        <w:t>of</w:t>
      </w:r>
      <w:r>
        <w:rPr>
          <w:spacing w:val="1"/>
        </w:rPr>
        <w:t> </w:t>
      </w:r>
      <w:r>
        <w:rPr/>
        <w:t>residential</w:t>
      </w:r>
      <w:r>
        <w:rPr>
          <w:spacing w:val="-1"/>
        </w:rPr>
        <w:t> </w:t>
      </w:r>
      <w:r>
        <w:rPr/>
        <w:t>density</w:t>
      </w:r>
      <w:r>
        <w:rPr>
          <w:spacing w:val="-1"/>
        </w:rPr>
        <w:t> </w:t>
      </w:r>
      <w:r>
        <w:rPr/>
        <w:t>by</w:t>
      </w:r>
      <w:r>
        <w:rPr>
          <w:spacing w:val="-1"/>
        </w:rPr>
        <w:t> </w:t>
      </w:r>
      <w:r>
        <w:rPr/>
        <w:t>housing</w:t>
      </w:r>
      <w:r>
        <w:rPr>
          <w:spacing w:val="-1"/>
        </w:rPr>
        <w:t> </w:t>
      </w:r>
      <w:r>
        <w:rPr>
          <w:spacing w:val="-2"/>
        </w:rPr>
        <w:t>submarkets</w:t>
      </w:r>
    </w:p>
    <w:p>
      <w:pPr>
        <w:pStyle w:val="BodyText"/>
        <w:spacing w:before="232"/>
        <w:jc w:val="left"/>
        <w:rPr>
          <w:b/>
        </w:rPr>
      </w:pPr>
    </w:p>
    <w:p>
      <w:pPr>
        <w:pStyle w:val="BodyText"/>
        <w:spacing w:line="480" w:lineRule="auto" w:before="1"/>
        <w:ind w:left="305" w:right="512"/>
      </w:pPr>
      <w:r>
        <w:rPr/>
        <w:t>Residential</w:t>
      </w:r>
      <w:r>
        <w:rPr>
          <w:spacing w:val="-2"/>
        </w:rPr>
        <w:t> </w:t>
      </w:r>
      <w:r>
        <w:rPr/>
        <w:t>density</w:t>
      </w:r>
      <w:r>
        <w:rPr>
          <w:spacing w:val="-7"/>
        </w:rPr>
        <w:t> </w:t>
      </w:r>
      <w:r>
        <w:rPr/>
        <w:t>is</w:t>
      </w:r>
      <w:r>
        <w:rPr>
          <w:spacing w:val="-2"/>
        </w:rPr>
        <w:t> </w:t>
      </w:r>
      <w:r>
        <w:rPr/>
        <w:t>measured</w:t>
      </w:r>
      <w:r>
        <w:rPr>
          <w:spacing w:val="-2"/>
        </w:rPr>
        <w:t> </w:t>
      </w:r>
      <w:r>
        <w:rPr/>
        <w:t>based</w:t>
      </w:r>
      <w:r>
        <w:rPr>
          <w:spacing w:val="-2"/>
        </w:rPr>
        <w:t> </w:t>
      </w:r>
      <w:r>
        <w:rPr/>
        <w:t>on</w:t>
      </w:r>
      <w:r>
        <w:rPr>
          <w:spacing w:val="-2"/>
        </w:rPr>
        <w:t> </w:t>
      </w:r>
      <w:r>
        <w:rPr/>
        <w:t>the</w:t>
      </w:r>
      <w:r>
        <w:rPr>
          <w:spacing w:val="-3"/>
        </w:rPr>
        <w:t> </w:t>
      </w:r>
      <w:r>
        <w:rPr/>
        <w:t>residential</w:t>
      </w:r>
      <w:r>
        <w:rPr>
          <w:spacing w:val="-2"/>
        </w:rPr>
        <w:t> </w:t>
      </w:r>
      <w:r>
        <w:rPr/>
        <w:t>development</w:t>
      </w:r>
      <w:r>
        <w:rPr>
          <w:spacing w:val="-2"/>
        </w:rPr>
        <w:t> </w:t>
      </w:r>
      <w:r>
        <w:rPr/>
        <w:t>within</w:t>
      </w:r>
      <w:r>
        <w:rPr>
          <w:spacing w:val="-1"/>
        </w:rPr>
        <w:t> </w:t>
      </w:r>
      <w:r>
        <w:rPr/>
        <w:t>the</w:t>
      </w:r>
      <w:r>
        <w:rPr>
          <w:spacing w:val="-2"/>
        </w:rPr>
        <w:t> </w:t>
      </w:r>
      <w:r>
        <w:rPr/>
        <w:t>housing submarkets. The study revealed in Figure 4.1 that in the year 2008 four housing submarkets i.e. Town, Rahmatu Dangana, Gbazhi and Wadata are of high residential density respectively, where the remaining seven submarkets are of low residential densities in that year. This means that two classes of residential density were existing (low and high residential densities) in the study area by the year 2008.</w:t>
      </w:r>
    </w:p>
    <w:p>
      <w:pPr>
        <w:spacing w:after="0" w:line="480" w:lineRule="auto"/>
        <w:sectPr>
          <w:pgSz w:w="11910" w:h="16840"/>
          <w:pgMar w:header="0" w:footer="1022" w:top="1920" w:bottom="1220" w:left="1680" w:right="900"/>
        </w:sectPr>
      </w:pPr>
    </w:p>
    <w:p>
      <w:pPr>
        <w:pStyle w:val="BodyText"/>
        <w:ind w:left="592"/>
        <w:jc w:val="left"/>
        <w:rPr>
          <w:sz w:val="20"/>
        </w:rPr>
      </w:pPr>
      <w:r>
        <w:rPr>
          <w:sz w:val="20"/>
        </w:rPr>
        <w:drawing>
          <wp:inline distT="0" distB="0" distL="0" distR="0">
            <wp:extent cx="5069772" cy="4861560"/>
            <wp:effectExtent l="0" t="0" r="0" b="0"/>
            <wp:docPr id="14" name="Image 14" descr="C:\Users\RAMATU S. MOHAMMED\Desktop\Output\Density 2008.jpg"/>
            <wp:cNvGraphicFramePr>
              <a:graphicFrameLocks/>
            </wp:cNvGraphicFramePr>
            <a:graphic>
              <a:graphicData uri="http://schemas.openxmlformats.org/drawingml/2006/picture">
                <pic:pic>
                  <pic:nvPicPr>
                    <pic:cNvPr id="14" name="Image 14" descr="C:\Users\RAMATU S. MOHAMMED\Desktop\Output\Density 2008.jpg"/>
                    <pic:cNvPicPr/>
                  </pic:nvPicPr>
                  <pic:blipFill>
                    <a:blip r:embed="rId19" cstate="print"/>
                    <a:stretch>
                      <a:fillRect/>
                    </a:stretch>
                  </pic:blipFill>
                  <pic:spPr>
                    <a:xfrm>
                      <a:off x="0" y="0"/>
                      <a:ext cx="5069772" cy="4861560"/>
                    </a:xfrm>
                    <a:prstGeom prst="rect">
                      <a:avLst/>
                    </a:prstGeom>
                  </pic:spPr>
                </pic:pic>
              </a:graphicData>
            </a:graphic>
          </wp:inline>
        </w:drawing>
      </w:r>
      <w:r>
        <w:rPr>
          <w:sz w:val="20"/>
        </w:rPr>
      </w:r>
    </w:p>
    <w:p>
      <w:pPr>
        <w:spacing w:line="235" w:lineRule="auto" w:before="0"/>
        <w:ind w:left="2806" w:right="0" w:hanging="2408"/>
        <w:jc w:val="left"/>
        <w:rPr>
          <w:sz w:val="24"/>
        </w:rPr>
      </w:pPr>
      <w:r>
        <w:rPr>
          <w:b/>
          <w:sz w:val="24"/>
        </w:rPr>
        <w:t>Figure</w:t>
      </w:r>
      <w:r>
        <w:rPr>
          <w:b/>
          <w:spacing w:val="-4"/>
          <w:sz w:val="24"/>
        </w:rPr>
        <w:t> </w:t>
      </w:r>
      <w:r>
        <w:rPr>
          <w:b/>
          <w:sz w:val="24"/>
        </w:rPr>
        <w:t>4.1:</w:t>
      </w:r>
      <w:r>
        <w:rPr>
          <w:b/>
          <w:spacing w:val="-3"/>
          <w:sz w:val="24"/>
        </w:rPr>
        <w:t> </w:t>
      </w:r>
      <w:r>
        <w:rPr>
          <w:b/>
          <w:sz w:val="24"/>
        </w:rPr>
        <w:t>Level</w:t>
      </w:r>
      <w:r>
        <w:rPr>
          <w:b/>
          <w:spacing w:val="-3"/>
          <w:sz w:val="24"/>
        </w:rPr>
        <w:t> </w:t>
      </w:r>
      <w:r>
        <w:rPr>
          <w:b/>
          <w:sz w:val="24"/>
        </w:rPr>
        <w:t>of</w:t>
      </w:r>
      <w:r>
        <w:rPr>
          <w:b/>
          <w:spacing w:val="-2"/>
          <w:sz w:val="24"/>
        </w:rPr>
        <w:t> </w:t>
      </w:r>
      <w:r>
        <w:rPr>
          <w:b/>
          <w:sz w:val="24"/>
        </w:rPr>
        <w:t>Residential</w:t>
      </w:r>
      <w:r>
        <w:rPr>
          <w:b/>
          <w:spacing w:val="-3"/>
          <w:sz w:val="24"/>
        </w:rPr>
        <w:t> </w:t>
      </w:r>
      <w:r>
        <w:rPr>
          <w:b/>
          <w:sz w:val="24"/>
        </w:rPr>
        <w:t>Density</w:t>
      </w:r>
      <w:r>
        <w:rPr>
          <w:b/>
          <w:spacing w:val="-3"/>
          <w:sz w:val="24"/>
        </w:rPr>
        <w:t> </w:t>
      </w:r>
      <w:r>
        <w:rPr>
          <w:b/>
          <w:sz w:val="24"/>
        </w:rPr>
        <w:t>by</w:t>
      </w:r>
      <w:r>
        <w:rPr>
          <w:b/>
          <w:spacing w:val="-3"/>
          <w:sz w:val="24"/>
        </w:rPr>
        <w:t> </w:t>
      </w:r>
      <w:r>
        <w:rPr>
          <w:b/>
          <w:sz w:val="24"/>
        </w:rPr>
        <w:t>Housing</w:t>
      </w:r>
      <w:r>
        <w:rPr>
          <w:b/>
          <w:spacing w:val="-3"/>
          <w:sz w:val="24"/>
        </w:rPr>
        <w:t> </w:t>
      </w:r>
      <w:r>
        <w:rPr>
          <w:b/>
          <w:sz w:val="24"/>
        </w:rPr>
        <w:t>Submarkets</w:t>
      </w:r>
      <w:r>
        <w:rPr>
          <w:b/>
          <w:spacing w:val="-1"/>
          <w:sz w:val="24"/>
        </w:rPr>
        <w:t> </w:t>
      </w:r>
      <w:r>
        <w:rPr>
          <w:b/>
          <w:sz w:val="24"/>
        </w:rPr>
        <w:t>in</w:t>
      </w:r>
      <w:r>
        <w:rPr>
          <w:b/>
          <w:spacing w:val="-2"/>
          <w:sz w:val="24"/>
        </w:rPr>
        <w:t> </w:t>
      </w:r>
      <w:r>
        <w:rPr>
          <w:b/>
          <w:sz w:val="24"/>
        </w:rPr>
        <w:t>the</w:t>
      </w:r>
      <w:r>
        <w:rPr>
          <w:b/>
          <w:spacing w:val="-2"/>
          <w:sz w:val="24"/>
        </w:rPr>
        <w:t> </w:t>
      </w:r>
      <w:r>
        <w:rPr>
          <w:b/>
          <w:sz w:val="24"/>
        </w:rPr>
        <w:t>Year</w:t>
      </w:r>
      <w:r>
        <w:rPr>
          <w:b/>
          <w:spacing w:val="-4"/>
          <w:sz w:val="24"/>
        </w:rPr>
        <w:t> </w:t>
      </w:r>
      <w:r>
        <w:rPr>
          <w:b/>
          <w:sz w:val="24"/>
        </w:rPr>
        <w:t>2008 Source: </w:t>
      </w:r>
      <w:r>
        <w:rPr>
          <w:sz w:val="24"/>
        </w:rPr>
        <w:t>Authors’ field survey, 2019</w:t>
      </w:r>
    </w:p>
    <w:p>
      <w:pPr>
        <w:pStyle w:val="BodyText"/>
        <w:spacing w:before="222"/>
        <w:jc w:val="left"/>
      </w:pPr>
    </w:p>
    <w:p>
      <w:pPr>
        <w:pStyle w:val="BodyText"/>
        <w:spacing w:line="480" w:lineRule="auto" w:before="1"/>
        <w:ind w:left="305" w:right="518"/>
      </w:pPr>
      <w:r>
        <w:rPr/>
        <w:t>The</w:t>
      </w:r>
      <w:r>
        <w:rPr>
          <w:spacing w:val="-11"/>
        </w:rPr>
        <w:t> </w:t>
      </w:r>
      <w:r>
        <w:rPr/>
        <w:t>study</w:t>
      </w:r>
      <w:r>
        <w:rPr>
          <w:spacing w:val="-14"/>
        </w:rPr>
        <w:t> </w:t>
      </w:r>
      <w:r>
        <w:rPr/>
        <w:t>showed</w:t>
      </w:r>
      <w:r>
        <w:rPr>
          <w:spacing w:val="-8"/>
        </w:rPr>
        <w:t> </w:t>
      </w:r>
      <w:r>
        <w:rPr/>
        <w:t>in</w:t>
      </w:r>
      <w:r>
        <w:rPr>
          <w:spacing w:val="-7"/>
        </w:rPr>
        <w:t> </w:t>
      </w:r>
      <w:r>
        <w:rPr/>
        <w:t>Figure</w:t>
      </w:r>
      <w:r>
        <w:rPr>
          <w:spacing w:val="-11"/>
        </w:rPr>
        <w:t> </w:t>
      </w:r>
      <w:r>
        <w:rPr/>
        <w:t>4.2</w:t>
      </w:r>
      <w:r>
        <w:rPr>
          <w:spacing w:val="-9"/>
        </w:rPr>
        <w:t> </w:t>
      </w:r>
      <w:r>
        <w:rPr/>
        <w:t>that</w:t>
      </w:r>
      <w:r>
        <w:rPr>
          <w:spacing w:val="-9"/>
        </w:rPr>
        <w:t> </w:t>
      </w:r>
      <w:r>
        <w:rPr/>
        <w:t>in</w:t>
      </w:r>
      <w:r>
        <w:rPr>
          <w:spacing w:val="-9"/>
        </w:rPr>
        <w:t> </w:t>
      </w:r>
      <w:r>
        <w:rPr/>
        <w:t>the</w:t>
      </w:r>
      <w:r>
        <w:rPr>
          <w:spacing w:val="-3"/>
        </w:rPr>
        <w:t> </w:t>
      </w:r>
      <w:r>
        <w:rPr/>
        <w:t>year</w:t>
      </w:r>
      <w:r>
        <w:rPr>
          <w:spacing w:val="-10"/>
        </w:rPr>
        <w:t> </w:t>
      </w:r>
      <w:r>
        <w:rPr/>
        <w:t>2013</w:t>
      </w:r>
      <w:r>
        <w:rPr>
          <w:spacing w:val="-10"/>
        </w:rPr>
        <w:t> </w:t>
      </w:r>
      <w:r>
        <w:rPr/>
        <w:t>eight</w:t>
      </w:r>
      <w:r>
        <w:rPr>
          <w:spacing w:val="-9"/>
        </w:rPr>
        <w:t> </w:t>
      </w:r>
      <w:r>
        <w:rPr/>
        <w:t>housing</w:t>
      </w:r>
      <w:r>
        <w:rPr>
          <w:spacing w:val="-10"/>
        </w:rPr>
        <w:t> </w:t>
      </w:r>
      <w:r>
        <w:rPr/>
        <w:t>submarkets</w:t>
      </w:r>
      <w:r>
        <w:rPr>
          <w:spacing w:val="-9"/>
        </w:rPr>
        <w:t> </w:t>
      </w:r>
      <w:r>
        <w:rPr/>
        <w:t>have</w:t>
      </w:r>
      <w:r>
        <w:rPr>
          <w:spacing w:val="-8"/>
        </w:rPr>
        <w:t> </w:t>
      </w:r>
      <w:r>
        <w:rPr/>
        <w:t>their residential</w:t>
      </w:r>
      <w:r>
        <w:rPr>
          <w:spacing w:val="-8"/>
        </w:rPr>
        <w:t> </w:t>
      </w:r>
      <w:r>
        <w:rPr/>
        <w:t>densities</w:t>
      </w:r>
      <w:r>
        <w:rPr>
          <w:spacing w:val="-9"/>
        </w:rPr>
        <w:t> </w:t>
      </w:r>
      <w:r>
        <w:rPr/>
        <w:t>to</w:t>
      </w:r>
      <w:r>
        <w:rPr>
          <w:spacing w:val="-8"/>
        </w:rPr>
        <w:t> </w:t>
      </w:r>
      <w:r>
        <w:rPr/>
        <w:t>be</w:t>
      </w:r>
      <w:r>
        <w:rPr>
          <w:spacing w:val="-9"/>
        </w:rPr>
        <w:t> </w:t>
      </w:r>
      <w:r>
        <w:rPr/>
        <w:t>high</w:t>
      </w:r>
      <w:r>
        <w:rPr>
          <w:spacing w:val="-8"/>
        </w:rPr>
        <w:t> </w:t>
      </w:r>
      <w:r>
        <w:rPr/>
        <w:t>while</w:t>
      </w:r>
      <w:r>
        <w:rPr>
          <w:spacing w:val="-9"/>
        </w:rPr>
        <w:t> </w:t>
      </w:r>
      <w:r>
        <w:rPr/>
        <w:t>GRA</w:t>
      </w:r>
      <w:r>
        <w:rPr>
          <w:spacing w:val="-9"/>
        </w:rPr>
        <w:t> </w:t>
      </w:r>
      <w:r>
        <w:rPr/>
        <w:t>had</w:t>
      </w:r>
      <w:r>
        <w:rPr>
          <w:spacing w:val="-8"/>
        </w:rPr>
        <w:t> </w:t>
      </w:r>
      <w:r>
        <w:rPr/>
        <w:t>medium</w:t>
      </w:r>
      <w:r>
        <w:rPr>
          <w:spacing w:val="-8"/>
        </w:rPr>
        <w:t> </w:t>
      </w:r>
      <w:r>
        <w:rPr/>
        <w:t>residential</w:t>
      </w:r>
      <w:r>
        <w:rPr>
          <w:spacing w:val="-8"/>
        </w:rPr>
        <w:t> </w:t>
      </w:r>
      <w:r>
        <w:rPr/>
        <w:t>density</w:t>
      </w:r>
      <w:r>
        <w:rPr>
          <w:spacing w:val="-15"/>
        </w:rPr>
        <w:t> </w:t>
      </w:r>
      <w:r>
        <w:rPr/>
        <w:t>and</w:t>
      </w:r>
      <w:r>
        <w:rPr>
          <w:spacing w:val="-8"/>
        </w:rPr>
        <w:t> </w:t>
      </w:r>
      <w:r>
        <w:rPr/>
        <w:t>Eyagi</w:t>
      </w:r>
      <w:r>
        <w:rPr>
          <w:spacing w:val="-8"/>
        </w:rPr>
        <w:t> </w:t>
      </w:r>
      <w:r>
        <w:rPr/>
        <w:t>and Project Quarters had low residential densities respectively. The</w:t>
      </w:r>
      <w:r>
        <w:rPr>
          <w:spacing w:val="-1"/>
        </w:rPr>
        <w:t> </w:t>
      </w:r>
      <w:r>
        <w:rPr/>
        <w:t>pattern</w:t>
      </w:r>
      <w:r>
        <w:rPr>
          <w:spacing w:val="-1"/>
        </w:rPr>
        <w:t> </w:t>
      </w:r>
      <w:r>
        <w:rPr/>
        <w:t>of</w:t>
      </w:r>
      <w:r>
        <w:rPr>
          <w:spacing w:val="-1"/>
        </w:rPr>
        <w:t> </w:t>
      </w:r>
      <w:r>
        <w:rPr/>
        <w:t>the residential density implies that there is tremendous shift in the residential density changes in the study area in that year.</w:t>
      </w:r>
    </w:p>
    <w:p>
      <w:pPr>
        <w:spacing w:after="0" w:line="480" w:lineRule="auto"/>
        <w:sectPr>
          <w:pgSz w:w="11910" w:h="16840"/>
          <w:pgMar w:header="0" w:footer="1022" w:top="1400" w:bottom="1220" w:left="1680" w:right="900"/>
        </w:sectPr>
      </w:pPr>
    </w:p>
    <w:p>
      <w:pPr>
        <w:pStyle w:val="BodyText"/>
        <w:ind w:left="559"/>
        <w:jc w:val="left"/>
        <w:rPr>
          <w:sz w:val="20"/>
        </w:rPr>
      </w:pPr>
      <w:r>
        <w:rPr>
          <w:sz w:val="20"/>
        </w:rPr>
        <w:drawing>
          <wp:inline distT="0" distB="0" distL="0" distR="0">
            <wp:extent cx="5098366" cy="4895088"/>
            <wp:effectExtent l="0" t="0" r="0" b="0"/>
            <wp:docPr id="15" name="Image 15" descr="C:\Users\RAMATU S. MOHAMMED\Desktop\Output\Density 2013.jpg"/>
            <wp:cNvGraphicFramePr>
              <a:graphicFrameLocks/>
            </wp:cNvGraphicFramePr>
            <a:graphic>
              <a:graphicData uri="http://schemas.openxmlformats.org/drawingml/2006/picture">
                <pic:pic>
                  <pic:nvPicPr>
                    <pic:cNvPr id="15" name="Image 15" descr="C:\Users\RAMATU S. MOHAMMED\Desktop\Output\Density 2013.jpg"/>
                    <pic:cNvPicPr/>
                  </pic:nvPicPr>
                  <pic:blipFill>
                    <a:blip r:embed="rId20" cstate="print"/>
                    <a:stretch>
                      <a:fillRect/>
                    </a:stretch>
                  </pic:blipFill>
                  <pic:spPr>
                    <a:xfrm>
                      <a:off x="0" y="0"/>
                      <a:ext cx="5098366" cy="4895088"/>
                    </a:xfrm>
                    <a:prstGeom prst="rect">
                      <a:avLst/>
                    </a:prstGeom>
                  </pic:spPr>
                </pic:pic>
              </a:graphicData>
            </a:graphic>
          </wp:inline>
        </w:drawing>
      </w:r>
      <w:r>
        <w:rPr>
          <w:sz w:val="20"/>
        </w:rPr>
      </w:r>
    </w:p>
    <w:p>
      <w:pPr>
        <w:spacing w:line="235" w:lineRule="auto" w:before="0"/>
        <w:ind w:left="2806" w:right="0" w:hanging="2408"/>
        <w:jc w:val="left"/>
        <w:rPr>
          <w:sz w:val="24"/>
        </w:rPr>
      </w:pPr>
      <w:r>
        <w:rPr>
          <w:b/>
          <w:sz w:val="24"/>
        </w:rPr>
        <w:t>Figure</w:t>
      </w:r>
      <w:r>
        <w:rPr>
          <w:b/>
          <w:spacing w:val="-4"/>
          <w:sz w:val="24"/>
        </w:rPr>
        <w:t> </w:t>
      </w:r>
      <w:r>
        <w:rPr>
          <w:b/>
          <w:sz w:val="24"/>
        </w:rPr>
        <w:t>4.2:</w:t>
      </w:r>
      <w:r>
        <w:rPr>
          <w:b/>
          <w:spacing w:val="-4"/>
          <w:sz w:val="24"/>
        </w:rPr>
        <w:t> </w:t>
      </w:r>
      <w:r>
        <w:rPr>
          <w:b/>
          <w:sz w:val="24"/>
        </w:rPr>
        <w:t>Level</w:t>
      </w:r>
      <w:r>
        <w:rPr>
          <w:b/>
          <w:spacing w:val="-4"/>
          <w:sz w:val="24"/>
        </w:rPr>
        <w:t> </w:t>
      </w:r>
      <w:r>
        <w:rPr>
          <w:b/>
          <w:sz w:val="24"/>
        </w:rPr>
        <w:t>of</w:t>
      </w:r>
      <w:r>
        <w:rPr>
          <w:b/>
          <w:spacing w:val="-3"/>
          <w:sz w:val="24"/>
        </w:rPr>
        <w:t> </w:t>
      </w:r>
      <w:r>
        <w:rPr>
          <w:b/>
          <w:sz w:val="24"/>
        </w:rPr>
        <w:t>Residential</w:t>
      </w:r>
      <w:r>
        <w:rPr>
          <w:b/>
          <w:spacing w:val="-4"/>
          <w:sz w:val="24"/>
        </w:rPr>
        <w:t> </w:t>
      </w:r>
      <w:r>
        <w:rPr>
          <w:b/>
          <w:sz w:val="24"/>
        </w:rPr>
        <w:t>Density</w:t>
      </w:r>
      <w:r>
        <w:rPr>
          <w:b/>
          <w:spacing w:val="-4"/>
          <w:sz w:val="24"/>
        </w:rPr>
        <w:t> </w:t>
      </w:r>
      <w:r>
        <w:rPr>
          <w:b/>
          <w:sz w:val="24"/>
        </w:rPr>
        <w:t>by</w:t>
      </w:r>
      <w:r>
        <w:rPr>
          <w:b/>
          <w:spacing w:val="-4"/>
          <w:sz w:val="24"/>
        </w:rPr>
        <w:t> </w:t>
      </w:r>
      <w:r>
        <w:rPr>
          <w:b/>
          <w:sz w:val="24"/>
        </w:rPr>
        <w:t>Housing</w:t>
      </w:r>
      <w:r>
        <w:rPr>
          <w:b/>
          <w:spacing w:val="-4"/>
          <w:sz w:val="24"/>
        </w:rPr>
        <w:t> </w:t>
      </w:r>
      <w:r>
        <w:rPr>
          <w:b/>
          <w:sz w:val="24"/>
        </w:rPr>
        <w:t>Submarkets</w:t>
      </w:r>
      <w:r>
        <w:rPr>
          <w:b/>
          <w:spacing w:val="-4"/>
          <w:sz w:val="24"/>
        </w:rPr>
        <w:t> </w:t>
      </w:r>
      <w:r>
        <w:rPr>
          <w:b/>
          <w:sz w:val="24"/>
        </w:rPr>
        <w:t>in</w:t>
      </w:r>
      <w:r>
        <w:rPr>
          <w:b/>
          <w:spacing w:val="-4"/>
          <w:sz w:val="24"/>
        </w:rPr>
        <w:t> </w:t>
      </w:r>
      <w:r>
        <w:rPr>
          <w:b/>
          <w:sz w:val="24"/>
        </w:rPr>
        <w:t>the</w:t>
      </w:r>
      <w:r>
        <w:rPr>
          <w:b/>
          <w:spacing w:val="-3"/>
          <w:sz w:val="24"/>
        </w:rPr>
        <w:t> </w:t>
      </w:r>
      <w:r>
        <w:rPr>
          <w:b/>
          <w:sz w:val="24"/>
        </w:rPr>
        <w:t>Year</w:t>
      </w:r>
      <w:r>
        <w:rPr>
          <w:b/>
          <w:spacing w:val="-4"/>
          <w:sz w:val="24"/>
        </w:rPr>
        <w:t> </w:t>
      </w:r>
      <w:r>
        <w:rPr>
          <w:b/>
          <w:sz w:val="24"/>
        </w:rPr>
        <w:t>2013 Source: </w:t>
      </w:r>
      <w:r>
        <w:rPr>
          <w:sz w:val="24"/>
        </w:rPr>
        <w:t>Authors’ field survey, 2019</w:t>
      </w:r>
    </w:p>
    <w:p>
      <w:pPr>
        <w:pStyle w:val="BodyText"/>
        <w:spacing w:before="215"/>
        <w:jc w:val="left"/>
      </w:pPr>
    </w:p>
    <w:p>
      <w:pPr>
        <w:pStyle w:val="BodyText"/>
        <w:spacing w:line="480" w:lineRule="auto"/>
        <w:ind w:left="305" w:right="510"/>
      </w:pPr>
      <w:r>
        <w:rPr/>
        <w:t>In the year 2018, urbanisation effects have a great impact on the urban form. The study in</w:t>
      </w:r>
      <w:r>
        <w:rPr>
          <w:spacing w:val="-15"/>
        </w:rPr>
        <w:t> </w:t>
      </w:r>
      <w:r>
        <w:rPr/>
        <w:t>Figure</w:t>
      </w:r>
      <w:r>
        <w:rPr>
          <w:spacing w:val="-15"/>
        </w:rPr>
        <w:t> </w:t>
      </w:r>
      <w:r>
        <w:rPr/>
        <w:t>4.3</w:t>
      </w:r>
      <w:r>
        <w:rPr>
          <w:spacing w:val="-15"/>
        </w:rPr>
        <w:t> </w:t>
      </w:r>
      <w:r>
        <w:rPr/>
        <w:t>shows</w:t>
      </w:r>
      <w:r>
        <w:rPr>
          <w:spacing w:val="-15"/>
        </w:rPr>
        <w:t> </w:t>
      </w:r>
      <w:r>
        <w:rPr/>
        <w:t>that</w:t>
      </w:r>
      <w:r>
        <w:rPr>
          <w:spacing w:val="-15"/>
        </w:rPr>
        <w:t> </w:t>
      </w:r>
      <w:r>
        <w:rPr/>
        <w:t>all</w:t>
      </w:r>
      <w:r>
        <w:rPr>
          <w:spacing w:val="-15"/>
        </w:rPr>
        <w:t> </w:t>
      </w:r>
      <w:r>
        <w:rPr/>
        <w:t>the</w:t>
      </w:r>
      <w:r>
        <w:rPr>
          <w:spacing w:val="-15"/>
        </w:rPr>
        <w:t> </w:t>
      </w:r>
      <w:r>
        <w:rPr/>
        <w:t>housing</w:t>
      </w:r>
      <w:r>
        <w:rPr>
          <w:spacing w:val="-15"/>
        </w:rPr>
        <w:t> </w:t>
      </w:r>
      <w:r>
        <w:rPr/>
        <w:t>submarkets</w:t>
      </w:r>
      <w:r>
        <w:rPr>
          <w:spacing w:val="-15"/>
        </w:rPr>
        <w:t> </w:t>
      </w:r>
      <w:r>
        <w:rPr/>
        <w:t>in</w:t>
      </w:r>
      <w:r>
        <w:rPr>
          <w:spacing w:val="-15"/>
        </w:rPr>
        <w:t> </w:t>
      </w:r>
      <w:r>
        <w:rPr/>
        <w:t>the</w:t>
      </w:r>
      <w:r>
        <w:rPr>
          <w:spacing w:val="-15"/>
        </w:rPr>
        <w:t> </w:t>
      </w:r>
      <w:r>
        <w:rPr/>
        <w:t>study</w:t>
      </w:r>
      <w:r>
        <w:rPr>
          <w:spacing w:val="-15"/>
        </w:rPr>
        <w:t> </w:t>
      </w:r>
      <w:r>
        <w:rPr/>
        <w:t>area</w:t>
      </w:r>
      <w:r>
        <w:rPr>
          <w:spacing w:val="-15"/>
        </w:rPr>
        <w:t> </w:t>
      </w:r>
      <w:r>
        <w:rPr/>
        <w:t>are</w:t>
      </w:r>
      <w:r>
        <w:rPr>
          <w:spacing w:val="-15"/>
        </w:rPr>
        <w:t> </w:t>
      </w:r>
      <w:r>
        <w:rPr/>
        <w:t>of</w:t>
      </w:r>
      <w:r>
        <w:rPr>
          <w:spacing w:val="-15"/>
        </w:rPr>
        <w:t> </w:t>
      </w:r>
      <w:r>
        <w:rPr/>
        <w:t>high</w:t>
      </w:r>
      <w:r>
        <w:rPr>
          <w:spacing w:val="-15"/>
        </w:rPr>
        <w:t> </w:t>
      </w:r>
      <w:r>
        <w:rPr/>
        <w:t>residential densities except for Eyagi and Project Quarters who were of low residential densities respectively.</w:t>
      </w:r>
      <w:r>
        <w:rPr>
          <w:spacing w:val="-15"/>
        </w:rPr>
        <w:t> </w:t>
      </w:r>
      <w:r>
        <w:rPr/>
        <w:t>This</w:t>
      </w:r>
      <w:r>
        <w:rPr>
          <w:spacing w:val="-15"/>
        </w:rPr>
        <w:t> </w:t>
      </w:r>
      <w:r>
        <w:rPr/>
        <w:t>implies</w:t>
      </w:r>
      <w:r>
        <w:rPr>
          <w:spacing w:val="-15"/>
        </w:rPr>
        <w:t> </w:t>
      </w:r>
      <w:r>
        <w:rPr/>
        <w:t>that</w:t>
      </w:r>
      <w:r>
        <w:rPr>
          <w:spacing w:val="-15"/>
        </w:rPr>
        <w:t> </w:t>
      </w:r>
      <w:r>
        <w:rPr/>
        <w:t>there</w:t>
      </w:r>
      <w:r>
        <w:rPr>
          <w:spacing w:val="-15"/>
        </w:rPr>
        <w:t> </w:t>
      </w:r>
      <w:r>
        <w:rPr/>
        <w:t>is</w:t>
      </w:r>
      <w:r>
        <w:rPr>
          <w:spacing w:val="-14"/>
        </w:rPr>
        <w:t> </w:t>
      </w:r>
      <w:r>
        <w:rPr/>
        <w:t>transition</w:t>
      </w:r>
      <w:r>
        <w:rPr>
          <w:spacing w:val="-15"/>
        </w:rPr>
        <w:t> </w:t>
      </w:r>
      <w:r>
        <w:rPr/>
        <w:t>from</w:t>
      </w:r>
      <w:r>
        <w:rPr>
          <w:spacing w:val="-15"/>
        </w:rPr>
        <w:t> </w:t>
      </w:r>
      <w:r>
        <w:rPr/>
        <w:t>low</w:t>
      </w:r>
      <w:r>
        <w:rPr>
          <w:spacing w:val="-14"/>
        </w:rPr>
        <w:t> </w:t>
      </w:r>
      <w:r>
        <w:rPr/>
        <w:t>residential</w:t>
      </w:r>
      <w:r>
        <w:rPr>
          <w:spacing w:val="-15"/>
        </w:rPr>
        <w:t> </w:t>
      </w:r>
      <w:r>
        <w:rPr/>
        <w:t>density</w:t>
      </w:r>
      <w:r>
        <w:rPr>
          <w:spacing w:val="-15"/>
        </w:rPr>
        <w:t> </w:t>
      </w:r>
      <w:r>
        <w:rPr/>
        <w:t>areas</w:t>
      </w:r>
      <w:r>
        <w:rPr>
          <w:spacing w:val="-15"/>
        </w:rPr>
        <w:t> </w:t>
      </w:r>
      <w:r>
        <w:rPr/>
        <w:t>to</w:t>
      </w:r>
      <w:r>
        <w:rPr>
          <w:spacing w:val="-14"/>
        </w:rPr>
        <w:t> </w:t>
      </w:r>
      <w:r>
        <w:rPr/>
        <w:t>high residential density areas in the study area. The entire housing market is becoming more developed as built-up areas increases in all dimensions.</w:t>
      </w:r>
    </w:p>
    <w:p>
      <w:pPr>
        <w:spacing w:after="0" w:line="480" w:lineRule="auto"/>
        <w:sectPr>
          <w:pgSz w:w="11910" w:h="16840"/>
          <w:pgMar w:header="0" w:footer="1022" w:top="1400" w:bottom="1220" w:left="1680" w:right="900"/>
        </w:sectPr>
      </w:pPr>
    </w:p>
    <w:p>
      <w:pPr>
        <w:pStyle w:val="BodyText"/>
        <w:ind w:left="580"/>
        <w:jc w:val="left"/>
        <w:rPr>
          <w:sz w:val="20"/>
        </w:rPr>
      </w:pPr>
      <w:r>
        <w:rPr>
          <w:sz w:val="20"/>
        </w:rPr>
        <w:drawing>
          <wp:inline distT="0" distB="0" distL="0" distR="0">
            <wp:extent cx="4980049" cy="4763357"/>
            <wp:effectExtent l="0" t="0" r="0" b="0"/>
            <wp:docPr id="16" name="Image 16" descr="C:\Users\RAMATU S. MOHAMMED\Desktop\Output\Density 2018.jpg"/>
            <wp:cNvGraphicFramePr>
              <a:graphicFrameLocks/>
            </wp:cNvGraphicFramePr>
            <a:graphic>
              <a:graphicData uri="http://schemas.openxmlformats.org/drawingml/2006/picture">
                <pic:pic>
                  <pic:nvPicPr>
                    <pic:cNvPr id="16" name="Image 16" descr="C:\Users\RAMATU S. MOHAMMED\Desktop\Output\Density 2018.jpg"/>
                    <pic:cNvPicPr/>
                  </pic:nvPicPr>
                  <pic:blipFill>
                    <a:blip r:embed="rId21" cstate="print"/>
                    <a:stretch>
                      <a:fillRect/>
                    </a:stretch>
                  </pic:blipFill>
                  <pic:spPr>
                    <a:xfrm>
                      <a:off x="0" y="0"/>
                      <a:ext cx="4980049" cy="4763357"/>
                    </a:xfrm>
                    <a:prstGeom prst="rect">
                      <a:avLst/>
                    </a:prstGeom>
                  </pic:spPr>
                </pic:pic>
              </a:graphicData>
            </a:graphic>
          </wp:inline>
        </w:drawing>
      </w:r>
      <w:r>
        <w:rPr>
          <w:sz w:val="20"/>
        </w:rPr>
      </w:r>
    </w:p>
    <w:p>
      <w:pPr>
        <w:spacing w:line="235" w:lineRule="auto" w:before="89"/>
        <w:ind w:left="2806" w:right="0" w:hanging="2408"/>
        <w:jc w:val="left"/>
        <w:rPr>
          <w:sz w:val="24"/>
        </w:rPr>
      </w:pPr>
      <w:r>
        <w:rPr>
          <w:b/>
          <w:sz w:val="24"/>
        </w:rPr>
        <w:t>Figure</w:t>
      </w:r>
      <w:r>
        <w:rPr>
          <w:b/>
          <w:spacing w:val="-4"/>
          <w:sz w:val="24"/>
        </w:rPr>
        <w:t> </w:t>
      </w:r>
      <w:r>
        <w:rPr>
          <w:b/>
          <w:sz w:val="24"/>
        </w:rPr>
        <w:t>4.3:</w:t>
      </w:r>
      <w:r>
        <w:rPr>
          <w:b/>
          <w:spacing w:val="-3"/>
          <w:sz w:val="24"/>
        </w:rPr>
        <w:t> </w:t>
      </w:r>
      <w:r>
        <w:rPr>
          <w:b/>
          <w:sz w:val="24"/>
        </w:rPr>
        <w:t>Level</w:t>
      </w:r>
      <w:r>
        <w:rPr>
          <w:b/>
          <w:spacing w:val="-3"/>
          <w:sz w:val="24"/>
        </w:rPr>
        <w:t> </w:t>
      </w:r>
      <w:r>
        <w:rPr>
          <w:b/>
          <w:sz w:val="24"/>
        </w:rPr>
        <w:t>of</w:t>
      </w:r>
      <w:r>
        <w:rPr>
          <w:b/>
          <w:spacing w:val="-2"/>
          <w:sz w:val="24"/>
        </w:rPr>
        <w:t> </w:t>
      </w:r>
      <w:r>
        <w:rPr>
          <w:b/>
          <w:sz w:val="24"/>
        </w:rPr>
        <w:t>Residential</w:t>
      </w:r>
      <w:r>
        <w:rPr>
          <w:b/>
          <w:spacing w:val="-3"/>
          <w:sz w:val="24"/>
        </w:rPr>
        <w:t> </w:t>
      </w:r>
      <w:r>
        <w:rPr>
          <w:b/>
          <w:sz w:val="24"/>
        </w:rPr>
        <w:t>Density</w:t>
      </w:r>
      <w:r>
        <w:rPr>
          <w:b/>
          <w:spacing w:val="-3"/>
          <w:sz w:val="24"/>
        </w:rPr>
        <w:t> </w:t>
      </w:r>
      <w:r>
        <w:rPr>
          <w:b/>
          <w:sz w:val="24"/>
        </w:rPr>
        <w:t>by</w:t>
      </w:r>
      <w:r>
        <w:rPr>
          <w:b/>
          <w:spacing w:val="-3"/>
          <w:sz w:val="24"/>
        </w:rPr>
        <w:t> </w:t>
      </w:r>
      <w:r>
        <w:rPr>
          <w:b/>
          <w:sz w:val="24"/>
        </w:rPr>
        <w:t>Housing</w:t>
      </w:r>
      <w:r>
        <w:rPr>
          <w:b/>
          <w:spacing w:val="-3"/>
          <w:sz w:val="24"/>
        </w:rPr>
        <w:t> </w:t>
      </w:r>
      <w:r>
        <w:rPr>
          <w:b/>
          <w:sz w:val="24"/>
        </w:rPr>
        <w:t>Submarkets</w:t>
      </w:r>
      <w:r>
        <w:rPr>
          <w:b/>
          <w:spacing w:val="-3"/>
          <w:sz w:val="24"/>
        </w:rPr>
        <w:t> </w:t>
      </w:r>
      <w:r>
        <w:rPr>
          <w:b/>
          <w:sz w:val="24"/>
        </w:rPr>
        <w:t>in</w:t>
      </w:r>
      <w:r>
        <w:rPr>
          <w:b/>
          <w:spacing w:val="-3"/>
          <w:sz w:val="24"/>
        </w:rPr>
        <w:t> </w:t>
      </w:r>
      <w:r>
        <w:rPr>
          <w:b/>
          <w:sz w:val="24"/>
        </w:rPr>
        <w:t>the</w:t>
      </w:r>
      <w:r>
        <w:rPr>
          <w:b/>
          <w:spacing w:val="-2"/>
          <w:sz w:val="24"/>
        </w:rPr>
        <w:t> </w:t>
      </w:r>
      <w:r>
        <w:rPr>
          <w:b/>
          <w:sz w:val="24"/>
        </w:rPr>
        <w:t>Year</w:t>
      </w:r>
      <w:r>
        <w:rPr>
          <w:b/>
          <w:spacing w:val="-4"/>
          <w:sz w:val="24"/>
        </w:rPr>
        <w:t> </w:t>
      </w:r>
      <w:r>
        <w:rPr>
          <w:b/>
          <w:sz w:val="24"/>
        </w:rPr>
        <w:t>2018 Source: </w:t>
      </w:r>
      <w:r>
        <w:rPr>
          <w:sz w:val="24"/>
        </w:rPr>
        <w:t>Authors’ field survey, 2019</w:t>
      </w:r>
    </w:p>
    <w:p>
      <w:pPr>
        <w:pStyle w:val="BodyText"/>
        <w:spacing w:before="249"/>
        <w:jc w:val="left"/>
      </w:pPr>
    </w:p>
    <w:p>
      <w:pPr>
        <w:pStyle w:val="Heading1"/>
        <w:numPr>
          <w:ilvl w:val="2"/>
          <w:numId w:val="16"/>
        </w:numPr>
        <w:tabs>
          <w:tab w:pos="1025" w:val="left" w:leader="none"/>
        </w:tabs>
        <w:spacing w:line="240" w:lineRule="auto" w:before="0" w:after="0"/>
        <w:ind w:left="1025" w:right="0" w:hanging="720"/>
        <w:jc w:val="left"/>
      </w:pPr>
      <w:r>
        <w:rPr/>
        <w:t>Building</w:t>
      </w:r>
      <w:r>
        <w:rPr>
          <w:spacing w:val="-3"/>
        </w:rPr>
        <w:t> </w:t>
      </w:r>
      <w:r>
        <w:rPr/>
        <w:t>density</w:t>
      </w:r>
      <w:r>
        <w:rPr>
          <w:spacing w:val="-1"/>
        </w:rPr>
        <w:t> </w:t>
      </w:r>
      <w:r>
        <w:rPr/>
        <w:t>in</w:t>
      </w:r>
      <w:r>
        <w:rPr>
          <w:spacing w:val="-1"/>
        </w:rPr>
        <w:t> </w:t>
      </w:r>
      <w:r>
        <w:rPr/>
        <w:t>Bida</w:t>
      </w:r>
      <w:r>
        <w:rPr>
          <w:spacing w:val="-1"/>
        </w:rPr>
        <w:t> </w:t>
      </w:r>
      <w:r>
        <w:rPr/>
        <w:t>between</w:t>
      </w:r>
      <w:r>
        <w:rPr>
          <w:spacing w:val="-1"/>
        </w:rPr>
        <w:t> </w:t>
      </w:r>
      <w:r>
        <w:rPr/>
        <w:t>years</w:t>
      </w:r>
      <w:r>
        <w:rPr>
          <w:spacing w:val="-1"/>
        </w:rPr>
        <w:t> </w:t>
      </w:r>
      <w:r>
        <w:rPr/>
        <w:t>2008</w:t>
      </w:r>
      <w:r>
        <w:rPr>
          <w:spacing w:val="-2"/>
        </w:rPr>
        <w:t> </w:t>
      </w:r>
      <w:r>
        <w:rPr/>
        <w:t>- </w:t>
      </w:r>
      <w:r>
        <w:rPr>
          <w:spacing w:val="-4"/>
        </w:rPr>
        <w:t>2018</w:t>
      </w:r>
    </w:p>
    <w:p>
      <w:pPr>
        <w:pStyle w:val="BodyText"/>
        <w:spacing w:before="235"/>
        <w:jc w:val="left"/>
        <w:rPr>
          <w:b/>
        </w:rPr>
      </w:pPr>
    </w:p>
    <w:p>
      <w:pPr>
        <w:pStyle w:val="BodyText"/>
        <w:spacing w:line="480" w:lineRule="auto"/>
        <w:ind w:left="305" w:right="512"/>
      </w:pPr>
      <w:r>
        <w:rPr/>
        <w:t>In</w:t>
      </w:r>
      <w:r>
        <w:rPr>
          <w:spacing w:val="-8"/>
        </w:rPr>
        <w:t> </w:t>
      </w:r>
      <w:r>
        <w:rPr/>
        <w:t>an</w:t>
      </w:r>
      <w:r>
        <w:rPr>
          <w:spacing w:val="-11"/>
        </w:rPr>
        <w:t> </w:t>
      </w:r>
      <w:r>
        <w:rPr/>
        <w:t>attempt</w:t>
      </w:r>
      <w:r>
        <w:rPr>
          <w:spacing w:val="-10"/>
        </w:rPr>
        <w:t> </w:t>
      </w:r>
      <w:r>
        <w:rPr/>
        <w:t>to</w:t>
      </w:r>
      <w:r>
        <w:rPr>
          <w:spacing w:val="-10"/>
        </w:rPr>
        <w:t> </w:t>
      </w:r>
      <w:r>
        <w:rPr/>
        <w:t>explain</w:t>
      </w:r>
      <w:r>
        <w:rPr>
          <w:spacing w:val="-11"/>
        </w:rPr>
        <w:t> </w:t>
      </w:r>
      <w:r>
        <w:rPr/>
        <w:t>variation</w:t>
      </w:r>
      <w:r>
        <w:rPr>
          <w:spacing w:val="-11"/>
        </w:rPr>
        <w:t> </w:t>
      </w:r>
      <w:r>
        <w:rPr/>
        <w:t>in</w:t>
      </w:r>
      <w:r>
        <w:rPr>
          <w:spacing w:val="-10"/>
        </w:rPr>
        <w:t> </w:t>
      </w:r>
      <w:r>
        <w:rPr/>
        <w:t>densification</w:t>
      </w:r>
      <w:r>
        <w:rPr>
          <w:spacing w:val="-11"/>
        </w:rPr>
        <w:t> </w:t>
      </w:r>
      <w:r>
        <w:rPr/>
        <w:t>in</w:t>
      </w:r>
      <w:r>
        <w:rPr>
          <w:spacing w:val="-7"/>
        </w:rPr>
        <w:t> </w:t>
      </w:r>
      <w:r>
        <w:rPr/>
        <w:t>housing</w:t>
      </w:r>
      <w:r>
        <w:rPr>
          <w:spacing w:val="-13"/>
        </w:rPr>
        <w:t> </w:t>
      </w:r>
      <w:r>
        <w:rPr/>
        <w:t>submarkets</w:t>
      </w:r>
      <w:r>
        <w:rPr>
          <w:spacing w:val="-9"/>
        </w:rPr>
        <w:t> </w:t>
      </w:r>
      <w:r>
        <w:rPr/>
        <w:t>of</w:t>
      </w:r>
      <w:r>
        <w:rPr>
          <w:spacing w:val="-11"/>
        </w:rPr>
        <w:t> </w:t>
      </w:r>
      <w:r>
        <w:rPr/>
        <w:t>the</w:t>
      </w:r>
      <w:r>
        <w:rPr>
          <w:spacing w:val="-12"/>
        </w:rPr>
        <w:t> </w:t>
      </w:r>
      <w:r>
        <w:rPr/>
        <w:t>study</w:t>
      </w:r>
      <w:r>
        <w:rPr>
          <w:spacing w:val="-15"/>
        </w:rPr>
        <w:t> </w:t>
      </w:r>
      <w:r>
        <w:rPr/>
        <w:t>area in</w:t>
      </w:r>
      <w:r>
        <w:rPr>
          <w:spacing w:val="-1"/>
        </w:rPr>
        <w:t> </w:t>
      </w:r>
      <w:r>
        <w:rPr/>
        <w:t>terms</w:t>
      </w:r>
      <w:r>
        <w:rPr>
          <w:spacing w:val="-1"/>
        </w:rPr>
        <w:t> </w:t>
      </w:r>
      <w:r>
        <w:rPr/>
        <w:t>of</w:t>
      </w:r>
      <w:r>
        <w:rPr>
          <w:spacing w:val="-1"/>
        </w:rPr>
        <w:t> </w:t>
      </w:r>
      <w:r>
        <w:rPr/>
        <w:t>number</w:t>
      </w:r>
      <w:r>
        <w:rPr>
          <w:spacing w:val="-2"/>
        </w:rPr>
        <w:t> </w:t>
      </w:r>
      <w:r>
        <w:rPr/>
        <w:t>of</w:t>
      </w:r>
      <w:r>
        <w:rPr>
          <w:spacing w:val="-1"/>
        </w:rPr>
        <w:t> </w:t>
      </w:r>
      <w:r>
        <w:rPr/>
        <w:t>buildings</w:t>
      </w:r>
      <w:r>
        <w:rPr>
          <w:spacing w:val="-1"/>
        </w:rPr>
        <w:t> </w:t>
      </w:r>
      <w:r>
        <w:rPr/>
        <w:t>per hectares as</w:t>
      </w:r>
      <w:r>
        <w:rPr>
          <w:spacing w:val="-1"/>
        </w:rPr>
        <w:t> </w:t>
      </w:r>
      <w:r>
        <w:rPr/>
        <w:t>presented</w:t>
      </w:r>
      <w:r>
        <w:rPr>
          <w:spacing w:val="-1"/>
        </w:rPr>
        <w:t> </w:t>
      </w:r>
      <w:r>
        <w:rPr/>
        <w:t>in</w:t>
      </w:r>
      <w:r>
        <w:rPr>
          <w:spacing w:val="-1"/>
        </w:rPr>
        <w:t> </w:t>
      </w:r>
      <w:r>
        <w:rPr/>
        <w:t>Figure</w:t>
      </w:r>
      <w:r>
        <w:rPr>
          <w:spacing w:val="-1"/>
        </w:rPr>
        <w:t> </w:t>
      </w:r>
      <w:r>
        <w:rPr/>
        <w:t>4.4,</w:t>
      </w:r>
      <w:r>
        <w:rPr>
          <w:spacing w:val="-1"/>
        </w:rPr>
        <w:t> </w:t>
      </w:r>
      <w:r>
        <w:rPr/>
        <w:t>4.5 and</w:t>
      </w:r>
      <w:r>
        <w:rPr>
          <w:spacing w:val="-1"/>
        </w:rPr>
        <w:t> </w:t>
      </w:r>
      <w:r>
        <w:rPr/>
        <w:t>4.6.</w:t>
      </w:r>
      <w:r>
        <w:rPr>
          <w:spacing w:val="-1"/>
        </w:rPr>
        <w:t> </w:t>
      </w:r>
      <w:r>
        <w:rPr/>
        <w:t>The study</w:t>
      </w:r>
      <w:r>
        <w:rPr>
          <w:spacing w:val="-2"/>
        </w:rPr>
        <w:t> </w:t>
      </w:r>
      <w:r>
        <w:rPr/>
        <w:t>attempts to explain densification based on number of buildings per hectares, but it does</w:t>
      </w:r>
      <w:r>
        <w:rPr>
          <w:spacing w:val="-10"/>
        </w:rPr>
        <w:t> </w:t>
      </w:r>
      <w:r>
        <w:rPr/>
        <w:t>not</w:t>
      </w:r>
      <w:r>
        <w:rPr>
          <w:spacing w:val="-10"/>
        </w:rPr>
        <w:t> </w:t>
      </w:r>
      <w:r>
        <w:rPr/>
        <w:t>directly</w:t>
      </w:r>
      <w:r>
        <w:rPr>
          <w:spacing w:val="-13"/>
        </w:rPr>
        <w:t> </w:t>
      </w:r>
      <w:r>
        <w:rPr/>
        <w:t>highlight</w:t>
      </w:r>
      <w:r>
        <w:rPr>
          <w:spacing w:val="-10"/>
        </w:rPr>
        <w:t> </w:t>
      </w:r>
      <w:r>
        <w:rPr/>
        <w:t>the</w:t>
      </w:r>
      <w:r>
        <w:rPr>
          <w:spacing w:val="-10"/>
        </w:rPr>
        <w:t> </w:t>
      </w:r>
      <w:r>
        <w:rPr/>
        <w:t>factors</w:t>
      </w:r>
      <w:r>
        <w:rPr>
          <w:spacing w:val="-10"/>
        </w:rPr>
        <w:t> </w:t>
      </w:r>
      <w:r>
        <w:rPr/>
        <w:t>responsible</w:t>
      </w:r>
      <w:r>
        <w:rPr>
          <w:spacing w:val="-10"/>
        </w:rPr>
        <w:t> </w:t>
      </w:r>
      <w:r>
        <w:rPr/>
        <w:t>for</w:t>
      </w:r>
      <w:r>
        <w:rPr>
          <w:spacing w:val="-10"/>
        </w:rPr>
        <w:t> </w:t>
      </w:r>
      <w:r>
        <w:rPr/>
        <w:t>the</w:t>
      </w:r>
      <w:r>
        <w:rPr>
          <w:spacing w:val="-10"/>
        </w:rPr>
        <w:t> </w:t>
      </w:r>
      <w:r>
        <w:rPr/>
        <w:t>high</w:t>
      </w:r>
      <w:r>
        <w:rPr>
          <w:spacing w:val="-10"/>
        </w:rPr>
        <w:t> </w:t>
      </w:r>
      <w:r>
        <w:rPr/>
        <w:t>or</w:t>
      </w:r>
      <w:r>
        <w:rPr>
          <w:spacing w:val="-10"/>
        </w:rPr>
        <w:t> </w:t>
      </w:r>
      <w:r>
        <w:rPr/>
        <w:t>low</w:t>
      </w:r>
      <w:r>
        <w:rPr>
          <w:spacing w:val="-10"/>
        </w:rPr>
        <w:t> </w:t>
      </w:r>
      <w:r>
        <w:rPr/>
        <w:t>number</w:t>
      </w:r>
      <w:r>
        <w:rPr>
          <w:spacing w:val="-10"/>
        </w:rPr>
        <w:t> </w:t>
      </w:r>
      <w:r>
        <w:rPr/>
        <w:t>of</w:t>
      </w:r>
      <w:r>
        <w:rPr>
          <w:spacing w:val="-10"/>
        </w:rPr>
        <w:t> </w:t>
      </w:r>
      <w:r>
        <w:rPr/>
        <w:t>buildings in the housing submarket.</w:t>
      </w:r>
    </w:p>
    <w:p>
      <w:pPr>
        <w:pStyle w:val="BodyText"/>
        <w:spacing w:line="480" w:lineRule="auto" w:before="239"/>
        <w:ind w:left="305" w:right="512"/>
      </w:pPr>
      <w:r>
        <w:rPr/>
        <w:t>The</w:t>
      </w:r>
      <w:r>
        <w:rPr>
          <w:spacing w:val="-15"/>
        </w:rPr>
        <w:t> </w:t>
      </w:r>
      <w:r>
        <w:rPr/>
        <w:t>study</w:t>
      </w:r>
      <w:r>
        <w:rPr>
          <w:spacing w:val="-15"/>
        </w:rPr>
        <w:t> </w:t>
      </w:r>
      <w:r>
        <w:rPr/>
        <w:t>shows</w:t>
      </w:r>
      <w:r>
        <w:rPr>
          <w:spacing w:val="-12"/>
        </w:rPr>
        <w:t> </w:t>
      </w:r>
      <w:r>
        <w:rPr/>
        <w:t>in</w:t>
      </w:r>
      <w:r>
        <w:rPr>
          <w:spacing w:val="-12"/>
        </w:rPr>
        <w:t> </w:t>
      </w:r>
      <w:r>
        <w:rPr/>
        <w:t>Figure</w:t>
      </w:r>
      <w:r>
        <w:rPr>
          <w:spacing w:val="-12"/>
        </w:rPr>
        <w:t> </w:t>
      </w:r>
      <w:r>
        <w:rPr/>
        <w:t>4.4</w:t>
      </w:r>
      <w:r>
        <w:rPr>
          <w:spacing w:val="-12"/>
        </w:rPr>
        <w:t> </w:t>
      </w:r>
      <w:r>
        <w:rPr/>
        <w:t>that</w:t>
      </w:r>
      <w:r>
        <w:rPr>
          <w:spacing w:val="-12"/>
        </w:rPr>
        <w:t> </w:t>
      </w:r>
      <w:r>
        <w:rPr/>
        <w:t>in</w:t>
      </w:r>
      <w:r>
        <w:rPr>
          <w:spacing w:val="-12"/>
        </w:rPr>
        <w:t> </w:t>
      </w:r>
      <w:r>
        <w:rPr/>
        <w:t>the</w:t>
      </w:r>
      <w:r>
        <w:rPr>
          <w:spacing w:val="-11"/>
        </w:rPr>
        <w:t> </w:t>
      </w:r>
      <w:r>
        <w:rPr/>
        <w:t>year</w:t>
      </w:r>
      <w:r>
        <w:rPr>
          <w:spacing w:val="-13"/>
        </w:rPr>
        <w:t> </w:t>
      </w:r>
      <w:r>
        <w:rPr/>
        <w:t>2008,</w:t>
      </w:r>
      <w:r>
        <w:rPr>
          <w:spacing w:val="-12"/>
        </w:rPr>
        <w:t> </w:t>
      </w:r>
      <w:r>
        <w:rPr/>
        <w:t>Town</w:t>
      </w:r>
      <w:r>
        <w:rPr>
          <w:spacing w:val="-12"/>
        </w:rPr>
        <w:t> </w:t>
      </w:r>
      <w:r>
        <w:rPr/>
        <w:t>housing</w:t>
      </w:r>
      <w:r>
        <w:rPr>
          <w:spacing w:val="-14"/>
        </w:rPr>
        <w:t> </w:t>
      </w:r>
      <w:r>
        <w:rPr/>
        <w:t>submarket</w:t>
      </w:r>
      <w:r>
        <w:rPr>
          <w:spacing w:val="-12"/>
        </w:rPr>
        <w:t> </w:t>
      </w:r>
      <w:r>
        <w:rPr/>
        <w:t>had</w:t>
      </w:r>
      <w:r>
        <w:rPr>
          <w:spacing w:val="-12"/>
        </w:rPr>
        <w:t> </w:t>
      </w:r>
      <w:r>
        <w:rPr/>
        <w:t>highest number of buildings per area coverage with &gt;10 building units/ha. This is followed by Rahmatu</w:t>
      </w:r>
      <w:r>
        <w:rPr>
          <w:spacing w:val="24"/>
        </w:rPr>
        <w:t> </w:t>
      </w:r>
      <w:r>
        <w:rPr/>
        <w:t>Dangana</w:t>
      </w:r>
      <w:r>
        <w:rPr>
          <w:spacing w:val="25"/>
        </w:rPr>
        <w:t> </w:t>
      </w:r>
      <w:r>
        <w:rPr/>
        <w:t>with</w:t>
      </w:r>
      <w:r>
        <w:rPr>
          <w:spacing w:val="29"/>
        </w:rPr>
        <w:t> </w:t>
      </w:r>
      <w:r>
        <w:rPr/>
        <w:t>5-6</w:t>
      </w:r>
      <w:r>
        <w:rPr>
          <w:spacing w:val="26"/>
        </w:rPr>
        <w:t> </w:t>
      </w:r>
      <w:r>
        <w:rPr/>
        <w:t>number</w:t>
      </w:r>
      <w:r>
        <w:rPr>
          <w:spacing w:val="24"/>
        </w:rPr>
        <w:t> </w:t>
      </w:r>
      <w:r>
        <w:rPr/>
        <w:t>of</w:t>
      </w:r>
      <w:r>
        <w:rPr>
          <w:spacing w:val="26"/>
        </w:rPr>
        <w:t> </w:t>
      </w:r>
      <w:r>
        <w:rPr/>
        <w:t>building</w:t>
      </w:r>
      <w:r>
        <w:rPr>
          <w:spacing w:val="29"/>
        </w:rPr>
        <w:t> </w:t>
      </w:r>
      <w:r>
        <w:rPr/>
        <w:t>units/ha,</w:t>
      </w:r>
      <w:r>
        <w:rPr>
          <w:spacing w:val="25"/>
        </w:rPr>
        <w:t> </w:t>
      </w:r>
      <w:r>
        <w:rPr/>
        <w:t>Gbazhi</w:t>
      </w:r>
      <w:r>
        <w:rPr>
          <w:spacing w:val="26"/>
        </w:rPr>
        <w:t> </w:t>
      </w:r>
      <w:r>
        <w:rPr/>
        <w:t>and</w:t>
      </w:r>
      <w:r>
        <w:rPr>
          <w:spacing w:val="26"/>
        </w:rPr>
        <w:t> </w:t>
      </w:r>
      <w:r>
        <w:rPr/>
        <w:t>Wadata</w:t>
      </w:r>
      <w:r>
        <w:rPr>
          <w:spacing w:val="25"/>
        </w:rPr>
        <w:t> </w:t>
      </w:r>
      <w:r>
        <w:rPr/>
        <w:t>had</w:t>
      </w:r>
      <w:r>
        <w:rPr>
          <w:spacing w:val="29"/>
        </w:rPr>
        <w:t> </w:t>
      </w:r>
      <w:r>
        <w:rPr/>
        <w:t>2-</w:t>
      </w:r>
      <w:r>
        <w:rPr>
          <w:spacing w:val="-10"/>
        </w:rPr>
        <w:t>4</w:t>
      </w:r>
    </w:p>
    <w:p>
      <w:pPr>
        <w:spacing w:after="0" w:line="480" w:lineRule="auto"/>
        <w:sectPr>
          <w:pgSz w:w="11910" w:h="16840"/>
          <w:pgMar w:header="0" w:footer="1022" w:top="1400" w:bottom="1220" w:left="1680" w:right="900"/>
        </w:sectPr>
      </w:pPr>
    </w:p>
    <w:p>
      <w:pPr>
        <w:pStyle w:val="BodyText"/>
        <w:spacing w:line="480" w:lineRule="auto" w:before="72"/>
        <w:ind w:left="305" w:right="516"/>
      </w:pPr>
      <w:r>
        <w:rPr/>
        <w:t>number of building units/ha each. All other submarkets had &lt;2 building units/ha in that year. Figure 4.5 shows satellite image of AD48 demarcated area in town submarket for the year 2008.</w:t>
      </w:r>
    </w:p>
    <w:p>
      <w:pPr>
        <w:pStyle w:val="BodyText"/>
        <w:spacing w:before="5"/>
        <w:jc w:val="left"/>
        <w:rPr>
          <w:sz w:val="19"/>
        </w:rPr>
      </w:pPr>
      <w:r>
        <w:rPr/>
        <w:drawing>
          <wp:anchor distT="0" distB="0" distL="0" distR="0" allowOverlap="1" layoutInCell="1" locked="0" behindDoc="1" simplePos="0" relativeHeight="487589888">
            <wp:simplePos x="0" y="0"/>
            <wp:positionH relativeFrom="page">
              <wp:posOffset>1441703</wp:posOffset>
            </wp:positionH>
            <wp:positionV relativeFrom="paragraph">
              <wp:posOffset>157569</wp:posOffset>
            </wp:positionV>
            <wp:extent cx="5064869" cy="4861560"/>
            <wp:effectExtent l="0" t="0" r="0" b="0"/>
            <wp:wrapTopAndBottom/>
            <wp:docPr id="17" name="Image 17" descr="C:\Users\RAMATU S. MOHAMMED\Desktop\Output\Building Units_Ha 2008.jpg"/>
            <wp:cNvGraphicFramePr>
              <a:graphicFrameLocks/>
            </wp:cNvGraphicFramePr>
            <a:graphic>
              <a:graphicData uri="http://schemas.openxmlformats.org/drawingml/2006/picture">
                <pic:pic>
                  <pic:nvPicPr>
                    <pic:cNvPr id="17" name="Image 17" descr="C:\Users\RAMATU S. MOHAMMED\Desktop\Output\Building Units_Ha 2008.jpg"/>
                    <pic:cNvPicPr/>
                  </pic:nvPicPr>
                  <pic:blipFill>
                    <a:blip r:embed="rId22" cstate="print"/>
                    <a:stretch>
                      <a:fillRect/>
                    </a:stretch>
                  </pic:blipFill>
                  <pic:spPr>
                    <a:xfrm>
                      <a:off x="0" y="0"/>
                      <a:ext cx="5064869" cy="4861560"/>
                    </a:xfrm>
                    <a:prstGeom prst="rect">
                      <a:avLst/>
                    </a:prstGeom>
                  </pic:spPr>
                </pic:pic>
              </a:graphicData>
            </a:graphic>
          </wp:anchor>
        </w:drawing>
      </w:r>
    </w:p>
    <w:p>
      <w:pPr>
        <w:spacing w:line="235" w:lineRule="auto" w:before="0"/>
        <w:ind w:left="2806" w:right="0" w:hanging="2495"/>
        <w:jc w:val="left"/>
        <w:rPr>
          <w:sz w:val="24"/>
        </w:rPr>
      </w:pPr>
      <w:r>
        <w:rPr>
          <w:b/>
          <w:sz w:val="24"/>
        </w:rPr>
        <w:t>Figure</w:t>
      </w:r>
      <w:r>
        <w:rPr>
          <w:b/>
          <w:spacing w:val="-4"/>
          <w:sz w:val="24"/>
        </w:rPr>
        <w:t> </w:t>
      </w:r>
      <w:r>
        <w:rPr>
          <w:b/>
          <w:sz w:val="24"/>
        </w:rPr>
        <w:t>4.4:</w:t>
      </w:r>
      <w:r>
        <w:rPr>
          <w:b/>
          <w:spacing w:val="-4"/>
          <w:sz w:val="24"/>
        </w:rPr>
        <w:t> </w:t>
      </w:r>
      <w:r>
        <w:rPr>
          <w:b/>
          <w:sz w:val="24"/>
        </w:rPr>
        <w:t>Number</w:t>
      </w:r>
      <w:r>
        <w:rPr>
          <w:b/>
          <w:spacing w:val="-4"/>
          <w:sz w:val="24"/>
        </w:rPr>
        <w:t> </w:t>
      </w:r>
      <w:r>
        <w:rPr>
          <w:b/>
          <w:sz w:val="24"/>
        </w:rPr>
        <w:t>of</w:t>
      </w:r>
      <w:r>
        <w:rPr>
          <w:b/>
          <w:spacing w:val="-3"/>
          <w:sz w:val="24"/>
        </w:rPr>
        <w:t> </w:t>
      </w:r>
      <w:r>
        <w:rPr>
          <w:b/>
          <w:sz w:val="24"/>
        </w:rPr>
        <w:t>Building</w:t>
      </w:r>
      <w:r>
        <w:rPr>
          <w:b/>
          <w:spacing w:val="-4"/>
          <w:sz w:val="24"/>
        </w:rPr>
        <w:t> </w:t>
      </w:r>
      <w:r>
        <w:rPr>
          <w:b/>
          <w:sz w:val="24"/>
        </w:rPr>
        <w:t>Units/Ha</w:t>
      </w:r>
      <w:r>
        <w:rPr>
          <w:b/>
          <w:spacing w:val="-1"/>
          <w:sz w:val="24"/>
        </w:rPr>
        <w:t> </w:t>
      </w:r>
      <w:r>
        <w:rPr>
          <w:b/>
          <w:sz w:val="24"/>
        </w:rPr>
        <w:t>by</w:t>
      </w:r>
      <w:r>
        <w:rPr>
          <w:b/>
          <w:spacing w:val="-4"/>
          <w:sz w:val="24"/>
        </w:rPr>
        <w:t> </w:t>
      </w:r>
      <w:r>
        <w:rPr>
          <w:b/>
          <w:sz w:val="24"/>
        </w:rPr>
        <w:t>Housing</w:t>
      </w:r>
      <w:r>
        <w:rPr>
          <w:b/>
          <w:spacing w:val="-4"/>
          <w:sz w:val="24"/>
        </w:rPr>
        <w:t> </w:t>
      </w:r>
      <w:r>
        <w:rPr>
          <w:b/>
          <w:sz w:val="24"/>
        </w:rPr>
        <w:t>Submarkets</w:t>
      </w:r>
      <w:r>
        <w:rPr>
          <w:b/>
          <w:spacing w:val="-3"/>
          <w:sz w:val="24"/>
        </w:rPr>
        <w:t> </w:t>
      </w:r>
      <w:r>
        <w:rPr>
          <w:b/>
          <w:sz w:val="24"/>
        </w:rPr>
        <w:t>in</w:t>
      </w:r>
      <w:r>
        <w:rPr>
          <w:b/>
          <w:spacing w:val="-3"/>
          <w:sz w:val="24"/>
        </w:rPr>
        <w:t> </w:t>
      </w:r>
      <w:r>
        <w:rPr>
          <w:b/>
          <w:sz w:val="24"/>
        </w:rPr>
        <w:t>the</w:t>
      </w:r>
      <w:r>
        <w:rPr>
          <w:b/>
          <w:spacing w:val="-4"/>
          <w:sz w:val="24"/>
        </w:rPr>
        <w:t> </w:t>
      </w:r>
      <w:r>
        <w:rPr>
          <w:b/>
          <w:sz w:val="24"/>
        </w:rPr>
        <w:t>Year</w:t>
      </w:r>
      <w:r>
        <w:rPr>
          <w:b/>
          <w:spacing w:val="-4"/>
          <w:sz w:val="24"/>
        </w:rPr>
        <w:t> </w:t>
      </w:r>
      <w:r>
        <w:rPr>
          <w:b/>
          <w:sz w:val="24"/>
        </w:rPr>
        <w:t>2008 Source: </w:t>
      </w:r>
      <w:r>
        <w:rPr>
          <w:sz w:val="24"/>
        </w:rPr>
        <w:t>Authors’ field survey, 2019</w:t>
      </w:r>
    </w:p>
    <w:p>
      <w:pPr>
        <w:spacing w:after="0" w:line="235" w:lineRule="auto"/>
        <w:jc w:val="left"/>
        <w:rPr>
          <w:sz w:val="24"/>
        </w:rPr>
        <w:sectPr>
          <w:pgSz w:w="11910" w:h="16840"/>
          <w:pgMar w:header="0" w:footer="1022" w:top="1320" w:bottom="1220" w:left="1680" w:right="900"/>
        </w:sectPr>
      </w:pPr>
    </w:p>
    <w:p>
      <w:pPr>
        <w:pStyle w:val="BodyText"/>
        <w:ind w:left="1031"/>
        <w:jc w:val="left"/>
        <w:rPr>
          <w:sz w:val="20"/>
        </w:rPr>
      </w:pPr>
      <w:r>
        <w:rPr>
          <w:sz w:val="20"/>
        </w:rPr>
        <mc:AlternateContent>
          <mc:Choice Requires="wps">
            <w:drawing>
              <wp:inline distT="0" distB="0" distL="0" distR="0">
                <wp:extent cx="4486910" cy="4966970"/>
                <wp:effectExtent l="9525" t="0" r="0" b="5079"/>
                <wp:docPr id="18" name="Group 18"/>
                <wp:cNvGraphicFramePr>
                  <a:graphicFrameLocks/>
                </wp:cNvGraphicFramePr>
                <a:graphic>
                  <a:graphicData uri="http://schemas.microsoft.com/office/word/2010/wordprocessingGroup">
                    <wpg:wgp>
                      <wpg:cNvPr id="18" name="Group 18"/>
                      <wpg:cNvGrpSpPr/>
                      <wpg:grpSpPr>
                        <a:xfrm>
                          <a:off x="0" y="0"/>
                          <a:ext cx="4486910" cy="4966970"/>
                          <a:chExt cx="4486910" cy="4966970"/>
                        </a:xfrm>
                      </wpg:grpSpPr>
                      <pic:pic>
                        <pic:nvPicPr>
                          <pic:cNvPr id="19" name="Image 19" descr="C:\Users\RAMATU S. MOHAMMED\Desktop\Output\AD48.jpg"/>
                          <pic:cNvPicPr/>
                        </pic:nvPicPr>
                        <pic:blipFill>
                          <a:blip r:embed="rId23" cstate="print"/>
                          <a:stretch>
                            <a:fillRect/>
                          </a:stretch>
                        </pic:blipFill>
                        <pic:spPr>
                          <a:xfrm>
                            <a:off x="28955" y="28955"/>
                            <a:ext cx="4353962" cy="4858926"/>
                          </a:xfrm>
                          <a:prstGeom prst="rect">
                            <a:avLst/>
                          </a:prstGeom>
                        </pic:spPr>
                      </pic:pic>
                      <wps:wsp>
                        <wps:cNvPr id="20" name="Graphic 20"/>
                        <wps:cNvSpPr/>
                        <wps:spPr>
                          <a:xfrm>
                            <a:off x="14477" y="14477"/>
                            <a:ext cx="4457700" cy="4937760"/>
                          </a:xfrm>
                          <a:custGeom>
                            <a:avLst/>
                            <a:gdLst/>
                            <a:ahLst/>
                            <a:cxnLst/>
                            <a:rect l="l" t="t" r="r" b="b"/>
                            <a:pathLst>
                              <a:path w="4457700" h="4937760">
                                <a:moveTo>
                                  <a:pt x="0" y="4937760"/>
                                </a:moveTo>
                                <a:lnTo>
                                  <a:pt x="4457700" y="4937760"/>
                                </a:lnTo>
                                <a:lnTo>
                                  <a:pt x="4457700" y="0"/>
                                </a:lnTo>
                                <a:lnTo>
                                  <a:pt x="0" y="0"/>
                                </a:lnTo>
                                <a:lnTo>
                                  <a:pt x="0" y="4937760"/>
                                </a:lnTo>
                                <a:close/>
                              </a:path>
                            </a:pathLst>
                          </a:custGeom>
                          <a:ln w="2895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53.3pt;height:391.1pt;mso-position-horizontal-relative:char;mso-position-vertical-relative:line" id="docshapegroup5" coordorigin="0,0" coordsize="7066,7822">
                <v:shape style="position:absolute;left:45;top:45;width:6857;height:7652" type="#_x0000_t75" id="docshape6" alt="C:\Users\RAMATU S. MOHAMMED\Desktop\Output\AD48.jpg" stroked="false">
                  <v:imagedata r:id="rId23" o:title=""/>
                </v:shape>
                <v:rect style="position:absolute;left:22;top:22;width:7020;height:7776" id="docshape7" filled="false" stroked="true" strokeweight="2.280pt" strokecolor="#000000">
                  <v:stroke dashstyle="solid"/>
                </v:rect>
              </v:group>
            </w:pict>
          </mc:Fallback>
        </mc:AlternateContent>
      </w:r>
      <w:r>
        <w:rPr>
          <w:sz w:val="20"/>
        </w:rPr>
      </w:r>
    </w:p>
    <w:p>
      <w:pPr>
        <w:pStyle w:val="Heading1"/>
        <w:spacing w:line="235" w:lineRule="auto"/>
        <w:ind w:left="3190" w:right="513" w:hanging="2425"/>
        <w:jc w:val="left"/>
        <w:rPr>
          <w:b w:val="0"/>
        </w:rPr>
      </w:pPr>
      <w:r>
        <w:rPr/>
        <w:t>Figure</w:t>
      </w:r>
      <w:r>
        <w:rPr>
          <w:spacing w:val="-4"/>
        </w:rPr>
        <w:t> </w:t>
      </w:r>
      <w:r>
        <w:rPr/>
        <w:t>4.5:</w:t>
      </w:r>
      <w:r>
        <w:rPr>
          <w:spacing w:val="-3"/>
        </w:rPr>
        <w:t> </w:t>
      </w:r>
      <w:r>
        <w:rPr/>
        <w:t>Satellite</w:t>
      </w:r>
      <w:r>
        <w:rPr>
          <w:spacing w:val="-5"/>
        </w:rPr>
        <w:t> </w:t>
      </w:r>
      <w:r>
        <w:rPr/>
        <w:t>Image</w:t>
      </w:r>
      <w:r>
        <w:rPr>
          <w:spacing w:val="-4"/>
        </w:rPr>
        <w:t> </w:t>
      </w:r>
      <w:r>
        <w:rPr/>
        <w:t>of</w:t>
      </w:r>
      <w:r>
        <w:rPr>
          <w:spacing w:val="-2"/>
        </w:rPr>
        <w:t> </w:t>
      </w:r>
      <w:r>
        <w:rPr/>
        <w:t>AD48</w:t>
      </w:r>
      <w:r>
        <w:rPr>
          <w:spacing w:val="-3"/>
        </w:rPr>
        <w:t> </w:t>
      </w:r>
      <w:r>
        <w:rPr/>
        <w:t>in</w:t>
      </w:r>
      <w:r>
        <w:rPr>
          <w:spacing w:val="-2"/>
        </w:rPr>
        <w:t> </w:t>
      </w:r>
      <w:r>
        <w:rPr/>
        <w:t>Town</w:t>
      </w:r>
      <w:r>
        <w:rPr>
          <w:spacing w:val="-3"/>
        </w:rPr>
        <w:t> </w:t>
      </w:r>
      <w:r>
        <w:rPr/>
        <w:t>Submarket</w:t>
      </w:r>
      <w:r>
        <w:rPr>
          <w:spacing w:val="-3"/>
        </w:rPr>
        <w:t> </w:t>
      </w:r>
      <w:r>
        <w:rPr/>
        <w:t>for</w:t>
      </w:r>
      <w:r>
        <w:rPr>
          <w:spacing w:val="-4"/>
        </w:rPr>
        <w:t> </w:t>
      </w:r>
      <w:r>
        <w:rPr/>
        <w:t>the</w:t>
      </w:r>
      <w:r>
        <w:rPr>
          <w:spacing w:val="-3"/>
        </w:rPr>
        <w:t> </w:t>
      </w:r>
      <w:r>
        <w:rPr/>
        <w:t>Year</w:t>
      </w:r>
      <w:r>
        <w:rPr>
          <w:spacing w:val="-2"/>
        </w:rPr>
        <w:t> </w:t>
      </w:r>
      <w:r>
        <w:rPr/>
        <w:t>2008 Source: </w:t>
      </w:r>
      <w:r>
        <w:rPr>
          <w:b w:val="0"/>
        </w:rPr>
        <w:t>Google Earth, 2019</w:t>
      </w:r>
    </w:p>
    <w:p>
      <w:pPr>
        <w:pStyle w:val="BodyText"/>
        <w:spacing w:before="235"/>
        <w:jc w:val="left"/>
      </w:pPr>
    </w:p>
    <w:p>
      <w:pPr>
        <w:pStyle w:val="BodyText"/>
        <w:spacing w:line="480" w:lineRule="auto"/>
        <w:ind w:left="305" w:right="517"/>
      </w:pPr>
      <w:r>
        <w:rPr/>
        <w:t>The findings from Figure 4.4 and 4.5 implies that Town submarket with largest area coverage</w:t>
      </w:r>
      <w:r>
        <w:rPr>
          <w:spacing w:val="-2"/>
        </w:rPr>
        <w:t> </w:t>
      </w:r>
      <w:r>
        <w:rPr/>
        <w:t>and</w:t>
      </w:r>
      <w:r>
        <w:rPr>
          <w:spacing w:val="-1"/>
        </w:rPr>
        <w:t> </w:t>
      </w:r>
      <w:r>
        <w:rPr/>
        <w:t>highest</w:t>
      </w:r>
      <w:r>
        <w:rPr>
          <w:spacing w:val="-1"/>
        </w:rPr>
        <w:t> </w:t>
      </w:r>
      <w:r>
        <w:rPr/>
        <w:t>number</w:t>
      </w:r>
      <w:r>
        <w:rPr>
          <w:spacing w:val="-3"/>
        </w:rPr>
        <w:t> </w:t>
      </w:r>
      <w:r>
        <w:rPr/>
        <w:t>of</w:t>
      </w:r>
      <w:r>
        <w:rPr>
          <w:spacing w:val="-2"/>
        </w:rPr>
        <w:t> </w:t>
      </w:r>
      <w:r>
        <w:rPr/>
        <w:t>buildings also</w:t>
      </w:r>
      <w:r>
        <w:rPr>
          <w:spacing w:val="-1"/>
        </w:rPr>
        <w:t> </w:t>
      </w:r>
      <w:r>
        <w:rPr/>
        <w:t>had</w:t>
      </w:r>
      <w:r>
        <w:rPr>
          <w:spacing w:val="-1"/>
        </w:rPr>
        <w:t> </w:t>
      </w:r>
      <w:r>
        <w:rPr/>
        <w:t>highest</w:t>
      </w:r>
      <w:r>
        <w:rPr>
          <w:spacing w:val="-1"/>
        </w:rPr>
        <w:t> </w:t>
      </w:r>
      <w:r>
        <w:rPr/>
        <w:t>number of</w:t>
      </w:r>
      <w:r>
        <w:rPr>
          <w:spacing w:val="-2"/>
        </w:rPr>
        <w:t> </w:t>
      </w:r>
      <w:r>
        <w:rPr/>
        <w:t>buildings</w:t>
      </w:r>
      <w:r>
        <w:rPr>
          <w:spacing w:val="-1"/>
        </w:rPr>
        <w:t> </w:t>
      </w:r>
      <w:r>
        <w:rPr/>
        <w:t>per area coverage.</w:t>
      </w:r>
      <w:r>
        <w:rPr>
          <w:spacing w:val="-3"/>
        </w:rPr>
        <w:t> </w:t>
      </w:r>
      <w:r>
        <w:rPr/>
        <w:t>The</w:t>
      </w:r>
      <w:r>
        <w:rPr>
          <w:spacing w:val="-5"/>
        </w:rPr>
        <w:t> </w:t>
      </w:r>
      <w:r>
        <w:rPr/>
        <w:t>result</w:t>
      </w:r>
      <w:r>
        <w:rPr>
          <w:spacing w:val="-3"/>
        </w:rPr>
        <w:t> </w:t>
      </w:r>
      <w:r>
        <w:rPr/>
        <w:t>also</w:t>
      </w:r>
      <w:r>
        <w:rPr>
          <w:spacing w:val="-3"/>
        </w:rPr>
        <w:t> </w:t>
      </w:r>
      <w:r>
        <w:rPr/>
        <w:t>implies</w:t>
      </w:r>
      <w:r>
        <w:rPr>
          <w:spacing w:val="-3"/>
        </w:rPr>
        <w:t> </w:t>
      </w:r>
      <w:r>
        <w:rPr/>
        <w:t>that</w:t>
      </w:r>
      <w:r>
        <w:rPr>
          <w:spacing w:val="-3"/>
        </w:rPr>
        <w:t> </w:t>
      </w:r>
      <w:r>
        <w:rPr/>
        <w:t>during</w:t>
      </w:r>
      <w:r>
        <w:rPr>
          <w:spacing w:val="-6"/>
        </w:rPr>
        <w:t> </w:t>
      </w:r>
      <w:r>
        <w:rPr/>
        <w:t>this</w:t>
      </w:r>
      <w:r>
        <w:rPr>
          <w:spacing w:val="-1"/>
        </w:rPr>
        <w:t> </w:t>
      </w:r>
      <w:r>
        <w:rPr/>
        <w:t>years</w:t>
      </w:r>
      <w:r>
        <w:rPr>
          <w:spacing w:val="-3"/>
        </w:rPr>
        <w:t> </w:t>
      </w:r>
      <w:r>
        <w:rPr/>
        <w:t>it</w:t>
      </w:r>
      <w:r>
        <w:rPr>
          <w:spacing w:val="-3"/>
        </w:rPr>
        <w:t> </w:t>
      </w:r>
      <w:r>
        <w:rPr/>
        <w:t>is</w:t>
      </w:r>
      <w:r>
        <w:rPr>
          <w:spacing w:val="-3"/>
        </w:rPr>
        <w:t> </w:t>
      </w:r>
      <w:r>
        <w:rPr/>
        <w:t>only</w:t>
      </w:r>
      <w:r>
        <w:rPr>
          <w:spacing w:val="-11"/>
        </w:rPr>
        <w:t> </w:t>
      </w:r>
      <w:r>
        <w:rPr/>
        <w:t>Gbazhi</w:t>
      </w:r>
      <w:r>
        <w:rPr>
          <w:spacing w:val="-3"/>
        </w:rPr>
        <w:t> </w:t>
      </w:r>
      <w:r>
        <w:rPr/>
        <w:t>and</w:t>
      </w:r>
      <w:r>
        <w:rPr>
          <w:spacing w:val="-3"/>
        </w:rPr>
        <w:t> </w:t>
      </w:r>
      <w:r>
        <w:rPr/>
        <w:t>Wadata</w:t>
      </w:r>
      <w:r>
        <w:rPr>
          <w:spacing w:val="-3"/>
        </w:rPr>
        <w:t> </w:t>
      </w:r>
      <w:r>
        <w:rPr/>
        <w:t>that had more than two number of building units/ha among submarkets in the urban fringe.</w:t>
      </w:r>
    </w:p>
    <w:p>
      <w:pPr>
        <w:pStyle w:val="BodyText"/>
        <w:spacing w:line="480" w:lineRule="auto" w:before="241"/>
        <w:ind w:left="305" w:right="512"/>
      </w:pPr>
      <w:r>
        <w:rPr/>
        <w:t>Residential</w:t>
      </w:r>
      <w:r>
        <w:rPr>
          <w:spacing w:val="-15"/>
        </w:rPr>
        <w:t> </w:t>
      </w:r>
      <w:r>
        <w:rPr/>
        <w:t>density</w:t>
      </w:r>
      <w:r>
        <w:rPr>
          <w:spacing w:val="-15"/>
        </w:rPr>
        <w:t> </w:t>
      </w:r>
      <w:r>
        <w:rPr/>
        <w:t>within</w:t>
      </w:r>
      <w:r>
        <w:rPr>
          <w:spacing w:val="-15"/>
        </w:rPr>
        <w:t> </w:t>
      </w:r>
      <w:r>
        <w:rPr/>
        <w:t>the</w:t>
      </w:r>
      <w:r>
        <w:rPr>
          <w:spacing w:val="-15"/>
        </w:rPr>
        <w:t> </w:t>
      </w:r>
      <w:r>
        <w:rPr/>
        <w:t>urban</w:t>
      </w:r>
      <w:r>
        <w:rPr>
          <w:spacing w:val="-15"/>
        </w:rPr>
        <w:t> </w:t>
      </w:r>
      <w:r>
        <w:rPr/>
        <w:t>area</w:t>
      </w:r>
      <w:r>
        <w:rPr>
          <w:spacing w:val="-15"/>
        </w:rPr>
        <w:t> </w:t>
      </w:r>
      <w:r>
        <w:rPr/>
        <w:t>of</w:t>
      </w:r>
      <w:r>
        <w:rPr>
          <w:spacing w:val="-15"/>
        </w:rPr>
        <w:t> </w:t>
      </w:r>
      <w:r>
        <w:rPr/>
        <w:t>Bida</w:t>
      </w:r>
      <w:r>
        <w:rPr>
          <w:spacing w:val="-15"/>
        </w:rPr>
        <w:t> </w:t>
      </w:r>
      <w:r>
        <w:rPr/>
        <w:t>considering</w:t>
      </w:r>
      <w:r>
        <w:rPr>
          <w:spacing w:val="-15"/>
        </w:rPr>
        <w:t> </w:t>
      </w:r>
      <w:r>
        <w:rPr/>
        <w:t>the</w:t>
      </w:r>
      <w:r>
        <w:rPr>
          <w:spacing w:val="-15"/>
        </w:rPr>
        <w:t> </w:t>
      </w:r>
      <w:r>
        <w:rPr/>
        <w:t>number</w:t>
      </w:r>
      <w:r>
        <w:rPr>
          <w:spacing w:val="-15"/>
        </w:rPr>
        <w:t> </w:t>
      </w:r>
      <w:r>
        <w:rPr/>
        <w:t>of</w:t>
      </w:r>
      <w:r>
        <w:rPr>
          <w:spacing w:val="-15"/>
        </w:rPr>
        <w:t> </w:t>
      </w:r>
      <w:r>
        <w:rPr/>
        <w:t>building</w:t>
      </w:r>
      <w:r>
        <w:rPr>
          <w:spacing w:val="-15"/>
        </w:rPr>
        <w:t> </w:t>
      </w:r>
      <w:r>
        <w:rPr/>
        <w:t>units in the housing</w:t>
      </w:r>
      <w:r>
        <w:rPr>
          <w:spacing w:val="-2"/>
        </w:rPr>
        <w:t> </w:t>
      </w:r>
      <w:r>
        <w:rPr/>
        <w:t>submarket is presented in Figure</w:t>
      </w:r>
      <w:r>
        <w:rPr>
          <w:spacing w:val="-1"/>
        </w:rPr>
        <w:t> </w:t>
      </w:r>
      <w:r>
        <w:rPr/>
        <w:t>4.6. Findings of</w:t>
      </w:r>
      <w:r>
        <w:rPr>
          <w:spacing w:val="-1"/>
        </w:rPr>
        <w:t> </w:t>
      </w:r>
      <w:r>
        <w:rPr/>
        <w:t>the study</w:t>
      </w:r>
      <w:r>
        <w:rPr>
          <w:spacing w:val="-4"/>
        </w:rPr>
        <w:t> </w:t>
      </w:r>
      <w:r>
        <w:rPr/>
        <w:t>in this section shows</w:t>
      </w:r>
      <w:r>
        <w:rPr>
          <w:spacing w:val="-15"/>
        </w:rPr>
        <w:t> </w:t>
      </w:r>
      <w:r>
        <w:rPr/>
        <w:t>that</w:t>
      </w:r>
      <w:r>
        <w:rPr>
          <w:spacing w:val="-15"/>
        </w:rPr>
        <w:t> </w:t>
      </w:r>
      <w:r>
        <w:rPr/>
        <w:t>Town</w:t>
      </w:r>
      <w:r>
        <w:rPr>
          <w:spacing w:val="-15"/>
        </w:rPr>
        <w:t> </w:t>
      </w:r>
      <w:r>
        <w:rPr/>
        <w:t>housing</w:t>
      </w:r>
      <w:r>
        <w:rPr>
          <w:spacing w:val="-15"/>
        </w:rPr>
        <w:t> </w:t>
      </w:r>
      <w:r>
        <w:rPr/>
        <w:t>submarket</w:t>
      </w:r>
      <w:r>
        <w:rPr>
          <w:spacing w:val="-13"/>
        </w:rPr>
        <w:t> </w:t>
      </w:r>
      <w:r>
        <w:rPr/>
        <w:t>has</w:t>
      </w:r>
      <w:r>
        <w:rPr>
          <w:spacing w:val="-15"/>
        </w:rPr>
        <w:t> </w:t>
      </w:r>
      <w:r>
        <w:rPr/>
        <w:t>the</w:t>
      </w:r>
      <w:r>
        <w:rPr>
          <w:spacing w:val="-15"/>
        </w:rPr>
        <w:t> </w:t>
      </w:r>
      <w:r>
        <w:rPr/>
        <w:t>highest</w:t>
      </w:r>
      <w:r>
        <w:rPr>
          <w:spacing w:val="-13"/>
        </w:rPr>
        <w:t> </w:t>
      </w:r>
      <w:r>
        <w:rPr/>
        <w:t>with</w:t>
      </w:r>
      <w:r>
        <w:rPr>
          <w:spacing w:val="-15"/>
        </w:rPr>
        <w:t> </w:t>
      </w:r>
      <w:r>
        <w:rPr/>
        <w:t>&gt;10</w:t>
      </w:r>
      <w:r>
        <w:rPr>
          <w:spacing w:val="-14"/>
        </w:rPr>
        <w:t> </w:t>
      </w:r>
      <w:r>
        <w:rPr/>
        <w:t>number</w:t>
      </w:r>
      <w:r>
        <w:rPr>
          <w:spacing w:val="-15"/>
        </w:rPr>
        <w:t> </w:t>
      </w:r>
      <w:r>
        <w:rPr/>
        <w:t>of</w:t>
      </w:r>
      <w:r>
        <w:rPr>
          <w:spacing w:val="-15"/>
        </w:rPr>
        <w:t> </w:t>
      </w:r>
      <w:r>
        <w:rPr/>
        <w:t>building</w:t>
      </w:r>
      <w:r>
        <w:rPr>
          <w:spacing w:val="-15"/>
        </w:rPr>
        <w:t> </w:t>
      </w:r>
      <w:r>
        <w:rPr/>
        <w:t>units/ha in</w:t>
      </w:r>
      <w:r>
        <w:rPr>
          <w:spacing w:val="-7"/>
        </w:rPr>
        <w:t> </w:t>
      </w:r>
      <w:r>
        <w:rPr/>
        <w:t>the</w:t>
      </w:r>
      <w:r>
        <w:rPr>
          <w:spacing w:val="-5"/>
        </w:rPr>
        <w:t> </w:t>
      </w:r>
      <w:r>
        <w:rPr/>
        <w:t>year</w:t>
      </w:r>
      <w:r>
        <w:rPr>
          <w:spacing w:val="-8"/>
        </w:rPr>
        <w:t> </w:t>
      </w:r>
      <w:r>
        <w:rPr/>
        <w:t>2013.</w:t>
      </w:r>
      <w:r>
        <w:rPr>
          <w:spacing w:val="-5"/>
        </w:rPr>
        <w:t> </w:t>
      </w:r>
      <w:r>
        <w:rPr/>
        <w:t>This</w:t>
      </w:r>
      <w:r>
        <w:rPr>
          <w:spacing w:val="-7"/>
        </w:rPr>
        <w:t> </w:t>
      </w:r>
      <w:r>
        <w:rPr/>
        <w:t>is</w:t>
      </w:r>
      <w:r>
        <w:rPr>
          <w:spacing w:val="-7"/>
        </w:rPr>
        <w:t> </w:t>
      </w:r>
      <w:r>
        <w:rPr/>
        <w:t>followed</w:t>
      </w:r>
      <w:r>
        <w:rPr>
          <w:spacing w:val="-7"/>
        </w:rPr>
        <w:t> </w:t>
      </w:r>
      <w:r>
        <w:rPr/>
        <w:t>by</w:t>
      </w:r>
      <w:r>
        <w:rPr>
          <w:spacing w:val="-11"/>
        </w:rPr>
        <w:t> </w:t>
      </w:r>
      <w:r>
        <w:rPr/>
        <w:t>Rahmatu</w:t>
      </w:r>
      <w:r>
        <w:rPr>
          <w:spacing w:val="-7"/>
        </w:rPr>
        <w:t> </w:t>
      </w:r>
      <w:r>
        <w:rPr/>
        <w:t>Dangana</w:t>
      </w:r>
      <w:r>
        <w:rPr>
          <w:spacing w:val="-8"/>
        </w:rPr>
        <w:t> </w:t>
      </w:r>
      <w:r>
        <w:rPr/>
        <w:t>and</w:t>
      </w:r>
      <w:r>
        <w:rPr>
          <w:spacing w:val="-5"/>
        </w:rPr>
        <w:t> </w:t>
      </w:r>
      <w:r>
        <w:rPr/>
        <w:t>Gbazhi</w:t>
      </w:r>
      <w:r>
        <w:rPr>
          <w:spacing w:val="-7"/>
        </w:rPr>
        <w:t> </w:t>
      </w:r>
      <w:r>
        <w:rPr/>
        <w:t>with</w:t>
      </w:r>
      <w:r>
        <w:rPr>
          <w:spacing w:val="-7"/>
        </w:rPr>
        <w:t> </w:t>
      </w:r>
      <w:r>
        <w:rPr/>
        <w:t>9-10</w:t>
      </w:r>
      <w:r>
        <w:rPr>
          <w:spacing w:val="-7"/>
        </w:rPr>
        <w:t> </w:t>
      </w:r>
      <w:r>
        <w:rPr/>
        <w:t>number</w:t>
      </w:r>
      <w:r>
        <w:rPr>
          <w:spacing w:val="-8"/>
        </w:rPr>
        <w:t> </w:t>
      </w:r>
      <w:r>
        <w:rPr/>
        <w:t>of building</w:t>
      </w:r>
      <w:r>
        <w:rPr>
          <w:spacing w:val="-1"/>
        </w:rPr>
        <w:t> </w:t>
      </w:r>
      <w:r>
        <w:rPr/>
        <w:t>units/ha,</w:t>
      </w:r>
      <w:r>
        <w:rPr>
          <w:spacing w:val="4"/>
        </w:rPr>
        <w:t> </w:t>
      </w:r>
      <w:r>
        <w:rPr/>
        <w:t>and</w:t>
      </w:r>
      <w:r>
        <w:rPr>
          <w:spacing w:val="7"/>
        </w:rPr>
        <w:t> </w:t>
      </w:r>
      <w:r>
        <w:rPr/>
        <w:t>Kangi,</w:t>
      </w:r>
      <w:r>
        <w:rPr>
          <w:spacing w:val="5"/>
        </w:rPr>
        <w:t> </w:t>
      </w:r>
      <w:r>
        <w:rPr/>
        <w:t>Poly</w:t>
      </w:r>
      <w:r>
        <w:rPr>
          <w:spacing w:val="-1"/>
        </w:rPr>
        <w:t> </w:t>
      </w:r>
      <w:r>
        <w:rPr/>
        <w:t>Area,</w:t>
      </w:r>
      <w:r>
        <w:rPr>
          <w:spacing w:val="4"/>
        </w:rPr>
        <w:t> </w:t>
      </w:r>
      <w:r>
        <w:rPr/>
        <w:t>Wadata,</w:t>
      </w:r>
      <w:r>
        <w:rPr>
          <w:spacing w:val="5"/>
        </w:rPr>
        <w:t> </w:t>
      </w:r>
      <w:r>
        <w:rPr/>
        <w:t>Avenue</w:t>
      </w:r>
      <w:r>
        <w:rPr>
          <w:spacing w:val="6"/>
        </w:rPr>
        <w:t> </w:t>
      </w:r>
      <w:r>
        <w:rPr/>
        <w:t>and</w:t>
      </w:r>
      <w:r>
        <w:rPr>
          <w:spacing w:val="4"/>
        </w:rPr>
        <w:t> </w:t>
      </w:r>
      <w:r>
        <w:rPr/>
        <w:t>Ndazabo</w:t>
      </w:r>
      <w:r>
        <w:rPr>
          <w:spacing w:val="4"/>
        </w:rPr>
        <w:t> </w:t>
      </w:r>
      <w:r>
        <w:rPr/>
        <w:t>had</w:t>
      </w:r>
      <w:r>
        <w:rPr>
          <w:spacing w:val="10"/>
        </w:rPr>
        <w:t> </w:t>
      </w:r>
      <w:r>
        <w:rPr/>
        <w:t>2-4</w:t>
      </w:r>
      <w:r>
        <w:rPr>
          <w:spacing w:val="4"/>
        </w:rPr>
        <w:t> </w:t>
      </w:r>
      <w:r>
        <w:rPr>
          <w:spacing w:val="-2"/>
        </w:rPr>
        <w:t>number</w:t>
      </w:r>
    </w:p>
    <w:p>
      <w:pPr>
        <w:spacing w:after="0" w:line="480" w:lineRule="auto"/>
        <w:sectPr>
          <w:pgSz w:w="11910" w:h="16840"/>
          <w:pgMar w:header="0" w:footer="1022" w:top="1420" w:bottom="1220" w:left="1680" w:right="900"/>
        </w:sectPr>
      </w:pPr>
    </w:p>
    <w:p>
      <w:pPr>
        <w:pStyle w:val="BodyText"/>
        <w:spacing w:line="480" w:lineRule="auto" w:before="72"/>
        <w:ind w:left="305" w:right="514"/>
      </w:pPr>
      <w:r>
        <w:rPr/>
        <w:t>of building units/ha. Housing submarkets that recorded the lowest number of buildings per area coverage are Eyagi, Project Quarters and GRA with &lt;2 number of building units/ha.</w:t>
      </w:r>
      <w:r>
        <w:rPr>
          <w:spacing w:val="-6"/>
        </w:rPr>
        <w:t> </w:t>
      </w:r>
      <w:r>
        <w:rPr/>
        <w:t>Figure</w:t>
      </w:r>
      <w:r>
        <w:rPr>
          <w:spacing w:val="-8"/>
        </w:rPr>
        <w:t> </w:t>
      </w:r>
      <w:r>
        <w:rPr/>
        <w:t>4.7</w:t>
      </w:r>
      <w:r>
        <w:rPr>
          <w:spacing w:val="-5"/>
        </w:rPr>
        <w:t> </w:t>
      </w:r>
      <w:r>
        <w:rPr/>
        <w:t>shows</w:t>
      </w:r>
      <w:r>
        <w:rPr>
          <w:spacing w:val="-6"/>
        </w:rPr>
        <w:t> </w:t>
      </w:r>
      <w:r>
        <w:rPr/>
        <w:t>a</w:t>
      </w:r>
      <w:r>
        <w:rPr>
          <w:spacing w:val="-6"/>
        </w:rPr>
        <w:t> </w:t>
      </w:r>
      <w:r>
        <w:rPr/>
        <w:t>satellite</w:t>
      </w:r>
      <w:r>
        <w:rPr>
          <w:spacing w:val="-7"/>
        </w:rPr>
        <w:t> </w:t>
      </w:r>
      <w:r>
        <w:rPr/>
        <w:t>image</w:t>
      </w:r>
      <w:r>
        <w:rPr>
          <w:spacing w:val="-6"/>
        </w:rPr>
        <w:t> </w:t>
      </w:r>
      <w:r>
        <w:rPr/>
        <w:t>of</w:t>
      </w:r>
      <w:r>
        <w:rPr>
          <w:spacing w:val="-5"/>
        </w:rPr>
        <w:t> </w:t>
      </w:r>
      <w:r>
        <w:rPr/>
        <w:t>AD9</w:t>
      </w:r>
      <w:r>
        <w:rPr>
          <w:spacing w:val="-5"/>
        </w:rPr>
        <w:t> </w:t>
      </w:r>
      <w:r>
        <w:rPr/>
        <w:t>in</w:t>
      </w:r>
      <w:r>
        <w:rPr>
          <w:spacing w:val="-6"/>
        </w:rPr>
        <w:t> </w:t>
      </w:r>
      <w:r>
        <w:rPr/>
        <w:t>GRA</w:t>
      </w:r>
      <w:r>
        <w:rPr>
          <w:spacing w:val="-6"/>
        </w:rPr>
        <w:t> </w:t>
      </w:r>
      <w:r>
        <w:rPr/>
        <w:t>submarket</w:t>
      </w:r>
      <w:r>
        <w:rPr>
          <w:spacing w:val="-6"/>
        </w:rPr>
        <w:t> </w:t>
      </w:r>
      <w:r>
        <w:rPr/>
        <w:t>for</w:t>
      </w:r>
      <w:r>
        <w:rPr>
          <w:spacing w:val="-6"/>
        </w:rPr>
        <w:t> </w:t>
      </w:r>
      <w:r>
        <w:rPr/>
        <w:t>the</w:t>
      </w:r>
      <w:r>
        <w:rPr>
          <w:spacing w:val="-2"/>
        </w:rPr>
        <w:t> </w:t>
      </w:r>
      <w:r>
        <w:rPr/>
        <w:t>year</w:t>
      </w:r>
      <w:r>
        <w:rPr>
          <w:spacing w:val="-6"/>
        </w:rPr>
        <w:t> </w:t>
      </w:r>
      <w:r>
        <w:rPr>
          <w:spacing w:val="-2"/>
        </w:rPr>
        <w:t>2013.</w:t>
      </w:r>
    </w:p>
    <w:p>
      <w:pPr>
        <w:pStyle w:val="BodyText"/>
        <w:spacing w:before="5"/>
        <w:jc w:val="left"/>
        <w:rPr>
          <w:sz w:val="19"/>
        </w:rPr>
      </w:pPr>
      <w:r>
        <w:rPr/>
        <w:drawing>
          <wp:anchor distT="0" distB="0" distL="0" distR="0" allowOverlap="1" layoutInCell="1" locked="0" behindDoc="1" simplePos="0" relativeHeight="487590912">
            <wp:simplePos x="0" y="0"/>
            <wp:positionH relativeFrom="page">
              <wp:posOffset>1435608</wp:posOffset>
            </wp:positionH>
            <wp:positionV relativeFrom="paragraph">
              <wp:posOffset>157569</wp:posOffset>
            </wp:positionV>
            <wp:extent cx="4977524" cy="4751070"/>
            <wp:effectExtent l="0" t="0" r="0" b="0"/>
            <wp:wrapTopAndBottom/>
            <wp:docPr id="21" name="Image 21" descr="C:\Users\RAMATU S. MOHAMMED\Desktop\Output\Building Units_Ha 2013.jpg"/>
            <wp:cNvGraphicFramePr>
              <a:graphicFrameLocks/>
            </wp:cNvGraphicFramePr>
            <a:graphic>
              <a:graphicData uri="http://schemas.openxmlformats.org/drawingml/2006/picture">
                <pic:pic>
                  <pic:nvPicPr>
                    <pic:cNvPr id="21" name="Image 21" descr="C:\Users\RAMATU S. MOHAMMED\Desktop\Output\Building Units_Ha 2013.jpg"/>
                    <pic:cNvPicPr/>
                  </pic:nvPicPr>
                  <pic:blipFill>
                    <a:blip r:embed="rId24" cstate="print"/>
                    <a:stretch>
                      <a:fillRect/>
                    </a:stretch>
                  </pic:blipFill>
                  <pic:spPr>
                    <a:xfrm>
                      <a:off x="0" y="0"/>
                      <a:ext cx="4977524" cy="4751070"/>
                    </a:xfrm>
                    <a:prstGeom prst="rect">
                      <a:avLst/>
                    </a:prstGeom>
                  </pic:spPr>
                </pic:pic>
              </a:graphicData>
            </a:graphic>
          </wp:anchor>
        </w:drawing>
      </w:r>
    </w:p>
    <w:p>
      <w:pPr>
        <w:spacing w:line="235" w:lineRule="auto" w:before="116"/>
        <w:ind w:left="2806" w:right="0" w:hanging="2495"/>
        <w:jc w:val="left"/>
        <w:rPr>
          <w:sz w:val="24"/>
        </w:rPr>
      </w:pPr>
      <w:r>
        <w:rPr>
          <w:b/>
          <w:sz w:val="24"/>
        </w:rPr>
        <w:t>Figure</w:t>
      </w:r>
      <w:r>
        <w:rPr>
          <w:b/>
          <w:spacing w:val="-4"/>
          <w:sz w:val="24"/>
        </w:rPr>
        <w:t> </w:t>
      </w:r>
      <w:r>
        <w:rPr>
          <w:b/>
          <w:sz w:val="24"/>
        </w:rPr>
        <w:t>4.6:</w:t>
      </w:r>
      <w:r>
        <w:rPr>
          <w:b/>
          <w:spacing w:val="-4"/>
          <w:sz w:val="24"/>
        </w:rPr>
        <w:t> </w:t>
      </w:r>
      <w:r>
        <w:rPr>
          <w:b/>
          <w:sz w:val="24"/>
        </w:rPr>
        <w:t>Number</w:t>
      </w:r>
      <w:r>
        <w:rPr>
          <w:b/>
          <w:spacing w:val="-4"/>
          <w:sz w:val="24"/>
        </w:rPr>
        <w:t> </w:t>
      </w:r>
      <w:r>
        <w:rPr>
          <w:b/>
          <w:sz w:val="24"/>
        </w:rPr>
        <w:t>of</w:t>
      </w:r>
      <w:r>
        <w:rPr>
          <w:b/>
          <w:spacing w:val="-3"/>
          <w:sz w:val="24"/>
        </w:rPr>
        <w:t> </w:t>
      </w:r>
      <w:r>
        <w:rPr>
          <w:b/>
          <w:sz w:val="24"/>
        </w:rPr>
        <w:t>Building</w:t>
      </w:r>
      <w:r>
        <w:rPr>
          <w:b/>
          <w:spacing w:val="-4"/>
          <w:sz w:val="24"/>
        </w:rPr>
        <w:t> </w:t>
      </w:r>
      <w:r>
        <w:rPr>
          <w:b/>
          <w:sz w:val="24"/>
        </w:rPr>
        <w:t>Units/Ha</w:t>
      </w:r>
      <w:r>
        <w:rPr>
          <w:b/>
          <w:spacing w:val="-1"/>
          <w:sz w:val="24"/>
        </w:rPr>
        <w:t> </w:t>
      </w:r>
      <w:r>
        <w:rPr>
          <w:b/>
          <w:sz w:val="24"/>
        </w:rPr>
        <w:t>by</w:t>
      </w:r>
      <w:r>
        <w:rPr>
          <w:b/>
          <w:spacing w:val="-4"/>
          <w:sz w:val="24"/>
        </w:rPr>
        <w:t> </w:t>
      </w:r>
      <w:r>
        <w:rPr>
          <w:b/>
          <w:sz w:val="24"/>
        </w:rPr>
        <w:t>Housing</w:t>
      </w:r>
      <w:r>
        <w:rPr>
          <w:b/>
          <w:spacing w:val="-4"/>
          <w:sz w:val="24"/>
        </w:rPr>
        <w:t> </w:t>
      </w:r>
      <w:r>
        <w:rPr>
          <w:b/>
          <w:sz w:val="24"/>
        </w:rPr>
        <w:t>Submarkets</w:t>
      </w:r>
      <w:r>
        <w:rPr>
          <w:b/>
          <w:spacing w:val="-3"/>
          <w:sz w:val="24"/>
        </w:rPr>
        <w:t> </w:t>
      </w:r>
      <w:r>
        <w:rPr>
          <w:b/>
          <w:sz w:val="24"/>
        </w:rPr>
        <w:t>in</w:t>
      </w:r>
      <w:r>
        <w:rPr>
          <w:b/>
          <w:spacing w:val="-3"/>
          <w:sz w:val="24"/>
        </w:rPr>
        <w:t> </w:t>
      </w:r>
      <w:r>
        <w:rPr>
          <w:b/>
          <w:sz w:val="24"/>
        </w:rPr>
        <w:t>the</w:t>
      </w:r>
      <w:r>
        <w:rPr>
          <w:b/>
          <w:spacing w:val="-4"/>
          <w:sz w:val="24"/>
        </w:rPr>
        <w:t> </w:t>
      </w:r>
      <w:r>
        <w:rPr>
          <w:b/>
          <w:sz w:val="24"/>
        </w:rPr>
        <w:t>Year</w:t>
      </w:r>
      <w:r>
        <w:rPr>
          <w:b/>
          <w:spacing w:val="-4"/>
          <w:sz w:val="24"/>
        </w:rPr>
        <w:t> </w:t>
      </w:r>
      <w:r>
        <w:rPr>
          <w:b/>
          <w:sz w:val="24"/>
        </w:rPr>
        <w:t>2013 Source: </w:t>
      </w:r>
      <w:r>
        <w:rPr>
          <w:sz w:val="24"/>
        </w:rPr>
        <w:t>Authors’ field survey, 2019</w:t>
      </w:r>
    </w:p>
    <w:p>
      <w:pPr>
        <w:spacing w:after="0" w:line="235" w:lineRule="auto"/>
        <w:jc w:val="left"/>
        <w:rPr>
          <w:sz w:val="24"/>
        </w:rPr>
        <w:sectPr>
          <w:pgSz w:w="11910" w:h="16840"/>
          <w:pgMar w:header="0" w:footer="1022" w:top="1320" w:bottom="1220" w:left="1680" w:right="900"/>
        </w:sectPr>
      </w:pPr>
    </w:p>
    <w:p>
      <w:pPr>
        <w:pStyle w:val="BodyText"/>
        <w:ind w:left="926"/>
        <w:jc w:val="left"/>
        <w:rPr>
          <w:sz w:val="20"/>
        </w:rPr>
      </w:pPr>
      <w:r>
        <w:rPr>
          <w:sz w:val="20"/>
        </w:rPr>
        <mc:AlternateContent>
          <mc:Choice Requires="wps">
            <w:drawing>
              <wp:inline distT="0" distB="0" distL="0" distR="0">
                <wp:extent cx="4610100" cy="4498975"/>
                <wp:effectExtent l="9525" t="0" r="0" b="6350"/>
                <wp:docPr id="22" name="Group 22" descr="C:\Users\RAMATU S. MOHAMMED\Desktop\Output\AD9.jpg"/>
                <wp:cNvGraphicFramePr>
                  <a:graphicFrameLocks/>
                </wp:cNvGraphicFramePr>
                <a:graphic>
                  <a:graphicData uri="http://schemas.microsoft.com/office/word/2010/wordprocessingGroup">
                    <wpg:wgp>
                      <wpg:cNvPr id="22" name="Group 22" descr="C:\Users\RAMATU S. MOHAMMED\Desktop\Output\AD9.jpg"/>
                      <wpg:cNvGrpSpPr/>
                      <wpg:grpSpPr>
                        <a:xfrm>
                          <a:off x="0" y="0"/>
                          <a:ext cx="4610100" cy="4498975"/>
                          <a:chExt cx="4610100" cy="4498975"/>
                        </a:xfrm>
                      </wpg:grpSpPr>
                      <pic:pic>
                        <pic:nvPicPr>
                          <pic:cNvPr id="23" name="Image 23" descr="C:\Users\RAMATU S. MOHAMMED\Desktop\Output\AD9.jpg"/>
                          <pic:cNvPicPr/>
                        </pic:nvPicPr>
                        <pic:blipFill>
                          <a:blip r:embed="rId25" cstate="print"/>
                          <a:stretch>
                            <a:fillRect/>
                          </a:stretch>
                        </pic:blipFill>
                        <pic:spPr>
                          <a:xfrm>
                            <a:off x="28955" y="28955"/>
                            <a:ext cx="4552188" cy="4440936"/>
                          </a:xfrm>
                          <a:prstGeom prst="rect">
                            <a:avLst/>
                          </a:prstGeom>
                        </pic:spPr>
                      </pic:pic>
                      <wps:wsp>
                        <wps:cNvPr id="24" name="Graphic 24"/>
                        <wps:cNvSpPr/>
                        <wps:spPr>
                          <a:xfrm>
                            <a:off x="14477" y="14477"/>
                            <a:ext cx="4581525" cy="4470400"/>
                          </a:xfrm>
                          <a:custGeom>
                            <a:avLst/>
                            <a:gdLst/>
                            <a:ahLst/>
                            <a:cxnLst/>
                            <a:rect l="l" t="t" r="r" b="b"/>
                            <a:pathLst>
                              <a:path w="4581525" h="4470400">
                                <a:moveTo>
                                  <a:pt x="0" y="4469892"/>
                                </a:moveTo>
                                <a:lnTo>
                                  <a:pt x="4581144" y="4469892"/>
                                </a:lnTo>
                                <a:lnTo>
                                  <a:pt x="4581144" y="0"/>
                                </a:lnTo>
                                <a:lnTo>
                                  <a:pt x="0" y="0"/>
                                </a:lnTo>
                                <a:lnTo>
                                  <a:pt x="0" y="4469892"/>
                                </a:lnTo>
                                <a:close/>
                              </a:path>
                            </a:pathLst>
                          </a:custGeom>
                          <a:ln w="2895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63pt;height:354.25pt;mso-position-horizontal-relative:char;mso-position-vertical-relative:line" id="docshapegroup8" coordorigin="0,0" coordsize="7260,7085" alt="C:\Users\RAMATU S. MOHAMMED\Desktop\Output\AD9.jpg">
                <v:shape style="position:absolute;left:45;top:45;width:7169;height:6994" type="#_x0000_t75" id="docshape9" alt="C:\Users\RAMATU S. MOHAMMED\Desktop\Output\AD9.jpg" stroked="false">
                  <v:imagedata r:id="rId25" o:title=""/>
                </v:shape>
                <v:rect style="position:absolute;left:22;top:22;width:7215;height:7040" id="docshape10" filled="false" stroked="true" strokeweight="2.280pt" strokecolor="#000000">
                  <v:stroke dashstyle="solid"/>
                </v:rect>
              </v:group>
            </w:pict>
          </mc:Fallback>
        </mc:AlternateContent>
      </w:r>
      <w:r>
        <w:rPr>
          <w:sz w:val="20"/>
        </w:rPr>
      </w:r>
    </w:p>
    <w:p>
      <w:pPr>
        <w:pStyle w:val="Heading1"/>
        <w:spacing w:line="235" w:lineRule="auto"/>
        <w:ind w:left="3190" w:right="390" w:hanging="2339"/>
        <w:jc w:val="left"/>
        <w:rPr>
          <w:b w:val="0"/>
        </w:rPr>
      </w:pPr>
      <w:r>
        <w:rPr/>
        <w:t>Figure</w:t>
      </w:r>
      <w:r>
        <w:rPr>
          <w:spacing w:val="-4"/>
        </w:rPr>
        <w:t> </w:t>
      </w:r>
      <w:r>
        <w:rPr/>
        <w:t>4.7:</w:t>
      </w:r>
      <w:r>
        <w:rPr>
          <w:spacing w:val="-3"/>
        </w:rPr>
        <w:t> </w:t>
      </w:r>
      <w:r>
        <w:rPr/>
        <w:t>Satellite</w:t>
      </w:r>
      <w:r>
        <w:rPr>
          <w:spacing w:val="-5"/>
        </w:rPr>
        <w:t> </w:t>
      </w:r>
      <w:r>
        <w:rPr/>
        <w:t>Image</w:t>
      </w:r>
      <w:r>
        <w:rPr>
          <w:spacing w:val="-4"/>
        </w:rPr>
        <w:t> </w:t>
      </w:r>
      <w:r>
        <w:rPr/>
        <w:t>of</w:t>
      </w:r>
      <w:r>
        <w:rPr>
          <w:spacing w:val="-2"/>
        </w:rPr>
        <w:t> </w:t>
      </w:r>
      <w:r>
        <w:rPr/>
        <w:t>AD9</w:t>
      </w:r>
      <w:r>
        <w:rPr>
          <w:spacing w:val="-3"/>
        </w:rPr>
        <w:t> </w:t>
      </w:r>
      <w:r>
        <w:rPr/>
        <w:t>in</w:t>
      </w:r>
      <w:r>
        <w:rPr>
          <w:spacing w:val="-2"/>
        </w:rPr>
        <w:t> </w:t>
      </w:r>
      <w:r>
        <w:rPr/>
        <w:t>GRA</w:t>
      </w:r>
      <w:r>
        <w:rPr>
          <w:spacing w:val="-4"/>
        </w:rPr>
        <w:t> </w:t>
      </w:r>
      <w:r>
        <w:rPr/>
        <w:t>Submarket</w:t>
      </w:r>
      <w:r>
        <w:rPr>
          <w:spacing w:val="-3"/>
        </w:rPr>
        <w:t> </w:t>
      </w:r>
      <w:r>
        <w:rPr/>
        <w:t>for</w:t>
      </w:r>
      <w:r>
        <w:rPr>
          <w:spacing w:val="-4"/>
        </w:rPr>
        <w:t> </w:t>
      </w:r>
      <w:r>
        <w:rPr/>
        <w:t>the</w:t>
      </w:r>
      <w:r>
        <w:rPr>
          <w:spacing w:val="-3"/>
        </w:rPr>
        <w:t> </w:t>
      </w:r>
      <w:r>
        <w:rPr/>
        <w:t>Year</w:t>
      </w:r>
      <w:r>
        <w:rPr>
          <w:spacing w:val="-4"/>
        </w:rPr>
        <w:t> </w:t>
      </w:r>
      <w:r>
        <w:rPr/>
        <w:t>2013 Source: </w:t>
      </w:r>
      <w:r>
        <w:rPr>
          <w:b w:val="0"/>
        </w:rPr>
        <w:t>Google Earth, 2019</w:t>
      </w:r>
    </w:p>
    <w:p>
      <w:pPr>
        <w:pStyle w:val="BodyText"/>
        <w:spacing w:before="218"/>
        <w:jc w:val="left"/>
      </w:pPr>
    </w:p>
    <w:p>
      <w:pPr>
        <w:pStyle w:val="BodyText"/>
        <w:spacing w:line="480" w:lineRule="auto" w:before="1"/>
        <w:ind w:left="305" w:right="513"/>
      </w:pPr>
      <w:r>
        <w:rPr/>
        <w:t>The</w:t>
      </w:r>
      <w:r>
        <w:rPr>
          <w:spacing w:val="-3"/>
        </w:rPr>
        <w:t> </w:t>
      </w:r>
      <w:r>
        <w:rPr/>
        <w:t>implication</w:t>
      </w:r>
      <w:r>
        <w:rPr>
          <w:spacing w:val="-1"/>
        </w:rPr>
        <w:t> </w:t>
      </w:r>
      <w:r>
        <w:rPr/>
        <w:t>of</w:t>
      </w:r>
      <w:r>
        <w:rPr>
          <w:spacing w:val="-2"/>
        </w:rPr>
        <w:t> </w:t>
      </w:r>
      <w:r>
        <w:rPr/>
        <w:t>this</w:t>
      </w:r>
      <w:r>
        <w:rPr>
          <w:spacing w:val="-1"/>
        </w:rPr>
        <w:t> </w:t>
      </w:r>
      <w:r>
        <w:rPr/>
        <w:t>result is</w:t>
      </w:r>
      <w:r>
        <w:rPr>
          <w:spacing w:val="-1"/>
        </w:rPr>
        <w:t> </w:t>
      </w:r>
      <w:r>
        <w:rPr/>
        <w:t>that large amount</w:t>
      </w:r>
      <w:r>
        <w:rPr>
          <w:spacing w:val="-1"/>
        </w:rPr>
        <w:t> </w:t>
      </w:r>
      <w:r>
        <w:rPr/>
        <w:t>of</w:t>
      </w:r>
      <w:r>
        <w:rPr>
          <w:spacing w:val="-2"/>
        </w:rPr>
        <w:t> </w:t>
      </w:r>
      <w:r>
        <w:rPr/>
        <w:t>variation</w:t>
      </w:r>
      <w:r>
        <w:rPr>
          <w:spacing w:val="-1"/>
        </w:rPr>
        <w:t> </w:t>
      </w:r>
      <w:r>
        <w:rPr/>
        <w:t>and</w:t>
      </w:r>
      <w:r>
        <w:rPr>
          <w:spacing w:val="-1"/>
        </w:rPr>
        <w:t> </w:t>
      </w:r>
      <w:r>
        <w:rPr/>
        <w:t>tremendous</w:t>
      </w:r>
      <w:r>
        <w:rPr>
          <w:spacing w:val="-1"/>
        </w:rPr>
        <w:t> </w:t>
      </w:r>
      <w:r>
        <w:rPr/>
        <w:t>transition in housing development in the housing submarket occurred during this period. The research therefore observed that there was high level of urban morphological transformation resulting from the increasing level of urbanisation that leads to high number</w:t>
      </w:r>
      <w:r>
        <w:rPr>
          <w:spacing w:val="-3"/>
        </w:rPr>
        <w:t> </w:t>
      </w:r>
      <w:r>
        <w:rPr/>
        <w:t>of</w:t>
      </w:r>
      <w:r>
        <w:rPr>
          <w:spacing w:val="-2"/>
        </w:rPr>
        <w:t> </w:t>
      </w:r>
      <w:r>
        <w:rPr/>
        <w:t>housing</w:t>
      </w:r>
      <w:r>
        <w:rPr>
          <w:spacing w:val="-3"/>
        </w:rPr>
        <w:t> </w:t>
      </w:r>
      <w:r>
        <w:rPr/>
        <w:t>units</w:t>
      </w:r>
      <w:r>
        <w:rPr>
          <w:spacing w:val="-3"/>
        </w:rPr>
        <w:t> </w:t>
      </w:r>
      <w:r>
        <w:rPr/>
        <w:t>in</w:t>
      </w:r>
      <w:r>
        <w:rPr>
          <w:spacing w:val="-1"/>
        </w:rPr>
        <w:t> </w:t>
      </w:r>
      <w:r>
        <w:rPr/>
        <w:t>the</w:t>
      </w:r>
      <w:r>
        <w:rPr>
          <w:spacing w:val="-2"/>
        </w:rPr>
        <w:t> </w:t>
      </w:r>
      <w:r>
        <w:rPr/>
        <w:t>housing</w:t>
      </w:r>
      <w:r>
        <w:rPr>
          <w:spacing w:val="-4"/>
        </w:rPr>
        <w:t> </w:t>
      </w:r>
      <w:r>
        <w:rPr/>
        <w:t>market,</w:t>
      </w:r>
      <w:r>
        <w:rPr>
          <w:spacing w:val="-1"/>
        </w:rPr>
        <w:t> </w:t>
      </w:r>
      <w:r>
        <w:rPr/>
        <w:t>which contributed</w:t>
      </w:r>
      <w:r>
        <w:rPr>
          <w:spacing w:val="-1"/>
        </w:rPr>
        <w:t> </w:t>
      </w:r>
      <w:r>
        <w:rPr/>
        <w:t>to</w:t>
      </w:r>
      <w:r>
        <w:rPr>
          <w:spacing w:val="-1"/>
        </w:rPr>
        <w:t> </w:t>
      </w:r>
      <w:r>
        <w:rPr/>
        <w:t>how</w:t>
      </w:r>
      <w:r>
        <w:rPr>
          <w:spacing w:val="-2"/>
        </w:rPr>
        <w:t> </w:t>
      </w:r>
      <w:r>
        <w:rPr/>
        <w:t>the</w:t>
      </w:r>
      <w:r>
        <w:rPr>
          <w:spacing w:val="-2"/>
        </w:rPr>
        <w:t> </w:t>
      </w:r>
      <w:r>
        <w:rPr/>
        <w:t>urban</w:t>
      </w:r>
      <w:r>
        <w:rPr>
          <w:spacing w:val="-1"/>
        </w:rPr>
        <w:t> </w:t>
      </w:r>
      <w:r>
        <w:rPr/>
        <w:t>area looks</w:t>
      </w:r>
      <w:r>
        <w:rPr>
          <w:spacing w:val="-5"/>
        </w:rPr>
        <w:t> </w:t>
      </w:r>
      <w:r>
        <w:rPr/>
        <w:t>like</w:t>
      </w:r>
      <w:r>
        <w:rPr>
          <w:spacing w:val="-6"/>
        </w:rPr>
        <w:t> </w:t>
      </w:r>
      <w:r>
        <w:rPr/>
        <w:t>and</w:t>
      </w:r>
      <w:r>
        <w:rPr>
          <w:spacing w:val="-6"/>
        </w:rPr>
        <w:t> </w:t>
      </w:r>
      <w:r>
        <w:rPr/>
        <w:t>shapes</w:t>
      </w:r>
      <w:r>
        <w:rPr>
          <w:spacing w:val="-6"/>
        </w:rPr>
        <w:t> </w:t>
      </w:r>
      <w:r>
        <w:rPr/>
        <w:t>the</w:t>
      </w:r>
      <w:r>
        <w:rPr>
          <w:spacing w:val="-6"/>
        </w:rPr>
        <w:t> </w:t>
      </w:r>
      <w:r>
        <w:rPr/>
        <w:t>future</w:t>
      </w:r>
      <w:r>
        <w:rPr>
          <w:spacing w:val="-6"/>
        </w:rPr>
        <w:t> </w:t>
      </w:r>
      <w:r>
        <w:rPr/>
        <w:t>of</w:t>
      </w:r>
      <w:r>
        <w:rPr>
          <w:spacing w:val="-6"/>
        </w:rPr>
        <w:t> </w:t>
      </w:r>
      <w:r>
        <w:rPr/>
        <w:t>urban</w:t>
      </w:r>
      <w:r>
        <w:rPr>
          <w:spacing w:val="-6"/>
        </w:rPr>
        <w:t> </w:t>
      </w:r>
      <w:r>
        <w:rPr/>
        <w:t>development</w:t>
      </w:r>
      <w:r>
        <w:rPr>
          <w:spacing w:val="-5"/>
        </w:rPr>
        <w:t> </w:t>
      </w:r>
      <w:r>
        <w:rPr/>
        <w:t>and</w:t>
      </w:r>
      <w:r>
        <w:rPr>
          <w:spacing w:val="-6"/>
        </w:rPr>
        <w:t> </w:t>
      </w:r>
      <w:r>
        <w:rPr/>
        <w:t>the</w:t>
      </w:r>
      <w:r>
        <w:rPr>
          <w:spacing w:val="-3"/>
        </w:rPr>
        <w:t> </w:t>
      </w:r>
      <w:r>
        <w:rPr/>
        <w:t>overall</w:t>
      </w:r>
      <w:r>
        <w:rPr>
          <w:spacing w:val="-5"/>
        </w:rPr>
        <w:t> </w:t>
      </w:r>
      <w:r>
        <w:rPr/>
        <w:t>image</w:t>
      </w:r>
      <w:r>
        <w:rPr>
          <w:spacing w:val="-5"/>
        </w:rPr>
        <w:t> </w:t>
      </w:r>
      <w:r>
        <w:rPr/>
        <w:t>of</w:t>
      </w:r>
      <w:r>
        <w:rPr>
          <w:spacing w:val="-6"/>
        </w:rPr>
        <w:t> </w:t>
      </w:r>
      <w:r>
        <w:rPr/>
        <w:t>the</w:t>
      </w:r>
      <w:r>
        <w:rPr>
          <w:spacing w:val="-6"/>
        </w:rPr>
        <w:t> </w:t>
      </w:r>
      <w:r>
        <w:rPr/>
        <w:t>town. This could one way</w:t>
      </w:r>
      <w:r>
        <w:rPr>
          <w:spacing w:val="-4"/>
        </w:rPr>
        <w:t> </w:t>
      </w:r>
      <w:r>
        <w:rPr/>
        <w:t>or the other</w:t>
      </w:r>
      <w:r>
        <w:rPr>
          <w:spacing w:val="-1"/>
        </w:rPr>
        <w:t> </w:t>
      </w:r>
      <w:r>
        <w:rPr/>
        <w:t>have impact on a number</w:t>
      </w:r>
      <w:r>
        <w:rPr>
          <w:spacing w:val="-1"/>
        </w:rPr>
        <w:t> </w:t>
      </w:r>
      <w:r>
        <w:rPr/>
        <w:t>of housing</w:t>
      </w:r>
      <w:r>
        <w:rPr>
          <w:spacing w:val="-2"/>
        </w:rPr>
        <w:t> </w:t>
      </w:r>
      <w:r>
        <w:rPr/>
        <w:t>economics such as housing affordability, housing supply, housing demand and the housing market which includes the rental value of residential apartments.</w:t>
      </w:r>
    </w:p>
    <w:p>
      <w:pPr>
        <w:spacing w:after="0" w:line="480" w:lineRule="auto"/>
        <w:sectPr>
          <w:pgSz w:w="11910" w:h="16840"/>
          <w:pgMar w:header="0" w:footer="1022" w:top="1420" w:bottom="1220" w:left="1680" w:right="900"/>
        </w:sectPr>
      </w:pPr>
    </w:p>
    <w:p>
      <w:pPr>
        <w:pStyle w:val="BodyText"/>
        <w:spacing w:line="480" w:lineRule="auto" w:before="72"/>
        <w:ind w:left="305" w:right="513"/>
      </w:pPr>
      <w:r>
        <w:rPr/>
        <w:t>Urban densification in Bida proceeds in an unstructured manner in the year 2018. The study</w:t>
      </w:r>
      <w:r>
        <w:rPr>
          <w:spacing w:val="-11"/>
        </w:rPr>
        <w:t> </w:t>
      </w:r>
      <w:r>
        <w:rPr/>
        <w:t>shows</w:t>
      </w:r>
      <w:r>
        <w:rPr>
          <w:spacing w:val="-3"/>
        </w:rPr>
        <w:t> </w:t>
      </w:r>
      <w:r>
        <w:rPr/>
        <w:t>in</w:t>
      </w:r>
      <w:r>
        <w:rPr>
          <w:spacing w:val="-3"/>
        </w:rPr>
        <w:t> </w:t>
      </w:r>
      <w:r>
        <w:rPr/>
        <w:t>Figure</w:t>
      </w:r>
      <w:r>
        <w:rPr>
          <w:spacing w:val="-5"/>
        </w:rPr>
        <w:t> </w:t>
      </w:r>
      <w:r>
        <w:rPr/>
        <w:t>4.8</w:t>
      </w:r>
      <w:r>
        <w:rPr>
          <w:spacing w:val="-2"/>
        </w:rPr>
        <w:t> </w:t>
      </w:r>
      <w:r>
        <w:rPr/>
        <w:t>that</w:t>
      </w:r>
      <w:r>
        <w:rPr>
          <w:spacing w:val="-3"/>
        </w:rPr>
        <w:t> </w:t>
      </w:r>
      <w:r>
        <w:rPr/>
        <w:t>the</w:t>
      </w:r>
      <w:r>
        <w:rPr>
          <w:spacing w:val="-4"/>
        </w:rPr>
        <w:t> </w:t>
      </w:r>
      <w:r>
        <w:rPr/>
        <w:t>Town</w:t>
      </w:r>
      <w:r>
        <w:rPr>
          <w:spacing w:val="-3"/>
        </w:rPr>
        <w:t> </w:t>
      </w:r>
      <w:r>
        <w:rPr/>
        <w:t>and</w:t>
      </w:r>
      <w:r>
        <w:rPr>
          <w:spacing w:val="-6"/>
        </w:rPr>
        <w:t> </w:t>
      </w:r>
      <w:r>
        <w:rPr/>
        <w:t>Gbazhi</w:t>
      </w:r>
      <w:r>
        <w:rPr>
          <w:spacing w:val="-3"/>
        </w:rPr>
        <w:t> </w:t>
      </w:r>
      <w:r>
        <w:rPr/>
        <w:t>housing</w:t>
      </w:r>
      <w:r>
        <w:rPr>
          <w:spacing w:val="-5"/>
        </w:rPr>
        <w:t> </w:t>
      </w:r>
      <w:r>
        <w:rPr/>
        <w:t>submarkets</w:t>
      </w:r>
      <w:r>
        <w:rPr>
          <w:spacing w:val="-3"/>
        </w:rPr>
        <w:t> </w:t>
      </w:r>
      <w:r>
        <w:rPr/>
        <w:t>records</w:t>
      </w:r>
      <w:r>
        <w:rPr>
          <w:spacing w:val="-3"/>
        </w:rPr>
        <w:t> </w:t>
      </w:r>
      <w:r>
        <w:rPr/>
        <w:t>highest number of buildings per area coverage with &gt;10 building units/ha each. The study also reveals that Rahmatu Dangana and Wadata had 7-8 and 5-6 number of building units/ha each respectively in that year, and by implication made us to understand that Eyagi and Project Quarters had lowest number of buildings per area coverage with &lt;2 building units/ha each. This has been further proven by Figure 4.9 showing satellite image of AD13 in Eyagi submarket for the year 2018.</w:t>
      </w:r>
    </w:p>
    <w:p>
      <w:pPr>
        <w:pStyle w:val="BodyText"/>
        <w:spacing w:before="46"/>
        <w:jc w:val="left"/>
        <w:rPr>
          <w:sz w:val="20"/>
        </w:rPr>
      </w:pPr>
      <w:r>
        <w:rPr/>
        <w:drawing>
          <wp:anchor distT="0" distB="0" distL="0" distR="0" allowOverlap="1" layoutInCell="1" locked="0" behindDoc="1" simplePos="0" relativeHeight="487591936">
            <wp:simplePos x="0" y="0"/>
            <wp:positionH relativeFrom="page">
              <wp:posOffset>1412747</wp:posOffset>
            </wp:positionH>
            <wp:positionV relativeFrom="paragraph">
              <wp:posOffset>190928</wp:posOffset>
            </wp:positionV>
            <wp:extent cx="4981528" cy="4751070"/>
            <wp:effectExtent l="0" t="0" r="0" b="0"/>
            <wp:wrapTopAndBottom/>
            <wp:docPr id="25" name="Image 25" descr="C:\Users\RAMATU S. MOHAMMED\Desktop\Output\Building Units_Ha 2018.jpg"/>
            <wp:cNvGraphicFramePr>
              <a:graphicFrameLocks/>
            </wp:cNvGraphicFramePr>
            <a:graphic>
              <a:graphicData uri="http://schemas.openxmlformats.org/drawingml/2006/picture">
                <pic:pic>
                  <pic:nvPicPr>
                    <pic:cNvPr id="25" name="Image 25" descr="C:\Users\RAMATU S. MOHAMMED\Desktop\Output\Building Units_Ha 2018.jpg"/>
                    <pic:cNvPicPr/>
                  </pic:nvPicPr>
                  <pic:blipFill>
                    <a:blip r:embed="rId26" cstate="print"/>
                    <a:stretch>
                      <a:fillRect/>
                    </a:stretch>
                  </pic:blipFill>
                  <pic:spPr>
                    <a:xfrm>
                      <a:off x="0" y="0"/>
                      <a:ext cx="4981528" cy="4751070"/>
                    </a:xfrm>
                    <a:prstGeom prst="rect">
                      <a:avLst/>
                    </a:prstGeom>
                  </pic:spPr>
                </pic:pic>
              </a:graphicData>
            </a:graphic>
          </wp:anchor>
        </w:drawing>
      </w:r>
    </w:p>
    <w:p>
      <w:pPr>
        <w:spacing w:line="235" w:lineRule="auto" w:before="117"/>
        <w:ind w:left="2806" w:right="0" w:hanging="2495"/>
        <w:jc w:val="left"/>
        <w:rPr>
          <w:sz w:val="24"/>
        </w:rPr>
      </w:pPr>
      <w:r>
        <w:rPr>
          <w:b/>
          <w:sz w:val="24"/>
        </w:rPr>
        <w:t>Figure</w:t>
      </w:r>
      <w:r>
        <w:rPr>
          <w:b/>
          <w:spacing w:val="-4"/>
          <w:sz w:val="24"/>
        </w:rPr>
        <w:t> </w:t>
      </w:r>
      <w:r>
        <w:rPr>
          <w:b/>
          <w:sz w:val="24"/>
        </w:rPr>
        <w:t>4.8:</w:t>
      </w:r>
      <w:r>
        <w:rPr>
          <w:b/>
          <w:spacing w:val="-4"/>
          <w:sz w:val="24"/>
        </w:rPr>
        <w:t> </w:t>
      </w:r>
      <w:r>
        <w:rPr>
          <w:b/>
          <w:sz w:val="24"/>
        </w:rPr>
        <w:t>Number</w:t>
      </w:r>
      <w:r>
        <w:rPr>
          <w:b/>
          <w:spacing w:val="-4"/>
          <w:sz w:val="24"/>
        </w:rPr>
        <w:t> </w:t>
      </w:r>
      <w:r>
        <w:rPr>
          <w:b/>
          <w:sz w:val="24"/>
        </w:rPr>
        <w:t>of</w:t>
      </w:r>
      <w:r>
        <w:rPr>
          <w:b/>
          <w:spacing w:val="-3"/>
          <w:sz w:val="24"/>
        </w:rPr>
        <w:t> </w:t>
      </w:r>
      <w:r>
        <w:rPr>
          <w:b/>
          <w:sz w:val="24"/>
        </w:rPr>
        <w:t>Building</w:t>
      </w:r>
      <w:r>
        <w:rPr>
          <w:b/>
          <w:spacing w:val="-4"/>
          <w:sz w:val="24"/>
        </w:rPr>
        <w:t> </w:t>
      </w:r>
      <w:r>
        <w:rPr>
          <w:b/>
          <w:sz w:val="24"/>
        </w:rPr>
        <w:t>Units/Ha</w:t>
      </w:r>
      <w:r>
        <w:rPr>
          <w:b/>
          <w:spacing w:val="-1"/>
          <w:sz w:val="24"/>
        </w:rPr>
        <w:t> </w:t>
      </w:r>
      <w:r>
        <w:rPr>
          <w:b/>
          <w:sz w:val="24"/>
        </w:rPr>
        <w:t>by</w:t>
      </w:r>
      <w:r>
        <w:rPr>
          <w:b/>
          <w:spacing w:val="-4"/>
          <w:sz w:val="24"/>
        </w:rPr>
        <w:t> </w:t>
      </w:r>
      <w:r>
        <w:rPr>
          <w:b/>
          <w:sz w:val="24"/>
        </w:rPr>
        <w:t>Housing</w:t>
      </w:r>
      <w:r>
        <w:rPr>
          <w:b/>
          <w:spacing w:val="-4"/>
          <w:sz w:val="24"/>
        </w:rPr>
        <w:t> </w:t>
      </w:r>
      <w:r>
        <w:rPr>
          <w:b/>
          <w:sz w:val="24"/>
        </w:rPr>
        <w:t>Submarkets</w:t>
      </w:r>
      <w:r>
        <w:rPr>
          <w:b/>
          <w:spacing w:val="-4"/>
          <w:sz w:val="24"/>
        </w:rPr>
        <w:t> </w:t>
      </w:r>
      <w:r>
        <w:rPr>
          <w:b/>
          <w:sz w:val="24"/>
        </w:rPr>
        <w:t>in</w:t>
      </w:r>
      <w:r>
        <w:rPr>
          <w:b/>
          <w:spacing w:val="-4"/>
          <w:sz w:val="24"/>
        </w:rPr>
        <w:t> </w:t>
      </w:r>
      <w:r>
        <w:rPr>
          <w:b/>
          <w:sz w:val="24"/>
        </w:rPr>
        <w:t>the</w:t>
      </w:r>
      <w:r>
        <w:rPr>
          <w:b/>
          <w:spacing w:val="-4"/>
          <w:sz w:val="24"/>
        </w:rPr>
        <w:t> </w:t>
      </w:r>
      <w:r>
        <w:rPr>
          <w:b/>
          <w:sz w:val="24"/>
        </w:rPr>
        <w:t>Year</w:t>
      </w:r>
      <w:r>
        <w:rPr>
          <w:b/>
          <w:spacing w:val="-4"/>
          <w:sz w:val="24"/>
        </w:rPr>
        <w:t> </w:t>
      </w:r>
      <w:r>
        <w:rPr>
          <w:b/>
          <w:sz w:val="24"/>
        </w:rPr>
        <w:t>2018 Source: </w:t>
      </w:r>
      <w:r>
        <w:rPr>
          <w:sz w:val="24"/>
        </w:rPr>
        <w:t>Authors’ field survey, 2019</w:t>
      </w:r>
    </w:p>
    <w:p>
      <w:pPr>
        <w:spacing w:after="0" w:line="235" w:lineRule="auto"/>
        <w:jc w:val="left"/>
        <w:rPr>
          <w:sz w:val="24"/>
        </w:rPr>
        <w:sectPr>
          <w:pgSz w:w="11910" w:h="16840"/>
          <w:pgMar w:header="0" w:footer="1022" w:top="1320" w:bottom="1220" w:left="1680" w:right="900"/>
        </w:sectPr>
      </w:pPr>
    </w:p>
    <w:p>
      <w:pPr>
        <w:pStyle w:val="BodyText"/>
        <w:ind w:left="971"/>
        <w:jc w:val="left"/>
        <w:rPr>
          <w:sz w:val="20"/>
        </w:rPr>
      </w:pPr>
      <w:r>
        <w:rPr>
          <w:sz w:val="20"/>
        </w:rPr>
        <mc:AlternateContent>
          <mc:Choice Requires="wps">
            <w:drawing>
              <wp:inline distT="0" distB="0" distL="0" distR="0">
                <wp:extent cx="4563110" cy="4441190"/>
                <wp:effectExtent l="9525" t="0" r="0" b="6985"/>
                <wp:docPr id="26" name="Group 26" descr="C:\Users\RAMATU S. MOHAMMED\Desktop\Output\AD13.jpg"/>
                <wp:cNvGraphicFramePr>
                  <a:graphicFrameLocks/>
                </wp:cNvGraphicFramePr>
                <a:graphic>
                  <a:graphicData uri="http://schemas.microsoft.com/office/word/2010/wordprocessingGroup">
                    <wpg:wgp>
                      <wpg:cNvPr id="26" name="Group 26" descr="C:\Users\RAMATU S. MOHAMMED\Desktop\Output\AD13.jpg"/>
                      <wpg:cNvGrpSpPr/>
                      <wpg:grpSpPr>
                        <a:xfrm>
                          <a:off x="0" y="0"/>
                          <a:ext cx="4563110" cy="4441190"/>
                          <a:chExt cx="4563110" cy="4441190"/>
                        </a:xfrm>
                      </wpg:grpSpPr>
                      <pic:pic>
                        <pic:nvPicPr>
                          <pic:cNvPr id="27" name="Image 27" descr="C:\Users\RAMATU S. MOHAMMED\Desktop\Output\AD13.jpg"/>
                          <pic:cNvPicPr/>
                        </pic:nvPicPr>
                        <pic:blipFill>
                          <a:blip r:embed="rId27" cstate="print"/>
                          <a:stretch>
                            <a:fillRect/>
                          </a:stretch>
                        </pic:blipFill>
                        <pic:spPr>
                          <a:xfrm>
                            <a:off x="28955" y="28955"/>
                            <a:ext cx="4488320" cy="4383024"/>
                          </a:xfrm>
                          <a:prstGeom prst="rect">
                            <a:avLst/>
                          </a:prstGeom>
                        </pic:spPr>
                      </pic:pic>
                      <wps:wsp>
                        <wps:cNvPr id="28" name="Graphic 28"/>
                        <wps:cNvSpPr/>
                        <wps:spPr>
                          <a:xfrm>
                            <a:off x="14477" y="14477"/>
                            <a:ext cx="4533900" cy="4411980"/>
                          </a:xfrm>
                          <a:custGeom>
                            <a:avLst/>
                            <a:gdLst/>
                            <a:ahLst/>
                            <a:cxnLst/>
                            <a:rect l="l" t="t" r="r" b="b"/>
                            <a:pathLst>
                              <a:path w="4533900" h="4411980">
                                <a:moveTo>
                                  <a:pt x="0" y="4411980"/>
                                </a:moveTo>
                                <a:lnTo>
                                  <a:pt x="4533900" y="4411980"/>
                                </a:lnTo>
                                <a:lnTo>
                                  <a:pt x="4533900" y="0"/>
                                </a:lnTo>
                                <a:lnTo>
                                  <a:pt x="0" y="0"/>
                                </a:lnTo>
                                <a:lnTo>
                                  <a:pt x="0" y="4411980"/>
                                </a:lnTo>
                                <a:close/>
                              </a:path>
                            </a:pathLst>
                          </a:custGeom>
                          <a:ln w="2895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59.3pt;height:349.7pt;mso-position-horizontal-relative:char;mso-position-vertical-relative:line" id="docshapegroup11" coordorigin="0,0" coordsize="7186,6994" alt="C:\Users\RAMATU S. MOHAMMED\Desktop\Output\AD13.jpg">
                <v:shape style="position:absolute;left:45;top:45;width:7069;height:6903" type="#_x0000_t75" id="docshape12" alt="C:\Users\RAMATU S. MOHAMMED\Desktop\Output\AD13.jpg" stroked="false">
                  <v:imagedata r:id="rId27" o:title=""/>
                </v:shape>
                <v:rect style="position:absolute;left:22;top:22;width:7140;height:6948" id="docshape13" filled="false" stroked="true" strokeweight="2.280pt" strokecolor="#000000">
                  <v:stroke dashstyle="solid"/>
                </v:rect>
              </v:group>
            </w:pict>
          </mc:Fallback>
        </mc:AlternateContent>
      </w:r>
      <w:r>
        <w:rPr>
          <w:sz w:val="20"/>
        </w:rPr>
      </w:r>
    </w:p>
    <w:p>
      <w:pPr>
        <w:pStyle w:val="Heading1"/>
        <w:spacing w:line="235" w:lineRule="auto"/>
        <w:ind w:left="3190" w:right="513" w:hanging="2425"/>
        <w:jc w:val="left"/>
        <w:rPr>
          <w:b w:val="0"/>
        </w:rPr>
      </w:pPr>
      <w:r>
        <w:rPr/>
        <w:t>Figure</w:t>
      </w:r>
      <w:r>
        <w:rPr>
          <w:spacing w:val="-4"/>
        </w:rPr>
        <w:t> </w:t>
      </w:r>
      <w:r>
        <w:rPr/>
        <w:t>4.9:</w:t>
      </w:r>
      <w:r>
        <w:rPr>
          <w:spacing w:val="-3"/>
        </w:rPr>
        <w:t> </w:t>
      </w:r>
      <w:r>
        <w:rPr/>
        <w:t>Satellite</w:t>
      </w:r>
      <w:r>
        <w:rPr>
          <w:spacing w:val="-5"/>
        </w:rPr>
        <w:t> </w:t>
      </w:r>
      <w:r>
        <w:rPr/>
        <w:t>Image</w:t>
      </w:r>
      <w:r>
        <w:rPr>
          <w:spacing w:val="-4"/>
        </w:rPr>
        <w:t> </w:t>
      </w:r>
      <w:r>
        <w:rPr/>
        <w:t>of</w:t>
      </w:r>
      <w:r>
        <w:rPr>
          <w:spacing w:val="-2"/>
        </w:rPr>
        <w:t> </w:t>
      </w:r>
      <w:r>
        <w:rPr/>
        <w:t>AD13</w:t>
      </w:r>
      <w:r>
        <w:rPr>
          <w:spacing w:val="-3"/>
        </w:rPr>
        <w:t> </w:t>
      </w:r>
      <w:r>
        <w:rPr/>
        <w:t>in</w:t>
      </w:r>
      <w:r>
        <w:rPr>
          <w:spacing w:val="-2"/>
        </w:rPr>
        <w:t> </w:t>
      </w:r>
      <w:r>
        <w:rPr/>
        <w:t>Eyagi</w:t>
      </w:r>
      <w:r>
        <w:rPr>
          <w:spacing w:val="-3"/>
        </w:rPr>
        <w:t> </w:t>
      </w:r>
      <w:r>
        <w:rPr/>
        <w:t>Submarket</w:t>
      </w:r>
      <w:r>
        <w:rPr>
          <w:spacing w:val="-3"/>
        </w:rPr>
        <w:t> </w:t>
      </w:r>
      <w:r>
        <w:rPr/>
        <w:t>for</w:t>
      </w:r>
      <w:r>
        <w:rPr>
          <w:spacing w:val="-4"/>
        </w:rPr>
        <w:t> </w:t>
      </w:r>
      <w:r>
        <w:rPr/>
        <w:t>the</w:t>
      </w:r>
      <w:r>
        <w:rPr>
          <w:spacing w:val="-3"/>
        </w:rPr>
        <w:t> </w:t>
      </w:r>
      <w:r>
        <w:rPr/>
        <w:t>Year</w:t>
      </w:r>
      <w:r>
        <w:rPr>
          <w:spacing w:val="-2"/>
        </w:rPr>
        <w:t> </w:t>
      </w:r>
      <w:r>
        <w:rPr/>
        <w:t>2018 Source: </w:t>
      </w:r>
      <w:r>
        <w:rPr>
          <w:b w:val="0"/>
        </w:rPr>
        <w:t>Google Earth, 2019</w:t>
      </w:r>
    </w:p>
    <w:p>
      <w:pPr>
        <w:pStyle w:val="BodyText"/>
        <w:spacing w:before="220"/>
        <w:jc w:val="left"/>
      </w:pPr>
    </w:p>
    <w:p>
      <w:pPr>
        <w:pStyle w:val="BodyText"/>
        <w:spacing w:line="480" w:lineRule="auto"/>
        <w:ind w:left="305" w:right="511"/>
      </w:pPr>
      <w:r>
        <w:rPr/>
        <w:t>The pattern of residential development demonstrates urbanisation level that has almost reach it peak.</w:t>
      </w:r>
      <w:r>
        <w:rPr>
          <w:spacing w:val="40"/>
        </w:rPr>
        <w:t> </w:t>
      </w:r>
      <w:r>
        <w:rPr/>
        <w:t>This result indicates that the housing submarkets had high number of buildings</w:t>
      </w:r>
      <w:r>
        <w:rPr>
          <w:spacing w:val="-2"/>
        </w:rPr>
        <w:t> </w:t>
      </w:r>
      <w:r>
        <w:rPr/>
        <w:t>in</w:t>
      </w:r>
      <w:r>
        <w:rPr>
          <w:spacing w:val="-2"/>
        </w:rPr>
        <w:t> </w:t>
      </w:r>
      <w:r>
        <w:rPr/>
        <w:t>the</w:t>
      </w:r>
      <w:r>
        <w:rPr>
          <w:spacing w:val="-1"/>
        </w:rPr>
        <w:t> </w:t>
      </w:r>
      <w:r>
        <w:rPr/>
        <w:t>total</w:t>
      </w:r>
      <w:r>
        <w:rPr>
          <w:spacing w:val="-2"/>
        </w:rPr>
        <w:t> </w:t>
      </w:r>
      <w:r>
        <w:rPr/>
        <w:t>area</w:t>
      </w:r>
      <w:r>
        <w:rPr>
          <w:spacing w:val="-1"/>
        </w:rPr>
        <w:t> </w:t>
      </w:r>
      <w:r>
        <w:rPr/>
        <w:t>coverage</w:t>
      </w:r>
      <w:r>
        <w:rPr>
          <w:spacing w:val="-1"/>
        </w:rPr>
        <w:t> </w:t>
      </w:r>
      <w:r>
        <w:rPr/>
        <w:t>which indicates</w:t>
      </w:r>
      <w:r>
        <w:rPr>
          <w:spacing w:val="-2"/>
        </w:rPr>
        <w:t> </w:t>
      </w:r>
      <w:r>
        <w:rPr/>
        <w:t>that</w:t>
      </w:r>
      <w:r>
        <w:rPr>
          <w:spacing w:val="-2"/>
        </w:rPr>
        <w:t> </w:t>
      </w:r>
      <w:r>
        <w:rPr/>
        <w:t>larger</w:t>
      </w:r>
      <w:r>
        <w:rPr>
          <w:spacing w:val="-2"/>
        </w:rPr>
        <w:t> </w:t>
      </w:r>
      <w:r>
        <w:rPr/>
        <w:t>parts</w:t>
      </w:r>
      <w:r>
        <w:rPr>
          <w:spacing w:val="-2"/>
        </w:rPr>
        <w:t> </w:t>
      </w:r>
      <w:r>
        <w:rPr/>
        <w:t>of</w:t>
      </w:r>
      <w:r>
        <w:rPr>
          <w:spacing w:val="-1"/>
        </w:rPr>
        <w:t> </w:t>
      </w:r>
      <w:r>
        <w:rPr/>
        <w:t>the</w:t>
      </w:r>
      <w:r>
        <w:rPr>
          <w:spacing w:val="-1"/>
        </w:rPr>
        <w:t> </w:t>
      </w:r>
      <w:r>
        <w:rPr/>
        <w:t>area</w:t>
      </w:r>
      <w:r>
        <w:rPr>
          <w:spacing w:val="-1"/>
        </w:rPr>
        <w:t> </w:t>
      </w:r>
      <w:r>
        <w:rPr/>
        <w:t>coverage of these submarkets have already</w:t>
      </w:r>
      <w:r>
        <w:rPr>
          <w:spacing w:val="-4"/>
        </w:rPr>
        <w:t> </w:t>
      </w:r>
      <w:r>
        <w:rPr/>
        <w:t>been exhausted. This confirms Broitman and Koomen (2015) findings where wide variation in residential density among neighbourhoods was observed.</w:t>
      </w:r>
      <w:r>
        <w:rPr>
          <w:spacing w:val="-9"/>
        </w:rPr>
        <w:t> </w:t>
      </w:r>
      <w:r>
        <w:rPr/>
        <w:t>The</w:t>
      </w:r>
      <w:r>
        <w:rPr>
          <w:spacing w:val="-9"/>
        </w:rPr>
        <w:t> </w:t>
      </w:r>
      <w:r>
        <w:rPr/>
        <w:t>implication</w:t>
      </w:r>
      <w:r>
        <w:rPr>
          <w:spacing w:val="-9"/>
        </w:rPr>
        <w:t> </w:t>
      </w:r>
      <w:r>
        <w:rPr/>
        <w:t>of</w:t>
      </w:r>
      <w:r>
        <w:rPr>
          <w:spacing w:val="-9"/>
        </w:rPr>
        <w:t> </w:t>
      </w:r>
      <w:r>
        <w:rPr/>
        <w:t>the</w:t>
      </w:r>
      <w:r>
        <w:rPr>
          <w:spacing w:val="-7"/>
        </w:rPr>
        <w:t> </w:t>
      </w:r>
      <w:r>
        <w:rPr/>
        <w:t>above</w:t>
      </w:r>
      <w:r>
        <w:rPr>
          <w:spacing w:val="-7"/>
        </w:rPr>
        <w:t> </w:t>
      </w:r>
      <w:r>
        <w:rPr/>
        <w:t>is</w:t>
      </w:r>
      <w:r>
        <w:rPr>
          <w:spacing w:val="-6"/>
        </w:rPr>
        <w:t> </w:t>
      </w:r>
      <w:r>
        <w:rPr/>
        <w:t>that</w:t>
      </w:r>
      <w:r>
        <w:rPr>
          <w:spacing w:val="-9"/>
        </w:rPr>
        <w:t> </w:t>
      </w:r>
      <w:r>
        <w:rPr/>
        <w:t>this</w:t>
      </w:r>
      <w:r>
        <w:rPr>
          <w:spacing w:val="-6"/>
        </w:rPr>
        <w:t> </w:t>
      </w:r>
      <w:r>
        <w:rPr/>
        <w:t>pattern</w:t>
      </w:r>
      <w:r>
        <w:rPr>
          <w:spacing w:val="-8"/>
        </w:rPr>
        <w:t> </w:t>
      </w:r>
      <w:r>
        <w:rPr/>
        <w:t>would</w:t>
      </w:r>
      <w:r>
        <w:rPr>
          <w:spacing w:val="-9"/>
        </w:rPr>
        <w:t> </w:t>
      </w:r>
      <w:r>
        <w:rPr/>
        <w:t>one</w:t>
      </w:r>
      <w:r>
        <w:rPr>
          <w:spacing w:val="-10"/>
        </w:rPr>
        <w:t> </w:t>
      </w:r>
      <w:r>
        <w:rPr/>
        <w:t>way</w:t>
      </w:r>
      <w:r>
        <w:rPr>
          <w:spacing w:val="-13"/>
        </w:rPr>
        <w:t> </w:t>
      </w:r>
      <w:r>
        <w:rPr/>
        <w:t>or</w:t>
      </w:r>
      <w:r>
        <w:rPr>
          <w:spacing w:val="-7"/>
        </w:rPr>
        <w:t> </w:t>
      </w:r>
      <w:r>
        <w:rPr/>
        <w:t>the</w:t>
      </w:r>
      <w:r>
        <w:rPr>
          <w:spacing w:val="-9"/>
        </w:rPr>
        <w:t> </w:t>
      </w:r>
      <w:r>
        <w:rPr/>
        <w:t>other</w:t>
      </w:r>
      <w:r>
        <w:rPr>
          <w:spacing w:val="-8"/>
        </w:rPr>
        <w:t> </w:t>
      </w:r>
      <w:r>
        <w:rPr/>
        <w:t>has impacts on the rental value of residential apartments in the study area.</w:t>
      </w:r>
    </w:p>
    <w:p>
      <w:pPr>
        <w:spacing w:after="0" w:line="480" w:lineRule="auto"/>
        <w:sectPr>
          <w:pgSz w:w="11910" w:h="16840"/>
          <w:pgMar w:header="0" w:footer="1022" w:top="1420" w:bottom="1220" w:left="1680" w:right="900"/>
        </w:sectPr>
      </w:pPr>
    </w:p>
    <w:p>
      <w:pPr>
        <w:pStyle w:val="Heading1"/>
        <w:numPr>
          <w:ilvl w:val="1"/>
          <w:numId w:val="16"/>
        </w:numPr>
        <w:tabs>
          <w:tab w:pos="1025" w:val="left" w:leader="none"/>
        </w:tabs>
        <w:spacing w:line="240" w:lineRule="auto" w:before="76" w:after="0"/>
        <w:ind w:left="1025" w:right="515" w:hanging="720"/>
        <w:jc w:val="both"/>
      </w:pPr>
      <w:r>
        <w:rPr/>
        <w:t>Spatiotemporal Variations in Residential Densities of the Study Area between Years 2008 – 2018</w:t>
      </w:r>
    </w:p>
    <w:p>
      <w:pPr>
        <w:pStyle w:val="BodyText"/>
        <w:spacing w:line="480" w:lineRule="auto" w:before="236"/>
        <w:ind w:left="305" w:right="514"/>
      </w:pPr>
      <w:r>
        <w:rPr/>
        <w:t>Spatial</w:t>
      </w:r>
      <w:r>
        <w:rPr>
          <w:spacing w:val="-3"/>
        </w:rPr>
        <w:t> </w:t>
      </w:r>
      <w:r>
        <w:rPr/>
        <w:t>approach</w:t>
      </w:r>
      <w:r>
        <w:rPr>
          <w:spacing w:val="-3"/>
        </w:rPr>
        <w:t> </w:t>
      </w:r>
      <w:r>
        <w:rPr/>
        <w:t>was</w:t>
      </w:r>
      <w:r>
        <w:rPr>
          <w:spacing w:val="-3"/>
        </w:rPr>
        <w:t> </w:t>
      </w:r>
      <w:r>
        <w:rPr/>
        <w:t>adopted</w:t>
      </w:r>
      <w:r>
        <w:rPr>
          <w:spacing w:val="-3"/>
        </w:rPr>
        <w:t> </w:t>
      </w:r>
      <w:r>
        <w:rPr/>
        <w:t>in</w:t>
      </w:r>
      <w:r>
        <w:rPr>
          <w:spacing w:val="-2"/>
        </w:rPr>
        <w:t> </w:t>
      </w:r>
      <w:r>
        <w:rPr/>
        <w:t>analysing</w:t>
      </w:r>
      <w:r>
        <w:rPr>
          <w:spacing w:val="-5"/>
        </w:rPr>
        <w:t> </w:t>
      </w:r>
      <w:r>
        <w:rPr/>
        <w:t>urban</w:t>
      </w:r>
      <w:r>
        <w:rPr>
          <w:spacing w:val="-3"/>
        </w:rPr>
        <w:t> </w:t>
      </w:r>
      <w:r>
        <w:rPr/>
        <w:t>densification</w:t>
      </w:r>
      <w:r>
        <w:rPr>
          <w:spacing w:val="-3"/>
        </w:rPr>
        <w:t> </w:t>
      </w:r>
      <w:r>
        <w:rPr/>
        <w:t>of</w:t>
      </w:r>
      <w:r>
        <w:rPr>
          <w:spacing w:val="-4"/>
        </w:rPr>
        <w:t> </w:t>
      </w:r>
      <w:r>
        <w:rPr/>
        <w:t>the</w:t>
      </w:r>
      <w:r>
        <w:rPr>
          <w:spacing w:val="-3"/>
        </w:rPr>
        <w:t> </w:t>
      </w:r>
      <w:r>
        <w:rPr/>
        <w:t>study</w:t>
      </w:r>
      <w:r>
        <w:rPr>
          <w:spacing w:val="-6"/>
        </w:rPr>
        <w:t> </w:t>
      </w:r>
      <w:r>
        <w:rPr/>
        <w:t>area</w:t>
      </w:r>
      <w:r>
        <w:rPr>
          <w:spacing w:val="-2"/>
        </w:rPr>
        <w:t> </w:t>
      </w:r>
      <w:r>
        <w:rPr/>
        <w:t>between the year 2008 and 2018. Spatial and temporal approach depicts the patterns of densification in a better morphological structure (see Figure 4.10, 4.11 and 4.12).</w:t>
      </w:r>
    </w:p>
    <w:p>
      <w:pPr>
        <w:pStyle w:val="BodyText"/>
        <w:spacing w:line="480" w:lineRule="auto" w:before="240"/>
        <w:ind w:left="305" w:right="513"/>
      </w:pPr>
      <w:r>
        <w:rPr/>
        <w:t>The</w:t>
      </w:r>
      <w:r>
        <w:rPr>
          <w:spacing w:val="-5"/>
        </w:rPr>
        <w:t> </w:t>
      </w:r>
      <w:r>
        <w:rPr/>
        <w:t>result</w:t>
      </w:r>
      <w:r>
        <w:rPr>
          <w:spacing w:val="-3"/>
        </w:rPr>
        <w:t> </w:t>
      </w:r>
      <w:r>
        <w:rPr/>
        <w:t>in</w:t>
      </w:r>
      <w:r>
        <w:rPr>
          <w:spacing w:val="-1"/>
        </w:rPr>
        <w:t> </w:t>
      </w:r>
      <w:r>
        <w:rPr/>
        <w:t>Figure</w:t>
      </w:r>
      <w:r>
        <w:rPr>
          <w:spacing w:val="-4"/>
        </w:rPr>
        <w:t> </w:t>
      </w:r>
      <w:r>
        <w:rPr/>
        <w:t>4.10 shows</w:t>
      </w:r>
      <w:r>
        <w:rPr>
          <w:spacing w:val="-3"/>
        </w:rPr>
        <w:t> </w:t>
      </w:r>
      <w:r>
        <w:rPr/>
        <w:t>spatiotemporal</w:t>
      </w:r>
      <w:r>
        <w:rPr>
          <w:spacing w:val="-2"/>
        </w:rPr>
        <w:t> </w:t>
      </w:r>
      <w:r>
        <w:rPr/>
        <w:t>variations</w:t>
      </w:r>
      <w:r>
        <w:rPr>
          <w:spacing w:val="-3"/>
        </w:rPr>
        <w:t> </w:t>
      </w:r>
      <w:r>
        <w:rPr/>
        <w:t>in</w:t>
      </w:r>
      <w:r>
        <w:rPr>
          <w:spacing w:val="-3"/>
        </w:rPr>
        <w:t> </w:t>
      </w:r>
      <w:r>
        <w:rPr/>
        <w:t>residential</w:t>
      </w:r>
      <w:r>
        <w:rPr>
          <w:spacing w:val="-3"/>
        </w:rPr>
        <w:t> </w:t>
      </w:r>
      <w:r>
        <w:rPr/>
        <w:t>densities</w:t>
      </w:r>
      <w:r>
        <w:rPr>
          <w:spacing w:val="-3"/>
        </w:rPr>
        <w:t> </w:t>
      </w:r>
      <w:r>
        <w:rPr/>
        <w:t>in</w:t>
      </w:r>
      <w:r>
        <w:rPr>
          <w:spacing w:val="-3"/>
        </w:rPr>
        <w:t> </w:t>
      </w:r>
      <w:r>
        <w:rPr/>
        <w:t>Bida in the year 2008. The result depicts the urban form in</w:t>
      </w:r>
      <w:r>
        <w:rPr>
          <w:spacing w:val="-1"/>
        </w:rPr>
        <w:t> </w:t>
      </w:r>
      <w:r>
        <w:rPr/>
        <w:t>terms of residential</w:t>
      </w:r>
      <w:r>
        <w:rPr>
          <w:spacing w:val="-1"/>
        </w:rPr>
        <w:t> </w:t>
      </w:r>
      <w:r>
        <w:rPr/>
        <w:t>density</w:t>
      </w:r>
      <w:r>
        <w:rPr>
          <w:spacing w:val="-5"/>
        </w:rPr>
        <w:t> </w:t>
      </w:r>
      <w:r>
        <w:rPr/>
        <w:t>in that year. The structure of the town shows that areas around the Central Business District (CBD) are of high density while locations within the urban fringe tend to have lower residential densities. This is remarkable and relate to the fact that urban fringe locations during</w:t>
      </w:r>
      <w:r>
        <w:rPr>
          <w:spacing w:val="-11"/>
        </w:rPr>
        <w:t> </w:t>
      </w:r>
      <w:r>
        <w:rPr/>
        <w:t>this</w:t>
      </w:r>
      <w:r>
        <w:rPr>
          <w:spacing w:val="-8"/>
        </w:rPr>
        <w:t> </w:t>
      </w:r>
      <w:r>
        <w:rPr/>
        <w:t>period</w:t>
      </w:r>
      <w:r>
        <w:rPr>
          <w:spacing w:val="-9"/>
        </w:rPr>
        <w:t> </w:t>
      </w:r>
      <w:r>
        <w:rPr/>
        <w:t>are</w:t>
      </w:r>
      <w:r>
        <w:rPr>
          <w:spacing w:val="-9"/>
        </w:rPr>
        <w:t> </w:t>
      </w:r>
      <w:r>
        <w:rPr/>
        <w:t>outside</w:t>
      </w:r>
      <w:r>
        <w:rPr>
          <w:spacing w:val="-9"/>
        </w:rPr>
        <w:t> </w:t>
      </w:r>
      <w:r>
        <w:rPr/>
        <w:t>the</w:t>
      </w:r>
      <w:r>
        <w:rPr>
          <w:spacing w:val="-9"/>
        </w:rPr>
        <w:t> </w:t>
      </w:r>
      <w:r>
        <w:rPr/>
        <w:t>development</w:t>
      </w:r>
      <w:r>
        <w:rPr>
          <w:spacing w:val="-8"/>
        </w:rPr>
        <w:t> </w:t>
      </w:r>
      <w:r>
        <w:rPr/>
        <w:t>zones.</w:t>
      </w:r>
      <w:r>
        <w:rPr>
          <w:spacing w:val="-5"/>
        </w:rPr>
        <w:t> </w:t>
      </w:r>
      <w:r>
        <w:rPr/>
        <w:t>This</w:t>
      </w:r>
      <w:r>
        <w:rPr>
          <w:spacing w:val="-8"/>
        </w:rPr>
        <w:t> </w:t>
      </w:r>
      <w:r>
        <w:rPr/>
        <w:t>result</w:t>
      </w:r>
      <w:r>
        <w:rPr>
          <w:spacing w:val="-6"/>
        </w:rPr>
        <w:t> </w:t>
      </w:r>
      <w:r>
        <w:rPr/>
        <w:t>did</w:t>
      </w:r>
      <w:r>
        <w:rPr>
          <w:spacing w:val="-8"/>
        </w:rPr>
        <w:t> </w:t>
      </w:r>
      <w:r>
        <w:rPr/>
        <w:t>not</w:t>
      </w:r>
      <w:r>
        <w:rPr>
          <w:spacing w:val="-8"/>
        </w:rPr>
        <w:t> </w:t>
      </w:r>
      <w:r>
        <w:rPr/>
        <w:t>deviate</w:t>
      </w:r>
      <w:r>
        <w:rPr>
          <w:spacing w:val="-9"/>
        </w:rPr>
        <w:t> </w:t>
      </w:r>
      <w:r>
        <w:rPr/>
        <w:t>from</w:t>
      </w:r>
      <w:r>
        <w:rPr>
          <w:spacing w:val="-7"/>
        </w:rPr>
        <w:t> </w:t>
      </w:r>
      <w:r>
        <w:rPr/>
        <w:t>the traditional monocentric model of Alonso, which is consistent with many cities of developing world where density gradient decreases towards the urban fringe (Broitman &amp; Koomen, 2015).</w:t>
      </w:r>
    </w:p>
    <w:p>
      <w:pPr>
        <w:spacing w:after="0" w:line="480" w:lineRule="auto"/>
        <w:sectPr>
          <w:pgSz w:w="11910" w:h="16840"/>
          <w:pgMar w:header="0" w:footer="1022" w:top="1320" w:bottom="1220" w:left="1680" w:right="900"/>
        </w:sectPr>
      </w:pPr>
    </w:p>
    <w:p>
      <w:pPr>
        <w:pStyle w:val="BodyText"/>
        <w:ind w:left="537"/>
        <w:jc w:val="left"/>
        <w:rPr>
          <w:sz w:val="20"/>
        </w:rPr>
      </w:pPr>
      <w:r>
        <w:rPr>
          <w:sz w:val="20"/>
        </w:rPr>
        <w:drawing>
          <wp:inline distT="0" distB="0" distL="0" distR="0">
            <wp:extent cx="5098772" cy="4559808"/>
            <wp:effectExtent l="0" t="0" r="0" b="0"/>
            <wp:docPr id="29" name="Image 29" descr="C:\Users\RAMATU S. MOHAMMED\Desktop\Output\Point Density 2008.jpg"/>
            <wp:cNvGraphicFramePr>
              <a:graphicFrameLocks/>
            </wp:cNvGraphicFramePr>
            <a:graphic>
              <a:graphicData uri="http://schemas.openxmlformats.org/drawingml/2006/picture">
                <pic:pic>
                  <pic:nvPicPr>
                    <pic:cNvPr id="29" name="Image 29" descr="C:\Users\RAMATU S. MOHAMMED\Desktop\Output\Point Density 2008.jpg"/>
                    <pic:cNvPicPr/>
                  </pic:nvPicPr>
                  <pic:blipFill>
                    <a:blip r:embed="rId28" cstate="print"/>
                    <a:stretch>
                      <a:fillRect/>
                    </a:stretch>
                  </pic:blipFill>
                  <pic:spPr>
                    <a:xfrm>
                      <a:off x="0" y="0"/>
                      <a:ext cx="5098772" cy="4559808"/>
                    </a:xfrm>
                    <a:prstGeom prst="rect">
                      <a:avLst/>
                    </a:prstGeom>
                  </pic:spPr>
                </pic:pic>
              </a:graphicData>
            </a:graphic>
          </wp:inline>
        </w:drawing>
      </w:r>
      <w:r>
        <w:rPr>
          <w:sz w:val="20"/>
        </w:rPr>
      </w:r>
    </w:p>
    <w:p>
      <w:pPr>
        <w:spacing w:line="235" w:lineRule="auto" w:before="0"/>
        <w:ind w:left="2806" w:right="390" w:hanging="2161"/>
        <w:jc w:val="left"/>
        <w:rPr>
          <w:sz w:val="24"/>
        </w:rPr>
      </w:pPr>
      <w:r>
        <w:rPr>
          <w:b/>
          <w:sz w:val="24"/>
        </w:rPr>
        <w:t>Figure</w:t>
      </w:r>
      <w:r>
        <w:rPr>
          <w:b/>
          <w:spacing w:val="-4"/>
          <w:sz w:val="24"/>
        </w:rPr>
        <w:t> </w:t>
      </w:r>
      <w:r>
        <w:rPr>
          <w:b/>
          <w:sz w:val="24"/>
        </w:rPr>
        <w:t>4.10:</w:t>
      </w:r>
      <w:r>
        <w:rPr>
          <w:b/>
          <w:spacing w:val="-4"/>
          <w:sz w:val="24"/>
        </w:rPr>
        <w:t> </w:t>
      </w:r>
      <w:r>
        <w:rPr>
          <w:b/>
          <w:sz w:val="24"/>
        </w:rPr>
        <w:t>Spatial</w:t>
      </w:r>
      <w:r>
        <w:rPr>
          <w:b/>
          <w:spacing w:val="-3"/>
          <w:sz w:val="24"/>
        </w:rPr>
        <w:t> </w:t>
      </w:r>
      <w:r>
        <w:rPr>
          <w:b/>
          <w:sz w:val="24"/>
        </w:rPr>
        <w:t>Pattern</w:t>
      </w:r>
      <w:r>
        <w:rPr>
          <w:b/>
          <w:spacing w:val="-3"/>
          <w:sz w:val="24"/>
        </w:rPr>
        <w:t> </w:t>
      </w:r>
      <w:r>
        <w:rPr>
          <w:b/>
          <w:sz w:val="24"/>
        </w:rPr>
        <w:t>of</w:t>
      </w:r>
      <w:r>
        <w:rPr>
          <w:b/>
          <w:spacing w:val="-2"/>
          <w:sz w:val="24"/>
        </w:rPr>
        <w:t> </w:t>
      </w:r>
      <w:r>
        <w:rPr>
          <w:b/>
          <w:sz w:val="24"/>
        </w:rPr>
        <w:t>Residential</w:t>
      </w:r>
      <w:r>
        <w:rPr>
          <w:b/>
          <w:spacing w:val="-3"/>
          <w:sz w:val="24"/>
        </w:rPr>
        <w:t> </w:t>
      </w:r>
      <w:r>
        <w:rPr>
          <w:b/>
          <w:sz w:val="24"/>
        </w:rPr>
        <w:t>Density</w:t>
      </w:r>
      <w:r>
        <w:rPr>
          <w:b/>
          <w:spacing w:val="-3"/>
          <w:sz w:val="24"/>
        </w:rPr>
        <w:t> </w:t>
      </w:r>
      <w:r>
        <w:rPr>
          <w:b/>
          <w:sz w:val="24"/>
        </w:rPr>
        <w:t>in</w:t>
      </w:r>
      <w:r>
        <w:rPr>
          <w:b/>
          <w:spacing w:val="-2"/>
          <w:sz w:val="24"/>
        </w:rPr>
        <w:t> </w:t>
      </w:r>
      <w:r>
        <w:rPr>
          <w:b/>
          <w:sz w:val="24"/>
        </w:rPr>
        <w:t>the</w:t>
      </w:r>
      <w:r>
        <w:rPr>
          <w:b/>
          <w:spacing w:val="-1"/>
          <w:sz w:val="24"/>
        </w:rPr>
        <w:t> </w:t>
      </w:r>
      <w:r>
        <w:rPr>
          <w:b/>
          <w:sz w:val="24"/>
        </w:rPr>
        <w:t>Study</w:t>
      </w:r>
      <w:r>
        <w:rPr>
          <w:b/>
          <w:spacing w:val="-3"/>
          <w:sz w:val="24"/>
        </w:rPr>
        <w:t> </w:t>
      </w:r>
      <w:r>
        <w:rPr>
          <w:b/>
          <w:sz w:val="24"/>
        </w:rPr>
        <w:t>Area</w:t>
      </w:r>
      <w:r>
        <w:rPr>
          <w:b/>
          <w:spacing w:val="-3"/>
          <w:sz w:val="24"/>
        </w:rPr>
        <w:t> </w:t>
      </w:r>
      <w:r>
        <w:rPr>
          <w:b/>
          <w:sz w:val="24"/>
        </w:rPr>
        <w:t>in</w:t>
      </w:r>
      <w:r>
        <w:rPr>
          <w:b/>
          <w:spacing w:val="-2"/>
          <w:sz w:val="24"/>
        </w:rPr>
        <w:t> </w:t>
      </w:r>
      <w:r>
        <w:rPr>
          <w:b/>
          <w:sz w:val="24"/>
        </w:rPr>
        <w:t>2008 Source: </w:t>
      </w:r>
      <w:r>
        <w:rPr>
          <w:sz w:val="24"/>
        </w:rPr>
        <w:t>Authors’ field survey, 2019</w:t>
      </w:r>
    </w:p>
    <w:p>
      <w:pPr>
        <w:pStyle w:val="BodyText"/>
        <w:spacing w:before="232"/>
        <w:jc w:val="left"/>
      </w:pPr>
    </w:p>
    <w:p>
      <w:pPr>
        <w:pStyle w:val="BodyText"/>
        <w:spacing w:line="480" w:lineRule="auto"/>
        <w:ind w:left="305" w:right="512"/>
      </w:pPr>
      <w:r>
        <w:rPr/>
        <w:t>As urban densification proceeds in an uncontrolled and unstructured manner, the spatial pattern</w:t>
      </w:r>
      <w:r>
        <w:rPr>
          <w:spacing w:val="-2"/>
        </w:rPr>
        <w:t> </w:t>
      </w:r>
      <w:r>
        <w:rPr/>
        <w:t>of</w:t>
      </w:r>
      <w:r>
        <w:rPr>
          <w:spacing w:val="-2"/>
        </w:rPr>
        <w:t> </w:t>
      </w:r>
      <w:r>
        <w:rPr/>
        <w:t>urban residential</w:t>
      </w:r>
      <w:r>
        <w:rPr>
          <w:spacing w:val="-1"/>
        </w:rPr>
        <w:t> </w:t>
      </w:r>
      <w:r>
        <w:rPr/>
        <w:t>densities</w:t>
      </w:r>
      <w:r>
        <w:rPr>
          <w:spacing w:val="-2"/>
        </w:rPr>
        <w:t> </w:t>
      </w:r>
      <w:r>
        <w:rPr/>
        <w:t>increase</w:t>
      </w:r>
      <w:r>
        <w:rPr>
          <w:spacing w:val="-2"/>
        </w:rPr>
        <w:t> </w:t>
      </w:r>
      <w:r>
        <w:rPr/>
        <w:t>in an</w:t>
      </w:r>
      <w:r>
        <w:rPr>
          <w:spacing w:val="-1"/>
        </w:rPr>
        <w:t> </w:t>
      </w:r>
      <w:r>
        <w:rPr/>
        <w:t>uneven</w:t>
      </w:r>
      <w:r>
        <w:rPr>
          <w:spacing w:val="-1"/>
        </w:rPr>
        <w:t> </w:t>
      </w:r>
      <w:r>
        <w:rPr/>
        <w:t>manner in</w:t>
      </w:r>
      <w:r>
        <w:rPr>
          <w:spacing w:val="-1"/>
        </w:rPr>
        <w:t> </w:t>
      </w:r>
      <w:r>
        <w:rPr/>
        <w:t>the year</w:t>
      </w:r>
      <w:r>
        <w:rPr>
          <w:spacing w:val="-2"/>
        </w:rPr>
        <w:t> </w:t>
      </w:r>
      <w:r>
        <w:rPr/>
        <w:t>2013 (see Figure 4.11). The result shows that residential density gradient increases towards the urban fringe without decreasing density</w:t>
      </w:r>
      <w:r>
        <w:rPr>
          <w:spacing w:val="-1"/>
        </w:rPr>
        <w:t> </w:t>
      </w:r>
      <w:r>
        <w:rPr/>
        <w:t>in the CBD. The morphological structure of the town was retained in its traditional monocentric form, but towards the north and north western part of the town, the residential density increase was experienced more.</w:t>
      </w:r>
    </w:p>
    <w:p>
      <w:pPr>
        <w:spacing w:after="0" w:line="480" w:lineRule="auto"/>
        <w:sectPr>
          <w:pgSz w:w="11910" w:h="16840"/>
          <w:pgMar w:header="0" w:footer="1022" w:top="1400" w:bottom="1220" w:left="1680" w:right="900"/>
        </w:sectPr>
      </w:pPr>
    </w:p>
    <w:p>
      <w:pPr>
        <w:pStyle w:val="BodyText"/>
        <w:ind w:left="580"/>
        <w:jc w:val="left"/>
        <w:rPr>
          <w:sz w:val="20"/>
        </w:rPr>
      </w:pPr>
      <w:r>
        <w:rPr>
          <w:sz w:val="20"/>
        </w:rPr>
        <w:drawing>
          <wp:inline distT="0" distB="0" distL="0" distR="0">
            <wp:extent cx="5090931" cy="4580763"/>
            <wp:effectExtent l="0" t="0" r="0" b="0"/>
            <wp:docPr id="30" name="Image 30" descr="C:\Users\RAMATU S. MOHAMMED\Desktop\Output\Point Density 2013.jpg"/>
            <wp:cNvGraphicFramePr>
              <a:graphicFrameLocks/>
            </wp:cNvGraphicFramePr>
            <a:graphic>
              <a:graphicData uri="http://schemas.openxmlformats.org/drawingml/2006/picture">
                <pic:pic>
                  <pic:nvPicPr>
                    <pic:cNvPr id="30" name="Image 30" descr="C:\Users\RAMATU S. MOHAMMED\Desktop\Output\Point Density 2013.jpg"/>
                    <pic:cNvPicPr/>
                  </pic:nvPicPr>
                  <pic:blipFill>
                    <a:blip r:embed="rId29" cstate="print"/>
                    <a:stretch>
                      <a:fillRect/>
                    </a:stretch>
                  </pic:blipFill>
                  <pic:spPr>
                    <a:xfrm>
                      <a:off x="0" y="0"/>
                      <a:ext cx="5090931" cy="4580763"/>
                    </a:xfrm>
                    <a:prstGeom prst="rect">
                      <a:avLst/>
                    </a:prstGeom>
                  </pic:spPr>
                </pic:pic>
              </a:graphicData>
            </a:graphic>
          </wp:inline>
        </w:drawing>
      </w:r>
      <w:r>
        <w:rPr>
          <w:sz w:val="20"/>
        </w:rPr>
      </w:r>
    </w:p>
    <w:p>
      <w:pPr>
        <w:spacing w:line="235" w:lineRule="auto" w:before="0"/>
        <w:ind w:left="2806" w:right="513" w:hanging="2161"/>
        <w:jc w:val="left"/>
        <w:rPr>
          <w:sz w:val="24"/>
        </w:rPr>
      </w:pPr>
      <w:r>
        <w:rPr>
          <w:b/>
          <w:sz w:val="24"/>
        </w:rPr>
        <w:t>Figure</w:t>
      </w:r>
      <w:r>
        <w:rPr>
          <w:b/>
          <w:spacing w:val="-4"/>
          <w:sz w:val="24"/>
        </w:rPr>
        <w:t> </w:t>
      </w:r>
      <w:r>
        <w:rPr>
          <w:b/>
          <w:sz w:val="24"/>
        </w:rPr>
        <w:t>4.11:</w:t>
      </w:r>
      <w:r>
        <w:rPr>
          <w:b/>
          <w:spacing w:val="-3"/>
          <w:sz w:val="24"/>
        </w:rPr>
        <w:t> </w:t>
      </w:r>
      <w:r>
        <w:rPr>
          <w:b/>
          <w:sz w:val="24"/>
        </w:rPr>
        <w:t>Spatial</w:t>
      </w:r>
      <w:r>
        <w:rPr>
          <w:b/>
          <w:spacing w:val="-3"/>
          <w:sz w:val="24"/>
        </w:rPr>
        <w:t> </w:t>
      </w:r>
      <w:r>
        <w:rPr>
          <w:b/>
          <w:sz w:val="24"/>
        </w:rPr>
        <w:t>Pattern</w:t>
      </w:r>
      <w:r>
        <w:rPr>
          <w:b/>
          <w:spacing w:val="-3"/>
          <w:sz w:val="24"/>
        </w:rPr>
        <w:t> </w:t>
      </w:r>
      <w:r>
        <w:rPr>
          <w:b/>
          <w:sz w:val="24"/>
        </w:rPr>
        <w:t>of</w:t>
      </w:r>
      <w:r>
        <w:rPr>
          <w:b/>
          <w:spacing w:val="-2"/>
          <w:sz w:val="24"/>
        </w:rPr>
        <w:t> </w:t>
      </w:r>
      <w:r>
        <w:rPr>
          <w:b/>
          <w:sz w:val="24"/>
        </w:rPr>
        <w:t>Residential</w:t>
      </w:r>
      <w:r>
        <w:rPr>
          <w:b/>
          <w:spacing w:val="-3"/>
          <w:sz w:val="24"/>
        </w:rPr>
        <w:t> </w:t>
      </w:r>
      <w:r>
        <w:rPr>
          <w:b/>
          <w:sz w:val="24"/>
        </w:rPr>
        <w:t>Density</w:t>
      </w:r>
      <w:r>
        <w:rPr>
          <w:b/>
          <w:spacing w:val="-3"/>
          <w:sz w:val="24"/>
        </w:rPr>
        <w:t> </w:t>
      </w:r>
      <w:r>
        <w:rPr>
          <w:b/>
          <w:sz w:val="24"/>
        </w:rPr>
        <w:t>in</w:t>
      </w:r>
      <w:r>
        <w:rPr>
          <w:b/>
          <w:spacing w:val="-2"/>
          <w:sz w:val="24"/>
        </w:rPr>
        <w:t> </w:t>
      </w:r>
      <w:r>
        <w:rPr>
          <w:b/>
          <w:sz w:val="24"/>
        </w:rPr>
        <w:t>the</w:t>
      </w:r>
      <w:r>
        <w:rPr>
          <w:b/>
          <w:spacing w:val="-3"/>
          <w:sz w:val="24"/>
        </w:rPr>
        <w:t> </w:t>
      </w:r>
      <w:r>
        <w:rPr>
          <w:b/>
          <w:sz w:val="24"/>
        </w:rPr>
        <w:t>Study</w:t>
      </w:r>
      <w:r>
        <w:rPr>
          <w:b/>
          <w:spacing w:val="-3"/>
          <w:sz w:val="24"/>
        </w:rPr>
        <w:t> </w:t>
      </w:r>
      <w:r>
        <w:rPr>
          <w:b/>
          <w:sz w:val="24"/>
        </w:rPr>
        <w:t>Area</w:t>
      </w:r>
      <w:r>
        <w:rPr>
          <w:b/>
          <w:spacing w:val="-3"/>
          <w:sz w:val="24"/>
        </w:rPr>
        <w:t> </w:t>
      </w:r>
      <w:r>
        <w:rPr>
          <w:b/>
          <w:sz w:val="24"/>
        </w:rPr>
        <w:t>in</w:t>
      </w:r>
      <w:r>
        <w:rPr>
          <w:b/>
          <w:spacing w:val="-2"/>
          <w:sz w:val="24"/>
        </w:rPr>
        <w:t> </w:t>
      </w:r>
      <w:r>
        <w:rPr>
          <w:b/>
          <w:sz w:val="24"/>
        </w:rPr>
        <w:t>2013 Source: </w:t>
      </w:r>
      <w:r>
        <w:rPr>
          <w:sz w:val="24"/>
        </w:rPr>
        <w:t>Authors’ field survey, 2019</w:t>
      </w:r>
    </w:p>
    <w:p>
      <w:pPr>
        <w:pStyle w:val="BodyText"/>
        <w:spacing w:before="199"/>
        <w:jc w:val="left"/>
      </w:pPr>
    </w:p>
    <w:p>
      <w:pPr>
        <w:pStyle w:val="BodyText"/>
        <w:spacing w:line="480" w:lineRule="auto"/>
        <w:ind w:left="305" w:right="515"/>
      </w:pPr>
      <w:r>
        <w:rPr/>
        <w:t>The result in Figure 4.12 shows that there was consistent and fast increasing residential density</w:t>
      </w:r>
      <w:r>
        <w:rPr>
          <w:spacing w:val="-14"/>
        </w:rPr>
        <w:t> </w:t>
      </w:r>
      <w:r>
        <w:rPr/>
        <w:t>in</w:t>
      </w:r>
      <w:r>
        <w:rPr>
          <w:spacing w:val="-9"/>
        </w:rPr>
        <w:t> </w:t>
      </w:r>
      <w:r>
        <w:rPr/>
        <w:t>the</w:t>
      </w:r>
      <w:r>
        <w:rPr>
          <w:spacing w:val="-10"/>
        </w:rPr>
        <w:t> </w:t>
      </w:r>
      <w:r>
        <w:rPr/>
        <w:t>study</w:t>
      </w:r>
      <w:r>
        <w:rPr>
          <w:spacing w:val="-14"/>
        </w:rPr>
        <w:t> </w:t>
      </w:r>
      <w:r>
        <w:rPr/>
        <w:t>area</w:t>
      </w:r>
      <w:r>
        <w:rPr>
          <w:spacing w:val="-9"/>
        </w:rPr>
        <w:t> </w:t>
      </w:r>
      <w:r>
        <w:rPr/>
        <w:t>in</w:t>
      </w:r>
      <w:r>
        <w:rPr>
          <w:spacing w:val="-10"/>
        </w:rPr>
        <w:t> </w:t>
      </w:r>
      <w:r>
        <w:rPr/>
        <w:t>the</w:t>
      </w:r>
      <w:r>
        <w:rPr>
          <w:spacing w:val="-8"/>
        </w:rPr>
        <w:t> </w:t>
      </w:r>
      <w:r>
        <w:rPr/>
        <w:t>year</w:t>
      </w:r>
      <w:r>
        <w:rPr>
          <w:spacing w:val="-10"/>
        </w:rPr>
        <w:t> </w:t>
      </w:r>
      <w:r>
        <w:rPr/>
        <w:t>2018.</w:t>
      </w:r>
      <w:r>
        <w:rPr>
          <w:spacing w:val="-10"/>
        </w:rPr>
        <w:t> </w:t>
      </w:r>
      <w:r>
        <w:rPr/>
        <w:t>Residential</w:t>
      </w:r>
      <w:r>
        <w:rPr>
          <w:spacing w:val="-9"/>
        </w:rPr>
        <w:t> </w:t>
      </w:r>
      <w:r>
        <w:rPr/>
        <w:t>density</w:t>
      </w:r>
      <w:r>
        <w:rPr>
          <w:spacing w:val="-14"/>
        </w:rPr>
        <w:t> </w:t>
      </w:r>
      <w:r>
        <w:rPr/>
        <w:t>increases</w:t>
      </w:r>
      <w:r>
        <w:rPr>
          <w:spacing w:val="-9"/>
        </w:rPr>
        <w:t> </w:t>
      </w:r>
      <w:r>
        <w:rPr/>
        <w:t>during</w:t>
      </w:r>
      <w:r>
        <w:rPr>
          <w:spacing w:val="-10"/>
        </w:rPr>
        <w:t> </w:t>
      </w:r>
      <w:r>
        <w:rPr/>
        <w:t>this</w:t>
      </w:r>
      <w:r>
        <w:rPr>
          <w:spacing w:val="-9"/>
        </w:rPr>
        <w:t> </w:t>
      </w:r>
      <w:r>
        <w:rPr/>
        <w:t>period towards the north, west and southern part of the town. However, the result implies that western part had low level of residential development.</w:t>
      </w:r>
    </w:p>
    <w:p>
      <w:pPr>
        <w:spacing w:after="0" w:line="480" w:lineRule="auto"/>
        <w:sectPr>
          <w:pgSz w:w="11910" w:h="16840"/>
          <w:pgMar w:header="0" w:footer="1022" w:top="1400" w:bottom="1220" w:left="1680" w:right="900"/>
        </w:sectPr>
      </w:pPr>
    </w:p>
    <w:p>
      <w:pPr>
        <w:pStyle w:val="BodyText"/>
        <w:ind w:left="559"/>
        <w:jc w:val="left"/>
        <w:rPr>
          <w:sz w:val="20"/>
        </w:rPr>
      </w:pPr>
      <w:r>
        <w:rPr>
          <w:sz w:val="20"/>
        </w:rPr>
        <w:drawing>
          <wp:inline distT="0" distB="0" distL="0" distR="0">
            <wp:extent cx="5106195" cy="4559808"/>
            <wp:effectExtent l="0" t="0" r="0" b="0"/>
            <wp:docPr id="31" name="Image 31" descr="C:\Users\RAMATU S. MOHAMMED\Desktop\Output\Point Density 2018.jpg"/>
            <wp:cNvGraphicFramePr>
              <a:graphicFrameLocks/>
            </wp:cNvGraphicFramePr>
            <a:graphic>
              <a:graphicData uri="http://schemas.openxmlformats.org/drawingml/2006/picture">
                <pic:pic>
                  <pic:nvPicPr>
                    <pic:cNvPr id="31" name="Image 31" descr="C:\Users\RAMATU S. MOHAMMED\Desktop\Output\Point Density 2018.jpg"/>
                    <pic:cNvPicPr/>
                  </pic:nvPicPr>
                  <pic:blipFill>
                    <a:blip r:embed="rId30" cstate="print"/>
                    <a:stretch>
                      <a:fillRect/>
                    </a:stretch>
                  </pic:blipFill>
                  <pic:spPr>
                    <a:xfrm>
                      <a:off x="0" y="0"/>
                      <a:ext cx="5106195" cy="4559808"/>
                    </a:xfrm>
                    <a:prstGeom prst="rect">
                      <a:avLst/>
                    </a:prstGeom>
                  </pic:spPr>
                </pic:pic>
              </a:graphicData>
            </a:graphic>
          </wp:inline>
        </w:drawing>
      </w:r>
      <w:r>
        <w:rPr>
          <w:sz w:val="20"/>
        </w:rPr>
      </w:r>
    </w:p>
    <w:p>
      <w:pPr>
        <w:spacing w:line="235" w:lineRule="auto" w:before="0"/>
        <w:ind w:left="2806" w:right="513" w:hanging="2161"/>
        <w:jc w:val="left"/>
        <w:rPr>
          <w:sz w:val="24"/>
        </w:rPr>
      </w:pPr>
      <w:r>
        <w:rPr>
          <w:b/>
          <w:sz w:val="24"/>
        </w:rPr>
        <w:t>Figure</w:t>
      </w:r>
      <w:r>
        <w:rPr>
          <w:b/>
          <w:spacing w:val="-4"/>
          <w:sz w:val="24"/>
        </w:rPr>
        <w:t> </w:t>
      </w:r>
      <w:r>
        <w:rPr>
          <w:b/>
          <w:sz w:val="24"/>
        </w:rPr>
        <w:t>4.12:</w:t>
      </w:r>
      <w:r>
        <w:rPr>
          <w:b/>
          <w:spacing w:val="-3"/>
          <w:sz w:val="24"/>
        </w:rPr>
        <w:t> </w:t>
      </w:r>
      <w:r>
        <w:rPr>
          <w:b/>
          <w:sz w:val="24"/>
        </w:rPr>
        <w:t>Spatial</w:t>
      </w:r>
      <w:r>
        <w:rPr>
          <w:b/>
          <w:spacing w:val="-3"/>
          <w:sz w:val="24"/>
        </w:rPr>
        <w:t> </w:t>
      </w:r>
      <w:r>
        <w:rPr>
          <w:b/>
          <w:sz w:val="24"/>
        </w:rPr>
        <w:t>Pattern</w:t>
      </w:r>
      <w:r>
        <w:rPr>
          <w:b/>
          <w:spacing w:val="-3"/>
          <w:sz w:val="24"/>
        </w:rPr>
        <w:t> </w:t>
      </w:r>
      <w:r>
        <w:rPr>
          <w:b/>
          <w:sz w:val="24"/>
        </w:rPr>
        <w:t>of</w:t>
      </w:r>
      <w:r>
        <w:rPr>
          <w:b/>
          <w:spacing w:val="-2"/>
          <w:sz w:val="24"/>
        </w:rPr>
        <w:t> </w:t>
      </w:r>
      <w:r>
        <w:rPr>
          <w:b/>
          <w:sz w:val="24"/>
        </w:rPr>
        <w:t>Residential</w:t>
      </w:r>
      <w:r>
        <w:rPr>
          <w:b/>
          <w:spacing w:val="-3"/>
          <w:sz w:val="24"/>
        </w:rPr>
        <w:t> </w:t>
      </w:r>
      <w:r>
        <w:rPr>
          <w:b/>
          <w:sz w:val="24"/>
        </w:rPr>
        <w:t>Density</w:t>
      </w:r>
      <w:r>
        <w:rPr>
          <w:b/>
          <w:spacing w:val="-3"/>
          <w:sz w:val="24"/>
        </w:rPr>
        <w:t> </w:t>
      </w:r>
      <w:r>
        <w:rPr>
          <w:b/>
          <w:sz w:val="24"/>
        </w:rPr>
        <w:t>in</w:t>
      </w:r>
      <w:r>
        <w:rPr>
          <w:b/>
          <w:spacing w:val="-2"/>
          <w:sz w:val="24"/>
        </w:rPr>
        <w:t> </w:t>
      </w:r>
      <w:r>
        <w:rPr>
          <w:b/>
          <w:sz w:val="24"/>
        </w:rPr>
        <w:t>the</w:t>
      </w:r>
      <w:r>
        <w:rPr>
          <w:b/>
          <w:spacing w:val="-3"/>
          <w:sz w:val="24"/>
        </w:rPr>
        <w:t> </w:t>
      </w:r>
      <w:r>
        <w:rPr>
          <w:b/>
          <w:sz w:val="24"/>
        </w:rPr>
        <w:t>Study</w:t>
      </w:r>
      <w:r>
        <w:rPr>
          <w:b/>
          <w:spacing w:val="-3"/>
          <w:sz w:val="24"/>
        </w:rPr>
        <w:t> </w:t>
      </w:r>
      <w:r>
        <w:rPr>
          <w:b/>
          <w:sz w:val="24"/>
        </w:rPr>
        <w:t>Area</w:t>
      </w:r>
      <w:r>
        <w:rPr>
          <w:b/>
          <w:spacing w:val="-3"/>
          <w:sz w:val="24"/>
        </w:rPr>
        <w:t> </w:t>
      </w:r>
      <w:r>
        <w:rPr>
          <w:b/>
          <w:sz w:val="24"/>
        </w:rPr>
        <w:t>in</w:t>
      </w:r>
      <w:r>
        <w:rPr>
          <w:b/>
          <w:spacing w:val="-2"/>
          <w:sz w:val="24"/>
        </w:rPr>
        <w:t> </w:t>
      </w:r>
      <w:r>
        <w:rPr>
          <w:b/>
          <w:sz w:val="24"/>
        </w:rPr>
        <w:t>2018 Source: </w:t>
      </w:r>
      <w:r>
        <w:rPr>
          <w:sz w:val="24"/>
        </w:rPr>
        <w:t>Authors’ field survey, 2019</w:t>
      </w:r>
    </w:p>
    <w:p>
      <w:pPr>
        <w:pStyle w:val="BodyText"/>
        <w:spacing w:before="205"/>
        <w:jc w:val="left"/>
      </w:pPr>
    </w:p>
    <w:p>
      <w:pPr>
        <w:pStyle w:val="BodyText"/>
        <w:spacing w:line="480" w:lineRule="auto" w:before="1"/>
        <w:ind w:left="305" w:right="513"/>
      </w:pPr>
      <w:r>
        <w:rPr/>
        <w:t>This pattern of densification process, is in line with urban economic theory for monocentric open cities that experience population growth and decreasing commuting costs</w:t>
      </w:r>
      <w:r>
        <w:rPr>
          <w:spacing w:val="-7"/>
        </w:rPr>
        <w:t> </w:t>
      </w:r>
      <w:r>
        <w:rPr/>
        <w:t>(Antoniucci</w:t>
      </w:r>
      <w:r>
        <w:rPr>
          <w:spacing w:val="-8"/>
        </w:rPr>
        <w:t> </w:t>
      </w:r>
      <w:r>
        <w:rPr/>
        <w:t>&amp;</w:t>
      </w:r>
      <w:r>
        <w:rPr>
          <w:spacing w:val="-10"/>
        </w:rPr>
        <w:t> </w:t>
      </w:r>
      <w:r>
        <w:rPr/>
        <w:t>Marella,</w:t>
      </w:r>
      <w:r>
        <w:rPr>
          <w:spacing w:val="-8"/>
        </w:rPr>
        <w:t> </w:t>
      </w:r>
      <w:r>
        <w:rPr/>
        <w:t>2018).</w:t>
      </w:r>
      <w:r>
        <w:rPr>
          <w:spacing w:val="-8"/>
        </w:rPr>
        <w:t> </w:t>
      </w:r>
      <w:r>
        <w:rPr/>
        <w:t>As</w:t>
      </w:r>
      <w:r>
        <w:rPr>
          <w:spacing w:val="-9"/>
        </w:rPr>
        <w:t> </w:t>
      </w:r>
      <w:r>
        <w:rPr/>
        <w:t>a</w:t>
      </w:r>
      <w:r>
        <w:rPr>
          <w:spacing w:val="-9"/>
        </w:rPr>
        <w:t> </w:t>
      </w:r>
      <w:r>
        <w:rPr/>
        <w:t>result</w:t>
      </w:r>
      <w:r>
        <w:rPr>
          <w:spacing w:val="-7"/>
        </w:rPr>
        <w:t> </w:t>
      </w:r>
      <w:r>
        <w:rPr/>
        <w:t>of</w:t>
      </w:r>
      <w:r>
        <w:rPr>
          <w:spacing w:val="-9"/>
        </w:rPr>
        <w:t> </w:t>
      </w:r>
      <w:r>
        <w:rPr/>
        <w:t>residential</w:t>
      </w:r>
      <w:r>
        <w:rPr>
          <w:spacing w:val="-8"/>
        </w:rPr>
        <w:t> </w:t>
      </w:r>
      <w:r>
        <w:rPr/>
        <w:t>densities</w:t>
      </w:r>
      <w:r>
        <w:rPr>
          <w:spacing w:val="-9"/>
        </w:rPr>
        <w:t> </w:t>
      </w:r>
      <w:r>
        <w:rPr/>
        <w:t>increase</w:t>
      </w:r>
      <w:r>
        <w:rPr>
          <w:spacing w:val="-9"/>
        </w:rPr>
        <w:t> </w:t>
      </w:r>
      <w:r>
        <w:rPr/>
        <w:t>along</w:t>
      </w:r>
      <w:r>
        <w:rPr>
          <w:spacing w:val="-11"/>
        </w:rPr>
        <w:t> </w:t>
      </w:r>
      <w:r>
        <w:rPr/>
        <w:t>the urban – rural gradient, the observed increase in residential densities associated with the presence of restrictive spatial planning is also in line with expectations from urban economic theory. However, in the study area the restrictive spatial planning is not in place.</w:t>
      </w:r>
      <w:r>
        <w:rPr>
          <w:spacing w:val="-7"/>
        </w:rPr>
        <w:t> </w:t>
      </w:r>
      <w:r>
        <w:rPr/>
        <w:t>This</w:t>
      </w:r>
      <w:r>
        <w:rPr>
          <w:spacing w:val="-4"/>
        </w:rPr>
        <w:t> </w:t>
      </w:r>
      <w:r>
        <w:rPr/>
        <w:t>analysis</w:t>
      </w:r>
      <w:r>
        <w:rPr>
          <w:spacing w:val="-7"/>
        </w:rPr>
        <w:t> </w:t>
      </w:r>
      <w:r>
        <w:rPr/>
        <w:t>provides</w:t>
      </w:r>
      <w:r>
        <w:rPr>
          <w:spacing w:val="-7"/>
        </w:rPr>
        <w:t> </w:t>
      </w:r>
      <w:r>
        <w:rPr/>
        <w:t>some</w:t>
      </w:r>
      <w:r>
        <w:rPr>
          <w:spacing w:val="-5"/>
        </w:rPr>
        <w:t> </w:t>
      </w:r>
      <w:r>
        <w:rPr/>
        <w:t>empirical</w:t>
      </w:r>
      <w:r>
        <w:rPr>
          <w:spacing w:val="-7"/>
        </w:rPr>
        <w:t> </w:t>
      </w:r>
      <w:r>
        <w:rPr/>
        <w:t>underpinning</w:t>
      </w:r>
      <w:r>
        <w:rPr>
          <w:spacing w:val="-7"/>
        </w:rPr>
        <w:t> </w:t>
      </w:r>
      <w:r>
        <w:rPr/>
        <w:t>for</w:t>
      </w:r>
      <w:r>
        <w:rPr>
          <w:spacing w:val="-8"/>
        </w:rPr>
        <w:t> </w:t>
      </w:r>
      <w:r>
        <w:rPr/>
        <w:t>city</w:t>
      </w:r>
      <w:r>
        <w:rPr>
          <w:spacing w:val="-12"/>
        </w:rPr>
        <w:t> </w:t>
      </w:r>
      <w:r>
        <w:rPr/>
        <w:t>structures</w:t>
      </w:r>
      <w:r>
        <w:rPr>
          <w:spacing w:val="-7"/>
        </w:rPr>
        <w:t> </w:t>
      </w:r>
      <w:r>
        <w:rPr/>
        <w:t>in</w:t>
      </w:r>
      <w:r>
        <w:rPr>
          <w:spacing w:val="-7"/>
        </w:rPr>
        <w:t> </w:t>
      </w:r>
      <w:r>
        <w:rPr/>
        <w:t>line</w:t>
      </w:r>
      <w:r>
        <w:rPr>
          <w:spacing w:val="-8"/>
        </w:rPr>
        <w:t> </w:t>
      </w:r>
      <w:r>
        <w:rPr/>
        <w:t>with the</w:t>
      </w:r>
      <w:r>
        <w:rPr>
          <w:spacing w:val="-2"/>
        </w:rPr>
        <w:t> </w:t>
      </w:r>
      <w:r>
        <w:rPr/>
        <w:t>monocentric</w:t>
      </w:r>
      <w:r>
        <w:rPr>
          <w:spacing w:val="-2"/>
        </w:rPr>
        <w:t> </w:t>
      </w:r>
      <w:r>
        <w:rPr/>
        <w:t>model. Similar</w:t>
      </w:r>
      <w:r>
        <w:rPr>
          <w:spacing w:val="-1"/>
        </w:rPr>
        <w:t> </w:t>
      </w:r>
      <w:r>
        <w:rPr/>
        <w:t>pattern</w:t>
      </w:r>
      <w:r>
        <w:rPr>
          <w:spacing w:val="-1"/>
        </w:rPr>
        <w:t> </w:t>
      </w:r>
      <w:r>
        <w:rPr/>
        <w:t>were</w:t>
      </w:r>
      <w:r>
        <w:rPr>
          <w:spacing w:val="-3"/>
        </w:rPr>
        <w:t> </w:t>
      </w:r>
      <w:r>
        <w:rPr/>
        <w:t>observed</w:t>
      </w:r>
      <w:r>
        <w:rPr>
          <w:spacing w:val="-1"/>
        </w:rPr>
        <w:t> </w:t>
      </w:r>
      <w:r>
        <w:rPr/>
        <w:t>by</w:t>
      </w:r>
      <w:r>
        <w:rPr>
          <w:spacing w:val="-3"/>
        </w:rPr>
        <w:t> </w:t>
      </w:r>
      <w:r>
        <w:rPr/>
        <w:t>Broitman</w:t>
      </w:r>
      <w:r>
        <w:rPr>
          <w:spacing w:val="-1"/>
        </w:rPr>
        <w:t> </w:t>
      </w:r>
      <w:r>
        <w:rPr/>
        <w:t>and</w:t>
      </w:r>
      <w:r>
        <w:rPr>
          <w:spacing w:val="-1"/>
        </w:rPr>
        <w:t> </w:t>
      </w:r>
      <w:r>
        <w:rPr/>
        <w:t>Koomen (2015) who</w:t>
      </w:r>
      <w:r>
        <w:rPr>
          <w:spacing w:val="-6"/>
        </w:rPr>
        <w:t> </w:t>
      </w:r>
      <w:r>
        <w:rPr/>
        <w:t>studied</w:t>
      </w:r>
      <w:r>
        <w:rPr>
          <w:spacing w:val="-6"/>
        </w:rPr>
        <w:t> </w:t>
      </w:r>
      <w:r>
        <w:rPr/>
        <w:t>residential</w:t>
      </w:r>
      <w:r>
        <w:rPr>
          <w:spacing w:val="-5"/>
        </w:rPr>
        <w:t> </w:t>
      </w:r>
      <w:r>
        <w:rPr/>
        <w:t>density</w:t>
      </w:r>
      <w:r>
        <w:rPr>
          <w:spacing w:val="-11"/>
        </w:rPr>
        <w:t> </w:t>
      </w:r>
      <w:r>
        <w:rPr/>
        <w:t>change</w:t>
      </w:r>
      <w:r>
        <w:rPr>
          <w:spacing w:val="-4"/>
        </w:rPr>
        <w:t> </w:t>
      </w:r>
      <w:r>
        <w:rPr/>
        <w:t>focussing</w:t>
      </w:r>
      <w:r>
        <w:rPr>
          <w:spacing w:val="-6"/>
        </w:rPr>
        <w:t> </w:t>
      </w:r>
      <w:r>
        <w:rPr/>
        <w:t>on</w:t>
      </w:r>
      <w:r>
        <w:rPr>
          <w:spacing w:val="-6"/>
        </w:rPr>
        <w:t> </w:t>
      </w:r>
      <w:r>
        <w:rPr/>
        <w:t>densification</w:t>
      </w:r>
      <w:r>
        <w:rPr>
          <w:spacing w:val="-6"/>
        </w:rPr>
        <w:t> </w:t>
      </w:r>
      <w:r>
        <w:rPr/>
        <w:t>and</w:t>
      </w:r>
      <w:r>
        <w:rPr>
          <w:spacing w:val="-4"/>
        </w:rPr>
        <w:t> </w:t>
      </w:r>
      <w:r>
        <w:rPr/>
        <w:t>urban</w:t>
      </w:r>
      <w:r>
        <w:rPr>
          <w:spacing w:val="-6"/>
        </w:rPr>
        <w:t> </w:t>
      </w:r>
      <w:r>
        <w:rPr/>
        <w:t>expansion – that</w:t>
      </w:r>
      <w:r>
        <w:rPr>
          <w:spacing w:val="19"/>
        </w:rPr>
        <w:t> </w:t>
      </w:r>
      <w:r>
        <w:rPr/>
        <w:t>in</w:t>
      </w:r>
      <w:r>
        <w:rPr>
          <w:spacing w:val="21"/>
        </w:rPr>
        <w:t> </w:t>
      </w:r>
      <w:r>
        <w:rPr/>
        <w:t>urban</w:t>
      </w:r>
      <w:r>
        <w:rPr>
          <w:spacing w:val="21"/>
        </w:rPr>
        <w:t> </w:t>
      </w:r>
      <w:r>
        <w:rPr/>
        <w:t>development,</w:t>
      </w:r>
      <w:r>
        <w:rPr>
          <w:spacing w:val="21"/>
        </w:rPr>
        <w:t> </w:t>
      </w:r>
      <w:r>
        <w:rPr/>
        <w:t>increasing</w:t>
      </w:r>
      <w:r>
        <w:rPr>
          <w:spacing w:val="18"/>
        </w:rPr>
        <w:t> </w:t>
      </w:r>
      <w:r>
        <w:rPr/>
        <w:t>densities</w:t>
      </w:r>
      <w:r>
        <w:rPr>
          <w:spacing w:val="21"/>
        </w:rPr>
        <w:t> </w:t>
      </w:r>
      <w:r>
        <w:rPr/>
        <w:t>and</w:t>
      </w:r>
      <w:r>
        <w:rPr>
          <w:spacing w:val="21"/>
        </w:rPr>
        <w:t> </w:t>
      </w:r>
      <w:r>
        <w:rPr/>
        <w:t>number</w:t>
      </w:r>
      <w:r>
        <w:rPr>
          <w:spacing w:val="20"/>
        </w:rPr>
        <w:t> </w:t>
      </w:r>
      <w:r>
        <w:rPr/>
        <w:t>of</w:t>
      </w:r>
      <w:r>
        <w:rPr>
          <w:spacing w:val="20"/>
        </w:rPr>
        <w:t> </w:t>
      </w:r>
      <w:r>
        <w:rPr/>
        <w:t>housing</w:t>
      </w:r>
      <w:r>
        <w:rPr>
          <w:spacing w:val="18"/>
        </w:rPr>
        <w:t> </w:t>
      </w:r>
      <w:r>
        <w:rPr/>
        <w:t>units</w:t>
      </w:r>
      <w:r>
        <w:rPr>
          <w:spacing w:val="22"/>
        </w:rPr>
        <w:t> </w:t>
      </w:r>
      <w:r>
        <w:rPr>
          <w:spacing w:val="-2"/>
        </w:rPr>
        <w:t>increases</w:t>
      </w:r>
    </w:p>
    <w:p>
      <w:pPr>
        <w:spacing w:after="0" w:line="480" w:lineRule="auto"/>
        <w:sectPr>
          <w:pgSz w:w="11910" w:h="16840"/>
          <w:pgMar w:header="0" w:footer="1022" w:top="1400" w:bottom="1220" w:left="1680" w:right="900"/>
        </w:sectPr>
      </w:pPr>
    </w:p>
    <w:p>
      <w:pPr>
        <w:pStyle w:val="BodyText"/>
        <w:spacing w:line="480" w:lineRule="auto" w:before="72"/>
        <w:ind w:left="305" w:right="511"/>
      </w:pPr>
      <w:r>
        <w:rPr/>
        <w:t>towards the city centre. Wang </w:t>
      </w:r>
      <w:r>
        <w:rPr>
          <w:i/>
        </w:rPr>
        <w:t>et al</w:t>
      </w:r>
      <w:r>
        <w:rPr/>
        <w:t>. (2019) find a similar importance for the growth centres in their analysis of urban densification dynamics and future modes in south- eastern Wisconsin, USA. However, it can be inferred from the research findings that residential</w:t>
      </w:r>
      <w:r>
        <w:rPr>
          <w:spacing w:val="-3"/>
        </w:rPr>
        <w:t> </w:t>
      </w:r>
      <w:r>
        <w:rPr/>
        <w:t>development occurs</w:t>
      </w:r>
      <w:r>
        <w:rPr>
          <w:spacing w:val="-3"/>
        </w:rPr>
        <w:t> </w:t>
      </w:r>
      <w:r>
        <w:rPr/>
        <w:t>more</w:t>
      </w:r>
      <w:r>
        <w:rPr>
          <w:spacing w:val="-4"/>
        </w:rPr>
        <w:t> </w:t>
      </w:r>
      <w:r>
        <w:rPr/>
        <w:t>in</w:t>
      </w:r>
      <w:r>
        <w:rPr>
          <w:spacing w:val="-3"/>
        </w:rPr>
        <w:t> </w:t>
      </w:r>
      <w:r>
        <w:rPr/>
        <w:t>areas</w:t>
      </w:r>
      <w:r>
        <w:rPr>
          <w:spacing w:val="-3"/>
        </w:rPr>
        <w:t> </w:t>
      </w:r>
      <w:r>
        <w:rPr/>
        <w:t>that</w:t>
      </w:r>
      <w:r>
        <w:rPr>
          <w:spacing w:val="-1"/>
        </w:rPr>
        <w:t> </w:t>
      </w:r>
      <w:r>
        <w:rPr/>
        <w:t>are</w:t>
      </w:r>
      <w:r>
        <w:rPr>
          <w:spacing w:val="-5"/>
        </w:rPr>
        <w:t> </w:t>
      </w:r>
      <w:r>
        <w:rPr/>
        <w:t>rich</w:t>
      </w:r>
      <w:r>
        <w:rPr>
          <w:spacing w:val="-3"/>
        </w:rPr>
        <w:t> </w:t>
      </w:r>
      <w:r>
        <w:rPr/>
        <w:t>in</w:t>
      </w:r>
      <w:r>
        <w:rPr>
          <w:spacing w:val="-3"/>
        </w:rPr>
        <w:t> </w:t>
      </w:r>
      <w:r>
        <w:rPr/>
        <w:t>amenities</w:t>
      </w:r>
      <w:r>
        <w:rPr>
          <w:spacing w:val="-3"/>
        </w:rPr>
        <w:t> </w:t>
      </w:r>
      <w:r>
        <w:rPr/>
        <w:t>but</w:t>
      </w:r>
      <w:r>
        <w:rPr>
          <w:spacing w:val="-3"/>
        </w:rPr>
        <w:t> </w:t>
      </w:r>
      <w:r>
        <w:rPr/>
        <w:t>in</w:t>
      </w:r>
      <w:r>
        <w:rPr>
          <w:spacing w:val="-3"/>
        </w:rPr>
        <w:t> </w:t>
      </w:r>
      <w:r>
        <w:rPr/>
        <w:t>the</w:t>
      </w:r>
      <w:r>
        <w:rPr>
          <w:spacing w:val="-3"/>
        </w:rPr>
        <w:t> </w:t>
      </w:r>
      <w:r>
        <w:rPr/>
        <w:t>study</w:t>
      </w:r>
      <w:r>
        <w:rPr>
          <w:spacing w:val="-10"/>
        </w:rPr>
        <w:t> </w:t>
      </w:r>
      <w:r>
        <w:rPr/>
        <w:t>it occurs more in the areas with less or no physical planning regulations.</w:t>
      </w:r>
    </w:p>
    <w:p>
      <w:pPr>
        <w:pStyle w:val="Heading1"/>
        <w:numPr>
          <w:ilvl w:val="1"/>
          <w:numId w:val="16"/>
        </w:numPr>
        <w:tabs>
          <w:tab w:pos="1025" w:val="left" w:leader="none"/>
        </w:tabs>
        <w:spacing w:line="240" w:lineRule="auto" w:before="245" w:after="0"/>
        <w:ind w:left="1025" w:right="513" w:hanging="720"/>
        <w:jc w:val="both"/>
      </w:pPr>
      <w:r>
        <w:rPr/>
        <w:t>Spatiotemporal</w:t>
      </w:r>
      <w:r>
        <w:rPr>
          <w:spacing w:val="-5"/>
        </w:rPr>
        <w:t> </w:t>
      </w:r>
      <w:r>
        <w:rPr/>
        <w:t>Dynamics</w:t>
      </w:r>
      <w:r>
        <w:rPr>
          <w:spacing w:val="-7"/>
        </w:rPr>
        <w:t> </w:t>
      </w:r>
      <w:r>
        <w:rPr/>
        <w:t>in</w:t>
      </w:r>
      <w:r>
        <w:rPr>
          <w:spacing w:val="-6"/>
        </w:rPr>
        <w:t> </w:t>
      </w:r>
      <w:r>
        <w:rPr/>
        <w:t>the</w:t>
      </w:r>
      <w:r>
        <w:rPr>
          <w:spacing w:val="-7"/>
        </w:rPr>
        <w:t> </w:t>
      </w:r>
      <w:r>
        <w:rPr/>
        <w:t>Housing</w:t>
      </w:r>
      <w:r>
        <w:rPr>
          <w:spacing w:val="-7"/>
        </w:rPr>
        <w:t> </w:t>
      </w:r>
      <w:r>
        <w:rPr/>
        <w:t>Market</w:t>
      </w:r>
      <w:r>
        <w:rPr>
          <w:spacing w:val="-6"/>
        </w:rPr>
        <w:t> </w:t>
      </w:r>
      <w:r>
        <w:rPr/>
        <w:t>of</w:t>
      </w:r>
      <w:r>
        <w:rPr>
          <w:spacing w:val="-5"/>
        </w:rPr>
        <w:t> </w:t>
      </w:r>
      <w:r>
        <w:rPr/>
        <w:t>the</w:t>
      </w:r>
      <w:r>
        <w:rPr>
          <w:spacing w:val="-7"/>
        </w:rPr>
        <w:t> </w:t>
      </w:r>
      <w:r>
        <w:rPr/>
        <w:t>Study</w:t>
      </w:r>
      <w:r>
        <w:rPr>
          <w:spacing w:val="-7"/>
        </w:rPr>
        <w:t> </w:t>
      </w:r>
      <w:r>
        <w:rPr/>
        <w:t>Area</w:t>
      </w:r>
      <w:r>
        <w:rPr>
          <w:spacing w:val="-6"/>
        </w:rPr>
        <w:t> </w:t>
      </w:r>
      <w:r>
        <w:rPr/>
        <w:t>between Years 2008 – 2018</w:t>
      </w:r>
    </w:p>
    <w:p>
      <w:pPr>
        <w:pStyle w:val="BodyText"/>
        <w:spacing w:line="480" w:lineRule="auto" w:before="236"/>
        <w:ind w:left="305" w:right="519"/>
      </w:pPr>
      <w:r>
        <w:rPr/>
        <w:t>Using</w:t>
      </w:r>
      <w:r>
        <w:rPr>
          <w:spacing w:val="-2"/>
        </w:rPr>
        <w:t> </w:t>
      </w:r>
      <w:r>
        <w:rPr/>
        <w:t>OK</w:t>
      </w:r>
      <w:r>
        <w:rPr>
          <w:spacing w:val="-1"/>
        </w:rPr>
        <w:t> </w:t>
      </w:r>
      <w:r>
        <w:rPr/>
        <w:t>spatial interpolation method with combination of</w:t>
      </w:r>
      <w:r>
        <w:rPr>
          <w:spacing w:val="-1"/>
        </w:rPr>
        <w:t> </w:t>
      </w:r>
      <w:r>
        <w:rPr/>
        <w:t>growing</w:t>
      </w:r>
      <w:r>
        <w:rPr>
          <w:spacing w:val="-3"/>
        </w:rPr>
        <w:t> </w:t>
      </w:r>
      <w:r>
        <w:rPr/>
        <w:t>number</w:t>
      </w:r>
      <w:r>
        <w:rPr>
          <w:spacing w:val="-1"/>
        </w:rPr>
        <w:t> </w:t>
      </w:r>
      <w:r>
        <w:rPr/>
        <w:t>of</w:t>
      </w:r>
      <w:r>
        <w:rPr>
          <w:spacing w:val="-1"/>
        </w:rPr>
        <w:t> </w:t>
      </w:r>
      <w:r>
        <w:rPr/>
        <w:t>housing transaction</w:t>
      </w:r>
      <w:r>
        <w:rPr>
          <w:spacing w:val="-6"/>
        </w:rPr>
        <w:t> </w:t>
      </w:r>
      <w:r>
        <w:rPr/>
        <w:t>database</w:t>
      </w:r>
      <w:r>
        <w:rPr>
          <w:spacing w:val="-4"/>
        </w:rPr>
        <w:t> </w:t>
      </w:r>
      <w:r>
        <w:rPr/>
        <w:t>records</w:t>
      </w:r>
      <w:r>
        <w:rPr>
          <w:spacing w:val="-6"/>
        </w:rPr>
        <w:t> </w:t>
      </w:r>
      <w:r>
        <w:rPr/>
        <w:t>from</w:t>
      </w:r>
      <w:r>
        <w:rPr>
          <w:spacing w:val="-1"/>
        </w:rPr>
        <w:t> </w:t>
      </w:r>
      <w:r>
        <w:rPr/>
        <w:t>year</w:t>
      </w:r>
      <w:r>
        <w:rPr>
          <w:spacing w:val="-4"/>
        </w:rPr>
        <w:t> </w:t>
      </w:r>
      <w:r>
        <w:rPr/>
        <w:t>2008</w:t>
      </w:r>
      <w:r>
        <w:rPr>
          <w:spacing w:val="-6"/>
        </w:rPr>
        <w:t> </w:t>
      </w:r>
      <w:r>
        <w:rPr/>
        <w:t>to</w:t>
      </w:r>
      <w:r>
        <w:rPr>
          <w:spacing w:val="-5"/>
        </w:rPr>
        <w:t> </w:t>
      </w:r>
      <w:r>
        <w:rPr/>
        <w:t>2018</w:t>
      </w:r>
      <w:r>
        <w:rPr>
          <w:spacing w:val="-6"/>
        </w:rPr>
        <w:t> </w:t>
      </w:r>
      <w:r>
        <w:rPr/>
        <w:t>and</w:t>
      </w:r>
      <w:r>
        <w:rPr>
          <w:spacing w:val="-6"/>
        </w:rPr>
        <w:t> </w:t>
      </w:r>
      <w:r>
        <w:rPr/>
        <w:t>three</w:t>
      </w:r>
      <w:r>
        <w:rPr>
          <w:spacing w:val="-4"/>
        </w:rPr>
        <w:t> </w:t>
      </w:r>
      <w:r>
        <w:rPr/>
        <w:t>categories</w:t>
      </w:r>
      <w:r>
        <w:rPr>
          <w:spacing w:val="-6"/>
        </w:rPr>
        <w:t> </w:t>
      </w:r>
      <w:r>
        <w:rPr/>
        <w:t>of</w:t>
      </w:r>
      <w:r>
        <w:rPr>
          <w:spacing w:val="-7"/>
        </w:rPr>
        <w:t> </w:t>
      </w:r>
      <w:r>
        <w:rPr/>
        <w:t>housing</w:t>
      </w:r>
      <w:r>
        <w:rPr>
          <w:spacing w:val="-6"/>
        </w:rPr>
        <w:t> </w:t>
      </w:r>
      <w:r>
        <w:rPr/>
        <w:t>(i.e. 1 bedroom, 2 bedroom and 3 bedroom), the spatiotemporal modelling of housing prices are presented as follow;</w:t>
      </w:r>
    </w:p>
    <w:p>
      <w:pPr>
        <w:pStyle w:val="Heading1"/>
        <w:numPr>
          <w:ilvl w:val="2"/>
          <w:numId w:val="16"/>
        </w:numPr>
        <w:tabs>
          <w:tab w:pos="1024" w:val="left" w:leader="none"/>
        </w:tabs>
        <w:spacing w:line="240" w:lineRule="auto" w:before="247" w:after="0"/>
        <w:ind w:left="1024" w:right="0" w:hanging="719"/>
        <w:jc w:val="both"/>
      </w:pPr>
      <w:r>
        <w:rPr/>
        <w:t>Spatiotemporal</w:t>
      </w:r>
      <w:r>
        <w:rPr>
          <w:spacing w:val="-2"/>
        </w:rPr>
        <w:t> </w:t>
      </w:r>
      <w:r>
        <w:rPr/>
        <w:t>dynamics</w:t>
      </w:r>
      <w:r>
        <w:rPr>
          <w:spacing w:val="-2"/>
        </w:rPr>
        <w:t> </w:t>
      </w:r>
      <w:r>
        <w:rPr/>
        <w:t>in</w:t>
      </w:r>
      <w:r>
        <w:rPr>
          <w:spacing w:val="-1"/>
        </w:rPr>
        <w:t> </w:t>
      </w:r>
      <w:r>
        <w:rPr/>
        <w:t>1</w:t>
      </w:r>
      <w:r>
        <w:rPr>
          <w:spacing w:val="-2"/>
        </w:rPr>
        <w:t> </w:t>
      </w:r>
      <w:r>
        <w:rPr/>
        <w:t>bedroom</w:t>
      </w:r>
      <w:r>
        <w:rPr>
          <w:spacing w:val="-5"/>
        </w:rPr>
        <w:t> </w:t>
      </w:r>
      <w:r>
        <w:rPr/>
        <w:t>housing</w:t>
      </w:r>
      <w:r>
        <w:rPr>
          <w:spacing w:val="-1"/>
        </w:rPr>
        <w:t> </w:t>
      </w:r>
      <w:r>
        <w:rPr>
          <w:spacing w:val="-2"/>
        </w:rPr>
        <w:t>prices</w:t>
      </w:r>
    </w:p>
    <w:p>
      <w:pPr>
        <w:pStyle w:val="BodyText"/>
        <w:spacing w:before="192"/>
        <w:jc w:val="left"/>
        <w:rPr>
          <w:b/>
        </w:rPr>
      </w:pPr>
    </w:p>
    <w:p>
      <w:pPr>
        <w:pStyle w:val="BodyText"/>
        <w:spacing w:line="480" w:lineRule="auto"/>
        <w:ind w:left="305" w:right="514"/>
      </w:pPr>
      <w:r>
        <w:rPr/>
        <w:t>The</w:t>
      </w:r>
      <w:r>
        <w:rPr>
          <w:spacing w:val="-5"/>
        </w:rPr>
        <w:t> </w:t>
      </w:r>
      <w:r>
        <w:rPr/>
        <w:t>interpolation</w:t>
      </w:r>
      <w:r>
        <w:rPr>
          <w:spacing w:val="-3"/>
        </w:rPr>
        <w:t> </w:t>
      </w:r>
      <w:r>
        <w:rPr/>
        <w:t>results</w:t>
      </w:r>
      <w:r>
        <w:rPr>
          <w:spacing w:val="-3"/>
        </w:rPr>
        <w:t> </w:t>
      </w:r>
      <w:r>
        <w:rPr/>
        <w:t>in</w:t>
      </w:r>
      <w:r>
        <w:rPr>
          <w:spacing w:val="-3"/>
        </w:rPr>
        <w:t> </w:t>
      </w:r>
      <w:r>
        <w:rPr/>
        <w:t>Figure</w:t>
      </w:r>
      <w:r>
        <w:rPr>
          <w:spacing w:val="-3"/>
        </w:rPr>
        <w:t> </w:t>
      </w:r>
      <w:r>
        <w:rPr/>
        <w:t>4.13,</w:t>
      </w:r>
      <w:r>
        <w:rPr>
          <w:spacing w:val="-3"/>
        </w:rPr>
        <w:t> </w:t>
      </w:r>
      <w:r>
        <w:rPr/>
        <w:t>Figure</w:t>
      </w:r>
      <w:r>
        <w:rPr>
          <w:spacing w:val="-5"/>
        </w:rPr>
        <w:t> </w:t>
      </w:r>
      <w:r>
        <w:rPr/>
        <w:t>4.14</w:t>
      </w:r>
      <w:r>
        <w:rPr>
          <w:spacing w:val="-3"/>
        </w:rPr>
        <w:t> </w:t>
      </w:r>
      <w:r>
        <w:rPr/>
        <w:t>and</w:t>
      </w:r>
      <w:r>
        <w:rPr>
          <w:spacing w:val="-3"/>
        </w:rPr>
        <w:t> </w:t>
      </w:r>
      <w:r>
        <w:rPr/>
        <w:t>Figure</w:t>
      </w:r>
      <w:r>
        <w:rPr>
          <w:spacing w:val="-4"/>
        </w:rPr>
        <w:t> </w:t>
      </w:r>
      <w:r>
        <w:rPr/>
        <w:t>4.15</w:t>
      </w:r>
      <w:r>
        <w:rPr>
          <w:spacing w:val="-3"/>
        </w:rPr>
        <w:t> </w:t>
      </w:r>
      <w:r>
        <w:rPr/>
        <w:t>revealed</w:t>
      </w:r>
      <w:r>
        <w:rPr>
          <w:spacing w:val="-3"/>
        </w:rPr>
        <w:t> </w:t>
      </w:r>
      <w:r>
        <w:rPr/>
        <w:t>the</w:t>
      </w:r>
      <w:r>
        <w:rPr>
          <w:spacing w:val="-4"/>
        </w:rPr>
        <w:t> </w:t>
      </w:r>
      <w:r>
        <w:rPr/>
        <w:t>pattern of</w:t>
      </w:r>
      <w:r>
        <w:rPr>
          <w:spacing w:val="-2"/>
        </w:rPr>
        <w:t> </w:t>
      </w:r>
      <w:r>
        <w:rPr/>
        <w:t>space</w:t>
      </w:r>
      <w:r>
        <w:rPr>
          <w:spacing w:val="-1"/>
        </w:rPr>
        <w:t> </w:t>
      </w:r>
      <w:r>
        <w:rPr/>
        <w:t>and</w:t>
      </w:r>
      <w:r>
        <w:rPr>
          <w:spacing w:val="-2"/>
        </w:rPr>
        <w:t> </w:t>
      </w:r>
      <w:r>
        <w:rPr/>
        <w:t>time</w:t>
      </w:r>
      <w:r>
        <w:rPr>
          <w:spacing w:val="-1"/>
        </w:rPr>
        <w:t> </w:t>
      </w:r>
      <w:r>
        <w:rPr/>
        <w:t>changes</w:t>
      </w:r>
      <w:r>
        <w:rPr>
          <w:spacing w:val="-2"/>
        </w:rPr>
        <w:t> </w:t>
      </w:r>
      <w:r>
        <w:rPr/>
        <w:t>that</w:t>
      </w:r>
      <w:r>
        <w:rPr>
          <w:spacing w:val="-2"/>
        </w:rPr>
        <w:t> </w:t>
      </w:r>
      <w:r>
        <w:rPr/>
        <w:t>occurred in</w:t>
      </w:r>
      <w:r>
        <w:rPr>
          <w:spacing w:val="-2"/>
        </w:rPr>
        <w:t> </w:t>
      </w:r>
      <w:r>
        <w:rPr/>
        <w:t>the</w:t>
      </w:r>
      <w:r>
        <w:rPr>
          <w:spacing w:val="-1"/>
        </w:rPr>
        <w:t> </w:t>
      </w:r>
      <w:r>
        <w:rPr/>
        <w:t>housing</w:t>
      </w:r>
      <w:r>
        <w:rPr>
          <w:spacing w:val="-4"/>
        </w:rPr>
        <w:t> </w:t>
      </w:r>
      <w:r>
        <w:rPr/>
        <w:t>prices</w:t>
      </w:r>
      <w:r>
        <w:rPr>
          <w:spacing w:val="-2"/>
        </w:rPr>
        <w:t> </w:t>
      </w:r>
      <w:r>
        <w:rPr/>
        <w:t>of</w:t>
      </w:r>
      <w:r>
        <w:rPr>
          <w:spacing w:val="-2"/>
        </w:rPr>
        <w:t> </w:t>
      </w:r>
      <w:r>
        <w:rPr/>
        <w:t>one</w:t>
      </w:r>
      <w:r>
        <w:rPr>
          <w:spacing w:val="-2"/>
        </w:rPr>
        <w:t> </w:t>
      </w:r>
      <w:r>
        <w:rPr/>
        <w:t>bedroom</w:t>
      </w:r>
      <w:r>
        <w:rPr>
          <w:spacing w:val="-2"/>
        </w:rPr>
        <w:t> </w:t>
      </w:r>
      <w:r>
        <w:rPr/>
        <w:t>apartment in the study area. It can be observed that rental price for one bedroom apartment was lower in the Central Business District (CBD) and eastern part of the town and higher towards the south in the year 2008. Changes began to manifest in the year 2013 and became obvious in the year 2018. However, in the CBD, little changes were observed.</w:t>
      </w:r>
    </w:p>
    <w:p>
      <w:pPr>
        <w:pStyle w:val="BodyText"/>
        <w:spacing w:line="480" w:lineRule="auto" w:before="162"/>
        <w:ind w:left="305" w:right="518"/>
      </w:pPr>
      <w:r>
        <w:rPr/>
        <w:t>These results demonstrate complex urban structure of the housing market. The results showed spatial characteristics of the housing market contrary to the traditional characteristics</w:t>
      </w:r>
      <w:r>
        <w:rPr>
          <w:spacing w:val="-9"/>
        </w:rPr>
        <w:t> </w:t>
      </w:r>
      <w:r>
        <w:rPr/>
        <w:t>of</w:t>
      </w:r>
      <w:r>
        <w:rPr>
          <w:spacing w:val="-9"/>
        </w:rPr>
        <w:t> </w:t>
      </w:r>
      <w:r>
        <w:rPr/>
        <w:t>the</w:t>
      </w:r>
      <w:r>
        <w:rPr>
          <w:spacing w:val="-9"/>
        </w:rPr>
        <w:t> </w:t>
      </w:r>
      <w:r>
        <w:rPr/>
        <w:t>monocentric</w:t>
      </w:r>
      <w:r>
        <w:rPr>
          <w:spacing w:val="-9"/>
        </w:rPr>
        <w:t> </w:t>
      </w:r>
      <w:r>
        <w:rPr/>
        <w:t>model</w:t>
      </w:r>
      <w:r>
        <w:rPr>
          <w:spacing w:val="-8"/>
        </w:rPr>
        <w:t> </w:t>
      </w:r>
      <w:r>
        <w:rPr/>
        <w:t>and</w:t>
      </w:r>
      <w:r>
        <w:rPr>
          <w:spacing w:val="-8"/>
        </w:rPr>
        <w:t> </w:t>
      </w:r>
      <w:r>
        <w:rPr/>
        <w:t>similar</w:t>
      </w:r>
      <w:r>
        <w:rPr>
          <w:spacing w:val="-9"/>
        </w:rPr>
        <w:t> </w:t>
      </w:r>
      <w:r>
        <w:rPr/>
        <w:t>linear</w:t>
      </w:r>
      <w:r>
        <w:rPr>
          <w:spacing w:val="-9"/>
        </w:rPr>
        <w:t> </w:t>
      </w:r>
      <w:r>
        <w:rPr/>
        <w:t>models</w:t>
      </w:r>
      <w:r>
        <w:rPr>
          <w:spacing w:val="-8"/>
        </w:rPr>
        <w:t> </w:t>
      </w:r>
      <w:r>
        <w:rPr/>
        <w:t>of</w:t>
      </w:r>
      <w:r>
        <w:rPr>
          <w:spacing w:val="-9"/>
        </w:rPr>
        <w:t> </w:t>
      </w:r>
      <w:r>
        <w:rPr/>
        <w:t>urban</w:t>
      </w:r>
      <w:r>
        <w:rPr>
          <w:spacing w:val="-8"/>
        </w:rPr>
        <w:t> </w:t>
      </w:r>
      <w:r>
        <w:rPr/>
        <w:t>morphology. The result corresponds with the polycentric pattern of urban morphology.</w:t>
      </w:r>
    </w:p>
    <w:p>
      <w:pPr>
        <w:spacing w:after="0" w:line="480" w:lineRule="auto"/>
        <w:sectPr>
          <w:pgSz w:w="11910" w:h="16840"/>
          <w:pgMar w:header="0" w:footer="1022" w:top="1320" w:bottom="1220" w:left="1680" w:right="900"/>
        </w:sectPr>
      </w:pPr>
    </w:p>
    <w:p>
      <w:pPr>
        <w:pStyle w:val="BodyText"/>
        <w:ind w:left="1341"/>
        <w:jc w:val="left"/>
        <w:rPr>
          <w:sz w:val="20"/>
        </w:rPr>
      </w:pPr>
      <w:r>
        <w:rPr>
          <w:sz w:val="20"/>
        </w:rPr>
        <w:drawing>
          <wp:inline distT="0" distB="0" distL="0" distR="0">
            <wp:extent cx="4073423" cy="3596163"/>
            <wp:effectExtent l="0" t="0" r="0" b="0"/>
            <wp:docPr id="32" name="Image 32" descr="C:\Users\SAMARU\Pictures\1 2008.png"/>
            <wp:cNvGraphicFramePr>
              <a:graphicFrameLocks/>
            </wp:cNvGraphicFramePr>
            <a:graphic>
              <a:graphicData uri="http://schemas.openxmlformats.org/drawingml/2006/picture">
                <pic:pic>
                  <pic:nvPicPr>
                    <pic:cNvPr id="32" name="Image 32" descr="C:\Users\SAMARU\Pictures\1 2008.png"/>
                    <pic:cNvPicPr/>
                  </pic:nvPicPr>
                  <pic:blipFill>
                    <a:blip r:embed="rId31" cstate="print"/>
                    <a:stretch>
                      <a:fillRect/>
                    </a:stretch>
                  </pic:blipFill>
                  <pic:spPr>
                    <a:xfrm>
                      <a:off x="0" y="0"/>
                      <a:ext cx="4073423" cy="3596163"/>
                    </a:xfrm>
                    <a:prstGeom prst="rect">
                      <a:avLst/>
                    </a:prstGeom>
                  </pic:spPr>
                </pic:pic>
              </a:graphicData>
            </a:graphic>
          </wp:inline>
        </w:drawing>
      </w:r>
      <w:r>
        <w:rPr>
          <w:sz w:val="20"/>
        </w:rPr>
      </w:r>
    </w:p>
    <w:p>
      <w:pPr>
        <w:pStyle w:val="Heading1"/>
        <w:spacing w:line="274" w:lineRule="exact" w:before="12"/>
        <w:ind w:left="292" w:right="505" w:firstLine="0"/>
        <w:jc w:val="center"/>
      </w:pPr>
      <w:r>
        <w:rPr/>
        <w:t>Figure</w:t>
      </w:r>
      <w:r>
        <w:rPr>
          <w:spacing w:val="-4"/>
        </w:rPr>
        <w:t> </w:t>
      </w:r>
      <w:r>
        <w:rPr/>
        <w:t>4.13:</w:t>
      </w:r>
      <w:r>
        <w:rPr>
          <w:spacing w:val="-1"/>
        </w:rPr>
        <w:t> </w:t>
      </w:r>
      <w:r>
        <w:rPr/>
        <w:t>Spatial</w:t>
      </w:r>
      <w:r>
        <w:rPr>
          <w:spacing w:val="-1"/>
        </w:rPr>
        <w:t> </w:t>
      </w:r>
      <w:r>
        <w:rPr/>
        <w:t>Interpolation of One</w:t>
      </w:r>
      <w:r>
        <w:rPr>
          <w:spacing w:val="-2"/>
        </w:rPr>
        <w:t> </w:t>
      </w:r>
      <w:r>
        <w:rPr/>
        <w:t>Bedroom</w:t>
      </w:r>
      <w:r>
        <w:rPr>
          <w:spacing w:val="-4"/>
        </w:rPr>
        <w:t> </w:t>
      </w:r>
      <w:r>
        <w:rPr/>
        <w:t>Housing</w:t>
      </w:r>
      <w:r>
        <w:rPr>
          <w:spacing w:val="-1"/>
        </w:rPr>
        <w:t> </w:t>
      </w:r>
      <w:r>
        <w:rPr/>
        <w:t>Prices</w:t>
      </w:r>
      <w:r>
        <w:rPr>
          <w:spacing w:val="-1"/>
        </w:rPr>
        <w:t> </w:t>
      </w:r>
      <w:r>
        <w:rPr/>
        <w:t>for</w:t>
      </w:r>
      <w:r>
        <w:rPr>
          <w:spacing w:val="1"/>
        </w:rPr>
        <w:t> </w:t>
      </w:r>
      <w:r>
        <w:rPr>
          <w:spacing w:val="-4"/>
        </w:rPr>
        <w:t>2008</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pStyle w:val="BodyText"/>
        <w:spacing w:before="29"/>
        <w:jc w:val="left"/>
        <w:rPr>
          <w:sz w:val="20"/>
        </w:rPr>
      </w:pPr>
      <w:r>
        <w:rPr/>
        <w:drawing>
          <wp:anchor distT="0" distB="0" distL="0" distR="0" allowOverlap="1" layoutInCell="1" locked="0" behindDoc="1" simplePos="0" relativeHeight="487592960">
            <wp:simplePos x="0" y="0"/>
            <wp:positionH relativeFrom="page">
              <wp:posOffset>1871472</wp:posOffset>
            </wp:positionH>
            <wp:positionV relativeFrom="paragraph">
              <wp:posOffset>179846</wp:posOffset>
            </wp:positionV>
            <wp:extent cx="4132231" cy="3616833"/>
            <wp:effectExtent l="0" t="0" r="0" b="0"/>
            <wp:wrapTopAndBottom/>
            <wp:docPr id="33" name="Image 33" descr="C:\Users\SAMARU\Pictures\1 2013.png"/>
            <wp:cNvGraphicFramePr>
              <a:graphicFrameLocks/>
            </wp:cNvGraphicFramePr>
            <a:graphic>
              <a:graphicData uri="http://schemas.openxmlformats.org/drawingml/2006/picture">
                <pic:pic>
                  <pic:nvPicPr>
                    <pic:cNvPr id="33" name="Image 33" descr="C:\Users\SAMARU\Pictures\1 2013.png"/>
                    <pic:cNvPicPr/>
                  </pic:nvPicPr>
                  <pic:blipFill>
                    <a:blip r:embed="rId32" cstate="print"/>
                    <a:stretch>
                      <a:fillRect/>
                    </a:stretch>
                  </pic:blipFill>
                  <pic:spPr>
                    <a:xfrm>
                      <a:off x="0" y="0"/>
                      <a:ext cx="4132231" cy="3616833"/>
                    </a:xfrm>
                    <a:prstGeom prst="rect">
                      <a:avLst/>
                    </a:prstGeom>
                  </pic:spPr>
                </pic:pic>
              </a:graphicData>
            </a:graphic>
          </wp:anchor>
        </w:drawing>
      </w:r>
    </w:p>
    <w:p>
      <w:pPr>
        <w:pStyle w:val="Heading1"/>
        <w:spacing w:line="274" w:lineRule="exact" w:before="63"/>
        <w:ind w:left="292" w:right="505" w:firstLine="0"/>
        <w:jc w:val="center"/>
      </w:pPr>
      <w:r>
        <w:rPr/>
        <w:t>Figure</w:t>
      </w:r>
      <w:r>
        <w:rPr>
          <w:spacing w:val="-4"/>
        </w:rPr>
        <w:t> </w:t>
      </w:r>
      <w:r>
        <w:rPr/>
        <w:t>4.14:</w:t>
      </w:r>
      <w:r>
        <w:rPr>
          <w:spacing w:val="-1"/>
        </w:rPr>
        <w:t> </w:t>
      </w:r>
      <w:r>
        <w:rPr/>
        <w:t>Spatial</w:t>
      </w:r>
      <w:r>
        <w:rPr>
          <w:spacing w:val="-1"/>
        </w:rPr>
        <w:t> </w:t>
      </w:r>
      <w:r>
        <w:rPr/>
        <w:t>Interpolation of One</w:t>
      </w:r>
      <w:r>
        <w:rPr>
          <w:spacing w:val="-2"/>
        </w:rPr>
        <w:t> </w:t>
      </w:r>
      <w:r>
        <w:rPr/>
        <w:t>Bedroom</w:t>
      </w:r>
      <w:r>
        <w:rPr>
          <w:spacing w:val="-4"/>
        </w:rPr>
        <w:t> </w:t>
      </w:r>
      <w:r>
        <w:rPr/>
        <w:t>Housing</w:t>
      </w:r>
      <w:r>
        <w:rPr>
          <w:spacing w:val="-1"/>
        </w:rPr>
        <w:t> </w:t>
      </w:r>
      <w:r>
        <w:rPr/>
        <w:t>Prices</w:t>
      </w:r>
      <w:r>
        <w:rPr>
          <w:spacing w:val="-1"/>
        </w:rPr>
        <w:t> </w:t>
      </w:r>
      <w:r>
        <w:rPr/>
        <w:t>for</w:t>
      </w:r>
      <w:r>
        <w:rPr>
          <w:spacing w:val="1"/>
        </w:rPr>
        <w:t> </w:t>
      </w:r>
      <w:r>
        <w:rPr>
          <w:spacing w:val="-4"/>
        </w:rPr>
        <w:t>2013</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spacing w:after="0" w:line="274" w:lineRule="exact"/>
        <w:jc w:val="center"/>
        <w:sectPr>
          <w:pgSz w:w="11910" w:h="16840"/>
          <w:pgMar w:header="0" w:footer="1022" w:top="1400" w:bottom="1220" w:left="1680" w:right="900"/>
        </w:sectPr>
      </w:pPr>
    </w:p>
    <w:p>
      <w:pPr>
        <w:pStyle w:val="BodyText"/>
        <w:ind w:left="1152"/>
        <w:jc w:val="left"/>
        <w:rPr>
          <w:sz w:val="20"/>
        </w:rPr>
      </w:pPr>
      <w:r>
        <w:rPr>
          <w:sz w:val="20"/>
        </w:rPr>
        <w:drawing>
          <wp:inline distT="0" distB="0" distL="0" distR="0">
            <wp:extent cx="4258536" cy="3587877"/>
            <wp:effectExtent l="0" t="0" r="0" b="0"/>
            <wp:docPr id="34" name="Image 34" descr="C:\Users\SAMARU\Pictures\1 2018.png"/>
            <wp:cNvGraphicFramePr>
              <a:graphicFrameLocks/>
            </wp:cNvGraphicFramePr>
            <a:graphic>
              <a:graphicData uri="http://schemas.openxmlformats.org/drawingml/2006/picture">
                <pic:pic>
                  <pic:nvPicPr>
                    <pic:cNvPr id="34" name="Image 34" descr="C:\Users\SAMARU\Pictures\1 2018.png"/>
                    <pic:cNvPicPr/>
                  </pic:nvPicPr>
                  <pic:blipFill>
                    <a:blip r:embed="rId33" cstate="print"/>
                    <a:stretch>
                      <a:fillRect/>
                    </a:stretch>
                  </pic:blipFill>
                  <pic:spPr>
                    <a:xfrm>
                      <a:off x="0" y="0"/>
                      <a:ext cx="4258536" cy="3587877"/>
                    </a:xfrm>
                    <a:prstGeom prst="rect">
                      <a:avLst/>
                    </a:prstGeom>
                  </pic:spPr>
                </pic:pic>
              </a:graphicData>
            </a:graphic>
          </wp:inline>
        </w:drawing>
      </w:r>
      <w:r>
        <w:rPr>
          <w:sz w:val="20"/>
        </w:rPr>
      </w:r>
    </w:p>
    <w:p>
      <w:pPr>
        <w:pStyle w:val="Heading1"/>
        <w:spacing w:line="274" w:lineRule="exact" w:before="75"/>
        <w:ind w:left="292" w:right="505" w:firstLine="0"/>
        <w:jc w:val="center"/>
      </w:pPr>
      <w:r>
        <w:rPr/>
        <w:t>Figure</w:t>
      </w:r>
      <w:r>
        <w:rPr>
          <w:spacing w:val="-2"/>
        </w:rPr>
        <w:t> </w:t>
      </w:r>
      <w:r>
        <w:rPr/>
        <w:t>4.15:</w:t>
      </w:r>
      <w:r>
        <w:rPr>
          <w:spacing w:val="-1"/>
        </w:rPr>
        <w:t> </w:t>
      </w:r>
      <w:r>
        <w:rPr/>
        <w:t>Spatial</w:t>
      </w:r>
      <w:r>
        <w:rPr>
          <w:spacing w:val="-1"/>
        </w:rPr>
        <w:t> </w:t>
      </w:r>
      <w:r>
        <w:rPr/>
        <w:t>Interpolation</w:t>
      </w:r>
      <w:r>
        <w:rPr>
          <w:spacing w:val="-1"/>
        </w:rPr>
        <w:t> </w:t>
      </w:r>
      <w:r>
        <w:rPr/>
        <w:t>of One</w:t>
      </w:r>
      <w:r>
        <w:rPr>
          <w:spacing w:val="-1"/>
        </w:rPr>
        <w:t> </w:t>
      </w:r>
      <w:r>
        <w:rPr/>
        <w:t>Bedroom</w:t>
      </w:r>
      <w:r>
        <w:rPr>
          <w:spacing w:val="-5"/>
        </w:rPr>
        <w:t> </w:t>
      </w:r>
      <w:r>
        <w:rPr/>
        <w:t>Housing</w:t>
      </w:r>
      <w:r>
        <w:rPr>
          <w:spacing w:val="-1"/>
        </w:rPr>
        <w:t> </w:t>
      </w:r>
      <w:r>
        <w:rPr/>
        <w:t>Prices</w:t>
      </w:r>
      <w:r>
        <w:rPr>
          <w:spacing w:val="-1"/>
        </w:rPr>
        <w:t> </w:t>
      </w:r>
      <w:r>
        <w:rPr/>
        <w:t>for</w:t>
      </w:r>
      <w:r>
        <w:rPr>
          <w:spacing w:val="1"/>
        </w:rPr>
        <w:t> </w:t>
      </w:r>
      <w:r>
        <w:rPr>
          <w:spacing w:val="-4"/>
        </w:rPr>
        <w:t>2018</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pStyle w:val="BodyText"/>
        <w:spacing w:before="247"/>
        <w:jc w:val="left"/>
      </w:pPr>
    </w:p>
    <w:p>
      <w:pPr>
        <w:pStyle w:val="Heading1"/>
        <w:numPr>
          <w:ilvl w:val="2"/>
          <w:numId w:val="16"/>
        </w:numPr>
        <w:tabs>
          <w:tab w:pos="1025" w:val="left" w:leader="none"/>
        </w:tabs>
        <w:spacing w:line="240" w:lineRule="auto" w:before="0" w:after="0"/>
        <w:ind w:left="1025" w:right="0" w:hanging="720"/>
        <w:jc w:val="left"/>
      </w:pPr>
      <w:r>
        <w:rPr/>
        <w:t>Spatiotemporal</w:t>
      </w:r>
      <w:r>
        <w:rPr>
          <w:spacing w:val="-2"/>
        </w:rPr>
        <w:t> </w:t>
      </w:r>
      <w:r>
        <w:rPr/>
        <w:t>dynamics</w:t>
      </w:r>
      <w:r>
        <w:rPr>
          <w:spacing w:val="-2"/>
        </w:rPr>
        <w:t> </w:t>
      </w:r>
      <w:r>
        <w:rPr/>
        <w:t>in</w:t>
      </w:r>
      <w:r>
        <w:rPr>
          <w:spacing w:val="-1"/>
        </w:rPr>
        <w:t> </w:t>
      </w:r>
      <w:r>
        <w:rPr/>
        <w:t>2</w:t>
      </w:r>
      <w:r>
        <w:rPr>
          <w:spacing w:val="-2"/>
        </w:rPr>
        <w:t> </w:t>
      </w:r>
      <w:r>
        <w:rPr/>
        <w:t>bedroom</w:t>
      </w:r>
      <w:r>
        <w:rPr>
          <w:spacing w:val="-5"/>
        </w:rPr>
        <w:t> </w:t>
      </w:r>
      <w:r>
        <w:rPr/>
        <w:t>housing</w:t>
      </w:r>
      <w:r>
        <w:rPr>
          <w:spacing w:val="-1"/>
        </w:rPr>
        <w:t> </w:t>
      </w:r>
      <w:r>
        <w:rPr>
          <w:spacing w:val="-2"/>
        </w:rPr>
        <w:t>prices</w:t>
      </w:r>
    </w:p>
    <w:p>
      <w:pPr>
        <w:pStyle w:val="BodyText"/>
        <w:spacing w:before="195"/>
        <w:jc w:val="left"/>
        <w:rPr>
          <w:b/>
        </w:rPr>
      </w:pPr>
    </w:p>
    <w:p>
      <w:pPr>
        <w:pStyle w:val="BodyText"/>
        <w:spacing w:line="480" w:lineRule="auto"/>
        <w:ind w:left="305" w:right="513"/>
      </w:pPr>
      <w:r>
        <w:rPr/>
        <w:t>Spatial and temporal dynamics in the housing prices of two bedroom in the study area shows</w:t>
      </w:r>
      <w:r>
        <w:rPr>
          <w:spacing w:val="-11"/>
        </w:rPr>
        <w:t> </w:t>
      </w:r>
      <w:r>
        <w:rPr/>
        <w:t>that</w:t>
      </w:r>
      <w:r>
        <w:rPr>
          <w:spacing w:val="-11"/>
        </w:rPr>
        <w:t> </w:t>
      </w:r>
      <w:r>
        <w:rPr/>
        <w:t>CBD</w:t>
      </w:r>
      <w:r>
        <w:rPr>
          <w:spacing w:val="-11"/>
        </w:rPr>
        <w:t> </w:t>
      </w:r>
      <w:r>
        <w:rPr/>
        <w:t>region</w:t>
      </w:r>
      <w:r>
        <w:rPr>
          <w:spacing w:val="-10"/>
        </w:rPr>
        <w:t> </w:t>
      </w:r>
      <w:r>
        <w:rPr/>
        <w:t>have</w:t>
      </w:r>
      <w:r>
        <w:rPr>
          <w:spacing w:val="-12"/>
        </w:rPr>
        <w:t> </w:t>
      </w:r>
      <w:r>
        <w:rPr/>
        <w:t>low</w:t>
      </w:r>
      <w:r>
        <w:rPr>
          <w:spacing w:val="-11"/>
        </w:rPr>
        <w:t> </w:t>
      </w:r>
      <w:r>
        <w:rPr/>
        <w:t>rental</w:t>
      </w:r>
      <w:r>
        <w:rPr>
          <w:spacing w:val="-11"/>
        </w:rPr>
        <w:t> </w:t>
      </w:r>
      <w:r>
        <w:rPr/>
        <w:t>value</w:t>
      </w:r>
      <w:r>
        <w:rPr>
          <w:spacing w:val="-11"/>
        </w:rPr>
        <w:t> </w:t>
      </w:r>
      <w:r>
        <w:rPr/>
        <w:t>in</w:t>
      </w:r>
      <w:r>
        <w:rPr>
          <w:spacing w:val="-10"/>
        </w:rPr>
        <w:t> </w:t>
      </w:r>
      <w:r>
        <w:rPr/>
        <w:t>the</w:t>
      </w:r>
      <w:r>
        <w:rPr>
          <w:spacing w:val="-9"/>
        </w:rPr>
        <w:t> </w:t>
      </w:r>
      <w:r>
        <w:rPr/>
        <w:t>year</w:t>
      </w:r>
      <w:r>
        <w:rPr>
          <w:spacing w:val="-11"/>
        </w:rPr>
        <w:t> </w:t>
      </w:r>
      <w:r>
        <w:rPr/>
        <w:t>2008,</w:t>
      </w:r>
      <w:r>
        <w:rPr>
          <w:spacing w:val="-8"/>
        </w:rPr>
        <w:t> </w:t>
      </w:r>
      <w:r>
        <w:rPr/>
        <w:t>and</w:t>
      </w:r>
      <w:r>
        <w:rPr>
          <w:spacing w:val="-11"/>
        </w:rPr>
        <w:t> </w:t>
      </w:r>
      <w:r>
        <w:rPr/>
        <w:t>it</w:t>
      </w:r>
      <w:r>
        <w:rPr>
          <w:spacing w:val="-10"/>
        </w:rPr>
        <w:t> </w:t>
      </w:r>
      <w:r>
        <w:rPr/>
        <w:t>increases</w:t>
      </w:r>
      <w:r>
        <w:rPr>
          <w:spacing w:val="-10"/>
        </w:rPr>
        <w:t> </w:t>
      </w:r>
      <w:r>
        <w:rPr/>
        <w:t>in</w:t>
      </w:r>
      <w:r>
        <w:rPr>
          <w:spacing w:val="-10"/>
        </w:rPr>
        <w:t> </w:t>
      </w:r>
      <w:r>
        <w:rPr/>
        <w:t>the</w:t>
      </w:r>
      <w:r>
        <w:rPr>
          <w:spacing w:val="-11"/>
        </w:rPr>
        <w:t> </w:t>
      </w:r>
      <w:r>
        <w:rPr/>
        <w:t>area but</w:t>
      </w:r>
      <w:r>
        <w:rPr>
          <w:spacing w:val="-10"/>
        </w:rPr>
        <w:t> </w:t>
      </w:r>
      <w:r>
        <w:rPr/>
        <w:t>still</w:t>
      </w:r>
      <w:r>
        <w:rPr>
          <w:spacing w:val="-10"/>
        </w:rPr>
        <w:t> </w:t>
      </w:r>
      <w:r>
        <w:rPr/>
        <w:t>lower</w:t>
      </w:r>
      <w:r>
        <w:rPr>
          <w:spacing w:val="-11"/>
        </w:rPr>
        <w:t> </w:t>
      </w:r>
      <w:r>
        <w:rPr/>
        <w:t>compare</w:t>
      </w:r>
      <w:r>
        <w:rPr>
          <w:spacing w:val="-12"/>
        </w:rPr>
        <w:t> </w:t>
      </w:r>
      <w:r>
        <w:rPr/>
        <w:t>to</w:t>
      </w:r>
      <w:r>
        <w:rPr>
          <w:spacing w:val="-10"/>
        </w:rPr>
        <w:t> </w:t>
      </w:r>
      <w:r>
        <w:rPr/>
        <w:t>other</w:t>
      </w:r>
      <w:r>
        <w:rPr>
          <w:spacing w:val="-12"/>
        </w:rPr>
        <w:t> </w:t>
      </w:r>
      <w:r>
        <w:rPr/>
        <w:t>areas</w:t>
      </w:r>
      <w:r>
        <w:rPr>
          <w:spacing w:val="-10"/>
        </w:rPr>
        <w:t> </w:t>
      </w:r>
      <w:r>
        <w:rPr/>
        <w:t>in</w:t>
      </w:r>
      <w:r>
        <w:rPr>
          <w:spacing w:val="-10"/>
        </w:rPr>
        <w:t> </w:t>
      </w:r>
      <w:r>
        <w:rPr/>
        <w:t>the</w:t>
      </w:r>
      <w:r>
        <w:rPr>
          <w:spacing w:val="-9"/>
        </w:rPr>
        <w:t> </w:t>
      </w:r>
      <w:r>
        <w:rPr/>
        <w:t>year</w:t>
      </w:r>
      <w:r>
        <w:rPr>
          <w:spacing w:val="-11"/>
        </w:rPr>
        <w:t> </w:t>
      </w:r>
      <w:r>
        <w:rPr/>
        <w:t>2018.</w:t>
      </w:r>
      <w:r>
        <w:rPr>
          <w:spacing w:val="-11"/>
        </w:rPr>
        <w:t> </w:t>
      </w:r>
      <w:r>
        <w:rPr/>
        <w:t>However,</w:t>
      </w:r>
      <w:r>
        <w:rPr>
          <w:spacing w:val="-11"/>
        </w:rPr>
        <w:t> </w:t>
      </w:r>
      <w:r>
        <w:rPr/>
        <w:t>to</w:t>
      </w:r>
      <w:r>
        <w:rPr>
          <w:spacing w:val="-10"/>
        </w:rPr>
        <w:t> </w:t>
      </w:r>
      <w:r>
        <w:rPr/>
        <w:t>the</w:t>
      </w:r>
      <w:r>
        <w:rPr>
          <w:spacing w:val="-11"/>
        </w:rPr>
        <w:t> </w:t>
      </w:r>
      <w:r>
        <w:rPr/>
        <w:t>west</w:t>
      </w:r>
      <w:r>
        <w:rPr>
          <w:spacing w:val="-12"/>
        </w:rPr>
        <w:t> </w:t>
      </w:r>
      <w:r>
        <w:rPr/>
        <w:t>and</w:t>
      </w:r>
      <w:r>
        <w:rPr>
          <w:spacing w:val="-11"/>
        </w:rPr>
        <w:t> </w:t>
      </w:r>
      <w:r>
        <w:rPr/>
        <w:t>southern parts, the</w:t>
      </w:r>
      <w:r>
        <w:rPr>
          <w:spacing w:val="-1"/>
        </w:rPr>
        <w:t> </w:t>
      </w:r>
      <w:r>
        <w:rPr/>
        <w:t>rental value</w:t>
      </w:r>
      <w:r>
        <w:rPr>
          <w:spacing w:val="-1"/>
        </w:rPr>
        <w:t> </w:t>
      </w:r>
      <w:r>
        <w:rPr/>
        <w:t>of two bedroom</w:t>
      </w:r>
      <w:r>
        <w:rPr>
          <w:spacing w:val="-1"/>
        </w:rPr>
        <w:t> </w:t>
      </w:r>
      <w:r>
        <w:rPr/>
        <w:t>apartments was high throughout the study</w:t>
      </w:r>
      <w:r>
        <w:rPr>
          <w:spacing w:val="-5"/>
        </w:rPr>
        <w:t> </w:t>
      </w:r>
      <w:r>
        <w:rPr/>
        <w:t>period. These are spatially</w:t>
      </w:r>
      <w:r>
        <w:rPr>
          <w:spacing w:val="-4"/>
        </w:rPr>
        <w:t> </w:t>
      </w:r>
      <w:r>
        <w:rPr/>
        <w:t>represented in Figure</w:t>
      </w:r>
      <w:r>
        <w:rPr>
          <w:spacing w:val="-1"/>
        </w:rPr>
        <w:t> </w:t>
      </w:r>
      <w:r>
        <w:rPr/>
        <w:t>4.16, Figure</w:t>
      </w:r>
      <w:r>
        <w:rPr>
          <w:spacing w:val="-1"/>
        </w:rPr>
        <w:t> </w:t>
      </w:r>
      <w:r>
        <w:rPr/>
        <w:t>4.17 and Figure</w:t>
      </w:r>
      <w:r>
        <w:rPr>
          <w:spacing w:val="-1"/>
        </w:rPr>
        <w:t> </w:t>
      </w:r>
      <w:r>
        <w:rPr/>
        <w:t>4.18 respectively.</w:t>
      </w:r>
    </w:p>
    <w:p>
      <w:pPr>
        <w:pStyle w:val="BodyText"/>
        <w:spacing w:line="480" w:lineRule="auto" w:before="241"/>
        <w:ind w:left="305" w:right="514"/>
      </w:pPr>
      <w:r>
        <w:rPr/>
        <w:t>These results shows high housing prices in the GRA and Poly areas in the urban fringe while the CBD have lower housing prices for all type of houses. The spatial morphological structure of housing prices shows a pattern that is unique where changes occur</w:t>
      </w:r>
      <w:r>
        <w:rPr>
          <w:spacing w:val="-1"/>
        </w:rPr>
        <w:t> </w:t>
      </w:r>
      <w:r>
        <w:rPr/>
        <w:t>from</w:t>
      </w:r>
      <w:r>
        <w:rPr>
          <w:spacing w:val="-1"/>
        </w:rPr>
        <w:t> </w:t>
      </w:r>
      <w:r>
        <w:rPr/>
        <w:t>preceding years</w:t>
      </w:r>
      <w:r>
        <w:rPr>
          <w:spacing w:val="-1"/>
        </w:rPr>
        <w:t> </w:t>
      </w:r>
      <w:r>
        <w:rPr/>
        <w:t>in the urban fringe</w:t>
      </w:r>
      <w:r>
        <w:rPr>
          <w:spacing w:val="-1"/>
        </w:rPr>
        <w:t> </w:t>
      </w:r>
      <w:r>
        <w:rPr/>
        <w:t>without much</w:t>
      </w:r>
      <w:r>
        <w:rPr>
          <w:spacing w:val="-1"/>
        </w:rPr>
        <w:t> </w:t>
      </w:r>
      <w:r>
        <w:rPr/>
        <w:t>change</w:t>
      </w:r>
      <w:r>
        <w:rPr>
          <w:spacing w:val="-1"/>
        </w:rPr>
        <w:t> </w:t>
      </w:r>
      <w:r>
        <w:rPr/>
        <w:t>in the CBD. It also retains its polycentric model contrary to the Alonso urban economic theory.</w:t>
      </w:r>
    </w:p>
    <w:p>
      <w:pPr>
        <w:spacing w:after="0" w:line="480" w:lineRule="auto"/>
        <w:sectPr>
          <w:pgSz w:w="11910" w:h="16840"/>
          <w:pgMar w:header="0" w:footer="1022" w:top="1400" w:bottom="1220" w:left="1680" w:right="900"/>
        </w:sectPr>
      </w:pPr>
    </w:p>
    <w:p>
      <w:pPr>
        <w:pStyle w:val="BodyText"/>
        <w:ind w:left="1308"/>
        <w:jc w:val="left"/>
        <w:rPr>
          <w:sz w:val="20"/>
        </w:rPr>
      </w:pPr>
      <w:r>
        <w:rPr>
          <w:sz w:val="20"/>
        </w:rPr>
        <w:drawing>
          <wp:inline distT="0" distB="0" distL="0" distR="0">
            <wp:extent cx="4082784" cy="3571494"/>
            <wp:effectExtent l="0" t="0" r="0" b="0"/>
            <wp:docPr id="35" name="Image 35" descr="C:\Users\SAMARU\Pictures\2 2008.png"/>
            <wp:cNvGraphicFramePr>
              <a:graphicFrameLocks/>
            </wp:cNvGraphicFramePr>
            <a:graphic>
              <a:graphicData uri="http://schemas.openxmlformats.org/drawingml/2006/picture">
                <pic:pic>
                  <pic:nvPicPr>
                    <pic:cNvPr id="35" name="Image 35" descr="C:\Users\SAMARU\Pictures\2 2008.png"/>
                    <pic:cNvPicPr/>
                  </pic:nvPicPr>
                  <pic:blipFill>
                    <a:blip r:embed="rId34" cstate="print"/>
                    <a:stretch>
                      <a:fillRect/>
                    </a:stretch>
                  </pic:blipFill>
                  <pic:spPr>
                    <a:xfrm>
                      <a:off x="0" y="0"/>
                      <a:ext cx="4082784" cy="3571494"/>
                    </a:xfrm>
                    <a:prstGeom prst="rect">
                      <a:avLst/>
                    </a:prstGeom>
                  </pic:spPr>
                </pic:pic>
              </a:graphicData>
            </a:graphic>
          </wp:inline>
        </w:drawing>
      </w:r>
      <w:r>
        <w:rPr>
          <w:sz w:val="20"/>
        </w:rPr>
      </w:r>
    </w:p>
    <w:p>
      <w:pPr>
        <w:pStyle w:val="Heading1"/>
        <w:spacing w:line="274" w:lineRule="exact" w:before="58"/>
        <w:ind w:left="292" w:right="507" w:firstLine="0"/>
        <w:jc w:val="center"/>
      </w:pPr>
      <w:r>
        <w:rPr/>
        <w:t>Figure</w:t>
      </w:r>
      <w:r>
        <w:rPr>
          <w:spacing w:val="-2"/>
        </w:rPr>
        <w:t> </w:t>
      </w:r>
      <w:r>
        <w:rPr/>
        <w:t>4.16:</w:t>
      </w:r>
      <w:r>
        <w:rPr>
          <w:spacing w:val="-1"/>
        </w:rPr>
        <w:t> </w:t>
      </w:r>
      <w:r>
        <w:rPr/>
        <w:t>Spatial</w:t>
      </w:r>
      <w:r>
        <w:rPr>
          <w:spacing w:val="-1"/>
        </w:rPr>
        <w:t> </w:t>
      </w:r>
      <w:r>
        <w:rPr/>
        <w:t>Interpolation</w:t>
      </w:r>
      <w:r>
        <w:rPr>
          <w:spacing w:val="-1"/>
        </w:rPr>
        <w:t> </w:t>
      </w:r>
      <w:r>
        <w:rPr/>
        <w:t>of Two</w:t>
      </w:r>
      <w:r>
        <w:rPr>
          <w:spacing w:val="-1"/>
        </w:rPr>
        <w:t> </w:t>
      </w:r>
      <w:r>
        <w:rPr/>
        <w:t>Bedroom</w:t>
      </w:r>
      <w:r>
        <w:rPr>
          <w:spacing w:val="-5"/>
        </w:rPr>
        <w:t> </w:t>
      </w:r>
      <w:r>
        <w:rPr/>
        <w:t>Housing</w:t>
      </w:r>
      <w:r>
        <w:rPr>
          <w:spacing w:val="-1"/>
        </w:rPr>
        <w:t> </w:t>
      </w:r>
      <w:r>
        <w:rPr/>
        <w:t>Prices</w:t>
      </w:r>
      <w:r>
        <w:rPr>
          <w:spacing w:val="-1"/>
        </w:rPr>
        <w:t> </w:t>
      </w:r>
      <w:r>
        <w:rPr/>
        <w:t>for</w:t>
      </w:r>
      <w:r>
        <w:rPr>
          <w:spacing w:val="1"/>
        </w:rPr>
        <w:t> </w:t>
      </w:r>
      <w:r>
        <w:rPr>
          <w:spacing w:val="-4"/>
        </w:rPr>
        <w:t>2008</w:t>
      </w:r>
    </w:p>
    <w:p>
      <w:pPr>
        <w:pStyle w:val="BodyText"/>
        <w:spacing w:line="274" w:lineRule="exact"/>
        <w:ind w:left="292" w:right="503"/>
        <w:jc w:val="center"/>
      </w:pPr>
      <w:r>
        <w:rPr/>
        <w:t>Source:</w:t>
      </w:r>
      <w:r>
        <w:rPr>
          <w:spacing w:val="-4"/>
        </w:rPr>
        <w:t> </w:t>
      </w:r>
      <w:r>
        <w:rPr/>
        <w:t>Field</w:t>
      </w:r>
      <w:r>
        <w:rPr>
          <w:spacing w:val="-2"/>
        </w:rPr>
        <w:t> </w:t>
      </w:r>
      <w:r>
        <w:rPr/>
        <w:t>survey,</w:t>
      </w:r>
      <w:r>
        <w:rPr>
          <w:spacing w:val="-1"/>
        </w:rPr>
        <w:t> </w:t>
      </w:r>
      <w:r>
        <w:rPr>
          <w:spacing w:val="-4"/>
        </w:rPr>
        <w:t>2019</w:t>
      </w:r>
    </w:p>
    <w:p>
      <w:pPr>
        <w:pStyle w:val="BodyText"/>
        <w:spacing w:before="29"/>
        <w:jc w:val="left"/>
        <w:rPr>
          <w:sz w:val="20"/>
        </w:rPr>
      </w:pPr>
      <w:r>
        <w:rPr/>
        <w:drawing>
          <wp:anchor distT="0" distB="0" distL="0" distR="0" allowOverlap="1" layoutInCell="1" locked="0" behindDoc="1" simplePos="0" relativeHeight="487593472">
            <wp:simplePos x="0" y="0"/>
            <wp:positionH relativeFrom="page">
              <wp:posOffset>1898904</wp:posOffset>
            </wp:positionH>
            <wp:positionV relativeFrom="paragraph">
              <wp:posOffset>179973</wp:posOffset>
            </wp:positionV>
            <wp:extent cx="4085222" cy="3567398"/>
            <wp:effectExtent l="0" t="0" r="0" b="0"/>
            <wp:wrapTopAndBottom/>
            <wp:docPr id="36" name="Image 36" descr="C:\Users\SAMARU\Pictures\2 2013.png"/>
            <wp:cNvGraphicFramePr>
              <a:graphicFrameLocks/>
            </wp:cNvGraphicFramePr>
            <a:graphic>
              <a:graphicData uri="http://schemas.openxmlformats.org/drawingml/2006/picture">
                <pic:pic>
                  <pic:nvPicPr>
                    <pic:cNvPr id="36" name="Image 36" descr="C:\Users\SAMARU\Pictures\2 2013.png"/>
                    <pic:cNvPicPr/>
                  </pic:nvPicPr>
                  <pic:blipFill>
                    <a:blip r:embed="rId35" cstate="print"/>
                    <a:stretch>
                      <a:fillRect/>
                    </a:stretch>
                  </pic:blipFill>
                  <pic:spPr>
                    <a:xfrm>
                      <a:off x="0" y="0"/>
                      <a:ext cx="4085222" cy="3567398"/>
                    </a:xfrm>
                    <a:prstGeom prst="rect">
                      <a:avLst/>
                    </a:prstGeom>
                  </pic:spPr>
                </pic:pic>
              </a:graphicData>
            </a:graphic>
          </wp:anchor>
        </w:drawing>
      </w:r>
    </w:p>
    <w:p>
      <w:pPr>
        <w:pStyle w:val="Heading1"/>
        <w:spacing w:line="274" w:lineRule="exact" w:before="52"/>
        <w:ind w:left="292" w:right="504" w:firstLine="0"/>
        <w:jc w:val="center"/>
      </w:pPr>
      <w:r>
        <w:rPr/>
        <w:t>Figure</w:t>
      </w:r>
      <w:r>
        <w:rPr>
          <w:spacing w:val="-2"/>
        </w:rPr>
        <w:t> </w:t>
      </w:r>
      <w:r>
        <w:rPr/>
        <w:t>4.17:</w:t>
      </w:r>
      <w:r>
        <w:rPr>
          <w:spacing w:val="-1"/>
        </w:rPr>
        <w:t> </w:t>
      </w:r>
      <w:r>
        <w:rPr/>
        <w:t>Spatial</w:t>
      </w:r>
      <w:r>
        <w:rPr>
          <w:spacing w:val="-1"/>
        </w:rPr>
        <w:t> </w:t>
      </w:r>
      <w:r>
        <w:rPr/>
        <w:t>Interpolation</w:t>
      </w:r>
      <w:r>
        <w:rPr>
          <w:spacing w:val="-1"/>
        </w:rPr>
        <w:t> </w:t>
      </w:r>
      <w:r>
        <w:rPr/>
        <w:t>of Two</w:t>
      </w:r>
      <w:r>
        <w:rPr>
          <w:spacing w:val="-1"/>
        </w:rPr>
        <w:t> </w:t>
      </w:r>
      <w:r>
        <w:rPr/>
        <w:t>Bedroom</w:t>
      </w:r>
      <w:r>
        <w:rPr>
          <w:spacing w:val="-5"/>
        </w:rPr>
        <w:t> </w:t>
      </w:r>
      <w:r>
        <w:rPr/>
        <w:t>Housing</w:t>
      </w:r>
      <w:r>
        <w:rPr>
          <w:spacing w:val="2"/>
        </w:rPr>
        <w:t> </w:t>
      </w:r>
      <w:r>
        <w:rPr/>
        <w:t>Prices</w:t>
      </w:r>
      <w:r>
        <w:rPr>
          <w:spacing w:val="-1"/>
        </w:rPr>
        <w:t> </w:t>
      </w:r>
      <w:r>
        <w:rPr/>
        <w:t>for</w:t>
      </w:r>
      <w:r>
        <w:rPr>
          <w:spacing w:val="1"/>
        </w:rPr>
        <w:t> </w:t>
      </w:r>
      <w:r>
        <w:rPr>
          <w:spacing w:val="-4"/>
        </w:rPr>
        <w:t>2013</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spacing w:after="0" w:line="274" w:lineRule="exact"/>
        <w:jc w:val="center"/>
        <w:sectPr>
          <w:pgSz w:w="11910" w:h="16840"/>
          <w:pgMar w:header="0" w:footer="1022" w:top="1400" w:bottom="1220" w:left="1680" w:right="900"/>
        </w:sectPr>
      </w:pPr>
    </w:p>
    <w:p>
      <w:pPr>
        <w:pStyle w:val="BodyText"/>
        <w:ind w:left="1197"/>
        <w:jc w:val="left"/>
        <w:rPr>
          <w:sz w:val="20"/>
        </w:rPr>
      </w:pPr>
      <w:r>
        <w:rPr>
          <w:sz w:val="20"/>
        </w:rPr>
        <w:drawing>
          <wp:inline distT="0" distB="0" distL="0" distR="0">
            <wp:extent cx="4218059" cy="3632930"/>
            <wp:effectExtent l="0" t="0" r="0" b="0"/>
            <wp:docPr id="37" name="Image 37" descr="C:\Users\SAMARU\Pictures\2 2018.png"/>
            <wp:cNvGraphicFramePr>
              <a:graphicFrameLocks/>
            </wp:cNvGraphicFramePr>
            <a:graphic>
              <a:graphicData uri="http://schemas.openxmlformats.org/drawingml/2006/picture">
                <pic:pic>
                  <pic:nvPicPr>
                    <pic:cNvPr id="37" name="Image 37" descr="C:\Users\SAMARU\Pictures\2 2018.png"/>
                    <pic:cNvPicPr/>
                  </pic:nvPicPr>
                  <pic:blipFill>
                    <a:blip r:embed="rId36" cstate="print"/>
                    <a:stretch>
                      <a:fillRect/>
                    </a:stretch>
                  </pic:blipFill>
                  <pic:spPr>
                    <a:xfrm>
                      <a:off x="0" y="0"/>
                      <a:ext cx="4218059" cy="3632930"/>
                    </a:xfrm>
                    <a:prstGeom prst="rect">
                      <a:avLst/>
                    </a:prstGeom>
                  </pic:spPr>
                </pic:pic>
              </a:graphicData>
            </a:graphic>
          </wp:inline>
        </w:drawing>
      </w:r>
      <w:r>
        <w:rPr>
          <w:sz w:val="20"/>
        </w:rPr>
      </w:r>
    </w:p>
    <w:p>
      <w:pPr>
        <w:pStyle w:val="Heading1"/>
        <w:spacing w:line="274" w:lineRule="exact" w:before="64"/>
        <w:ind w:left="292" w:right="507" w:firstLine="0"/>
        <w:jc w:val="center"/>
      </w:pPr>
      <w:r>
        <w:rPr/>
        <w:t>Figure</w:t>
      </w:r>
      <w:r>
        <w:rPr>
          <w:spacing w:val="-2"/>
        </w:rPr>
        <w:t> </w:t>
      </w:r>
      <w:r>
        <w:rPr/>
        <w:t>4.18:</w:t>
      </w:r>
      <w:r>
        <w:rPr>
          <w:spacing w:val="-1"/>
        </w:rPr>
        <w:t> </w:t>
      </w:r>
      <w:r>
        <w:rPr/>
        <w:t>Spatial</w:t>
      </w:r>
      <w:r>
        <w:rPr>
          <w:spacing w:val="-1"/>
        </w:rPr>
        <w:t> </w:t>
      </w:r>
      <w:r>
        <w:rPr/>
        <w:t>Interpolation</w:t>
      </w:r>
      <w:r>
        <w:rPr>
          <w:spacing w:val="-1"/>
        </w:rPr>
        <w:t> </w:t>
      </w:r>
      <w:r>
        <w:rPr/>
        <w:t>of Two</w:t>
      </w:r>
      <w:r>
        <w:rPr>
          <w:spacing w:val="-1"/>
        </w:rPr>
        <w:t> </w:t>
      </w:r>
      <w:r>
        <w:rPr/>
        <w:t>Bedroom</w:t>
      </w:r>
      <w:r>
        <w:rPr>
          <w:spacing w:val="-5"/>
        </w:rPr>
        <w:t> </w:t>
      </w:r>
      <w:r>
        <w:rPr/>
        <w:t>Housing</w:t>
      </w:r>
      <w:r>
        <w:rPr>
          <w:spacing w:val="-1"/>
        </w:rPr>
        <w:t> </w:t>
      </w:r>
      <w:r>
        <w:rPr/>
        <w:t>Prices</w:t>
      </w:r>
      <w:r>
        <w:rPr>
          <w:spacing w:val="-1"/>
        </w:rPr>
        <w:t> </w:t>
      </w:r>
      <w:r>
        <w:rPr/>
        <w:t>for</w:t>
      </w:r>
      <w:r>
        <w:rPr>
          <w:spacing w:val="1"/>
        </w:rPr>
        <w:t> </w:t>
      </w:r>
      <w:r>
        <w:rPr>
          <w:spacing w:val="-4"/>
        </w:rPr>
        <w:t>2018</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pStyle w:val="BodyText"/>
        <w:spacing w:before="7"/>
        <w:jc w:val="left"/>
      </w:pPr>
    </w:p>
    <w:p>
      <w:pPr>
        <w:pStyle w:val="Heading1"/>
        <w:numPr>
          <w:ilvl w:val="2"/>
          <w:numId w:val="16"/>
        </w:numPr>
        <w:tabs>
          <w:tab w:pos="1025" w:val="left" w:leader="none"/>
        </w:tabs>
        <w:spacing w:line="240" w:lineRule="auto" w:before="0" w:after="0"/>
        <w:ind w:left="1025" w:right="0" w:hanging="720"/>
        <w:jc w:val="left"/>
      </w:pPr>
      <w:r>
        <w:rPr/>
        <w:t>Spatiotemporal</w:t>
      </w:r>
      <w:r>
        <w:rPr>
          <w:spacing w:val="-2"/>
        </w:rPr>
        <w:t> </w:t>
      </w:r>
      <w:r>
        <w:rPr/>
        <w:t>dynamics</w:t>
      </w:r>
      <w:r>
        <w:rPr>
          <w:spacing w:val="-2"/>
        </w:rPr>
        <w:t> </w:t>
      </w:r>
      <w:r>
        <w:rPr/>
        <w:t>in</w:t>
      </w:r>
      <w:r>
        <w:rPr>
          <w:spacing w:val="-1"/>
        </w:rPr>
        <w:t> </w:t>
      </w:r>
      <w:r>
        <w:rPr/>
        <w:t>3</w:t>
      </w:r>
      <w:r>
        <w:rPr>
          <w:spacing w:val="-2"/>
        </w:rPr>
        <w:t> </w:t>
      </w:r>
      <w:r>
        <w:rPr/>
        <w:t>bedroom</w:t>
      </w:r>
      <w:r>
        <w:rPr>
          <w:spacing w:val="-5"/>
        </w:rPr>
        <w:t> </w:t>
      </w:r>
      <w:r>
        <w:rPr/>
        <w:t>housing</w:t>
      </w:r>
      <w:r>
        <w:rPr>
          <w:spacing w:val="-1"/>
        </w:rPr>
        <w:t> </w:t>
      </w:r>
      <w:r>
        <w:rPr>
          <w:spacing w:val="-2"/>
        </w:rPr>
        <w:t>prices</w:t>
      </w:r>
    </w:p>
    <w:p>
      <w:pPr>
        <w:pStyle w:val="BodyText"/>
        <w:spacing w:before="195"/>
        <w:jc w:val="left"/>
        <w:rPr>
          <w:b/>
        </w:rPr>
      </w:pPr>
    </w:p>
    <w:p>
      <w:pPr>
        <w:pStyle w:val="BodyText"/>
        <w:spacing w:line="480" w:lineRule="auto"/>
        <w:ind w:left="305" w:right="517"/>
      </w:pPr>
      <w:r>
        <w:rPr/>
        <w:t>For</w:t>
      </w:r>
      <w:r>
        <w:rPr>
          <w:spacing w:val="-15"/>
        </w:rPr>
        <w:t> </w:t>
      </w:r>
      <w:r>
        <w:rPr/>
        <w:t>three</w:t>
      </w:r>
      <w:r>
        <w:rPr>
          <w:spacing w:val="-15"/>
        </w:rPr>
        <w:t> </w:t>
      </w:r>
      <w:r>
        <w:rPr/>
        <w:t>bedroom</w:t>
      </w:r>
      <w:r>
        <w:rPr>
          <w:spacing w:val="-14"/>
        </w:rPr>
        <w:t> </w:t>
      </w:r>
      <w:r>
        <w:rPr/>
        <w:t>apartments,</w:t>
      </w:r>
      <w:r>
        <w:rPr>
          <w:spacing w:val="-14"/>
        </w:rPr>
        <w:t> </w:t>
      </w:r>
      <w:r>
        <w:rPr/>
        <w:t>space</w:t>
      </w:r>
      <w:r>
        <w:rPr>
          <w:spacing w:val="-14"/>
        </w:rPr>
        <w:t> </w:t>
      </w:r>
      <w:r>
        <w:rPr/>
        <w:t>and</w:t>
      </w:r>
      <w:r>
        <w:rPr>
          <w:spacing w:val="-15"/>
        </w:rPr>
        <w:t> </w:t>
      </w:r>
      <w:r>
        <w:rPr/>
        <w:t>time</w:t>
      </w:r>
      <w:r>
        <w:rPr>
          <w:spacing w:val="-15"/>
        </w:rPr>
        <w:t> </w:t>
      </w:r>
      <w:r>
        <w:rPr/>
        <w:t>series</w:t>
      </w:r>
      <w:r>
        <w:rPr>
          <w:spacing w:val="-12"/>
        </w:rPr>
        <w:t> </w:t>
      </w:r>
      <w:r>
        <w:rPr/>
        <w:t>analysis</w:t>
      </w:r>
      <w:r>
        <w:rPr>
          <w:spacing w:val="-15"/>
        </w:rPr>
        <w:t> </w:t>
      </w:r>
      <w:r>
        <w:rPr/>
        <w:t>of</w:t>
      </w:r>
      <w:r>
        <w:rPr>
          <w:spacing w:val="-14"/>
        </w:rPr>
        <w:t> </w:t>
      </w:r>
      <w:r>
        <w:rPr/>
        <w:t>rental</w:t>
      </w:r>
      <w:r>
        <w:rPr>
          <w:spacing w:val="-15"/>
        </w:rPr>
        <w:t> </w:t>
      </w:r>
      <w:r>
        <w:rPr/>
        <w:t>prices</w:t>
      </w:r>
      <w:r>
        <w:rPr>
          <w:spacing w:val="-15"/>
        </w:rPr>
        <w:t> </w:t>
      </w:r>
      <w:r>
        <w:rPr/>
        <w:t>records</w:t>
      </w:r>
      <w:r>
        <w:rPr>
          <w:spacing w:val="-15"/>
        </w:rPr>
        <w:t> </w:t>
      </w:r>
      <w:r>
        <w:rPr/>
        <w:t>little changes between the year 2008 and 2013 while in 2018 significant changes have been observed. However, CBD and other areas surrounding it records lower rental value in 2018. This is graphically presented in Figure 4.19, Figure 4.20 and Figure 4.21 </w:t>
      </w:r>
      <w:r>
        <w:rPr>
          <w:spacing w:val="-2"/>
        </w:rPr>
        <w:t>respectively.</w:t>
      </w:r>
    </w:p>
    <w:p>
      <w:pPr>
        <w:pStyle w:val="BodyText"/>
        <w:spacing w:line="480" w:lineRule="auto" w:before="241"/>
        <w:ind w:left="305" w:right="514"/>
      </w:pPr>
      <w:r>
        <w:rPr/>
        <w:t>The results continue to show the complex urban spatial pattern of the housing market. The spatial interpolations of the housing prices continue to increase in the entire urban fringe</w:t>
      </w:r>
      <w:r>
        <w:rPr>
          <w:spacing w:val="-4"/>
        </w:rPr>
        <w:t> </w:t>
      </w:r>
      <w:r>
        <w:rPr/>
        <w:t>in</w:t>
      </w:r>
      <w:r>
        <w:rPr>
          <w:spacing w:val="-3"/>
        </w:rPr>
        <w:t> </w:t>
      </w:r>
      <w:r>
        <w:rPr/>
        <w:t>the year</w:t>
      </w:r>
      <w:r>
        <w:rPr>
          <w:spacing w:val="-2"/>
        </w:rPr>
        <w:t> </w:t>
      </w:r>
      <w:r>
        <w:rPr/>
        <w:t>2018</w:t>
      </w:r>
      <w:r>
        <w:rPr>
          <w:spacing w:val="-3"/>
        </w:rPr>
        <w:t> </w:t>
      </w:r>
      <w:r>
        <w:rPr/>
        <w:t>and</w:t>
      </w:r>
      <w:r>
        <w:rPr>
          <w:spacing w:val="-1"/>
        </w:rPr>
        <w:t> </w:t>
      </w:r>
      <w:r>
        <w:rPr/>
        <w:t>depicting</w:t>
      </w:r>
      <w:r>
        <w:rPr>
          <w:spacing w:val="-3"/>
        </w:rPr>
        <w:t> </w:t>
      </w:r>
      <w:r>
        <w:rPr/>
        <w:t>more</w:t>
      </w:r>
      <w:r>
        <w:rPr>
          <w:spacing w:val="-4"/>
        </w:rPr>
        <w:t> </w:t>
      </w:r>
      <w:r>
        <w:rPr/>
        <w:t>patterns</w:t>
      </w:r>
      <w:r>
        <w:rPr>
          <w:spacing w:val="-3"/>
        </w:rPr>
        <w:t> </w:t>
      </w:r>
      <w:r>
        <w:rPr/>
        <w:t>in</w:t>
      </w:r>
      <w:r>
        <w:rPr>
          <w:spacing w:val="-3"/>
        </w:rPr>
        <w:t> </w:t>
      </w:r>
      <w:r>
        <w:rPr/>
        <w:t>the</w:t>
      </w:r>
      <w:r>
        <w:rPr>
          <w:spacing w:val="-4"/>
        </w:rPr>
        <w:t> </w:t>
      </w:r>
      <w:r>
        <w:rPr/>
        <w:t>polycentric</w:t>
      </w:r>
      <w:r>
        <w:rPr>
          <w:spacing w:val="-2"/>
        </w:rPr>
        <w:t> </w:t>
      </w:r>
      <w:r>
        <w:rPr/>
        <w:t>urban</w:t>
      </w:r>
      <w:r>
        <w:rPr>
          <w:spacing w:val="-3"/>
        </w:rPr>
        <w:t> </w:t>
      </w:r>
      <w:r>
        <w:rPr/>
        <w:t>morphology contrary to urban spatial structure of the monocentric housing market.</w:t>
      </w:r>
    </w:p>
    <w:p>
      <w:pPr>
        <w:spacing w:after="0" w:line="480" w:lineRule="auto"/>
        <w:sectPr>
          <w:pgSz w:w="11910" w:h="16840"/>
          <w:pgMar w:header="0" w:footer="1022" w:top="1400" w:bottom="1220" w:left="1680" w:right="900"/>
        </w:sectPr>
      </w:pPr>
    </w:p>
    <w:p>
      <w:pPr>
        <w:pStyle w:val="BodyText"/>
        <w:ind w:left="1228"/>
        <w:jc w:val="left"/>
        <w:rPr>
          <w:sz w:val="20"/>
        </w:rPr>
      </w:pPr>
      <w:r>
        <w:rPr>
          <w:sz w:val="20"/>
        </w:rPr>
        <w:drawing>
          <wp:inline distT="0" distB="0" distL="0" distR="0">
            <wp:extent cx="4178526" cy="3559206"/>
            <wp:effectExtent l="0" t="0" r="0" b="0"/>
            <wp:docPr id="38" name="Image 38" descr="C:\Users\SAMARU\Pictures\Housing Market Maps\3 2008.png"/>
            <wp:cNvGraphicFramePr>
              <a:graphicFrameLocks/>
            </wp:cNvGraphicFramePr>
            <a:graphic>
              <a:graphicData uri="http://schemas.openxmlformats.org/drawingml/2006/picture">
                <pic:pic>
                  <pic:nvPicPr>
                    <pic:cNvPr id="38" name="Image 38" descr="C:\Users\SAMARU\Pictures\Housing Market Maps\3 2008.png"/>
                    <pic:cNvPicPr/>
                  </pic:nvPicPr>
                  <pic:blipFill>
                    <a:blip r:embed="rId37" cstate="print"/>
                    <a:stretch>
                      <a:fillRect/>
                    </a:stretch>
                  </pic:blipFill>
                  <pic:spPr>
                    <a:xfrm>
                      <a:off x="0" y="0"/>
                      <a:ext cx="4178526" cy="3559206"/>
                    </a:xfrm>
                    <a:prstGeom prst="rect">
                      <a:avLst/>
                    </a:prstGeom>
                  </pic:spPr>
                </pic:pic>
              </a:graphicData>
            </a:graphic>
          </wp:inline>
        </w:drawing>
      </w:r>
      <w:r>
        <w:rPr>
          <w:sz w:val="20"/>
        </w:rPr>
      </w:r>
    </w:p>
    <w:p>
      <w:pPr>
        <w:pStyle w:val="Heading1"/>
        <w:spacing w:line="274" w:lineRule="exact" w:before="60"/>
        <w:ind w:left="292" w:right="507" w:firstLine="0"/>
        <w:jc w:val="center"/>
      </w:pPr>
      <w:r>
        <w:rPr/>
        <w:t>Figure</w:t>
      </w:r>
      <w:r>
        <w:rPr>
          <w:spacing w:val="-2"/>
        </w:rPr>
        <w:t> </w:t>
      </w:r>
      <w:r>
        <w:rPr/>
        <w:t>4.19:</w:t>
      </w:r>
      <w:r>
        <w:rPr>
          <w:spacing w:val="-1"/>
        </w:rPr>
        <w:t> </w:t>
      </w:r>
      <w:r>
        <w:rPr/>
        <w:t>Spatial</w:t>
      </w:r>
      <w:r>
        <w:rPr>
          <w:spacing w:val="-1"/>
        </w:rPr>
        <w:t> </w:t>
      </w:r>
      <w:r>
        <w:rPr/>
        <w:t>Interpolation of Three</w:t>
      </w:r>
      <w:r>
        <w:rPr>
          <w:spacing w:val="-2"/>
        </w:rPr>
        <w:t> </w:t>
      </w:r>
      <w:r>
        <w:rPr/>
        <w:t>Bedroom</w:t>
      </w:r>
      <w:r>
        <w:rPr>
          <w:spacing w:val="-4"/>
        </w:rPr>
        <w:t> </w:t>
      </w:r>
      <w:r>
        <w:rPr/>
        <w:t>Housing</w:t>
      </w:r>
      <w:r>
        <w:rPr>
          <w:spacing w:val="-1"/>
        </w:rPr>
        <w:t> </w:t>
      </w:r>
      <w:r>
        <w:rPr/>
        <w:t>Prices</w:t>
      </w:r>
      <w:r>
        <w:rPr>
          <w:spacing w:val="-1"/>
        </w:rPr>
        <w:t> </w:t>
      </w:r>
      <w:r>
        <w:rPr/>
        <w:t>for</w:t>
      </w:r>
      <w:r>
        <w:rPr>
          <w:spacing w:val="-1"/>
        </w:rPr>
        <w:t> </w:t>
      </w:r>
      <w:r>
        <w:rPr>
          <w:spacing w:val="-4"/>
        </w:rPr>
        <w:t>2008</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pStyle w:val="BodyText"/>
        <w:spacing w:before="29"/>
        <w:jc w:val="left"/>
        <w:rPr>
          <w:sz w:val="20"/>
        </w:rPr>
      </w:pPr>
      <w:r>
        <w:rPr/>
        <w:drawing>
          <wp:anchor distT="0" distB="0" distL="0" distR="0" allowOverlap="1" layoutInCell="1" locked="0" behindDoc="1" simplePos="0" relativeHeight="487593984">
            <wp:simplePos x="0" y="0"/>
            <wp:positionH relativeFrom="page">
              <wp:posOffset>1825751</wp:posOffset>
            </wp:positionH>
            <wp:positionV relativeFrom="paragraph">
              <wp:posOffset>179692</wp:posOffset>
            </wp:positionV>
            <wp:extent cx="4299471" cy="3587496"/>
            <wp:effectExtent l="0" t="0" r="0" b="0"/>
            <wp:wrapTopAndBottom/>
            <wp:docPr id="39" name="Image 39" descr="C:\Users\SAMARU\Pictures\Housing Market Maps\3 2013.png"/>
            <wp:cNvGraphicFramePr>
              <a:graphicFrameLocks/>
            </wp:cNvGraphicFramePr>
            <a:graphic>
              <a:graphicData uri="http://schemas.openxmlformats.org/drawingml/2006/picture">
                <pic:pic>
                  <pic:nvPicPr>
                    <pic:cNvPr id="39" name="Image 39" descr="C:\Users\SAMARU\Pictures\Housing Market Maps\3 2013.png"/>
                    <pic:cNvPicPr/>
                  </pic:nvPicPr>
                  <pic:blipFill>
                    <a:blip r:embed="rId38" cstate="print"/>
                    <a:stretch>
                      <a:fillRect/>
                    </a:stretch>
                  </pic:blipFill>
                  <pic:spPr>
                    <a:xfrm>
                      <a:off x="0" y="0"/>
                      <a:ext cx="4299471" cy="3587496"/>
                    </a:xfrm>
                    <a:prstGeom prst="rect">
                      <a:avLst/>
                    </a:prstGeom>
                  </pic:spPr>
                </pic:pic>
              </a:graphicData>
            </a:graphic>
          </wp:anchor>
        </w:drawing>
      </w:r>
    </w:p>
    <w:p>
      <w:pPr>
        <w:pStyle w:val="Heading1"/>
        <w:spacing w:line="234" w:lineRule="exact"/>
        <w:ind w:left="292" w:right="508" w:firstLine="0"/>
        <w:jc w:val="center"/>
      </w:pPr>
      <w:r>
        <w:rPr/>
        <w:t>Figure</w:t>
      </w:r>
      <w:r>
        <w:rPr>
          <w:spacing w:val="-2"/>
        </w:rPr>
        <w:t> </w:t>
      </w:r>
      <w:r>
        <w:rPr/>
        <w:t>4.20:</w:t>
      </w:r>
      <w:r>
        <w:rPr>
          <w:spacing w:val="-1"/>
        </w:rPr>
        <w:t> </w:t>
      </w:r>
      <w:r>
        <w:rPr/>
        <w:t>Spatial</w:t>
      </w:r>
      <w:r>
        <w:rPr>
          <w:spacing w:val="-1"/>
        </w:rPr>
        <w:t> </w:t>
      </w:r>
      <w:r>
        <w:rPr/>
        <w:t>Interpolation</w:t>
      </w:r>
      <w:r>
        <w:rPr>
          <w:spacing w:val="-1"/>
        </w:rPr>
        <w:t> </w:t>
      </w:r>
      <w:r>
        <w:rPr/>
        <w:t>of Three</w:t>
      </w:r>
      <w:r>
        <w:rPr>
          <w:spacing w:val="-2"/>
        </w:rPr>
        <w:t> </w:t>
      </w:r>
      <w:r>
        <w:rPr/>
        <w:t>Bedroom</w:t>
      </w:r>
      <w:r>
        <w:rPr>
          <w:spacing w:val="-5"/>
        </w:rPr>
        <w:t> </w:t>
      </w:r>
      <w:r>
        <w:rPr/>
        <w:t>Housing</w:t>
      </w:r>
      <w:r>
        <w:rPr>
          <w:spacing w:val="-1"/>
        </w:rPr>
        <w:t> </w:t>
      </w:r>
      <w:r>
        <w:rPr/>
        <w:t>Prices</w:t>
      </w:r>
      <w:r>
        <w:rPr>
          <w:spacing w:val="-1"/>
        </w:rPr>
        <w:t> </w:t>
      </w:r>
      <w:r>
        <w:rPr/>
        <w:t>for</w:t>
      </w:r>
      <w:r>
        <w:rPr>
          <w:spacing w:val="-1"/>
        </w:rPr>
        <w:t> </w:t>
      </w:r>
      <w:r>
        <w:rPr>
          <w:spacing w:val="-4"/>
        </w:rPr>
        <w:t>2013</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spacing w:after="0" w:line="274" w:lineRule="exact"/>
        <w:jc w:val="center"/>
        <w:sectPr>
          <w:pgSz w:w="11910" w:h="16840"/>
          <w:pgMar w:header="0" w:footer="1022" w:top="1400" w:bottom="1220" w:left="1680" w:right="900"/>
        </w:sectPr>
      </w:pPr>
    </w:p>
    <w:p>
      <w:pPr>
        <w:pStyle w:val="BodyText"/>
        <w:ind w:left="1137"/>
        <w:jc w:val="left"/>
        <w:rPr>
          <w:sz w:val="20"/>
        </w:rPr>
      </w:pPr>
      <w:r>
        <w:rPr>
          <w:sz w:val="20"/>
        </w:rPr>
        <w:drawing>
          <wp:inline distT="0" distB="0" distL="0" distR="0">
            <wp:extent cx="4281080" cy="3575589"/>
            <wp:effectExtent l="0" t="0" r="0" b="0"/>
            <wp:docPr id="40" name="Image 40" descr="C:\Users\SAMARU\Pictures\Housing Market Maps\3 2018.png"/>
            <wp:cNvGraphicFramePr>
              <a:graphicFrameLocks/>
            </wp:cNvGraphicFramePr>
            <a:graphic>
              <a:graphicData uri="http://schemas.openxmlformats.org/drawingml/2006/picture">
                <pic:pic>
                  <pic:nvPicPr>
                    <pic:cNvPr id="40" name="Image 40" descr="C:\Users\SAMARU\Pictures\Housing Market Maps\3 2018.png"/>
                    <pic:cNvPicPr/>
                  </pic:nvPicPr>
                  <pic:blipFill>
                    <a:blip r:embed="rId39" cstate="print"/>
                    <a:stretch>
                      <a:fillRect/>
                    </a:stretch>
                  </pic:blipFill>
                  <pic:spPr>
                    <a:xfrm>
                      <a:off x="0" y="0"/>
                      <a:ext cx="4281080" cy="3575589"/>
                    </a:xfrm>
                    <a:prstGeom prst="rect">
                      <a:avLst/>
                    </a:prstGeom>
                  </pic:spPr>
                </pic:pic>
              </a:graphicData>
            </a:graphic>
          </wp:inline>
        </w:drawing>
      </w:r>
      <w:r>
        <w:rPr>
          <w:sz w:val="20"/>
        </w:rPr>
      </w:r>
    </w:p>
    <w:p>
      <w:pPr>
        <w:pStyle w:val="Heading1"/>
        <w:spacing w:line="274" w:lineRule="exact" w:before="71"/>
        <w:ind w:left="292" w:right="507" w:firstLine="0"/>
        <w:jc w:val="center"/>
      </w:pPr>
      <w:r>
        <w:rPr/>
        <w:t>Figure</w:t>
      </w:r>
      <w:r>
        <w:rPr>
          <w:spacing w:val="-2"/>
        </w:rPr>
        <w:t> </w:t>
      </w:r>
      <w:r>
        <w:rPr/>
        <w:t>4.21:</w:t>
      </w:r>
      <w:r>
        <w:rPr>
          <w:spacing w:val="-1"/>
        </w:rPr>
        <w:t> </w:t>
      </w:r>
      <w:r>
        <w:rPr/>
        <w:t>Spatial</w:t>
      </w:r>
      <w:r>
        <w:rPr>
          <w:spacing w:val="-1"/>
        </w:rPr>
        <w:t> </w:t>
      </w:r>
      <w:r>
        <w:rPr/>
        <w:t>Interpolation of Three</w:t>
      </w:r>
      <w:r>
        <w:rPr>
          <w:spacing w:val="-2"/>
        </w:rPr>
        <w:t> </w:t>
      </w:r>
      <w:r>
        <w:rPr/>
        <w:t>Bedroom</w:t>
      </w:r>
      <w:r>
        <w:rPr>
          <w:spacing w:val="-4"/>
        </w:rPr>
        <w:t> </w:t>
      </w:r>
      <w:r>
        <w:rPr/>
        <w:t>Housing</w:t>
      </w:r>
      <w:r>
        <w:rPr>
          <w:spacing w:val="-1"/>
        </w:rPr>
        <w:t> </w:t>
      </w:r>
      <w:r>
        <w:rPr/>
        <w:t>Prices</w:t>
      </w:r>
      <w:r>
        <w:rPr>
          <w:spacing w:val="-1"/>
        </w:rPr>
        <w:t> </w:t>
      </w:r>
      <w:r>
        <w:rPr/>
        <w:t>for</w:t>
      </w:r>
      <w:r>
        <w:rPr>
          <w:spacing w:val="-1"/>
        </w:rPr>
        <w:t> </w:t>
      </w:r>
      <w:r>
        <w:rPr>
          <w:spacing w:val="-4"/>
        </w:rPr>
        <w:t>2018</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pStyle w:val="BodyText"/>
        <w:spacing w:before="161"/>
        <w:jc w:val="left"/>
      </w:pPr>
    </w:p>
    <w:p>
      <w:pPr>
        <w:pStyle w:val="BodyText"/>
        <w:spacing w:line="480" w:lineRule="auto"/>
        <w:ind w:left="305" w:right="512"/>
      </w:pPr>
      <w:r>
        <w:rPr/>
        <w:t>Findings of this study revealed that there is unique pattern of housing prices across the study</w:t>
      </w:r>
      <w:r>
        <w:rPr>
          <w:spacing w:val="-14"/>
        </w:rPr>
        <w:t> </w:t>
      </w:r>
      <w:r>
        <w:rPr/>
        <w:t>period</w:t>
      </w:r>
      <w:r>
        <w:rPr>
          <w:spacing w:val="-8"/>
        </w:rPr>
        <w:t> </w:t>
      </w:r>
      <w:r>
        <w:rPr/>
        <w:t>in</w:t>
      </w:r>
      <w:r>
        <w:rPr>
          <w:spacing w:val="-7"/>
        </w:rPr>
        <w:t> </w:t>
      </w:r>
      <w:r>
        <w:rPr/>
        <w:t>most</w:t>
      </w:r>
      <w:r>
        <w:rPr>
          <w:spacing w:val="-6"/>
        </w:rPr>
        <w:t> </w:t>
      </w:r>
      <w:r>
        <w:rPr/>
        <w:t>part</w:t>
      </w:r>
      <w:r>
        <w:rPr>
          <w:spacing w:val="-10"/>
        </w:rPr>
        <w:t> </w:t>
      </w:r>
      <w:r>
        <w:rPr/>
        <w:t>of</w:t>
      </w:r>
      <w:r>
        <w:rPr>
          <w:spacing w:val="-8"/>
        </w:rPr>
        <w:t> </w:t>
      </w:r>
      <w:r>
        <w:rPr/>
        <w:t>the</w:t>
      </w:r>
      <w:r>
        <w:rPr>
          <w:spacing w:val="-8"/>
        </w:rPr>
        <w:t> </w:t>
      </w:r>
      <w:r>
        <w:rPr/>
        <w:t>town.</w:t>
      </w:r>
      <w:r>
        <w:rPr>
          <w:spacing w:val="-7"/>
        </w:rPr>
        <w:t> </w:t>
      </w:r>
      <w:r>
        <w:rPr/>
        <w:t>The</w:t>
      </w:r>
      <w:r>
        <w:rPr>
          <w:spacing w:val="-8"/>
        </w:rPr>
        <w:t> </w:t>
      </w:r>
      <w:r>
        <w:rPr/>
        <w:t>city</w:t>
      </w:r>
      <w:r>
        <w:rPr>
          <w:spacing w:val="-12"/>
        </w:rPr>
        <w:t> </w:t>
      </w:r>
      <w:r>
        <w:rPr/>
        <w:t>centre</w:t>
      </w:r>
      <w:r>
        <w:rPr>
          <w:spacing w:val="-9"/>
        </w:rPr>
        <w:t> </w:t>
      </w:r>
      <w:r>
        <w:rPr/>
        <w:t>which</w:t>
      </w:r>
      <w:r>
        <w:rPr>
          <w:spacing w:val="-7"/>
        </w:rPr>
        <w:t> </w:t>
      </w:r>
      <w:r>
        <w:rPr/>
        <w:t>is</w:t>
      </w:r>
      <w:r>
        <w:rPr>
          <w:spacing w:val="-7"/>
        </w:rPr>
        <w:t> </w:t>
      </w:r>
      <w:r>
        <w:rPr/>
        <w:t>referred</w:t>
      </w:r>
      <w:r>
        <w:rPr>
          <w:spacing w:val="-7"/>
        </w:rPr>
        <w:t> </w:t>
      </w:r>
      <w:r>
        <w:rPr/>
        <w:t>to</w:t>
      </w:r>
      <w:r>
        <w:rPr>
          <w:spacing w:val="-3"/>
        </w:rPr>
        <w:t> </w:t>
      </w:r>
      <w:r>
        <w:rPr/>
        <w:t>the</w:t>
      </w:r>
      <w:r>
        <w:rPr>
          <w:spacing w:val="-8"/>
        </w:rPr>
        <w:t> </w:t>
      </w:r>
      <w:r>
        <w:rPr/>
        <w:t>CBD</w:t>
      </w:r>
      <w:r>
        <w:rPr>
          <w:spacing w:val="-8"/>
        </w:rPr>
        <w:t> </w:t>
      </w:r>
      <w:r>
        <w:rPr/>
        <w:t>in</w:t>
      </w:r>
      <w:r>
        <w:rPr>
          <w:spacing w:val="-7"/>
        </w:rPr>
        <w:t> </w:t>
      </w:r>
      <w:r>
        <w:rPr/>
        <w:t>this study has the lowest rental value through the study period. The study also shows the differences in rental value of apartments between the CBD and other neighbourhoods which continue to widen. For example, One bedroom apartments, in the year 2008 commands</w:t>
      </w:r>
      <w:r>
        <w:rPr>
          <w:spacing w:val="11"/>
        </w:rPr>
        <w:t> </w:t>
      </w:r>
      <w:r>
        <w:rPr/>
        <w:t>rental</w:t>
      </w:r>
      <w:r>
        <w:rPr>
          <w:spacing w:val="14"/>
        </w:rPr>
        <w:t> </w:t>
      </w:r>
      <w:r>
        <w:rPr/>
        <w:t>value</w:t>
      </w:r>
      <w:r>
        <w:rPr>
          <w:spacing w:val="12"/>
        </w:rPr>
        <w:t> </w:t>
      </w:r>
      <w:r>
        <w:rPr/>
        <w:t>of</w:t>
      </w:r>
      <w:r>
        <w:rPr>
          <w:spacing w:val="13"/>
        </w:rPr>
        <w:t> </w:t>
      </w:r>
      <w:r>
        <w:rPr/>
        <w:t>around</w:t>
      </w:r>
      <w:r>
        <w:rPr>
          <w:spacing w:val="15"/>
        </w:rPr>
        <w:t> </w:t>
      </w:r>
      <w:r>
        <w:rPr>
          <w:dstrike/>
        </w:rPr>
        <w:t>N</w:t>
      </w:r>
      <w:r>
        <w:rPr>
          <w:strike w:val="0"/>
        </w:rPr>
        <w:t>70,000</w:t>
      </w:r>
      <w:r>
        <w:rPr>
          <w:strike w:val="0"/>
          <w:spacing w:val="14"/>
        </w:rPr>
        <w:t> </w:t>
      </w:r>
      <w:r>
        <w:rPr>
          <w:strike w:val="0"/>
        </w:rPr>
        <w:t>in</w:t>
      </w:r>
      <w:r>
        <w:rPr>
          <w:strike w:val="0"/>
          <w:spacing w:val="13"/>
        </w:rPr>
        <w:t> </w:t>
      </w:r>
      <w:r>
        <w:rPr>
          <w:strike w:val="0"/>
        </w:rPr>
        <w:t>GRA</w:t>
      </w:r>
      <w:r>
        <w:rPr>
          <w:strike w:val="0"/>
          <w:spacing w:val="13"/>
        </w:rPr>
        <w:t> </w:t>
      </w:r>
      <w:r>
        <w:rPr>
          <w:strike w:val="0"/>
        </w:rPr>
        <w:t>area</w:t>
      </w:r>
      <w:r>
        <w:rPr>
          <w:strike w:val="0"/>
          <w:spacing w:val="12"/>
        </w:rPr>
        <w:t> </w:t>
      </w:r>
      <w:r>
        <w:rPr>
          <w:strike w:val="0"/>
        </w:rPr>
        <w:t>and</w:t>
      </w:r>
      <w:r>
        <w:rPr>
          <w:strike w:val="0"/>
          <w:spacing w:val="14"/>
        </w:rPr>
        <w:t> </w:t>
      </w:r>
      <w:r>
        <w:rPr>
          <w:strike w:val="0"/>
        </w:rPr>
        <w:t>in</w:t>
      </w:r>
      <w:r>
        <w:rPr>
          <w:strike w:val="0"/>
          <w:spacing w:val="13"/>
        </w:rPr>
        <w:t> </w:t>
      </w:r>
      <w:r>
        <w:rPr>
          <w:strike w:val="0"/>
        </w:rPr>
        <w:t>the</w:t>
      </w:r>
      <w:r>
        <w:rPr>
          <w:strike w:val="0"/>
          <w:spacing w:val="13"/>
        </w:rPr>
        <w:t> </w:t>
      </w:r>
      <w:r>
        <w:rPr>
          <w:strike w:val="0"/>
        </w:rPr>
        <w:t>CBD</w:t>
      </w:r>
      <w:r>
        <w:rPr>
          <w:strike w:val="0"/>
          <w:spacing w:val="12"/>
        </w:rPr>
        <w:t> </w:t>
      </w:r>
      <w:r>
        <w:rPr>
          <w:strike w:val="0"/>
        </w:rPr>
        <w:t>it</w:t>
      </w:r>
      <w:r>
        <w:rPr>
          <w:strike w:val="0"/>
          <w:spacing w:val="14"/>
        </w:rPr>
        <w:t> </w:t>
      </w:r>
      <w:r>
        <w:rPr>
          <w:strike w:val="0"/>
        </w:rPr>
        <w:t>was</w:t>
      </w:r>
      <w:r>
        <w:rPr>
          <w:strike w:val="0"/>
          <w:spacing w:val="14"/>
        </w:rPr>
        <w:t> </w:t>
      </w:r>
      <w:r>
        <w:rPr>
          <w:strike w:val="0"/>
          <w:spacing w:val="-2"/>
        </w:rPr>
        <w:t>around</w:t>
      </w:r>
    </w:p>
    <w:p>
      <w:pPr>
        <w:pStyle w:val="BodyText"/>
        <w:spacing w:line="275" w:lineRule="exact"/>
        <w:ind w:left="305"/>
        <w:jc w:val="left"/>
      </w:pPr>
      <w:r>
        <w:rPr>
          <w:dstrike/>
        </w:rPr>
        <w:t>N</w:t>
      </w:r>
      <w:r>
        <w:rPr>
          <w:strike w:val="0"/>
        </w:rPr>
        <w:t>15,000</w:t>
      </w:r>
      <w:r>
        <w:rPr>
          <w:strike w:val="0"/>
          <w:spacing w:val="6"/>
        </w:rPr>
        <w:t> </w:t>
      </w:r>
      <w:r>
        <w:rPr>
          <w:strike w:val="0"/>
        </w:rPr>
        <w:t>to</w:t>
      </w:r>
      <w:r>
        <w:rPr>
          <w:strike w:val="0"/>
          <w:spacing w:val="10"/>
        </w:rPr>
        <w:t> </w:t>
      </w:r>
      <w:r>
        <w:rPr>
          <w:dstrike/>
        </w:rPr>
        <w:t>N</w:t>
      </w:r>
      <w:r>
        <w:rPr>
          <w:strike w:val="0"/>
        </w:rPr>
        <w:t>20,000.</w:t>
      </w:r>
      <w:r>
        <w:rPr>
          <w:strike w:val="0"/>
          <w:spacing w:val="8"/>
        </w:rPr>
        <w:t> </w:t>
      </w:r>
      <w:r>
        <w:rPr>
          <w:strike w:val="0"/>
        </w:rPr>
        <w:t>Ten</w:t>
      </w:r>
      <w:r>
        <w:rPr>
          <w:strike w:val="0"/>
          <w:spacing w:val="10"/>
        </w:rPr>
        <w:t> </w:t>
      </w:r>
      <w:r>
        <w:rPr>
          <w:strike w:val="0"/>
        </w:rPr>
        <w:t>years</w:t>
      </w:r>
      <w:r>
        <w:rPr>
          <w:strike w:val="0"/>
          <w:spacing w:val="8"/>
        </w:rPr>
        <w:t> </w:t>
      </w:r>
      <w:r>
        <w:rPr>
          <w:strike w:val="0"/>
        </w:rPr>
        <w:t>later,</w:t>
      </w:r>
      <w:r>
        <w:rPr>
          <w:strike w:val="0"/>
          <w:spacing w:val="10"/>
        </w:rPr>
        <w:t> </w:t>
      </w:r>
      <w:r>
        <w:rPr>
          <w:strike w:val="0"/>
        </w:rPr>
        <w:t>rental</w:t>
      </w:r>
      <w:r>
        <w:rPr>
          <w:strike w:val="0"/>
          <w:spacing w:val="9"/>
        </w:rPr>
        <w:t> </w:t>
      </w:r>
      <w:r>
        <w:rPr>
          <w:strike w:val="0"/>
        </w:rPr>
        <w:t>value</w:t>
      </w:r>
      <w:r>
        <w:rPr>
          <w:strike w:val="0"/>
          <w:spacing w:val="7"/>
        </w:rPr>
        <w:t> </w:t>
      </w:r>
      <w:r>
        <w:rPr>
          <w:strike w:val="0"/>
        </w:rPr>
        <w:t>for</w:t>
      </w:r>
      <w:r>
        <w:rPr>
          <w:strike w:val="0"/>
          <w:spacing w:val="7"/>
        </w:rPr>
        <w:t> </w:t>
      </w:r>
      <w:r>
        <w:rPr>
          <w:strike w:val="0"/>
        </w:rPr>
        <w:t>one</w:t>
      </w:r>
      <w:r>
        <w:rPr>
          <w:strike w:val="0"/>
          <w:spacing w:val="8"/>
        </w:rPr>
        <w:t> </w:t>
      </w:r>
      <w:r>
        <w:rPr>
          <w:strike w:val="0"/>
        </w:rPr>
        <w:t>bedroom</w:t>
      </w:r>
      <w:r>
        <w:rPr>
          <w:strike w:val="0"/>
          <w:spacing w:val="8"/>
        </w:rPr>
        <w:t> </w:t>
      </w:r>
      <w:r>
        <w:rPr>
          <w:strike w:val="0"/>
        </w:rPr>
        <w:t>apartment</w:t>
      </w:r>
      <w:r>
        <w:rPr>
          <w:strike w:val="0"/>
          <w:spacing w:val="9"/>
        </w:rPr>
        <w:t> </w:t>
      </w:r>
      <w:r>
        <w:rPr>
          <w:strike w:val="0"/>
          <w:spacing w:val="-2"/>
        </w:rPr>
        <w:t>increases</w:t>
      </w:r>
    </w:p>
    <w:p>
      <w:pPr>
        <w:pStyle w:val="BodyText"/>
        <w:jc w:val="left"/>
      </w:pPr>
    </w:p>
    <w:p>
      <w:pPr>
        <w:pStyle w:val="BodyText"/>
        <w:ind w:left="305"/>
        <w:jc w:val="left"/>
      </w:pPr>
      <w:r>
        <w:rPr/>
        <w:t>to</w:t>
      </w:r>
      <w:r>
        <w:rPr>
          <w:spacing w:val="54"/>
        </w:rPr>
        <w:t> </w:t>
      </w:r>
      <w:r>
        <w:rPr/>
        <w:t>around</w:t>
      </w:r>
      <w:r>
        <w:rPr>
          <w:spacing w:val="53"/>
        </w:rPr>
        <w:t> </w:t>
      </w:r>
      <w:r>
        <w:rPr>
          <w:dstrike/>
        </w:rPr>
        <w:t>N</w:t>
      </w:r>
      <w:r>
        <w:rPr>
          <w:strike w:val="0"/>
        </w:rPr>
        <w:t>120,000</w:t>
      </w:r>
      <w:r>
        <w:rPr>
          <w:strike w:val="0"/>
          <w:spacing w:val="53"/>
        </w:rPr>
        <w:t> </w:t>
      </w:r>
      <w:r>
        <w:rPr>
          <w:strike w:val="0"/>
        </w:rPr>
        <w:t>in</w:t>
      </w:r>
      <w:r>
        <w:rPr>
          <w:strike w:val="0"/>
          <w:spacing w:val="54"/>
        </w:rPr>
        <w:t> </w:t>
      </w:r>
      <w:r>
        <w:rPr>
          <w:strike w:val="0"/>
        </w:rPr>
        <w:t>GRA</w:t>
      </w:r>
      <w:r>
        <w:rPr>
          <w:strike w:val="0"/>
          <w:spacing w:val="54"/>
        </w:rPr>
        <w:t> </w:t>
      </w:r>
      <w:r>
        <w:rPr>
          <w:strike w:val="0"/>
        </w:rPr>
        <w:t>area</w:t>
      </w:r>
      <w:r>
        <w:rPr>
          <w:strike w:val="0"/>
          <w:spacing w:val="55"/>
        </w:rPr>
        <w:t> </w:t>
      </w:r>
      <w:r>
        <w:rPr>
          <w:strike w:val="0"/>
        </w:rPr>
        <w:t>and</w:t>
      </w:r>
      <w:r>
        <w:rPr>
          <w:strike w:val="0"/>
          <w:spacing w:val="55"/>
        </w:rPr>
        <w:t> </w:t>
      </w:r>
      <w:r>
        <w:rPr>
          <w:dstrike/>
        </w:rPr>
        <w:t>N</w:t>
      </w:r>
      <w:r>
        <w:rPr>
          <w:strike w:val="0"/>
        </w:rPr>
        <w:t>28,000</w:t>
      </w:r>
      <w:r>
        <w:rPr>
          <w:strike w:val="0"/>
          <w:spacing w:val="56"/>
        </w:rPr>
        <w:t> </w:t>
      </w:r>
      <w:r>
        <w:rPr>
          <w:strike w:val="0"/>
        </w:rPr>
        <w:t>around</w:t>
      </w:r>
      <w:r>
        <w:rPr>
          <w:strike w:val="0"/>
          <w:spacing w:val="53"/>
        </w:rPr>
        <w:t> </w:t>
      </w:r>
      <w:r>
        <w:rPr>
          <w:strike w:val="0"/>
        </w:rPr>
        <w:t>the</w:t>
      </w:r>
      <w:r>
        <w:rPr>
          <w:strike w:val="0"/>
          <w:spacing w:val="54"/>
        </w:rPr>
        <w:t> </w:t>
      </w:r>
      <w:r>
        <w:rPr>
          <w:strike w:val="0"/>
        </w:rPr>
        <w:t>CBD.</w:t>
      </w:r>
      <w:r>
        <w:rPr>
          <w:strike w:val="0"/>
          <w:spacing w:val="53"/>
        </w:rPr>
        <w:t> </w:t>
      </w:r>
      <w:r>
        <w:rPr>
          <w:strike w:val="0"/>
        </w:rPr>
        <w:t>This</w:t>
      </w:r>
      <w:r>
        <w:rPr>
          <w:strike w:val="0"/>
          <w:spacing w:val="56"/>
        </w:rPr>
        <w:t> </w:t>
      </w:r>
      <w:r>
        <w:rPr>
          <w:strike w:val="0"/>
        </w:rPr>
        <w:t>result</w:t>
      </w:r>
      <w:r>
        <w:rPr>
          <w:strike w:val="0"/>
          <w:spacing w:val="54"/>
        </w:rPr>
        <w:t> </w:t>
      </w:r>
      <w:r>
        <w:rPr>
          <w:strike w:val="0"/>
        </w:rPr>
        <w:t>is</w:t>
      </w:r>
      <w:r>
        <w:rPr>
          <w:strike w:val="0"/>
          <w:spacing w:val="55"/>
        </w:rPr>
        <w:t> </w:t>
      </w:r>
      <w:r>
        <w:rPr>
          <w:strike w:val="0"/>
          <w:spacing w:val="-5"/>
        </w:rPr>
        <w:t>in</w:t>
      </w:r>
    </w:p>
    <w:p>
      <w:pPr>
        <w:pStyle w:val="BodyText"/>
        <w:jc w:val="left"/>
      </w:pPr>
    </w:p>
    <w:p>
      <w:pPr>
        <w:pStyle w:val="BodyText"/>
        <w:spacing w:line="480" w:lineRule="auto"/>
        <w:ind w:left="305" w:right="517"/>
      </w:pPr>
      <w:r>
        <w:rPr/>
        <w:t>conformity</w:t>
      </w:r>
      <w:r>
        <w:rPr>
          <w:spacing w:val="-10"/>
        </w:rPr>
        <w:t> </w:t>
      </w:r>
      <w:r>
        <w:rPr/>
        <w:t>with</w:t>
      </w:r>
      <w:r>
        <w:rPr>
          <w:spacing w:val="-5"/>
        </w:rPr>
        <w:t> </w:t>
      </w:r>
      <w:r>
        <w:rPr/>
        <w:t>the</w:t>
      </w:r>
      <w:r>
        <w:rPr>
          <w:spacing w:val="-6"/>
        </w:rPr>
        <w:t> </w:t>
      </w:r>
      <w:r>
        <w:rPr/>
        <w:t>result</w:t>
      </w:r>
      <w:r>
        <w:rPr>
          <w:spacing w:val="-5"/>
        </w:rPr>
        <w:t> </w:t>
      </w:r>
      <w:r>
        <w:rPr/>
        <w:t>by</w:t>
      </w:r>
      <w:r>
        <w:rPr>
          <w:spacing w:val="-13"/>
        </w:rPr>
        <w:t> </w:t>
      </w:r>
      <w:r>
        <w:rPr/>
        <w:t>Cichociński</w:t>
      </w:r>
      <w:r>
        <w:rPr>
          <w:spacing w:val="-5"/>
        </w:rPr>
        <w:t> </w:t>
      </w:r>
      <w:r>
        <w:rPr/>
        <w:t>and</w:t>
      </w:r>
      <w:r>
        <w:rPr>
          <w:spacing w:val="-6"/>
        </w:rPr>
        <w:t> </w:t>
      </w:r>
      <w:r>
        <w:rPr/>
        <w:t>Dąbrowski</w:t>
      </w:r>
      <w:r>
        <w:rPr>
          <w:spacing w:val="-5"/>
        </w:rPr>
        <w:t> </w:t>
      </w:r>
      <w:r>
        <w:rPr/>
        <w:t>(2013)</w:t>
      </w:r>
      <w:r>
        <w:rPr>
          <w:spacing w:val="-7"/>
        </w:rPr>
        <w:t> </w:t>
      </w:r>
      <w:r>
        <w:rPr/>
        <w:t>but</w:t>
      </w:r>
      <w:r>
        <w:rPr>
          <w:spacing w:val="-5"/>
        </w:rPr>
        <w:t> </w:t>
      </w:r>
      <w:r>
        <w:rPr/>
        <w:t>contrary</w:t>
      </w:r>
      <w:r>
        <w:rPr>
          <w:spacing w:val="-11"/>
        </w:rPr>
        <w:t> </w:t>
      </w:r>
      <w:r>
        <w:rPr/>
        <w:t>to</w:t>
      </w:r>
      <w:r>
        <w:rPr>
          <w:spacing w:val="-5"/>
        </w:rPr>
        <w:t> </w:t>
      </w:r>
      <w:r>
        <w:rPr/>
        <w:t>findings by</w:t>
      </w:r>
      <w:r>
        <w:rPr>
          <w:spacing w:val="-10"/>
        </w:rPr>
        <w:t> </w:t>
      </w:r>
      <w:r>
        <w:rPr/>
        <w:t>D'Acci</w:t>
      </w:r>
      <w:r>
        <w:rPr>
          <w:spacing w:val="-5"/>
        </w:rPr>
        <w:t> </w:t>
      </w:r>
      <w:r>
        <w:rPr/>
        <w:t>(2018)</w:t>
      </w:r>
      <w:r>
        <w:rPr>
          <w:spacing w:val="-7"/>
        </w:rPr>
        <w:t> </w:t>
      </w:r>
      <w:r>
        <w:rPr/>
        <w:t>whose</w:t>
      </w:r>
      <w:r>
        <w:rPr>
          <w:spacing w:val="-5"/>
        </w:rPr>
        <w:t> </w:t>
      </w:r>
      <w:r>
        <w:rPr/>
        <w:t>findings</w:t>
      </w:r>
      <w:r>
        <w:rPr>
          <w:spacing w:val="-6"/>
        </w:rPr>
        <w:t> </w:t>
      </w:r>
      <w:r>
        <w:rPr/>
        <w:t>shows</w:t>
      </w:r>
      <w:r>
        <w:rPr>
          <w:spacing w:val="-6"/>
        </w:rPr>
        <w:t> </w:t>
      </w:r>
      <w:r>
        <w:rPr/>
        <w:t>that</w:t>
      </w:r>
      <w:r>
        <w:rPr>
          <w:spacing w:val="-6"/>
        </w:rPr>
        <w:t> </w:t>
      </w:r>
      <w:r>
        <w:rPr/>
        <w:t>housing</w:t>
      </w:r>
      <w:r>
        <w:rPr>
          <w:spacing w:val="-8"/>
        </w:rPr>
        <w:t> </w:t>
      </w:r>
      <w:r>
        <w:rPr/>
        <w:t>value</w:t>
      </w:r>
      <w:r>
        <w:rPr>
          <w:spacing w:val="-7"/>
        </w:rPr>
        <w:t> </w:t>
      </w:r>
      <w:r>
        <w:rPr/>
        <w:t>decreases</w:t>
      </w:r>
      <w:r>
        <w:rPr>
          <w:spacing w:val="-6"/>
        </w:rPr>
        <w:t> </w:t>
      </w:r>
      <w:r>
        <w:rPr/>
        <w:t>with</w:t>
      </w:r>
      <w:r>
        <w:rPr>
          <w:spacing w:val="-5"/>
        </w:rPr>
        <w:t> </w:t>
      </w:r>
      <w:r>
        <w:rPr/>
        <w:t>the</w:t>
      </w:r>
      <w:r>
        <w:rPr>
          <w:spacing w:val="-6"/>
        </w:rPr>
        <w:t> </w:t>
      </w:r>
      <w:r>
        <w:rPr/>
        <w:t>increasing distance from the city centre. D'Acci’ findings confirms Alonso’s monocentric model.</w:t>
      </w:r>
    </w:p>
    <w:p>
      <w:pPr>
        <w:pStyle w:val="BodyText"/>
        <w:spacing w:line="477" w:lineRule="auto" w:before="243"/>
        <w:ind w:left="305" w:right="522"/>
      </w:pPr>
      <w:r>
        <w:rPr/>
        <w:t>However, general pattern from the geospatial model of this study demonstrate a unique housing</w:t>
      </w:r>
      <w:r>
        <w:rPr>
          <w:spacing w:val="-9"/>
        </w:rPr>
        <w:t> </w:t>
      </w:r>
      <w:r>
        <w:rPr/>
        <w:t>prices</w:t>
      </w:r>
      <w:r>
        <w:rPr>
          <w:spacing w:val="-5"/>
        </w:rPr>
        <w:t> </w:t>
      </w:r>
      <w:r>
        <w:rPr/>
        <w:t>pattern</w:t>
      </w:r>
      <w:r>
        <w:rPr>
          <w:spacing w:val="-7"/>
        </w:rPr>
        <w:t> </w:t>
      </w:r>
      <w:r>
        <w:rPr/>
        <w:t>for</w:t>
      </w:r>
      <w:r>
        <w:rPr>
          <w:spacing w:val="-5"/>
        </w:rPr>
        <w:t> </w:t>
      </w:r>
      <w:r>
        <w:rPr/>
        <w:t>the</w:t>
      </w:r>
      <w:r>
        <w:rPr>
          <w:spacing w:val="-6"/>
        </w:rPr>
        <w:t> </w:t>
      </w:r>
      <w:r>
        <w:rPr/>
        <w:t>CBD</w:t>
      </w:r>
      <w:r>
        <w:rPr>
          <w:spacing w:val="-4"/>
        </w:rPr>
        <w:t> </w:t>
      </w:r>
      <w:r>
        <w:rPr/>
        <w:t>while</w:t>
      </w:r>
      <w:r>
        <w:rPr>
          <w:spacing w:val="-6"/>
        </w:rPr>
        <w:t> </w:t>
      </w:r>
      <w:r>
        <w:rPr/>
        <w:t>a</w:t>
      </w:r>
      <w:r>
        <w:rPr>
          <w:spacing w:val="-4"/>
        </w:rPr>
        <w:t> </w:t>
      </w:r>
      <w:r>
        <w:rPr/>
        <w:t>divergence</w:t>
      </w:r>
      <w:r>
        <w:rPr>
          <w:spacing w:val="-7"/>
        </w:rPr>
        <w:t> </w:t>
      </w:r>
      <w:r>
        <w:rPr/>
        <w:t>pattern</w:t>
      </w:r>
      <w:r>
        <w:rPr>
          <w:spacing w:val="-6"/>
        </w:rPr>
        <w:t> </w:t>
      </w:r>
      <w:r>
        <w:rPr/>
        <w:t>for</w:t>
      </w:r>
      <w:r>
        <w:rPr>
          <w:spacing w:val="-6"/>
        </w:rPr>
        <w:t> </w:t>
      </w:r>
      <w:r>
        <w:rPr/>
        <w:t>other</w:t>
      </w:r>
      <w:r>
        <w:rPr>
          <w:spacing w:val="-5"/>
        </w:rPr>
        <w:t> </w:t>
      </w:r>
      <w:r>
        <w:rPr/>
        <w:t>areas.</w:t>
      </w:r>
      <w:r>
        <w:rPr>
          <w:spacing w:val="-5"/>
        </w:rPr>
        <w:t> </w:t>
      </w:r>
      <w:r>
        <w:rPr/>
        <w:t>The</w:t>
      </w:r>
      <w:r>
        <w:rPr>
          <w:spacing w:val="-6"/>
        </w:rPr>
        <w:t> </w:t>
      </w:r>
      <w:r>
        <w:rPr>
          <w:spacing w:val="-2"/>
        </w:rPr>
        <w:t>model</w:t>
      </w:r>
    </w:p>
    <w:p>
      <w:pPr>
        <w:spacing w:after="0" w:line="477" w:lineRule="auto"/>
        <w:sectPr>
          <w:pgSz w:w="11910" w:h="16840"/>
          <w:pgMar w:header="0" w:footer="1022" w:top="1400" w:bottom="1220" w:left="1680" w:right="900"/>
        </w:sectPr>
      </w:pPr>
    </w:p>
    <w:p>
      <w:pPr>
        <w:pStyle w:val="BodyText"/>
        <w:spacing w:line="480" w:lineRule="auto" w:before="72"/>
        <w:ind w:left="305" w:right="514"/>
      </w:pPr>
      <w:r>
        <w:rPr/>
        <w:t>shows that housing prices in the Polytechnic area increases more than other regions for all</w:t>
      </w:r>
      <w:r>
        <w:rPr>
          <w:spacing w:val="-11"/>
        </w:rPr>
        <w:t> </w:t>
      </w:r>
      <w:r>
        <w:rPr/>
        <w:t>types</w:t>
      </w:r>
      <w:r>
        <w:rPr>
          <w:spacing w:val="-10"/>
        </w:rPr>
        <w:t> </w:t>
      </w:r>
      <w:r>
        <w:rPr/>
        <w:t>of</w:t>
      </w:r>
      <w:r>
        <w:rPr>
          <w:spacing w:val="-10"/>
        </w:rPr>
        <w:t> </w:t>
      </w:r>
      <w:r>
        <w:rPr/>
        <w:t>houses</w:t>
      </w:r>
      <w:r>
        <w:rPr>
          <w:spacing w:val="-10"/>
        </w:rPr>
        <w:t> </w:t>
      </w:r>
      <w:r>
        <w:rPr/>
        <w:t>under</w:t>
      </w:r>
      <w:r>
        <w:rPr>
          <w:spacing w:val="-9"/>
        </w:rPr>
        <w:t> </w:t>
      </w:r>
      <w:r>
        <w:rPr/>
        <w:t>study</w:t>
      </w:r>
      <w:r>
        <w:rPr>
          <w:spacing w:val="-14"/>
        </w:rPr>
        <w:t> </w:t>
      </w:r>
      <w:r>
        <w:rPr/>
        <w:t>and</w:t>
      </w:r>
      <w:r>
        <w:rPr>
          <w:spacing w:val="-10"/>
        </w:rPr>
        <w:t> </w:t>
      </w:r>
      <w:r>
        <w:rPr/>
        <w:t>throughout</w:t>
      </w:r>
      <w:r>
        <w:rPr>
          <w:spacing w:val="-10"/>
        </w:rPr>
        <w:t> </w:t>
      </w:r>
      <w:r>
        <w:rPr/>
        <w:t>the</w:t>
      </w:r>
      <w:r>
        <w:rPr>
          <w:spacing w:val="-10"/>
        </w:rPr>
        <w:t> </w:t>
      </w:r>
      <w:r>
        <w:rPr/>
        <w:t>study</w:t>
      </w:r>
      <w:r>
        <w:rPr>
          <w:spacing w:val="-15"/>
        </w:rPr>
        <w:t> </w:t>
      </w:r>
      <w:r>
        <w:rPr/>
        <w:t>period.</w:t>
      </w:r>
      <w:r>
        <w:rPr>
          <w:spacing w:val="-10"/>
        </w:rPr>
        <w:t> </w:t>
      </w:r>
      <w:r>
        <w:rPr/>
        <w:t>Consequently,</w:t>
      </w:r>
      <w:r>
        <w:rPr>
          <w:spacing w:val="-10"/>
        </w:rPr>
        <w:t> </w:t>
      </w:r>
      <w:r>
        <w:rPr/>
        <w:t>the</w:t>
      </w:r>
      <w:r>
        <w:rPr>
          <w:spacing w:val="-10"/>
        </w:rPr>
        <w:t> </w:t>
      </w:r>
      <w:r>
        <w:rPr/>
        <w:t>model disconfirmed</w:t>
      </w:r>
      <w:r>
        <w:rPr>
          <w:spacing w:val="-1"/>
        </w:rPr>
        <w:t> </w:t>
      </w:r>
      <w:r>
        <w:rPr/>
        <w:t>Alonso’s</w:t>
      </w:r>
      <w:r>
        <w:rPr>
          <w:spacing w:val="-3"/>
        </w:rPr>
        <w:t> </w:t>
      </w:r>
      <w:r>
        <w:rPr/>
        <w:t>monocentric</w:t>
      </w:r>
      <w:r>
        <w:rPr>
          <w:spacing w:val="-3"/>
        </w:rPr>
        <w:t> </w:t>
      </w:r>
      <w:r>
        <w:rPr/>
        <w:t>model</w:t>
      </w:r>
      <w:r>
        <w:rPr>
          <w:spacing w:val="-2"/>
        </w:rPr>
        <w:t> </w:t>
      </w:r>
      <w:r>
        <w:rPr/>
        <w:t>which suggests</w:t>
      </w:r>
      <w:r>
        <w:rPr>
          <w:spacing w:val="-2"/>
        </w:rPr>
        <w:t> </w:t>
      </w:r>
      <w:r>
        <w:rPr/>
        <w:t>that</w:t>
      </w:r>
      <w:r>
        <w:rPr>
          <w:spacing w:val="-2"/>
        </w:rPr>
        <w:t> </w:t>
      </w:r>
      <w:r>
        <w:rPr/>
        <w:t>housing</w:t>
      </w:r>
      <w:r>
        <w:rPr>
          <w:spacing w:val="-5"/>
        </w:rPr>
        <w:t> </w:t>
      </w:r>
      <w:r>
        <w:rPr/>
        <w:t>prices</w:t>
      </w:r>
      <w:r>
        <w:rPr>
          <w:spacing w:val="-2"/>
        </w:rPr>
        <w:t> </w:t>
      </w:r>
      <w:r>
        <w:rPr/>
        <w:t>decreases with</w:t>
      </w:r>
      <w:r>
        <w:rPr>
          <w:spacing w:val="-15"/>
        </w:rPr>
        <w:t> </w:t>
      </w:r>
      <w:r>
        <w:rPr/>
        <w:t>increasing</w:t>
      </w:r>
      <w:r>
        <w:rPr>
          <w:spacing w:val="-15"/>
        </w:rPr>
        <w:t> </w:t>
      </w:r>
      <w:r>
        <w:rPr/>
        <w:t>distance</w:t>
      </w:r>
      <w:r>
        <w:rPr>
          <w:spacing w:val="-15"/>
        </w:rPr>
        <w:t> </w:t>
      </w:r>
      <w:r>
        <w:rPr/>
        <w:t>to</w:t>
      </w:r>
      <w:r>
        <w:rPr>
          <w:spacing w:val="-15"/>
        </w:rPr>
        <w:t> </w:t>
      </w:r>
      <w:r>
        <w:rPr/>
        <w:t>the</w:t>
      </w:r>
      <w:r>
        <w:rPr>
          <w:spacing w:val="-15"/>
        </w:rPr>
        <w:t> </w:t>
      </w:r>
      <w:r>
        <w:rPr/>
        <w:t>city</w:t>
      </w:r>
      <w:r>
        <w:rPr>
          <w:spacing w:val="-15"/>
        </w:rPr>
        <w:t> </w:t>
      </w:r>
      <w:r>
        <w:rPr/>
        <w:t>centre</w:t>
      </w:r>
      <w:r>
        <w:rPr>
          <w:spacing w:val="-15"/>
        </w:rPr>
        <w:t> </w:t>
      </w:r>
      <w:r>
        <w:rPr/>
        <w:t>but</w:t>
      </w:r>
      <w:r>
        <w:rPr>
          <w:spacing w:val="-15"/>
        </w:rPr>
        <w:t> </w:t>
      </w:r>
      <w:r>
        <w:rPr/>
        <w:t>it</w:t>
      </w:r>
      <w:r>
        <w:rPr>
          <w:spacing w:val="-15"/>
        </w:rPr>
        <w:t> </w:t>
      </w:r>
      <w:r>
        <w:rPr/>
        <w:t>provides</w:t>
      </w:r>
      <w:r>
        <w:rPr>
          <w:spacing w:val="-14"/>
        </w:rPr>
        <w:t> </w:t>
      </w:r>
      <w:r>
        <w:rPr/>
        <w:t>a</w:t>
      </w:r>
      <w:r>
        <w:rPr>
          <w:spacing w:val="-15"/>
        </w:rPr>
        <w:t> </w:t>
      </w:r>
      <w:r>
        <w:rPr/>
        <w:t>new</w:t>
      </w:r>
      <w:r>
        <w:rPr>
          <w:spacing w:val="-15"/>
        </w:rPr>
        <w:t> </w:t>
      </w:r>
      <w:r>
        <w:rPr/>
        <w:t>dimension</w:t>
      </w:r>
      <w:r>
        <w:rPr>
          <w:spacing w:val="-14"/>
        </w:rPr>
        <w:t> </w:t>
      </w:r>
      <w:r>
        <w:rPr/>
        <w:t>and</w:t>
      </w:r>
      <w:r>
        <w:rPr>
          <w:spacing w:val="-14"/>
        </w:rPr>
        <w:t> </w:t>
      </w:r>
      <w:r>
        <w:rPr/>
        <w:t>perspective for understanding the spatial urban structure.</w:t>
      </w:r>
    </w:p>
    <w:p>
      <w:pPr>
        <w:pStyle w:val="Heading1"/>
        <w:numPr>
          <w:ilvl w:val="1"/>
          <w:numId w:val="16"/>
        </w:numPr>
        <w:tabs>
          <w:tab w:pos="1024" w:val="left" w:leader="none"/>
        </w:tabs>
        <w:spacing w:line="240" w:lineRule="auto" w:before="247" w:after="0"/>
        <w:ind w:left="1024" w:right="0" w:hanging="719"/>
        <w:jc w:val="both"/>
      </w:pPr>
      <w:r>
        <w:rPr/>
        <w:t>Predictive</w:t>
      </w:r>
      <w:r>
        <w:rPr>
          <w:spacing w:val="-6"/>
        </w:rPr>
        <w:t> </w:t>
      </w:r>
      <w:r>
        <w:rPr>
          <w:spacing w:val="-4"/>
        </w:rPr>
        <w:t>Model</w:t>
      </w:r>
    </w:p>
    <w:p>
      <w:pPr>
        <w:pStyle w:val="BodyText"/>
        <w:spacing w:before="234"/>
        <w:jc w:val="left"/>
        <w:rPr>
          <w:b/>
        </w:rPr>
      </w:pPr>
    </w:p>
    <w:p>
      <w:pPr>
        <w:pStyle w:val="BodyText"/>
        <w:spacing w:line="480" w:lineRule="auto"/>
        <w:ind w:left="305" w:right="512"/>
      </w:pPr>
      <w:r>
        <w:rPr/>
        <w:t>Geospatial</w:t>
      </w:r>
      <w:r>
        <w:rPr>
          <w:spacing w:val="-9"/>
        </w:rPr>
        <w:t> </w:t>
      </w:r>
      <w:r>
        <w:rPr/>
        <w:t>data</w:t>
      </w:r>
      <w:r>
        <w:rPr>
          <w:spacing w:val="-10"/>
        </w:rPr>
        <w:t> </w:t>
      </w:r>
      <w:r>
        <w:rPr/>
        <w:t>of</w:t>
      </w:r>
      <w:r>
        <w:rPr>
          <w:spacing w:val="-10"/>
        </w:rPr>
        <w:t> </w:t>
      </w:r>
      <w:r>
        <w:rPr/>
        <w:t>residential</w:t>
      </w:r>
      <w:r>
        <w:rPr>
          <w:spacing w:val="-9"/>
        </w:rPr>
        <w:t> </w:t>
      </w:r>
      <w:r>
        <w:rPr/>
        <w:t>density</w:t>
      </w:r>
      <w:r>
        <w:rPr>
          <w:spacing w:val="-14"/>
        </w:rPr>
        <w:t> </w:t>
      </w:r>
      <w:r>
        <w:rPr/>
        <w:t>and</w:t>
      </w:r>
      <w:r>
        <w:rPr>
          <w:spacing w:val="-10"/>
        </w:rPr>
        <w:t> </w:t>
      </w:r>
      <w:r>
        <w:rPr/>
        <w:t>housing</w:t>
      </w:r>
      <w:r>
        <w:rPr>
          <w:spacing w:val="-10"/>
        </w:rPr>
        <w:t> </w:t>
      </w:r>
      <w:r>
        <w:rPr/>
        <w:t>rental</w:t>
      </w:r>
      <w:r>
        <w:rPr>
          <w:spacing w:val="-10"/>
        </w:rPr>
        <w:t> </w:t>
      </w:r>
      <w:r>
        <w:rPr/>
        <w:t>prices</w:t>
      </w:r>
      <w:r>
        <w:rPr>
          <w:spacing w:val="-9"/>
        </w:rPr>
        <w:t> </w:t>
      </w:r>
      <w:r>
        <w:rPr/>
        <w:t>were</w:t>
      </w:r>
      <w:r>
        <w:rPr>
          <w:spacing w:val="-11"/>
        </w:rPr>
        <w:t> </w:t>
      </w:r>
      <w:r>
        <w:rPr/>
        <w:t>used</w:t>
      </w:r>
      <w:r>
        <w:rPr>
          <w:spacing w:val="-10"/>
        </w:rPr>
        <w:t> </w:t>
      </w:r>
      <w:r>
        <w:rPr/>
        <w:t>in</w:t>
      </w:r>
      <w:r>
        <w:rPr>
          <w:spacing w:val="-9"/>
        </w:rPr>
        <w:t> </w:t>
      </w:r>
      <w:r>
        <w:rPr/>
        <w:t>the</w:t>
      </w:r>
      <w:r>
        <w:rPr>
          <w:spacing w:val="-10"/>
        </w:rPr>
        <w:t> </w:t>
      </w:r>
      <w:r>
        <w:rPr/>
        <w:t>data</w:t>
      </w:r>
      <w:r>
        <w:rPr>
          <w:spacing w:val="-10"/>
        </w:rPr>
        <w:t> </w:t>
      </w:r>
      <w:r>
        <w:rPr/>
        <w:t>used for</w:t>
      </w:r>
      <w:r>
        <w:rPr>
          <w:spacing w:val="-4"/>
        </w:rPr>
        <w:t> </w:t>
      </w:r>
      <w:r>
        <w:rPr/>
        <w:t>the</w:t>
      </w:r>
      <w:r>
        <w:rPr>
          <w:spacing w:val="-3"/>
        </w:rPr>
        <w:t> </w:t>
      </w:r>
      <w:r>
        <w:rPr/>
        <w:t>Artificial</w:t>
      </w:r>
      <w:r>
        <w:rPr>
          <w:spacing w:val="-2"/>
        </w:rPr>
        <w:t> </w:t>
      </w:r>
      <w:r>
        <w:rPr/>
        <w:t>Neural</w:t>
      </w:r>
      <w:r>
        <w:rPr>
          <w:spacing w:val="-1"/>
        </w:rPr>
        <w:t> </w:t>
      </w:r>
      <w:r>
        <w:rPr/>
        <w:t>Network</w:t>
      </w:r>
      <w:r>
        <w:rPr>
          <w:spacing w:val="-3"/>
        </w:rPr>
        <w:t> </w:t>
      </w:r>
      <w:r>
        <w:rPr/>
        <w:t>(ANN)</w:t>
      </w:r>
      <w:r>
        <w:rPr>
          <w:spacing w:val="-2"/>
        </w:rPr>
        <w:t> </w:t>
      </w:r>
      <w:r>
        <w:rPr/>
        <w:t>model.</w:t>
      </w:r>
      <w:r>
        <w:rPr>
          <w:spacing w:val="-1"/>
        </w:rPr>
        <w:t> </w:t>
      </w:r>
      <w:r>
        <w:rPr/>
        <w:t>The</w:t>
      </w:r>
      <w:r>
        <w:rPr>
          <w:spacing w:val="-4"/>
        </w:rPr>
        <w:t> </w:t>
      </w:r>
      <w:r>
        <w:rPr/>
        <w:t>model</w:t>
      </w:r>
      <w:r>
        <w:rPr>
          <w:spacing w:val="-3"/>
        </w:rPr>
        <w:t> </w:t>
      </w:r>
      <w:r>
        <w:rPr/>
        <w:t>focused</w:t>
      </w:r>
      <w:r>
        <w:rPr>
          <w:spacing w:val="-3"/>
        </w:rPr>
        <w:t> </w:t>
      </w:r>
      <w:r>
        <w:rPr/>
        <w:t>on</w:t>
      </w:r>
      <w:r>
        <w:rPr>
          <w:spacing w:val="-3"/>
        </w:rPr>
        <w:t> </w:t>
      </w:r>
      <w:r>
        <w:rPr/>
        <w:t>traditional</w:t>
      </w:r>
      <w:r>
        <w:rPr>
          <w:spacing w:val="-3"/>
        </w:rPr>
        <w:t> </w:t>
      </w:r>
      <w:r>
        <w:rPr/>
        <w:t>urban economic</w:t>
      </w:r>
      <w:r>
        <w:rPr>
          <w:spacing w:val="-12"/>
        </w:rPr>
        <w:t> </w:t>
      </w:r>
      <w:r>
        <w:rPr/>
        <w:t>model</w:t>
      </w:r>
      <w:r>
        <w:rPr>
          <w:spacing w:val="-11"/>
        </w:rPr>
        <w:t> </w:t>
      </w:r>
      <w:r>
        <w:rPr/>
        <w:t>such</w:t>
      </w:r>
      <w:r>
        <w:rPr>
          <w:spacing w:val="-11"/>
        </w:rPr>
        <w:t> </w:t>
      </w:r>
      <w:r>
        <w:rPr/>
        <w:t>as</w:t>
      </w:r>
      <w:r>
        <w:rPr>
          <w:spacing w:val="-10"/>
        </w:rPr>
        <w:t> </w:t>
      </w:r>
      <w:r>
        <w:rPr/>
        <w:t>Alonso</w:t>
      </w:r>
      <w:r>
        <w:rPr>
          <w:spacing w:val="-10"/>
        </w:rPr>
        <w:t> </w:t>
      </w:r>
      <w:r>
        <w:rPr/>
        <w:t>who</w:t>
      </w:r>
      <w:r>
        <w:rPr>
          <w:spacing w:val="-11"/>
        </w:rPr>
        <w:t> </w:t>
      </w:r>
      <w:r>
        <w:rPr/>
        <w:t>states</w:t>
      </w:r>
      <w:r>
        <w:rPr>
          <w:spacing w:val="-10"/>
        </w:rPr>
        <w:t> </w:t>
      </w:r>
      <w:r>
        <w:rPr/>
        <w:t>that</w:t>
      </w:r>
      <w:r>
        <w:rPr>
          <w:spacing w:val="-11"/>
        </w:rPr>
        <w:t> </w:t>
      </w:r>
      <w:r>
        <w:rPr/>
        <w:t>densities</w:t>
      </w:r>
      <w:r>
        <w:rPr>
          <w:spacing w:val="-11"/>
        </w:rPr>
        <w:t> </w:t>
      </w:r>
      <w:r>
        <w:rPr/>
        <w:t>and</w:t>
      </w:r>
      <w:r>
        <w:rPr>
          <w:spacing w:val="-11"/>
        </w:rPr>
        <w:t> </w:t>
      </w:r>
      <w:r>
        <w:rPr/>
        <w:t>rental</w:t>
      </w:r>
      <w:r>
        <w:rPr>
          <w:spacing w:val="-11"/>
        </w:rPr>
        <w:t> </w:t>
      </w:r>
      <w:r>
        <w:rPr/>
        <w:t>values</w:t>
      </w:r>
      <w:r>
        <w:rPr>
          <w:spacing w:val="-11"/>
        </w:rPr>
        <w:t> </w:t>
      </w:r>
      <w:r>
        <w:rPr/>
        <w:t>increases</w:t>
      </w:r>
      <w:r>
        <w:rPr>
          <w:spacing w:val="-10"/>
        </w:rPr>
        <w:t> </w:t>
      </w:r>
      <w:r>
        <w:rPr/>
        <w:t>with decreasing distance to the CBD. The model used techniques such as data augmentation, pre-training, and sparsity which allow training a relatively small dataset. The raster data sets were reclassed in equal specification as earlier explained in the methodology. The output of the model include was forecast data for raster class count values. However, ANN output data were used to forecast spatial morphology of residential density and housing prices. The projected output data are shown in Appendix I. The outcome of the ANN and spatial model shows in Figure 4.22 that residential density of the study area shall continue increasing in the nearest future and shall not deviate from the Alonso’s monocentric model. The study also revealed that densification may occur in the urban fringes but lower than that of the CBD.</w:t>
      </w:r>
    </w:p>
    <w:p>
      <w:pPr>
        <w:spacing w:after="0" w:line="480" w:lineRule="auto"/>
        <w:sectPr>
          <w:pgSz w:w="11910" w:h="16840"/>
          <w:pgMar w:header="0" w:footer="1022" w:top="1320" w:bottom="1220" w:left="1680" w:right="900"/>
        </w:sectPr>
      </w:pPr>
    </w:p>
    <w:p>
      <w:pPr>
        <w:pStyle w:val="BodyText"/>
        <w:ind w:left="304"/>
        <w:jc w:val="left"/>
        <w:rPr>
          <w:sz w:val="20"/>
        </w:rPr>
      </w:pPr>
      <w:r>
        <w:rPr>
          <w:sz w:val="20"/>
        </w:rPr>
        <mc:AlternateContent>
          <mc:Choice Requires="wps">
            <w:drawing>
              <wp:inline distT="0" distB="0" distL="0" distR="0">
                <wp:extent cx="5465445" cy="7815580"/>
                <wp:effectExtent l="9525" t="0" r="0" b="4445"/>
                <wp:docPr id="41" name="Group 41"/>
                <wp:cNvGraphicFramePr>
                  <a:graphicFrameLocks/>
                </wp:cNvGraphicFramePr>
                <a:graphic>
                  <a:graphicData uri="http://schemas.microsoft.com/office/word/2010/wordprocessingGroup">
                    <wpg:wgp>
                      <wpg:cNvPr id="41" name="Group 41"/>
                      <wpg:cNvGrpSpPr/>
                      <wpg:grpSpPr>
                        <a:xfrm>
                          <a:off x="0" y="0"/>
                          <a:ext cx="5465445" cy="7815580"/>
                          <a:chExt cx="5465445" cy="7815580"/>
                        </a:xfrm>
                      </wpg:grpSpPr>
                      <pic:pic>
                        <pic:nvPicPr>
                          <pic:cNvPr id="42" name="Image 42"/>
                          <pic:cNvPicPr/>
                        </pic:nvPicPr>
                        <pic:blipFill>
                          <a:blip r:embed="rId40" cstate="print"/>
                          <a:stretch>
                            <a:fillRect/>
                          </a:stretch>
                        </pic:blipFill>
                        <pic:spPr>
                          <a:xfrm>
                            <a:off x="19811" y="19811"/>
                            <a:ext cx="5425440" cy="7775448"/>
                          </a:xfrm>
                          <a:prstGeom prst="rect">
                            <a:avLst/>
                          </a:prstGeom>
                        </pic:spPr>
                      </pic:pic>
                      <wps:wsp>
                        <wps:cNvPr id="43" name="Graphic 43"/>
                        <wps:cNvSpPr/>
                        <wps:spPr>
                          <a:xfrm>
                            <a:off x="9905" y="9905"/>
                            <a:ext cx="5445760" cy="7795259"/>
                          </a:xfrm>
                          <a:custGeom>
                            <a:avLst/>
                            <a:gdLst/>
                            <a:ahLst/>
                            <a:cxnLst/>
                            <a:rect l="l" t="t" r="r" b="b"/>
                            <a:pathLst>
                              <a:path w="5445760" h="7795259">
                                <a:moveTo>
                                  <a:pt x="0" y="7795259"/>
                                </a:moveTo>
                                <a:lnTo>
                                  <a:pt x="5445252" y="7795259"/>
                                </a:lnTo>
                                <a:lnTo>
                                  <a:pt x="5445252" y="0"/>
                                </a:lnTo>
                                <a:lnTo>
                                  <a:pt x="0" y="0"/>
                                </a:lnTo>
                                <a:lnTo>
                                  <a:pt x="0" y="7795259"/>
                                </a:lnTo>
                                <a:close/>
                              </a:path>
                            </a:pathLst>
                          </a:custGeom>
                          <a:ln w="1981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30.35pt;height:615.4pt;mso-position-horizontal-relative:char;mso-position-vertical-relative:line" id="docshapegroup14" coordorigin="0,0" coordsize="8607,12308">
                <v:shape style="position:absolute;left:31;top:31;width:8544;height:12245" type="#_x0000_t75" id="docshape15" stroked="false">
                  <v:imagedata r:id="rId40" o:title=""/>
                </v:shape>
                <v:rect style="position:absolute;left:15;top:15;width:8576;height:12276" id="docshape16" filled="false" stroked="true" strokeweight="1.56pt" strokecolor="#000000">
                  <v:stroke dashstyle="solid"/>
                </v:rect>
              </v:group>
            </w:pict>
          </mc:Fallback>
        </mc:AlternateContent>
      </w:r>
      <w:r>
        <w:rPr>
          <w:sz w:val="20"/>
        </w:rPr>
      </w:r>
    </w:p>
    <w:p>
      <w:pPr>
        <w:pStyle w:val="Heading1"/>
        <w:spacing w:line="242" w:lineRule="exact"/>
        <w:ind w:left="5" w:right="214" w:firstLine="0"/>
        <w:jc w:val="center"/>
      </w:pPr>
      <w:r>
        <w:rPr/>
        <w:t>Figure</w:t>
      </w:r>
      <w:r>
        <w:rPr>
          <w:spacing w:val="-2"/>
        </w:rPr>
        <w:t> </w:t>
      </w:r>
      <w:r>
        <w:rPr/>
        <w:t>4.22:</w:t>
      </w:r>
      <w:r>
        <w:rPr>
          <w:spacing w:val="1"/>
        </w:rPr>
        <w:t> </w:t>
      </w:r>
      <w:r>
        <w:rPr/>
        <w:t>Forecast</w:t>
      </w:r>
      <w:r>
        <w:rPr>
          <w:spacing w:val="-1"/>
        </w:rPr>
        <w:t> </w:t>
      </w:r>
      <w:r>
        <w:rPr/>
        <w:t>for</w:t>
      </w:r>
      <w:r>
        <w:rPr>
          <w:spacing w:val="-2"/>
        </w:rPr>
        <w:t> </w:t>
      </w:r>
      <w:r>
        <w:rPr/>
        <w:t>Residential</w:t>
      </w:r>
      <w:r>
        <w:rPr>
          <w:spacing w:val="-1"/>
        </w:rPr>
        <w:t> </w:t>
      </w:r>
      <w:r>
        <w:rPr/>
        <w:t>Density</w:t>
      </w:r>
      <w:r>
        <w:rPr>
          <w:spacing w:val="1"/>
        </w:rPr>
        <w:t> </w:t>
      </w:r>
      <w:r>
        <w:rPr/>
        <w:t>from</w:t>
      </w:r>
      <w:r>
        <w:rPr>
          <w:spacing w:val="-2"/>
        </w:rPr>
        <w:t> </w:t>
      </w:r>
      <w:r>
        <w:rPr/>
        <w:t>the</w:t>
      </w:r>
      <w:r>
        <w:rPr>
          <w:spacing w:val="-2"/>
        </w:rPr>
        <w:t> </w:t>
      </w:r>
      <w:r>
        <w:rPr/>
        <w:t>Year</w:t>
      </w:r>
      <w:r>
        <w:rPr>
          <w:spacing w:val="-2"/>
        </w:rPr>
        <w:t> </w:t>
      </w:r>
      <w:r>
        <w:rPr/>
        <w:t>2008 -</w:t>
      </w:r>
      <w:r>
        <w:rPr>
          <w:spacing w:val="-1"/>
        </w:rPr>
        <w:t> </w:t>
      </w:r>
      <w:r>
        <w:rPr>
          <w:spacing w:val="-4"/>
        </w:rPr>
        <w:t>2033</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spacing w:after="0" w:line="274" w:lineRule="exact"/>
        <w:jc w:val="center"/>
        <w:sectPr>
          <w:pgSz w:w="11910" w:h="16840"/>
          <w:pgMar w:header="0" w:footer="1022" w:top="1400" w:bottom="1220" w:left="1680" w:right="900"/>
        </w:sectPr>
      </w:pPr>
    </w:p>
    <w:p>
      <w:pPr>
        <w:pStyle w:val="BodyText"/>
        <w:spacing w:line="480" w:lineRule="auto" w:before="72"/>
        <w:ind w:left="305" w:right="511"/>
      </w:pPr>
      <w:r>
        <w:rPr/>
        <w:t>The</w:t>
      </w:r>
      <w:r>
        <w:rPr>
          <w:spacing w:val="-9"/>
        </w:rPr>
        <w:t> </w:t>
      </w:r>
      <w:r>
        <w:rPr/>
        <w:t>implication</w:t>
      </w:r>
      <w:r>
        <w:rPr>
          <w:spacing w:val="-7"/>
        </w:rPr>
        <w:t> </w:t>
      </w:r>
      <w:r>
        <w:rPr/>
        <w:t>of</w:t>
      </w:r>
      <w:r>
        <w:rPr>
          <w:spacing w:val="-9"/>
        </w:rPr>
        <w:t> </w:t>
      </w:r>
      <w:r>
        <w:rPr/>
        <w:t>this</w:t>
      </w:r>
      <w:r>
        <w:rPr>
          <w:spacing w:val="-10"/>
        </w:rPr>
        <w:t> </w:t>
      </w:r>
      <w:r>
        <w:rPr/>
        <w:t>result</w:t>
      </w:r>
      <w:r>
        <w:rPr>
          <w:spacing w:val="-7"/>
        </w:rPr>
        <w:t> </w:t>
      </w:r>
      <w:r>
        <w:rPr/>
        <w:t>is</w:t>
      </w:r>
      <w:r>
        <w:rPr>
          <w:spacing w:val="-10"/>
        </w:rPr>
        <w:t> </w:t>
      </w:r>
      <w:r>
        <w:rPr/>
        <w:t>that</w:t>
      </w:r>
      <w:r>
        <w:rPr>
          <w:spacing w:val="-7"/>
        </w:rPr>
        <w:t> </w:t>
      </w:r>
      <w:r>
        <w:rPr/>
        <w:t>residential</w:t>
      </w:r>
      <w:r>
        <w:rPr>
          <w:spacing w:val="-8"/>
        </w:rPr>
        <w:t> </w:t>
      </w:r>
      <w:r>
        <w:rPr/>
        <w:t>densities</w:t>
      </w:r>
      <w:r>
        <w:rPr>
          <w:spacing w:val="-9"/>
        </w:rPr>
        <w:t> </w:t>
      </w:r>
      <w:r>
        <w:rPr/>
        <w:t>increase</w:t>
      </w:r>
      <w:r>
        <w:rPr>
          <w:spacing w:val="-9"/>
        </w:rPr>
        <w:t> </w:t>
      </w:r>
      <w:r>
        <w:rPr/>
        <w:t>shall</w:t>
      </w:r>
      <w:r>
        <w:rPr>
          <w:spacing w:val="-8"/>
        </w:rPr>
        <w:t> </w:t>
      </w:r>
      <w:r>
        <w:rPr/>
        <w:t>continue</w:t>
      </w:r>
      <w:r>
        <w:rPr>
          <w:spacing w:val="-9"/>
        </w:rPr>
        <w:t> </w:t>
      </w:r>
      <w:r>
        <w:rPr/>
        <w:t>along</w:t>
      </w:r>
      <w:r>
        <w:rPr>
          <w:spacing w:val="-10"/>
        </w:rPr>
        <w:t> </w:t>
      </w:r>
      <w:r>
        <w:rPr/>
        <w:t>the urban – rural gradient thereby causing a transition of open spaces and low density areas in</w:t>
      </w:r>
      <w:r>
        <w:rPr>
          <w:spacing w:val="-2"/>
        </w:rPr>
        <w:t> </w:t>
      </w:r>
      <w:r>
        <w:rPr/>
        <w:t>to</w:t>
      </w:r>
      <w:r>
        <w:rPr>
          <w:spacing w:val="-2"/>
        </w:rPr>
        <w:t> </w:t>
      </w:r>
      <w:r>
        <w:rPr/>
        <w:t>medium</w:t>
      </w:r>
      <w:r>
        <w:rPr>
          <w:spacing w:val="-2"/>
        </w:rPr>
        <w:t> </w:t>
      </w:r>
      <w:r>
        <w:rPr/>
        <w:t>and</w:t>
      </w:r>
      <w:r>
        <w:rPr>
          <w:spacing w:val="-2"/>
        </w:rPr>
        <w:t> </w:t>
      </w:r>
      <w:r>
        <w:rPr/>
        <w:t>high density</w:t>
      </w:r>
      <w:r>
        <w:rPr>
          <w:spacing w:val="-5"/>
        </w:rPr>
        <w:t> </w:t>
      </w:r>
      <w:r>
        <w:rPr/>
        <w:t>areas</w:t>
      </w:r>
      <w:r>
        <w:rPr>
          <w:spacing w:val="-2"/>
        </w:rPr>
        <w:t> </w:t>
      </w:r>
      <w:r>
        <w:rPr/>
        <w:t>in</w:t>
      </w:r>
      <w:r>
        <w:rPr>
          <w:spacing w:val="-2"/>
        </w:rPr>
        <w:t> </w:t>
      </w:r>
      <w:r>
        <w:rPr/>
        <w:t>the</w:t>
      </w:r>
      <w:r>
        <w:rPr>
          <w:spacing w:val="-1"/>
        </w:rPr>
        <w:t> </w:t>
      </w:r>
      <w:r>
        <w:rPr/>
        <w:t>coming years maintaining</w:t>
      </w:r>
      <w:r>
        <w:rPr>
          <w:spacing w:val="-5"/>
        </w:rPr>
        <w:t> </w:t>
      </w:r>
      <w:r>
        <w:rPr/>
        <w:t>its</w:t>
      </w:r>
      <w:r>
        <w:rPr>
          <w:spacing w:val="-2"/>
        </w:rPr>
        <w:t> </w:t>
      </w:r>
      <w:r>
        <w:rPr/>
        <w:t>monocentricity. Therefore, it can be inferred that demand for housing shall increase along the urban fringes thereby attracting development of more housing apartments. But the consequential</w:t>
      </w:r>
      <w:r>
        <w:rPr>
          <w:spacing w:val="-9"/>
        </w:rPr>
        <w:t> </w:t>
      </w:r>
      <w:r>
        <w:rPr/>
        <w:t>effects</w:t>
      </w:r>
      <w:r>
        <w:rPr>
          <w:spacing w:val="-9"/>
        </w:rPr>
        <w:t> </w:t>
      </w:r>
      <w:r>
        <w:rPr/>
        <w:t>of</w:t>
      </w:r>
      <w:r>
        <w:rPr>
          <w:spacing w:val="-10"/>
        </w:rPr>
        <w:t> </w:t>
      </w:r>
      <w:r>
        <w:rPr/>
        <w:t>this</w:t>
      </w:r>
      <w:r>
        <w:rPr>
          <w:spacing w:val="-9"/>
        </w:rPr>
        <w:t> </w:t>
      </w:r>
      <w:r>
        <w:rPr/>
        <w:t>is</w:t>
      </w:r>
      <w:r>
        <w:rPr>
          <w:spacing w:val="-9"/>
        </w:rPr>
        <w:t> </w:t>
      </w:r>
      <w:r>
        <w:rPr/>
        <w:t>that</w:t>
      </w:r>
      <w:r>
        <w:rPr>
          <w:spacing w:val="-10"/>
        </w:rPr>
        <w:t> </w:t>
      </w:r>
      <w:r>
        <w:rPr/>
        <w:t>if</w:t>
      </w:r>
      <w:r>
        <w:rPr>
          <w:spacing w:val="-10"/>
        </w:rPr>
        <w:t> </w:t>
      </w:r>
      <w:r>
        <w:rPr/>
        <w:t>there</w:t>
      </w:r>
      <w:r>
        <w:rPr>
          <w:spacing w:val="-11"/>
        </w:rPr>
        <w:t> </w:t>
      </w:r>
      <w:r>
        <w:rPr/>
        <w:t>is</w:t>
      </w:r>
      <w:r>
        <w:rPr>
          <w:spacing w:val="-9"/>
        </w:rPr>
        <w:t> </w:t>
      </w:r>
      <w:r>
        <w:rPr/>
        <w:t>no</w:t>
      </w:r>
      <w:r>
        <w:rPr>
          <w:spacing w:val="-8"/>
        </w:rPr>
        <w:t> </w:t>
      </w:r>
      <w:r>
        <w:rPr/>
        <w:t>effective</w:t>
      </w:r>
      <w:r>
        <w:rPr>
          <w:spacing w:val="-11"/>
        </w:rPr>
        <w:t> </w:t>
      </w:r>
      <w:r>
        <w:rPr/>
        <w:t>planning</w:t>
      </w:r>
      <w:r>
        <w:rPr>
          <w:spacing w:val="-10"/>
        </w:rPr>
        <w:t> </w:t>
      </w:r>
      <w:r>
        <w:rPr/>
        <w:t>regulations</w:t>
      </w:r>
      <w:r>
        <w:rPr>
          <w:spacing w:val="-9"/>
        </w:rPr>
        <w:t> </w:t>
      </w:r>
      <w:r>
        <w:rPr/>
        <w:t>that</w:t>
      </w:r>
      <w:r>
        <w:rPr>
          <w:spacing w:val="-10"/>
        </w:rPr>
        <w:t> </w:t>
      </w:r>
      <w:r>
        <w:rPr/>
        <w:t>would check the uncontrolled development, the morphology of the town continue to grow in organic manner.</w:t>
      </w:r>
    </w:p>
    <w:p>
      <w:pPr>
        <w:pStyle w:val="BodyText"/>
        <w:spacing w:line="480" w:lineRule="auto" w:before="241"/>
        <w:ind w:left="305" w:right="514"/>
      </w:pPr>
      <w:r>
        <w:rPr/>
        <w:t>Also,</w:t>
      </w:r>
      <w:r>
        <w:rPr>
          <w:spacing w:val="-12"/>
        </w:rPr>
        <w:t> </w:t>
      </w:r>
      <w:r>
        <w:rPr/>
        <w:t>the</w:t>
      </w:r>
      <w:r>
        <w:rPr>
          <w:spacing w:val="-13"/>
        </w:rPr>
        <w:t> </w:t>
      </w:r>
      <w:r>
        <w:rPr/>
        <w:t>model</w:t>
      </w:r>
      <w:r>
        <w:rPr>
          <w:spacing w:val="-12"/>
        </w:rPr>
        <w:t> </w:t>
      </w:r>
      <w:r>
        <w:rPr/>
        <w:t>suggests</w:t>
      </w:r>
      <w:r>
        <w:rPr>
          <w:spacing w:val="-9"/>
        </w:rPr>
        <w:t> </w:t>
      </w:r>
      <w:r>
        <w:rPr/>
        <w:t>in</w:t>
      </w:r>
      <w:r>
        <w:rPr>
          <w:spacing w:val="-12"/>
        </w:rPr>
        <w:t> </w:t>
      </w:r>
      <w:r>
        <w:rPr/>
        <w:t>Figures</w:t>
      </w:r>
      <w:r>
        <w:rPr>
          <w:spacing w:val="-9"/>
        </w:rPr>
        <w:t> </w:t>
      </w:r>
      <w:r>
        <w:rPr/>
        <w:t>4.23,</w:t>
      </w:r>
      <w:r>
        <w:rPr>
          <w:spacing w:val="-12"/>
        </w:rPr>
        <w:t> </w:t>
      </w:r>
      <w:r>
        <w:rPr/>
        <w:t>4.24</w:t>
      </w:r>
      <w:r>
        <w:rPr>
          <w:spacing w:val="-10"/>
        </w:rPr>
        <w:t> </w:t>
      </w:r>
      <w:r>
        <w:rPr/>
        <w:t>and</w:t>
      </w:r>
      <w:r>
        <w:rPr>
          <w:spacing w:val="-10"/>
        </w:rPr>
        <w:t> </w:t>
      </w:r>
      <w:r>
        <w:rPr/>
        <w:t>4.25</w:t>
      </w:r>
      <w:r>
        <w:rPr>
          <w:spacing w:val="-12"/>
        </w:rPr>
        <w:t> </w:t>
      </w:r>
      <w:r>
        <w:rPr/>
        <w:t>that</w:t>
      </w:r>
      <w:r>
        <w:rPr>
          <w:spacing w:val="-11"/>
        </w:rPr>
        <w:t> </w:t>
      </w:r>
      <w:r>
        <w:rPr/>
        <w:t>rental</w:t>
      </w:r>
      <w:r>
        <w:rPr>
          <w:spacing w:val="-12"/>
        </w:rPr>
        <w:t> </w:t>
      </w:r>
      <w:r>
        <w:rPr/>
        <w:t>prices</w:t>
      </w:r>
      <w:r>
        <w:rPr>
          <w:spacing w:val="-12"/>
        </w:rPr>
        <w:t> </w:t>
      </w:r>
      <w:r>
        <w:rPr/>
        <w:t>of</w:t>
      </w:r>
      <w:r>
        <w:rPr>
          <w:spacing w:val="-10"/>
        </w:rPr>
        <w:t> </w:t>
      </w:r>
      <w:r>
        <w:rPr/>
        <w:t>one</w:t>
      </w:r>
      <w:r>
        <w:rPr>
          <w:spacing w:val="-13"/>
        </w:rPr>
        <w:t> </w:t>
      </w:r>
      <w:r>
        <w:rPr/>
        <w:t>bedroom, two bedroom and three bedroom apartments will maintain the pattern of rents recorded between years 2008 to 2018 in the future.</w:t>
      </w:r>
      <w:r>
        <w:rPr>
          <w:spacing w:val="40"/>
        </w:rPr>
        <w:t> </w:t>
      </w:r>
      <w:r>
        <w:rPr/>
        <w:t>The geospatial model of rental prices earlier explained shows deviation from the traditional urban economic theory such as monocentric model of Alonso. The model therefore suggests that the pattern shall continue in the nearest future against monocentricity.</w:t>
      </w:r>
    </w:p>
    <w:p>
      <w:pPr>
        <w:spacing w:after="0" w:line="480" w:lineRule="auto"/>
        <w:sectPr>
          <w:pgSz w:w="11910" w:h="16840"/>
          <w:pgMar w:header="0" w:footer="1022" w:top="1320" w:bottom="1220" w:left="1680" w:right="900"/>
        </w:sectPr>
      </w:pPr>
    </w:p>
    <w:p>
      <w:pPr>
        <w:pStyle w:val="BodyText"/>
        <w:jc w:val="left"/>
      </w:pPr>
      <w:r>
        <w:rPr/>
        <mc:AlternateContent>
          <mc:Choice Requires="wps">
            <w:drawing>
              <wp:anchor distT="0" distB="0" distL="0" distR="0" allowOverlap="1" layoutInCell="1" locked="0" behindDoc="0" simplePos="0" relativeHeight="15735808">
                <wp:simplePos x="0" y="0"/>
                <wp:positionH relativeFrom="page">
                  <wp:posOffset>1271016</wp:posOffset>
                </wp:positionH>
                <wp:positionV relativeFrom="page">
                  <wp:posOffset>909827</wp:posOffset>
                </wp:positionV>
                <wp:extent cx="5960745" cy="7539355"/>
                <wp:effectExtent l="0" t="0" r="0" b="0"/>
                <wp:wrapNone/>
                <wp:docPr id="44" name="Group 44" descr="C:\Users\RAMATU S. MOHAMMED\Desktop\Prediction Output\One Bedroom.png"/>
                <wp:cNvGraphicFramePr>
                  <a:graphicFrameLocks/>
                </wp:cNvGraphicFramePr>
                <a:graphic>
                  <a:graphicData uri="http://schemas.microsoft.com/office/word/2010/wordprocessingGroup">
                    <wpg:wgp>
                      <wpg:cNvPr id="44" name="Group 44" descr="C:\Users\RAMATU S. MOHAMMED\Desktop\Prediction Output\One Bedroom.png"/>
                      <wpg:cNvGrpSpPr/>
                      <wpg:grpSpPr>
                        <a:xfrm>
                          <a:off x="0" y="0"/>
                          <a:ext cx="5960745" cy="7539355"/>
                          <a:chExt cx="5960745" cy="7539355"/>
                        </a:xfrm>
                      </wpg:grpSpPr>
                      <pic:pic>
                        <pic:nvPicPr>
                          <pic:cNvPr id="45" name="Image 45" descr="C:\Users\RAMATU S. MOHAMMED\Desktop\Prediction Output\One Bedroom.png"/>
                          <pic:cNvPicPr/>
                        </pic:nvPicPr>
                        <pic:blipFill>
                          <a:blip r:embed="rId41" cstate="print"/>
                          <a:stretch>
                            <a:fillRect/>
                          </a:stretch>
                        </pic:blipFill>
                        <pic:spPr>
                          <a:xfrm>
                            <a:off x="43050" y="9144"/>
                            <a:ext cx="5908169" cy="7520940"/>
                          </a:xfrm>
                          <a:prstGeom prst="rect">
                            <a:avLst/>
                          </a:prstGeom>
                        </pic:spPr>
                      </pic:pic>
                      <wps:wsp>
                        <wps:cNvPr id="46" name="Graphic 46"/>
                        <wps:cNvSpPr/>
                        <wps:spPr>
                          <a:xfrm>
                            <a:off x="4572" y="4572"/>
                            <a:ext cx="5951220" cy="7530465"/>
                          </a:xfrm>
                          <a:custGeom>
                            <a:avLst/>
                            <a:gdLst/>
                            <a:ahLst/>
                            <a:cxnLst/>
                            <a:rect l="l" t="t" r="r" b="b"/>
                            <a:pathLst>
                              <a:path w="5951220" h="7530465">
                                <a:moveTo>
                                  <a:pt x="0" y="7530083"/>
                                </a:moveTo>
                                <a:lnTo>
                                  <a:pt x="5951220" y="7530083"/>
                                </a:lnTo>
                                <a:lnTo>
                                  <a:pt x="5951220" y="0"/>
                                </a:lnTo>
                                <a:lnTo>
                                  <a:pt x="0" y="0"/>
                                </a:lnTo>
                                <a:lnTo>
                                  <a:pt x="0" y="7530083"/>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0.080002pt;margin-top:71.639984pt;width:469.35pt;height:593.65pt;mso-position-horizontal-relative:page;mso-position-vertical-relative:page;z-index:15735808" id="docshapegroup17" coordorigin="2002,1433" coordsize="9387,11873" alt="C:\Users\RAMATU S. MOHAMMED\Desktop\Prediction Output\One Bedroom.png">
                <v:shape style="position:absolute;left:2069;top:1447;width:9305;height:11844" type="#_x0000_t75" id="docshape18" alt="C:\Users\RAMATU S. MOHAMMED\Desktop\Prediction Output\One Bedroom.png" stroked="false">
                  <v:imagedata r:id="rId41" o:title=""/>
                </v:shape>
                <v:rect style="position:absolute;left:2008;top:1440;width:9372;height:11859" id="docshape19" filled="false" stroked="true" strokeweight=".72pt" strokecolor="#000000">
                  <v:stroke dashstyle="solid"/>
                </v:rect>
                <w10:wrap type="none"/>
              </v:group>
            </w:pict>
          </mc:Fallback>
        </mc:AlternateContent>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20"/>
        <w:jc w:val="left"/>
      </w:pPr>
    </w:p>
    <w:p>
      <w:pPr>
        <w:pStyle w:val="Heading1"/>
        <w:spacing w:line="274" w:lineRule="exact"/>
        <w:ind w:left="292" w:right="504" w:firstLine="0"/>
        <w:jc w:val="center"/>
      </w:pPr>
      <w:r>
        <w:rPr/>
        <w:t>Figure</w:t>
      </w:r>
      <w:r>
        <w:rPr>
          <w:spacing w:val="-4"/>
        </w:rPr>
        <w:t> </w:t>
      </w:r>
      <w:r>
        <w:rPr/>
        <w:t>4.23:</w:t>
      </w:r>
      <w:r>
        <w:rPr>
          <w:spacing w:val="1"/>
        </w:rPr>
        <w:t> </w:t>
      </w:r>
      <w:r>
        <w:rPr/>
        <w:t>Forecast</w:t>
      </w:r>
      <w:r>
        <w:rPr>
          <w:spacing w:val="-1"/>
        </w:rPr>
        <w:t> </w:t>
      </w:r>
      <w:r>
        <w:rPr/>
        <w:t>for</w:t>
      </w:r>
      <w:r>
        <w:rPr>
          <w:spacing w:val="-1"/>
        </w:rPr>
        <w:t> </w:t>
      </w:r>
      <w:r>
        <w:rPr/>
        <w:t>One</w:t>
      </w:r>
      <w:r>
        <w:rPr>
          <w:spacing w:val="-2"/>
        </w:rPr>
        <w:t> </w:t>
      </w:r>
      <w:r>
        <w:rPr/>
        <w:t>Bedroom</w:t>
      </w:r>
      <w:r>
        <w:rPr>
          <w:spacing w:val="-3"/>
        </w:rPr>
        <w:t> </w:t>
      </w:r>
      <w:r>
        <w:rPr/>
        <w:t>Rental</w:t>
      </w:r>
      <w:r>
        <w:rPr>
          <w:spacing w:val="1"/>
        </w:rPr>
        <w:t> </w:t>
      </w:r>
      <w:r>
        <w:rPr>
          <w:spacing w:val="-2"/>
        </w:rPr>
        <w:t>Prices</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spacing w:after="0" w:line="274" w:lineRule="exact"/>
        <w:jc w:val="center"/>
        <w:sectPr>
          <w:pgSz w:w="11910" w:h="16840"/>
          <w:pgMar w:header="0" w:footer="1022" w:top="1420" w:bottom="1220" w:left="1680" w:right="900"/>
        </w:sectPr>
      </w:pPr>
    </w:p>
    <w:p>
      <w:pPr>
        <w:pStyle w:val="BodyText"/>
        <w:jc w:val="left"/>
      </w:pPr>
      <w:r>
        <w:rPr/>
        <mc:AlternateContent>
          <mc:Choice Requires="wps">
            <w:drawing>
              <wp:anchor distT="0" distB="0" distL="0" distR="0" allowOverlap="1" layoutInCell="1" locked="0" behindDoc="0" simplePos="0" relativeHeight="15736320">
                <wp:simplePos x="0" y="0"/>
                <wp:positionH relativeFrom="page">
                  <wp:posOffset>1271016</wp:posOffset>
                </wp:positionH>
                <wp:positionV relativeFrom="page">
                  <wp:posOffset>909827</wp:posOffset>
                </wp:positionV>
                <wp:extent cx="5962015" cy="7550150"/>
                <wp:effectExtent l="0" t="0" r="0" b="0"/>
                <wp:wrapNone/>
                <wp:docPr id="47" name="Group 47" descr="C:\Users\RAMATU S. MOHAMMED\Desktop\Prediction Output\Two Bedroom.png"/>
                <wp:cNvGraphicFramePr>
                  <a:graphicFrameLocks/>
                </wp:cNvGraphicFramePr>
                <a:graphic>
                  <a:graphicData uri="http://schemas.microsoft.com/office/word/2010/wordprocessingGroup">
                    <wpg:wgp>
                      <wpg:cNvPr id="47" name="Group 47" descr="C:\Users\RAMATU S. MOHAMMED\Desktop\Prediction Output\Two Bedroom.png"/>
                      <wpg:cNvGrpSpPr/>
                      <wpg:grpSpPr>
                        <a:xfrm>
                          <a:off x="0" y="0"/>
                          <a:ext cx="5962015" cy="7550150"/>
                          <a:chExt cx="5962015" cy="7550150"/>
                        </a:xfrm>
                      </wpg:grpSpPr>
                      <pic:pic>
                        <pic:nvPicPr>
                          <pic:cNvPr id="48" name="Image 48" descr="C:\Users\RAMATU S. MOHAMMED\Desktop\Prediction Output\Two Bedroom.png"/>
                          <pic:cNvPicPr/>
                        </pic:nvPicPr>
                        <pic:blipFill>
                          <a:blip r:embed="rId42" cstate="print"/>
                          <a:stretch>
                            <a:fillRect/>
                          </a:stretch>
                        </pic:blipFill>
                        <pic:spPr>
                          <a:xfrm>
                            <a:off x="9144" y="9144"/>
                            <a:ext cx="5943599" cy="7531608"/>
                          </a:xfrm>
                          <a:prstGeom prst="rect">
                            <a:avLst/>
                          </a:prstGeom>
                        </pic:spPr>
                      </pic:pic>
                      <wps:wsp>
                        <wps:cNvPr id="49" name="Graphic 49"/>
                        <wps:cNvSpPr/>
                        <wps:spPr>
                          <a:xfrm>
                            <a:off x="4572" y="4572"/>
                            <a:ext cx="5953125" cy="7541259"/>
                          </a:xfrm>
                          <a:custGeom>
                            <a:avLst/>
                            <a:gdLst/>
                            <a:ahLst/>
                            <a:cxnLst/>
                            <a:rect l="l" t="t" r="r" b="b"/>
                            <a:pathLst>
                              <a:path w="5953125" h="7541259">
                                <a:moveTo>
                                  <a:pt x="0" y="7540752"/>
                                </a:moveTo>
                                <a:lnTo>
                                  <a:pt x="5952744" y="7540752"/>
                                </a:lnTo>
                                <a:lnTo>
                                  <a:pt x="5952744" y="0"/>
                                </a:lnTo>
                                <a:lnTo>
                                  <a:pt x="0" y="0"/>
                                </a:lnTo>
                                <a:lnTo>
                                  <a:pt x="0" y="75407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0.080002pt;margin-top:71.639984pt;width:469.45pt;height:594.5pt;mso-position-horizontal-relative:page;mso-position-vertical-relative:page;z-index:15736320" id="docshapegroup20" coordorigin="2002,1433" coordsize="9389,11890" alt="C:\Users\RAMATU S. MOHAMMED\Desktop\Prediction Output\Two Bedroom.png">
                <v:shape style="position:absolute;left:2016;top:1447;width:9360;height:11861" type="#_x0000_t75" id="docshape21" alt="C:\Users\RAMATU S. MOHAMMED\Desktop\Prediction Output\Two Bedroom.png" stroked="false">
                  <v:imagedata r:id="rId42" o:title=""/>
                </v:shape>
                <v:rect style="position:absolute;left:2008;top:1440;width:9375;height:11876" id="docshape22" filled="false" stroked="true" strokeweight=".72pt" strokecolor="#000000">
                  <v:stroke dashstyle="solid"/>
                </v:rect>
                <w10:wrap type="none"/>
              </v:group>
            </w:pict>
          </mc:Fallback>
        </mc:AlternateContent>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20"/>
        <w:jc w:val="left"/>
      </w:pPr>
    </w:p>
    <w:p>
      <w:pPr>
        <w:pStyle w:val="Heading1"/>
        <w:spacing w:line="274" w:lineRule="exact"/>
        <w:ind w:left="292" w:right="507" w:firstLine="0"/>
        <w:jc w:val="center"/>
      </w:pPr>
      <w:r>
        <w:rPr/>
        <w:t>Figure</w:t>
      </w:r>
      <w:r>
        <w:rPr>
          <w:spacing w:val="-3"/>
        </w:rPr>
        <w:t> </w:t>
      </w:r>
      <w:r>
        <w:rPr/>
        <w:t>4.24: Forecast</w:t>
      </w:r>
      <w:r>
        <w:rPr>
          <w:spacing w:val="-1"/>
        </w:rPr>
        <w:t> </w:t>
      </w:r>
      <w:r>
        <w:rPr/>
        <w:t>for</w:t>
      </w:r>
      <w:r>
        <w:rPr>
          <w:spacing w:val="-1"/>
        </w:rPr>
        <w:t> </w:t>
      </w:r>
      <w:r>
        <w:rPr/>
        <w:t>Two</w:t>
      </w:r>
      <w:r>
        <w:rPr>
          <w:spacing w:val="-1"/>
        </w:rPr>
        <w:t> </w:t>
      </w:r>
      <w:r>
        <w:rPr/>
        <w:t>Bedroom</w:t>
      </w:r>
      <w:r>
        <w:rPr>
          <w:spacing w:val="-5"/>
        </w:rPr>
        <w:t> </w:t>
      </w:r>
      <w:r>
        <w:rPr/>
        <w:t>Rental </w:t>
      </w:r>
      <w:r>
        <w:rPr>
          <w:spacing w:val="-2"/>
        </w:rPr>
        <w:t>Prices</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spacing w:after="0" w:line="274" w:lineRule="exact"/>
        <w:jc w:val="center"/>
        <w:sectPr>
          <w:pgSz w:w="11910" w:h="16840"/>
          <w:pgMar w:header="0" w:footer="1022" w:top="1420" w:bottom="1220" w:left="1680" w:right="900"/>
        </w:sectPr>
      </w:pPr>
    </w:p>
    <w:p>
      <w:pPr>
        <w:pStyle w:val="BodyText"/>
        <w:jc w:val="left"/>
      </w:pPr>
      <w:r>
        <w:rPr/>
        <mc:AlternateContent>
          <mc:Choice Requires="wps">
            <w:drawing>
              <wp:anchor distT="0" distB="0" distL="0" distR="0" allowOverlap="1" layoutInCell="1" locked="0" behindDoc="0" simplePos="0" relativeHeight="15736832">
                <wp:simplePos x="0" y="0"/>
                <wp:positionH relativeFrom="page">
                  <wp:posOffset>1271016</wp:posOffset>
                </wp:positionH>
                <wp:positionV relativeFrom="page">
                  <wp:posOffset>909827</wp:posOffset>
                </wp:positionV>
                <wp:extent cx="5960745" cy="7512050"/>
                <wp:effectExtent l="0" t="0" r="0" b="0"/>
                <wp:wrapNone/>
                <wp:docPr id="50" name="Group 50" descr="C:\Users\RAMATU S. MOHAMMED\Desktop\Prediction Output\Three Bedroom.png"/>
                <wp:cNvGraphicFramePr>
                  <a:graphicFrameLocks/>
                </wp:cNvGraphicFramePr>
                <a:graphic>
                  <a:graphicData uri="http://schemas.microsoft.com/office/word/2010/wordprocessingGroup">
                    <wpg:wgp>
                      <wpg:cNvPr id="50" name="Group 50" descr="C:\Users\RAMATU S. MOHAMMED\Desktop\Prediction Output\Three Bedroom.png"/>
                      <wpg:cNvGrpSpPr/>
                      <wpg:grpSpPr>
                        <a:xfrm>
                          <a:off x="0" y="0"/>
                          <a:ext cx="5960745" cy="7512050"/>
                          <a:chExt cx="5960745" cy="7512050"/>
                        </a:xfrm>
                      </wpg:grpSpPr>
                      <pic:pic>
                        <pic:nvPicPr>
                          <pic:cNvPr id="51" name="Image 51" descr="C:\Users\RAMATU S. MOHAMMED\Desktop\Prediction Output\Three Bedroom.png"/>
                          <pic:cNvPicPr/>
                        </pic:nvPicPr>
                        <pic:blipFill>
                          <a:blip r:embed="rId43" cstate="print"/>
                          <a:stretch>
                            <a:fillRect/>
                          </a:stretch>
                        </pic:blipFill>
                        <pic:spPr>
                          <a:xfrm>
                            <a:off x="9144" y="9144"/>
                            <a:ext cx="5942075" cy="7493508"/>
                          </a:xfrm>
                          <a:prstGeom prst="rect">
                            <a:avLst/>
                          </a:prstGeom>
                        </pic:spPr>
                      </pic:pic>
                      <wps:wsp>
                        <wps:cNvPr id="52" name="Graphic 52"/>
                        <wps:cNvSpPr/>
                        <wps:spPr>
                          <a:xfrm>
                            <a:off x="4572" y="4572"/>
                            <a:ext cx="5951220" cy="7503159"/>
                          </a:xfrm>
                          <a:custGeom>
                            <a:avLst/>
                            <a:gdLst/>
                            <a:ahLst/>
                            <a:cxnLst/>
                            <a:rect l="l" t="t" r="r" b="b"/>
                            <a:pathLst>
                              <a:path w="5951220" h="7503159">
                                <a:moveTo>
                                  <a:pt x="0" y="7502652"/>
                                </a:moveTo>
                                <a:lnTo>
                                  <a:pt x="5951220" y="7502652"/>
                                </a:lnTo>
                                <a:lnTo>
                                  <a:pt x="5951220" y="0"/>
                                </a:lnTo>
                                <a:lnTo>
                                  <a:pt x="0" y="0"/>
                                </a:lnTo>
                                <a:lnTo>
                                  <a:pt x="0" y="75026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0.080002pt;margin-top:71.639984pt;width:469.35pt;height:591.5pt;mso-position-horizontal-relative:page;mso-position-vertical-relative:page;z-index:15736832" id="docshapegroup23" coordorigin="2002,1433" coordsize="9387,11830" alt="C:\Users\RAMATU S. MOHAMMED\Desktop\Prediction Output\Three Bedroom.png">
                <v:shape style="position:absolute;left:2016;top:1447;width:9358;height:11801" type="#_x0000_t75" id="docshape24" alt="C:\Users\RAMATU S. MOHAMMED\Desktop\Prediction Output\Three Bedroom.png" stroked="false">
                  <v:imagedata r:id="rId43" o:title=""/>
                </v:shape>
                <v:rect style="position:absolute;left:2008;top:1440;width:9372;height:11816" id="docshape25" filled="false" stroked="true" strokeweight=".72pt" strokecolor="#000000">
                  <v:stroke dashstyle="solid"/>
                </v:rect>
                <w10:wrap type="none"/>
              </v:group>
            </w:pict>
          </mc:Fallback>
        </mc:AlternateContent>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236"/>
        <w:jc w:val="left"/>
      </w:pPr>
    </w:p>
    <w:p>
      <w:pPr>
        <w:pStyle w:val="Heading1"/>
        <w:spacing w:line="274" w:lineRule="exact"/>
        <w:ind w:left="292" w:right="505" w:firstLine="0"/>
        <w:jc w:val="center"/>
      </w:pPr>
      <w:r>
        <w:rPr/>
        <w:t>Figure</w:t>
      </w:r>
      <w:r>
        <w:rPr>
          <w:spacing w:val="-5"/>
        </w:rPr>
        <w:t> </w:t>
      </w:r>
      <w:r>
        <w:rPr/>
        <w:t>4.25: Forecast</w:t>
      </w:r>
      <w:r>
        <w:rPr>
          <w:spacing w:val="-1"/>
        </w:rPr>
        <w:t> </w:t>
      </w:r>
      <w:r>
        <w:rPr/>
        <w:t>for</w:t>
      </w:r>
      <w:r>
        <w:rPr>
          <w:spacing w:val="-1"/>
        </w:rPr>
        <w:t> </w:t>
      </w:r>
      <w:r>
        <w:rPr/>
        <w:t>Three</w:t>
      </w:r>
      <w:r>
        <w:rPr>
          <w:spacing w:val="-2"/>
        </w:rPr>
        <w:t> </w:t>
      </w:r>
      <w:r>
        <w:rPr/>
        <w:t>Bedroom</w:t>
      </w:r>
      <w:r>
        <w:rPr>
          <w:spacing w:val="-2"/>
        </w:rPr>
        <w:t> </w:t>
      </w:r>
      <w:r>
        <w:rPr/>
        <w:t>Rental</w:t>
      </w:r>
      <w:r>
        <w:rPr>
          <w:spacing w:val="-1"/>
        </w:rPr>
        <w:t> </w:t>
      </w:r>
      <w:r>
        <w:rPr>
          <w:spacing w:val="-2"/>
        </w:rPr>
        <w:t>Prices</w:t>
      </w:r>
    </w:p>
    <w:p>
      <w:pPr>
        <w:pStyle w:val="BodyText"/>
        <w:spacing w:line="274" w:lineRule="exact"/>
        <w:ind w:left="292" w:right="505"/>
        <w:jc w:val="center"/>
      </w:pPr>
      <w:r>
        <w:rPr/>
        <w:t>Source:</w:t>
      </w:r>
      <w:r>
        <w:rPr>
          <w:spacing w:val="-4"/>
        </w:rPr>
        <w:t> </w:t>
      </w:r>
      <w:r>
        <w:rPr/>
        <w:t>Field</w:t>
      </w:r>
      <w:r>
        <w:rPr>
          <w:spacing w:val="-2"/>
        </w:rPr>
        <w:t> </w:t>
      </w:r>
      <w:r>
        <w:rPr/>
        <w:t>survey,</w:t>
      </w:r>
      <w:r>
        <w:rPr>
          <w:spacing w:val="-1"/>
        </w:rPr>
        <w:t> </w:t>
      </w:r>
      <w:r>
        <w:rPr>
          <w:spacing w:val="-4"/>
        </w:rPr>
        <w:t>2019</w:t>
      </w:r>
    </w:p>
    <w:p>
      <w:pPr>
        <w:pStyle w:val="BodyText"/>
        <w:spacing w:before="240"/>
        <w:jc w:val="left"/>
      </w:pPr>
    </w:p>
    <w:p>
      <w:pPr>
        <w:pStyle w:val="BodyText"/>
        <w:spacing w:line="480" w:lineRule="auto"/>
        <w:ind w:left="292" w:right="504"/>
        <w:jc w:val="center"/>
      </w:pPr>
      <w:r>
        <w:rPr/>
        <w:t>This</w:t>
      </w:r>
      <w:r>
        <w:rPr>
          <w:spacing w:val="-3"/>
        </w:rPr>
        <w:t> </w:t>
      </w:r>
      <w:r>
        <w:rPr/>
        <w:t>result</w:t>
      </w:r>
      <w:r>
        <w:rPr>
          <w:spacing w:val="-3"/>
        </w:rPr>
        <w:t> </w:t>
      </w:r>
      <w:r>
        <w:rPr/>
        <w:t>implies</w:t>
      </w:r>
      <w:r>
        <w:rPr>
          <w:spacing w:val="-3"/>
        </w:rPr>
        <w:t> </w:t>
      </w:r>
      <w:r>
        <w:rPr/>
        <w:t>that</w:t>
      </w:r>
      <w:r>
        <w:rPr>
          <w:spacing w:val="-3"/>
        </w:rPr>
        <w:t> </w:t>
      </w:r>
      <w:r>
        <w:rPr/>
        <w:t>the</w:t>
      </w:r>
      <w:r>
        <w:rPr>
          <w:spacing w:val="-4"/>
        </w:rPr>
        <w:t> </w:t>
      </w:r>
      <w:r>
        <w:rPr/>
        <w:t>Alonso’s</w:t>
      </w:r>
      <w:r>
        <w:rPr>
          <w:spacing w:val="-4"/>
        </w:rPr>
        <w:t> </w:t>
      </w:r>
      <w:r>
        <w:rPr/>
        <w:t>monocentric</w:t>
      </w:r>
      <w:r>
        <w:rPr>
          <w:spacing w:val="-3"/>
        </w:rPr>
        <w:t> </w:t>
      </w:r>
      <w:r>
        <w:rPr/>
        <w:t>model</w:t>
      </w:r>
      <w:r>
        <w:rPr>
          <w:spacing w:val="-3"/>
        </w:rPr>
        <w:t> </w:t>
      </w:r>
      <w:r>
        <w:rPr/>
        <w:t>as</w:t>
      </w:r>
      <w:r>
        <w:rPr>
          <w:spacing w:val="-4"/>
        </w:rPr>
        <w:t> </w:t>
      </w:r>
      <w:r>
        <w:rPr/>
        <w:t>earlier</w:t>
      </w:r>
      <w:r>
        <w:rPr>
          <w:spacing w:val="-3"/>
        </w:rPr>
        <w:t> </w:t>
      </w:r>
      <w:r>
        <w:rPr/>
        <w:t>disconfirmed</w:t>
      </w:r>
      <w:r>
        <w:rPr>
          <w:spacing w:val="-3"/>
        </w:rPr>
        <w:t> </w:t>
      </w:r>
      <w:r>
        <w:rPr/>
        <w:t>in</w:t>
      </w:r>
      <w:r>
        <w:rPr>
          <w:spacing w:val="-3"/>
        </w:rPr>
        <w:t> </w:t>
      </w:r>
      <w:r>
        <w:rPr/>
        <w:t>terms of</w:t>
      </w:r>
      <w:r>
        <w:rPr>
          <w:spacing w:val="-9"/>
        </w:rPr>
        <w:t> </w:t>
      </w:r>
      <w:r>
        <w:rPr/>
        <w:t>rental</w:t>
      </w:r>
      <w:r>
        <w:rPr>
          <w:spacing w:val="-6"/>
        </w:rPr>
        <w:t> </w:t>
      </w:r>
      <w:r>
        <w:rPr/>
        <w:t>prices</w:t>
      </w:r>
      <w:r>
        <w:rPr>
          <w:spacing w:val="-6"/>
        </w:rPr>
        <w:t> </w:t>
      </w:r>
      <w:r>
        <w:rPr/>
        <w:t>shall</w:t>
      </w:r>
      <w:r>
        <w:rPr>
          <w:spacing w:val="-5"/>
        </w:rPr>
        <w:t> </w:t>
      </w:r>
      <w:r>
        <w:rPr/>
        <w:t>continue</w:t>
      </w:r>
      <w:r>
        <w:rPr>
          <w:spacing w:val="-7"/>
        </w:rPr>
        <w:t> </w:t>
      </w:r>
      <w:r>
        <w:rPr/>
        <w:t>in</w:t>
      </w:r>
      <w:r>
        <w:rPr>
          <w:spacing w:val="-6"/>
        </w:rPr>
        <w:t> </w:t>
      </w:r>
      <w:r>
        <w:rPr/>
        <w:t>the</w:t>
      </w:r>
      <w:r>
        <w:rPr>
          <w:spacing w:val="-6"/>
        </w:rPr>
        <w:t> </w:t>
      </w:r>
      <w:r>
        <w:rPr/>
        <w:t>future.</w:t>
      </w:r>
      <w:r>
        <w:rPr>
          <w:spacing w:val="-4"/>
        </w:rPr>
        <w:t> </w:t>
      </w:r>
      <w:r>
        <w:rPr/>
        <w:t>Therefore</w:t>
      </w:r>
      <w:r>
        <w:rPr>
          <w:spacing w:val="-8"/>
        </w:rPr>
        <w:t> </w:t>
      </w:r>
      <w:r>
        <w:rPr/>
        <w:t>rental</w:t>
      </w:r>
      <w:r>
        <w:rPr>
          <w:spacing w:val="-5"/>
        </w:rPr>
        <w:t> </w:t>
      </w:r>
      <w:r>
        <w:rPr/>
        <w:t>prices</w:t>
      </w:r>
      <w:r>
        <w:rPr>
          <w:spacing w:val="-6"/>
        </w:rPr>
        <w:t> </w:t>
      </w:r>
      <w:r>
        <w:rPr/>
        <w:t>of</w:t>
      </w:r>
      <w:r>
        <w:rPr>
          <w:spacing w:val="-7"/>
        </w:rPr>
        <w:t> </w:t>
      </w:r>
      <w:r>
        <w:rPr/>
        <w:t>housing</w:t>
      </w:r>
      <w:r>
        <w:rPr>
          <w:spacing w:val="-8"/>
        </w:rPr>
        <w:t> </w:t>
      </w:r>
      <w:r>
        <w:rPr>
          <w:spacing w:val="-2"/>
        </w:rPr>
        <w:t>apartments</w:t>
      </w:r>
    </w:p>
    <w:p>
      <w:pPr>
        <w:spacing w:after="0" w:line="480" w:lineRule="auto"/>
        <w:jc w:val="center"/>
        <w:sectPr>
          <w:pgSz w:w="11910" w:h="16840"/>
          <w:pgMar w:header="0" w:footer="1022" w:top="1420" w:bottom="1220" w:left="1680" w:right="900"/>
        </w:sectPr>
      </w:pPr>
    </w:p>
    <w:p>
      <w:pPr>
        <w:pStyle w:val="BodyText"/>
        <w:spacing w:line="480" w:lineRule="auto" w:before="72"/>
        <w:ind w:left="305" w:right="511"/>
      </w:pPr>
      <w:r>
        <w:rPr/>
        <w:t>shall continue to decreases with decreasing distance to the city centre. This also implies that this new dimension and perspective for understanding the spatial urban structure is how the study area would look like in the coming years. Therefore this pattern can only be altered only</w:t>
      </w:r>
      <w:r>
        <w:rPr>
          <w:spacing w:val="-3"/>
        </w:rPr>
        <w:t> </w:t>
      </w:r>
      <w:r>
        <w:rPr/>
        <w:t>when there is rational densification, zoning regulations, site and services and adoption of new town concept.</w:t>
      </w:r>
    </w:p>
    <w:p>
      <w:pPr>
        <w:pStyle w:val="Heading1"/>
        <w:numPr>
          <w:ilvl w:val="1"/>
          <w:numId w:val="16"/>
        </w:numPr>
        <w:tabs>
          <w:tab w:pos="1024" w:val="left" w:leader="none"/>
        </w:tabs>
        <w:spacing w:line="240" w:lineRule="auto" w:before="247" w:after="0"/>
        <w:ind w:left="1024" w:right="0" w:hanging="719"/>
        <w:jc w:val="both"/>
      </w:pPr>
      <w:r>
        <w:rPr/>
        <w:t>Summary</w:t>
      </w:r>
      <w:r>
        <w:rPr>
          <w:spacing w:val="-3"/>
        </w:rPr>
        <w:t> </w:t>
      </w:r>
      <w:r>
        <w:rPr/>
        <w:t>of </w:t>
      </w:r>
      <w:r>
        <w:rPr>
          <w:spacing w:val="-2"/>
        </w:rPr>
        <w:t>Findings</w:t>
      </w:r>
    </w:p>
    <w:p>
      <w:pPr>
        <w:pStyle w:val="BodyText"/>
        <w:spacing w:before="193"/>
        <w:jc w:val="left"/>
        <w:rPr>
          <w:b/>
        </w:rPr>
      </w:pPr>
    </w:p>
    <w:p>
      <w:pPr>
        <w:pStyle w:val="BodyText"/>
        <w:spacing w:line="480" w:lineRule="auto"/>
        <w:ind w:left="305" w:right="511"/>
      </w:pPr>
      <w:r>
        <w:rPr/>
        <w:t>It was found out that in the year 2008, Town housing submarket have highest area coverage</w:t>
      </w:r>
      <w:r>
        <w:rPr>
          <w:spacing w:val="-13"/>
        </w:rPr>
        <w:t> </w:t>
      </w:r>
      <w:r>
        <w:rPr/>
        <w:t>with</w:t>
      </w:r>
      <w:r>
        <w:rPr>
          <w:spacing w:val="-10"/>
        </w:rPr>
        <w:t> </w:t>
      </w:r>
      <w:r>
        <w:rPr/>
        <w:t>1,214.97ha.</w:t>
      </w:r>
      <w:r>
        <w:rPr>
          <w:spacing w:val="-11"/>
        </w:rPr>
        <w:t> </w:t>
      </w:r>
      <w:r>
        <w:rPr/>
        <w:t>This</w:t>
      </w:r>
      <w:r>
        <w:rPr>
          <w:spacing w:val="-11"/>
        </w:rPr>
        <w:t> </w:t>
      </w:r>
      <w:r>
        <w:rPr/>
        <w:t>is</w:t>
      </w:r>
      <w:r>
        <w:rPr>
          <w:spacing w:val="-10"/>
        </w:rPr>
        <w:t> </w:t>
      </w:r>
      <w:r>
        <w:rPr/>
        <w:t>followed</w:t>
      </w:r>
      <w:r>
        <w:rPr>
          <w:spacing w:val="-11"/>
        </w:rPr>
        <w:t> </w:t>
      </w:r>
      <w:r>
        <w:rPr/>
        <w:t>by</w:t>
      </w:r>
      <w:r>
        <w:rPr>
          <w:spacing w:val="-15"/>
        </w:rPr>
        <w:t> </w:t>
      </w:r>
      <w:r>
        <w:rPr/>
        <w:t>Project</w:t>
      </w:r>
      <w:r>
        <w:rPr>
          <w:spacing w:val="-11"/>
        </w:rPr>
        <w:t> </w:t>
      </w:r>
      <w:r>
        <w:rPr/>
        <w:t>Quarters</w:t>
      </w:r>
      <w:r>
        <w:rPr>
          <w:spacing w:val="-12"/>
        </w:rPr>
        <w:t> </w:t>
      </w:r>
      <w:r>
        <w:rPr/>
        <w:t>with</w:t>
      </w:r>
      <w:r>
        <w:rPr>
          <w:spacing w:val="-11"/>
        </w:rPr>
        <w:t> </w:t>
      </w:r>
      <w:r>
        <w:rPr/>
        <w:t>984.31ha;</w:t>
      </w:r>
      <w:r>
        <w:rPr>
          <w:spacing w:val="-11"/>
        </w:rPr>
        <w:t> </w:t>
      </w:r>
      <w:r>
        <w:rPr/>
        <w:t>Poly</w:t>
      </w:r>
      <w:r>
        <w:rPr>
          <w:spacing w:val="-15"/>
        </w:rPr>
        <w:t> </w:t>
      </w:r>
      <w:r>
        <w:rPr/>
        <w:t>Area and</w:t>
      </w:r>
      <w:r>
        <w:rPr>
          <w:spacing w:val="-13"/>
        </w:rPr>
        <w:t> </w:t>
      </w:r>
      <w:r>
        <w:rPr/>
        <w:t>GRA</w:t>
      </w:r>
      <w:r>
        <w:rPr>
          <w:spacing w:val="-13"/>
        </w:rPr>
        <w:t> </w:t>
      </w:r>
      <w:r>
        <w:rPr/>
        <w:t>have</w:t>
      </w:r>
      <w:r>
        <w:rPr>
          <w:spacing w:val="-14"/>
        </w:rPr>
        <w:t> </w:t>
      </w:r>
      <w:r>
        <w:rPr/>
        <w:t>area</w:t>
      </w:r>
      <w:r>
        <w:rPr>
          <w:spacing w:val="-14"/>
        </w:rPr>
        <w:t> </w:t>
      </w:r>
      <w:r>
        <w:rPr/>
        <w:t>coverage</w:t>
      </w:r>
      <w:r>
        <w:rPr>
          <w:spacing w:val="-14"/>
        </w:rPr>
        <w:t> </w:t>
      </w:r>
      <w:r>
        <w:rPr/>
        <w:t>of</w:t>
      </w:r>
      <w:r>
        <w:rPr>
          <w:spacing w:val="-14"/>
        </w:rPr>
        <w:t> </w:t>
      </w:r>
      <w:r>
        <w:rPr/>
        <w:t>823.13ha</w:t>
      </w:r>
      <w:r>
        <w:rPr>
          <w:spacing w:val="-14"/>
        </w:rPr>
        <w:t> </w:t>
      </w:r>
      <w:r>
        <w:rPr/>
        <w:t>and</w:t>
      </w:r>
      <w:r>
        <w:rPr>
          <w:spacing w:val="-13"/>
        </w:rPr>
        <w:t> </w:t>
      </w:r>
      <w:r>
        <w:rPr/>
        <w:t>800.08ha</w:t>
      </w:r>
      <w:r>
        <w:rPr>
          <w:spacing w:val="-14"/>
        </w:rPr>
        <w:t> </w:t>
      </w:r>
      <w:r>
        <w:rPr/>
        <w:t>respectively,</w:t>
      </w:r>
      <w:r>
        <w:rPr>
          <w:spacing w:val="-13"/>
        </w:rPr>
        <w:t> </w:t>
      </w:r>
      <w:r>
        <w:rPr/>
        <w:t>also</w:t>
      </w:r>
      <w:r>
        <w:rPr>
          <w:spacing w:val="-12"/>
        </w:rPr>
        <w:t> </w:t>
      </w:r>
      <w:r>
        <w:rPr/>
        <w:t>that</w:t>
      </w:r>
      <w:r>
        <w:rPr>
          <w:spacing w:val="-13"/>
        </w:rPr>
        <w:t> </w:t>
      </w:r>
      <w:r>
        <w:rPr/>
        <w:t>people</w:t>
      </w:r>
      <w:r>
        <w:rPr>
          <w:spacing w:val="-14"/>
        </w:rPr>
        <w:t> </w:t>
      </w:r>
      <w:r>
        <w:rPr/>
        <w:t>live in the Town housing submarket than any other submarkets in the study area in all years under</w:t>
      </w:r>
      <w:r>
        <w:rPr>
          <w:spacing w:val="-15"/>
        </w:rPr>
        <w:t> </w:t>
      </w:r>
      <w:r>
        <w:rPr/>
        <w:t>review.</w:t>
      </w:r>
      <w:r>
        <w:rPr>
          <w:spacing w:val="-15"/>
        </w:rPr>
        <w:t> </w:t>
      </w:r>
      <w:r>
        <w:rPr/>
        <w:t>The</w:t>
      </w:r>
      <w:r>
        <w:rPr>
          <w:spacing w:val="-14"/>
        </w:rPr>
        <w:t> </w:t>
      </w:r>
      <w:r>
        <w:rPr/>
        <w:t>Town</w:t>
      </w:r>
      <w:r>
        <w:rPr>
          <w:spacing w:val="-12"/>
        </w:rPr>
        <w:t> </w:t>
      </w:r>
      <w:r>
        <w:rPr/>
        <w:t>housing</w:t>
      </w:r>
      <w:r>
        <w:rPr>
          <w:spacing w:val="-15"/>
        </w:rPr>
        <w:t> </w:t>
      </w:r>
      <w:r>
        <w:rPr/>
        <w:t>submarket</w:t>
      </w:r>
      <w:r>
        <w:rPr>
          <w:spacing w:val="-14"/>
        </w:rPr>
        <w:t> </w:t>
      </w:r>
      <w:r>
        <w:rPr/>
        <w:t>is</w:t>
      </w:r>
      <w:r>
        <w:rPr>
          <w:spacing w:val="-14"/>
        </w:rPr>
        <w:t> </w:t>
      </w:r>
      <w:r>
        <w:rPr/>
        <w:t>also</w:t>
      </w:r>
      <w:r>
        <w:rPr>
          <w:spacing w:val="-12"/>
        </w:rPr>
        <w:t> </w:t>
      </w:r>
      <w:r>
        <w:rPr/>
        <w:t>the</w:t>
      </w:r>
      <w:r>
        <w:rPr>
          <w:spacing w:val="-15"/>
        </w:rPr>
        <w:t> </w:t>
      </w:r>
      <w:r>
        <w:rPr/>
        <w:t>traditional</w:t>
      </w:r>
      <w:r>
        <w:rPr>
          <w:spacing w:val="-14"/>
        </w:rPr>
        <w:t> </w:t>
      </w:r>
      <w:r>
        <w:rPr/>
        <w:t>city</w:t>
      </w:r>
      <w:r>
        <w:rPr>
          <w:spacing w:val="-15"/>
        </w:rPr>
        <w:t> </w:t>
      </w:r>
      <w:r>
        <w:rPr/>
        <w:t>centre</w:t>
      </w:r>
      <w:r>
        <w:rPr>
          <w:spacing w:val="-13"/>
        </w:rPr>
        <w:t> </w:t>
      </w:r>
      <w:r>
        <w:rPr/>
        <w:t>where</w:t>
      </w:r>
      <w:r>
        <w:rPr>
          <w:spacing w:val="-15"/>
        </w:rPr>
        <w:t> </w:t>
      </w:r>
      <w:r>
        <w:rPr/>
        <w:t>major commercial</w:t>
      </w:r>
      <w:r>
        <w:rPr>
          <w:spacing w:val="-12"/>
        </w:rPr>
        <w:t> </w:t>
      </w:r>
      <w:r>
        <w:rPr/>
        <w:t>and</w:t>
      </w:r>
      <w:r>
        <w:rPr>
          <w:spacing w:val="-12"/>
        </w:rPr>
        <w:t> </w:t>
      </w:r>
      <w:r>
        <w:rPr/>
        <w:t>cultural</w:t>
      </w:r>
      <w:r>
        <w:rPr>
          <w:spacing w:val="-11"/>
        </w:rPr>
        <w:t> </w:t>
      </w:r>
      <w:r>
        <w:rPr/>
        <w:t>activities</w:t>
      </w:r>
      <w:r>
        <w:rPr>
          <w:spacing w:val="-12"/>
        </w:rPr>
        <w:t> </w:t>
      </w:r>
      <w:r>
        <w:rPr/>
        <w:t>takes</w:t>
      </w:r>
      <w:r>
        <w:rPr>
          <w:spacing w:val="-11"/>
        </w:rPr>
        <w:t> </w:t>
      </w:r>
      <w:r>
        <w:rPr/>
        <w:t>place.</w:t>
      </w:r>
      <w:r>
        <w:rPr>
          <w:spacing w:val="-12"/>
        </w:rPr>
        <w:t> </w:t>
      </w:r>
      <w:r>
        <w:rPr/>
        <w:t>The</w:t>
      </w:r>
      <w:r>
        <w:rPr>
          <w:spacing w:val="-13"/>
        </w:rPr>
        <w:t> </w:t>
      </w:r>
      <w:r>
        <w:rPr/>
        <w:t>result</w:t>
      </w:r>
      <w:r>
        <w:rPr>
          <w:spacing w:val="-11"/>
        </w:rPr>
        <w:t> </w:t>
      </w:r>
      <w:r>
        <w:rPr/>
        <w:t>revealed</w:t>
      </w:r>
      <w:r>
        <w:rPr>
          <w:spacing w:val="-12"/>
        </w:rPr>
        <w:t> </w:t>
      </w:r>
      <w:r>
        <w:rPr/>
        <w:t>that</w:t>
      </w:r>
      <w:r>
        <w:rPr>
          <w:spacing w:val="-12"/>
        </w:rPr>
        <w:t> </w:t>
      </w:r>
      <w:r>
        <w:rPr/>
        <w:t>Rahmatu</w:t>
      </w:r>
      <w:r>
        <w:rPr>
          <w:spacing w:val="-12"/>
        </w:rPr>
        <w:t> </w:t>
      </w:r>
      <w:r>
        <w:rPr/>
        <w:t>Dangana with</w:t>
      </w:r>
      <w:r>
        <w:rPr>
          <w:spacing w:val="-4"/>
        </w:rPr>
        <w:t> </w:t>
      </w:r>
      <w:r>
        <w:rPr/>
        <w:t>smallest</w:t>
      </w:r>
      <w:r>
        <w:rPr>
          <w:spacing w:val="-4"/>
        </w:rPr>
        <w:t> </w:t>
      </w:r>
      <w:r>
        <w:rPr/>
        <w:t>area</w:t>
      </w:r>
      <w:r>
        <w:rPr>
          <w:spacing w:val="-3"/>
        </w:rPr>
        <w:t> </w:t>
      </w:r>
      <w:r>
        <w:rPr/>
        <w:t>coverage</w:t>
      </w:r>
      <w:r>
        <w:rPr>
          <w:spacing w:val="-4"/>
        </w:rPr>
        <w:t> </w:t>
      </w:r>
      <w:r>
        <w:rPr/>
        <w:t>is</w:t>
      </w:r>
      <w:r>
        <w:rPr>
          <w:spacing w:val="-4"/>
        </w:rPr>
        <w:t> </w:t>
      </w:r>
      <w:r>
        <w:rPr/>
        <w:t>highly</w:t>
      </w:r>
      <w:r>
        <w:rPr>
          <w:spacing w:val="-7"/>
        </w:rPr>
        <w:t> </w:t>
      </w:r>
      <w:r>
        <w:rPr/>
        <w:t>developed</w:t>
      </w:r>
      <w:r>
        <w:rPr>
          <w:spacing w:val="-5"/>
        </w:rPr>
        <w:t> </w:t>
      </w:r>
      <w:r>
        <w:rPr/>
        <w:t>in</w:t>
      </w:r>
      <w:r>
        <w:rPr>
          <w:spacing w:val="-2"/>
        </w:rPr>
        <w:t> </w:t>
      </w:r>
      <w:r>
        <w:rPr/>
        <w:t>the</w:t>
      </w:r>
      <w:r>
        <w:rPr>
          <w:spacing w:val="-1"/>
        </w:rPr>
        <w:t> </w:t>
      </w:r>
      <w:r>
        <w:rPr/>
        <w:t>year</w:t>
      </w:r>
      <w:r>
        <w:rPr>
          <w:spacing w:val="-6"/>
        </w:rPr>
        <w:t> </w:t>
      </w:r>
      <w:r>
        <w:rPr/>
        <w:t>2013.</w:t>
      </w:r>
      <w:r>
        <w:rPr>
          <w:spacing w:val="-3"/>
        </w:rPr>
        <w:t> </w:t>
      </w:r>
      <w:r>
        <w:rPr/>
        <w:t>The</w:t>
      </w:r>
      <w:r>
        <w:rPr>
          <w:spacing w:val="-4"/>
        </w:rPr>
        <w:t> </w:t>
      </w:r>
      <w:r>
        <w:rPr/>
        <w:t>implication</w:t>
      </w:r>
      <w:r>
        <w:rPr>
          <w:spacing w:val="-5"/>
        </w:rPr>
        <w:t> </w:t>
      </w:r>
      <w:r>
        <w:rPr/>
        <w:t>of</w:t>
      </w:r>
      <w:r>
        <w:rPr>
          <w:spacing w:val="-6"/>
        </w:rPr>
        <w:t> </w:t>
      </w:r>
      <w:r>
        <w:rPr/>
        <w:t>this result is that transition</w:t>
      </w:r>
      <w:r>
        <w:rPr>
          <w:spacing w:val="-1"/>
        </w:rPr>
        <w:t> </w:t>
      </w:r>
      <w:r>
        <w:rPr/>
        <w:t>in</w:t>
      </w:r>
      <w:r>
        <w:rPr>
          <w:spacing w:val="-1"/>
        </w:rPr>
        <w:t> </w:t>
      </w:r>
      <w:r>
        <w:rPr/>
        <w:t>the urban morphology</w:t>
      </w:r>
      <w:r>
        <w:rPr>
          <w:spacing w:val="-3"/>
        </w:rPr>
        <w:t> </w:t>
      </w:r>
      <w:r>
        <w:rPr/>
        <w:t>experienced tremendous changes where number of buildings in the Town submarket reduced from 34,242 in the year 2013 to 29,985</w:t>
      </w:r>
      <w:r>
        <w:rPr>
          <w:spacing w:val="-7"/>
        </w:rPr>
        <w:t> </w:t>
      </w:r>
      <w:r>
        <w:rPr/>
        <w:t>in</w:t>
      </w:r>
      <w:r>
        <w:rPr>
          <w:spacing w:val="-7"/>
        </w:rPr>
        <w:t> </w:t>
      </w:r>
      <w:r>
        <w:rPr/>
        <w:t>the</w:t>
      </w:r>
      <w:r>
        <w:rPr>
          <w:spacing w:val="-5"/>
        </w:rPr>
        <w:t> </w:t>
      </w:r>
      <w:r>
        <w:rPr/>
        <w:t>year</w:t>
      </w:r>
      <w:r>
        <w:rPr>
          <w:spacing w:val="-8"/>
        </w:rPr>
        <w:t> </w:t>
      </w:r>
      <w:r>
        <w:rPr/>
        <w:t>2018.</w:t>
      </w:r>
      <w:r>
        <w:rPr>
          <w:spacing w:val="-7"/>
        </w:rPr>
        <w:t> </w:t>
      </w:r>
      <w:r>
        <w:rPr/>
        <w:t>This</w:t>
      </w:r>
      <w:r>
        <w:rPr>
          <w:spacing w:val="-7"/>
        </w:rPr>
        <w:t> </w:t>
      </w:r>
      <w:r>
        <w:rPr/>
        <w:t>could</w:t>
      </w:r>
      <w:r>
        <w:rPr>
          <w:spacing w:val="-7"/>
        </w:rPr>
        <w:t> </w:t>
      </w:r>
      <w:r>
        <w:rPr/>
        <w:t>be</w:t>
      </w:r>
      <w:r>
        <w:rPr>
          <w:spacing w:val="-8"/>
        </w:rPr>
        <w:t> </w:t>
      </w:r>
      <w:r>
        <w:rPr/>
        <w:t>attributed</w:t>
      </w:r>
      <w:r>
        <w:rPr>
          <w:spacing w:val="-7"/>
        </w:rPr>
        <w:t> </w:t>
      </w:r>
      <w:r>
        <w:rPr/>
        <w:t>to</w:t>
      </w:r>
      <w:r>
        <w:rPr>
          <w:spacing w:val="-7"/>
        </w:rPr>
        <w:t> </w:t>
      </w:r>
      <w:r>
        <w:rPr/>
        <w:t>Bida</w:t>
      </w:r>
      <w:r>
        <w:rPr>
          <w:spacing w:val="-8"/>
        </w:rPr>
        <w:t> </w:t>
      </w:r>
      <w:r>
        <w:rPr/>
        <w:t>old</w:t>
      </w:r>
      <w:r>
        <w:rPr>
          <w:spacing w:val="-7"/>
        </w:rPr>
        <w:t> </w:t>
      </w:r>
      <w:r>
        <w:rPr/>
        <w:t>market</w:t>
      </w:r>
      <w:r>
        <w:rPr>
          <w:spacing w:val="-7"/>
        </w:rPr>
        <w:t> </w:t>
      </w:r>
      <w:r>
        <w:rPr/>
        <w:t>razed</w:t>
      </w:r>
      <w:r>
        <w:rPr>
          <w:spacing w:val="-7"/>
        </w:rPr>
        <w:t> </w:t>
      </w:r>
      <w:r>
        <w:rPr/>
        <w:t>by</w:t>
      </w:r>
      <w:r>
        <w:rPr>
          <w:spacing w:val="-12"/>
        </w:rPr>
        <w:t> </w:t>
      </w:r>
      <w:r>
        <w:rPr/>
        <w:t>fire</w:t>
      </w:r>
      <w:r>
        <w:rPr>
          <w:spacing w:val="-8"/>
        </w:rPr>
        <w:t> </w:t>
      </w:r>
      <w:r>
        <w:rPr/>
        <w:t>in</w:t>
      </w:r>
      <w:r>
        <w:rPr>
          <w:spacing w:val="-7"/>
        </w:rPr>
        <w:t> </w:t>
      </w:r>
      <w:r>
        <w:rPr/>
        <w:t>early 2018. The result also implies that there were high residential development in Poly</w:t>
      </w:r>
      <w:r>
        <w:rPr>
          <w:spacing w:val="-5"/>
        </w:rPr>
        <w:t> </w:t>
      </w:r>
      <w:r>
        <w:rPr/>
        <w:t>Area, Ndazabo and Gbazhi submarkets during this period which may have occasioned the sudden reduction.</w:t>
      </w:r>
    </w:p>
    <w:p>
      <w:pPr>
        <w:pStyle w:val="BodyText"/>
        <w:spacing w:line="480" w:lineRule="auto" w:before="242"/>
        <w:ind w:left="305" w:right="514"/>
      </w:pPr>
      <w:r>
        <w:rPr/>
        <w:t>The study revealed that in the year 2008 four housing submarkets i.e. Town, Rahmatu Dangana, Gbazhi and Wadata are of high residential density respectively, where the remaining</w:t>
      </w:r>
      <w:r>
        <w:rPr>
          <w:spacing w:val="-3"/>
        </w:rPr>
        <w:t> </w:t>
      </w:r>
      <w:r>
        <w:rPr/>
        <w:t>seven</w:t>
      </w:r>
      <w:r>
        <w:rPr>
          <w:spacing w:val="-3"/>
        </w:rPr>
        <w:t> </w:t>
      </w:r>
      <w:r>
        <w:rPr/>
        <w:t>submarkets</w:t>
      </w:r>
      <w:r>
        <w:rPr>
          <w:spacing w:val="-3"/>
        </w:rPr>
        <w:t> </w:t>
      </w:r>
      <w:r>
        <w:rPr/>
        <w:t>are</w:t>
      </w:r>
      <w:r>
        <w:rPr>
          <w:spacing w:val="-4"/>
        </w:rPr>
        <w:t> </w:t>
      </w:r>
      <w:r>
        <w:rPr/>
        <w:t>of</w:t>
      </w:r>
      <w:r>
        <w:rPr>
          <w:spacing w:val="-2"/>
        </w:rPr>
        <w:t> </w:t>
      </w:r>
      <w:r>
        <w:rPr/>
        <w:t>low</w:t>
      </w:r>
      <w:r>
        <w:rPr>
          <w:spacing w:val="-3"/>
        </w:rPr>
        <w:t> </w:t>
      </w:r>
      <w:r>
        <w:rPr/>
        <w:t>residential</w:t>
      </w:r>
      <w:r>
        <w:rPr>
          <w:spacing w:val="-3"/>
        </w:rPr>
        <w:t> </w:t>
      </w:r>
      <w:r>
        <w:rPr/>
        <w:t>densities</w:t>
      </w:r>
      <w:r>
        <w:rPr>
          <w:spacing w:val="-3"/>
        </w:rPr>
        <w:t> </w:t>
      </w:r>
      <w:r>
        <w:rPr/>
        <w:t>in</w:t>
      </w:r>
      <w:r>
        <w:rPr>
          <w:spacing w:val="-3"/>
        </w:rPr>
        <w:t> </w:t>
      </w:r>
      <w:r>
        <w:rPr/>
        <w:t>that year.</w:t>
      </w:r>
      <w:r>
        <w:rPr>
          <w:spacing w:val="-2"/>
        </w:rPr>
        <w:t> </w:t>
      </w:r>
      <w:r>
        <w:rPr/>
        <w:t>Findings</w:t>
      </w:r>
      <w:r>
        <w:rPr>
          <w:spacing w:val="-3"/>
        </w:rPr>
        <w:t> </w:t>
      </w:r>
      <w:r>
        <w:rPr/>
        <w:t>of</w:t>
      </w:r>
      <w:r>
        <w:rPr>
          <w:spacing w:val="-2"/>
        </w:rPr>
        <w:t> </w:t>
      </w:r>
      <w:r>
        <w:rPr/>
        <w:t>this study also showed that in the year 2013 eight housing submarkets have their residential densities</w:t>
      </w:r>
      <w:r>
        <w:rPr>
          <w:spacing w:val="15"/>
        </w:rPr>
        <w:t> </w:t>
      </w:r>
      <w:r>
        <w:rPr/>
        <w:t>to</w:t>
      </w:r>
      <w:r>
        <w:rPr>
          <w:spacing w:val="19"/>
        </w:rPr>
        <w:t> </w:t>
      </w:r>
      <w:r>
        <w:rPr/>
        <w:t>be</w:t>
      </w:r>
      <w:r>
        <w:rPr>
          <w:spacing w:val="18"/>
        </w:rPr>
        <w:t> </w:t>
      </w:r>
      <w:r>
        <w:rPr/>
        <w:t>high</w:t>
      </w:r>
      <w:r>
        <w:rPr>
          <w:spacing w:val="17"/>
        </w:rPr>
        <w:t> </w:t>
      </w:r>
      <w:r>
        <w:rPr/>
        <w:t>while</w:t>
      </w:r>
      <w:r>
        <w:rPr>
          <w:spacing w:val="18"/>
        </w:rPr>
        <w:t> </w:t>
      </w:r>
      <w:r>
        <w:rPr/>
        <w:t>GRA</w:t>
      </w:r>
      <w:r>
        <w:rPr>
          <w:spacing w:val="18"/>
        </w:rPr>
        <w:t> </w:t>
      </w:r>
      <w:r>
        <w:rPr/>
        <w:t>had</w:t>
      </w:r>
      <w:r>
        <w:rPr>
          <w:spacing w:val="17"/>
        </w:rPr>
        <w:t> </w:t>
      </w:r>
      <w:r>
        <w:rPr/>
        <w:t>medium</w:t>
      </w:r>
      <w:r>
        <w:rPr>
          <w:spacing w:val="19"/>
        </w:rPr>
        <w:t> </w:t>
      </w:r>
      <w:r>
        <w:rPr/>
        <w:t>residential</w:t>
      </w:r>
      <w:r>
        <w:rPr>
          <w:spacing w:val="19"/>
        </w:rPr>
        <w:t> </w:t>
      </w:r>
      <w:r>
        <w:rPr/>
        <w:t>density</w:t>
      </w:r>
      <w:r>
        <w:rPr>
          <w:spacing w:val="13"/>
        </w:rPr>
        <w:t> </w:t>
      </w:r>
      <w:r>
        <w:rPr/>
        <w:t>and</w:t>
      </w:r>
      <w:r>
        <w:rPr>
          <w:spacing w:val="18"/>
        </w:rPr>
        <w:t> </w:t>
      </w:r>
      <w:r>
        <w:rPr/>
        <w:t>Eyagi</w:t>
      </w:r>
      <w:r>
        <w:rPr>
          <w:spacing w:val="19"/>
        </w:rPr>
        <w:t> </w:t>
      </w:r>
      <w:r>
        <w:rPr/>
        <w:t>and</w:t>
      </w:r>
      <w:r>
        <w:rPr>
          <w:spacing w:val="18"/>
        </w:rPr>
        <w:t> </w:t>
      </w:r>
      <w:r>
        <w:rPr>
          <w:spacing w:val="-2"/>
        </w:rPr>
        <w:t>Project</w:t>
      </w:r>
    </w:p>
    <w:p>
      <w:pPr>
        <w:spacing w:after="0" w:line="480" w:lineRule="auto"/>
        <w:sectPr>
          <w:pgSz w:w="11910" w:h="16840"/>
          <w:pgMar w:header="0" w:footer="1022" w:top="1320" w:bottom="1220" w:left="1680" w:right="900"/>
        </w:sectPr>
      </w:pPr>
    </w:p>
    <w:p>
      <w:pPr>
        <w:pStyle w:val="BodyText"/>
        <w:spacing w:line="480" w:lineRule="auto" w:before="72"/>
        <w:ind w:left="305" w:right="516"/>
      </w:pPr>
      <w:r>
        <w:rPr/>
        <w:t>Quarters had low residential densities respectively. The study also revealed that all the housing submarkets in the study area are of high residential densities except for Eyagi and Project Quarters who were of low residential densities respectively.</w:t>
      </w:r>
    </w:p>
    <w:p>
      <w:pPr>
        <w:pStyle w:val="BodyText"/>
        <w:spacing w:line="480" w:lineRule="auto" w:before="240"/>
        <w:ind w:left="305" w:right="512"/>
      </w:pPr>
      <w:r>
        <w:rPr/>
        <w:t>The study</w:t>
      </w:r>
      <w:r>
        <w:rPr>
          <w:spacing w:val="-3"/>
        </w:rPr>
        <w:t> </w:t>
      </w:r>
      <w:r>
        <w:rPr/>
        <w:t>shows that in the year 2008, Town housing submarket had highest number of buildings per area coverage with &gt;10 building units/ha. This is followed by Rahmatu Dangana with 5-6 number of building units/ha, Gbazhi and Wadata had 2-4 number of building units/ha each. Findings of the study in this section shows that Town housing submarket has the highest with &gt;10 number of building units/ha in the year 2013. The study</w:t>
      </w:r>
      <w:r>
        <w:rPr>
          <w:spacing w:val="-5"/>
        </w:rPr>
        <w:t> </w:t>
      </w:r>
      <w:r>
        <w:rPr/>
        <w:t>also shows that the Town and Gbazhi housing</w:t>
      </w:r>
      <w:r>
        <w:rPr>
          <w:spacing w:val="-3"/>
        </w:rPr>
        <w:t> </w:t>
      </w:r>
      <w:r>
        <w:rPr/>
        <w:t>submarkets records</w:t>
      </w:r>
      <w:r>
        <w:rPr>
          <w:spacing w:val="-1"/>
        </w:rPr>
        <w:t> </w:t>
      </w:r>
      <w:r>
        <w:rPr/>
        <w:t>highest number of buildings per area coverage with &gt;10 building units/ha each in the year 2018.</w:t>
      </w:r>
    </w:p>
    <w:p>
      <w:pPr>
        <w:pStyle w:val="BodyText"/>
        <w:spacing w:line="480" w:lineRule="auto" w:before="241"/>
        <w:ind w:left="305" w:right="513"/>
      </w:pPr>
      <w:r>
        <w:rPr/>
        <w:t>The result shows spatiotemporal dynamics in residential densities in Bida in the year 2008. The result depicts the urban form in terms of residential density in that year. The structure</w:t>
      </w:r>
      <w:r>
        <w:rPr>
          <w:spacing w:val="-4"/>
        </w:rPr>
        <w:t> </w:t>
      </w:r>
      <w:r>
        <w:rPr/>
        <w:t>of</w:t>
      </w:r>
      <w:r>
        <w:rPr>
          <w:spacing w:val="-2"/>
        </w:rPr>
        <w:t> </w:t>
      </w:r>
      <w:r>
        <w:rPr/>
        <w:t>the</w:t>
      </w:r>
      <w:r>
        <w:rPr>
          <w:spacing w:val="-2"/>
        </w:rPr>
        <w:t> </w:t>
      </w:r>
      <w:r>
        <w:rPr/>
        <w:t>town</w:t>
      </w:r>
      <w:r>
        <w:rPr>
          <w:spacing w:val="-2"/>
        </w:rPr>
        <w:t> </w:t>
      </w:r>
      <w:r>
        <w:rPr/>
        <w:t>shows</w:t>
      </w:r>
      <w:r>
        <w:rPr>
          <w:spacing w:val="-2"/>
        </w:rPr>
        <w:t> </w:t>
      </w:r>
      <w:r>
        <w:rPr/>
        <w:t>that</w:t>
      </w:r>
      <w:r>
        <w:rPr>
          <w:spacing w:val="-2"/>
        </w:rPr>
        <w:t> </w:t>
      </w:r>
      <w:r>
        <w:rPr/>
        <w:t>areas around</w:t>
      </w:r>
      <w:r>
        <w:rPr>
          <w:spacing w:val="-1"/>
        </w:rPr>
        <w:t> </w:t>
      </w:r>
      <w:r>
        <w:rPr/>
        <w:t>the</w:t>
      </w:r>
      <w:r>
        <w:rPr>
          <w:spacing w:val="-1"/>
        </w:rPr>
        <w:t> </w:t>
      </w:r>
      <w:r>
        <w:rPr/>
        <w:t>Central</w:t>
      </w:r>
      <w:r>
        <w:rPr>
          <w:spacing w:val="-2"/>
        </w:rPr>
        <w:t> </w:t>
      </w:r>
      <w:r>
        <w:rPr/>
        <w:t>Business</w:t>
      </w:r>
      <w:r>
        <w:rPr>
          <w:spacing w:val="-2"/>
        </w:rPr>
        <w:t> </w:t>
      </w:r>
      <w:r>
        <w:rPr/>
        <w:t>District (CBD)</w:t>
      </w:r>
      <w:r>
        <w:rPr>
          <w:spacing w:val="-2"/>
        </w:rPr>
        <w:t> </w:t>
      </w:r>
      <w:r>
        <w:rPr/>
        <w:t>are</w:t>
      </w:r>
      <w:r>
        <w:rPr>
          <w:spacing w:val="-4"/>
        </w:rPr>
        <w:t> </w:t>
      </w:r>
      <w:r>
        <w:rPr/>
        <w:t>of high density while locations within the urban fringe tend to have lower residential densities. As urban densification proceeds in an uncontrolled and unstructured manner, the</w:t>
      </w:r>
      <w:r>
        <w:rPr>
          <w:spacing w:val="-4"/>
        </w:rPr>
        <w:t> </w:t>
      </w:r>
      <w:r>
        <w:rPr/>
        <w:t>spatial</w:t>
      </w:r>
      <w:r>
        <w:rPr>
          <w:spacing w:val="-4"/>
        </w:rPr>
        <w:t> </w:t>
      </w:r>
      <w:r>
        <w:rPr/>
        <w:t>pattern</w:t>
      </w:r>
      <w:r>
        <w:rPr>
          <w:spacing w:val="-4"/>
        </w:rPr>
        <w:t> </w:t>
      </w:r>
      <w:r>
        <w:rPr/>
        <w:t>of</w:t>
      </w:r>
      <w:r>
        <w:rPr>
          <w:spacing w:val="-4"/>
        </w:rPr>
        <w:t> </w:t>
      </w:r>
      <w:r>
        <w:rPr/>
        <w:t>urban</w:t>
      </w:r>
      <w:r>
        <w:rPr>
          <w:spacing w:val="-4"/>
        </w:rPr>
        <w:t> </w:t>
      </w:r>
      <w:r>
        <w:rPr/>
        <w:t>residential</w:t>
      </w:r>
      <w:r>
        <w:rPr>
          <w:spacing w:val="-4"/>
        </w:rPr>
        <w:t> </w:t>
      </w:r>
      <w:r>
        <w:rPr/>
        <w:t>densities</w:t>
      </w:r>
      <w:r>
        <w:rPr>
          <w:spacing w:val="-4"/>
        </w:rPr>
        <w:t> </w:t>
      </w:r>
      <w:r>
        <w:rPr/>
        <w:t>increase</w:t>
      </w:r>
      <w:r>
        <w:rPr>
          <w:spacing w:val="-5"/>
        </w:rPr>
        <w:t> </w:t>
      </w:r>
      <w:r>
        <w:rPr/>
        <w:t>in</w:t>
      </w:r>
      <w:r>
        <w:rPr>
          <w:spacing w:val="-4"/>
        </w:rPr>
        <w:t> </w:t>
      </w:r>
      <w:r>
        <w:rPr/>
        <w:t>an</w:t>
      </w:r>
      <w:r>
        <w:rPr>
          <w:spacing w:val="-4"/>
        </w:rPr>
        <w:t> </w:t>
      </w:r>
      <w:r>
        <w:rPr/>
        <w:t>uneven</w:t>
      </w:r>
      <w:r>
        <w:rPr>
          <w:spacing w:val="-4"/>
        </w:rPr>
        <w:t> </w:t>
      </w:r>
      <w:r>
        <w:rPr/>
        <w:t>manner</w:t>
      </w:r>
      <w:r>
        <w:rPr>
          <w:spacing w:val="-4"/>
        </w:rPr>
        <w:t> </w:t>
      </w:r>
      <w:r>
        <w:rPr/>
        <w:t>in</w:t>
      </w:r>
      <w:r>
        <w:rPr>
          <w:spacing w:val="-4"/>
        </w:rPr>
        <w:t> </w:t>
      </w:r>
      <w:r>
        <w:rPr/>
        <w:t>the</w:t>
      </w:r>
      <w:r>
        <w:rPr>
          <w:spacing w:val="-3"/>
        </w:rPr>
        <w:t> </w:t>
      </w:r>
      <w:r>
        <w:rPr/>
        <w:t>year 2013.</w:t>
      </w:r>
      <w:r>
        <w:rPr>
          <w:spacing w:val="-15"/>
        </w:rPr>
        <w:t> </w:t>
      </w:r>
      <w:r>
        <w:rPr/>
        <w:t>The</w:t>
      </w:r>
      <w:r>
        <w:rPr>
          <w:spacing w:val="-15"/>
        </w:rPr>
        <w:t> </w:t>
      </w:r>
      <w:r>
        <w:rPr/>
        <w:t>result</w:t>
      </w:r>
      <w:r>
        <w:rPr>
          <w:spacing w:val="-15"/>
        </w:rPr>
        <w:t> </w:t>
      </w:r>
      <w:r>
        <w:rPr/>
        <w:t>shows</w:t>
      </w:r>
      <w:r>
        <w:rPr>
          <w:spacing w:val="-15"/>
        </w:rPr>
        <w:t> </w:t>
      </w:r>
      <w:r>
        <w:rPr/>
        <w:t>that</w:t>
      </w:r>
      <w:r>
        <w:rPr>
          <w:spacing w:val="-15"/>
        </w:rPr>
        <w:t> </w:t>
      </w:r>
      <w:r>
        <w:rPr/>
        <w:t>residential</w:t>
      </w:r>
      <w:r>
        <w:rPr>
          <w:spacing w:val="-15"/>
        </w:rPr>
        <w:t> </w:t>
      </w:r>
      <w:r>
        <w:rPr/>
        <w:t>density</w:t>
      </w:r>
      <w:r>
        <w:rPr>
          <w:spacing w:val="-15"/>
        </w:rPr>
        <w:t> </w:t>
      </w:r>
      <w:r>
        <w:rPr/>
        <w:t>gradient</w:t>
      </w:r>
      <w:r>
        <w:rPr>
          <w:spacing w:val="-15"/>
        </w:rPr>
        <w:t> </w:t>
      </w:r>
      <w:r>
        <w:rPr/>
        <w:t>increases</w:t>
      </w:r>
      <w:r>
        <w:rPr>
          <w:spacing w:val="-15"/>
        </w:rPr>
        <w:t> </w:t>
      </w:r>
      <w:r>
        <w:rPr/>
        <w:t>towards</w:t>
      </w:r>
      <w:r>
        <w:rPr>
          <w:spacing w:val="-15"/>
        </w:rPr>
        <w:t> </w:t>
      </w:r>
      <w:r>
        <w:rPr/>
        <w:t>the</w:t>
      </w:r>
      <w:r>
        <w:rPr>
          <w:spacing w:val="-15"/>
        </w:rPr>
        <w:t> </w:t>
      </w:r>
      <w:r>
        <w:rPr/>
        <w:t>urban</w:t>
      </w:r>
      <w:r>
        <w:rPr>
          <w:spacing w:val="-15"/>
        </w:rPr>
        <w:t> </w:t>
      </w:r>
      <w:r>
        <w:rPr/>
        <w:t>fringe without decreasing density in the CBD. The study also shows that there was consistent and fast increasing residential density in the study area in the year 2018. Residential density</w:t>
      </w:r>
      <w:r>
        <w:rPr>
          <w:spacing w:val="-17"/>
        </w:rPr>
        <w:t> </w:t>
      </w:r>
      <w:r>
        <w:rPr/>
        <w:t>increases</w:t>
      </w:r>
      <w:r>
        <w:rPr>
          <w:spacing w:val="-11"/>
        </w:rPr>
        <w:t> </w:t>
      </w:r>
      <w:r>
        <w:rPr/>
        <w:t>during</w:t>
      </w:r>
      <w:r>
        <w:rPr>
          <w:spacing w:val="-10"/>
        </w:rPr>
        <w:t> </w:t>
      </w:r>
      <w:r>
        <w:rPr/>
        <w:t>this</w:t>
      </w:r>
      <w:r>
        <w:rPr>
          <w:spacing w:val="-10"/>
        </w:rPr>
        <w:t> </w:t>
      </w:r>
      <w:r>
        <w:rPr/>
        <w:t>period</w:t>
      </w:r>
      <w:r>
        <w:rPr>
          <w:spacing w:val="-10"/>
        </w:rPr>
        <w:t> </w:t>
      </w:r>
      <w:r>
        <w:rPr/>
        <w:t>towards</w:t>
      </w:r>
      <w:r>
        <w:rPr>
          <w:spacing w:val="-11"/>
        </w:rPr>
        <w:t> </w:t>
      </w:r>
      <w:r>
        <w:rPr/>
        <w:t>the</w:t>
      </w:r>
      <w:r>
        <w:rPr>
          <w:spacing w:val="-11"/>
        </w:rPr>
        <w:t> </w:t>
      </w:r>
      <w:r>
        <w:rPr/>
        <w:t>north,</w:t>
      </w:r>
      <w:r>
        <w:rPr>
          <w:spacing w:val="-10"/>
        </w:rPr>
        <w:t> </w:t>
      </w:r>
      <w:r>
        <w:rPr/>
        <w:t>west</w:t>
      </w:r>
      <w:r>
        <w:rPr>
          <w:spacing w:val="-9"/>
        </w:rPr>
        <w:t> </w:t>
      </w:r>
      <w:r>
        <w:rPr/>
        <w:t>and</w:t>
      </w:r>
      <w:r>
        <w:rPr>
          <w:spacing w:val="-10"/>
        </w:rPr>
        <w:t> </w:t>
      </w:r>
      <w:r>
        <w:rPr/>
        <w:t>southern</w:t>
      </w:r>
      <w:r>
        <w:rPr>
          <w:spacing w:val="-11"/>
        </w:rPr>
        <w:t> </w:t>
      </w:r>
      <w:r>
        <w:rPr/>
        <w:t>part</w:t>
      </w:r>
      <w:r>
        <w:rPr>
          <w:spacing w:val="-10"/>
        </w:rPr>
        <w:t> </w:t>
      </w:r>
      <w:r>
        <w:rPr/>
        <w:t>of</w:t>
      </w:r>
      <w:r>
        <w:rPr>
          <w:spacing w:val="-11"/>
        </w:rPr>
        <w:t> </w:t>
      </w:r>
      <w:r>
        <w:rPr/>
        <w:t>the</w:t>
      </w:r>
      <w:r>
        <w:rPr>
          <w:spacing w:val="-11"/>
        </w:rPr>
        <w:t> </w:t>
      </w:r>
      <w:r>
        <w:rPr>
          <w:spacing w:val="-2"/>
        </w:rPr>
        <w:t>town.</w:t>
      </w:r>
    </w:p>
    <w:p>
      <w:pPr>
        <w:pStyle w:val="BodyText"/>
        <w:spacing w:line="480" w:lineRule="auto" w:before="239"/>
        <w:ind w:left="305" w:right="514"/>
      </w:pPr>
      <w:r>
        <w:rPr/>
        <w:t>Findings of this study revealed that there is unique pattern of housing prices across the study</w:t>
      </w:r>
      <w:r>
        <w:rPr>
          <w:spacing w:val="-14"/>
        </w:rPr>
        <w:t> </w:t>
      </w:r>
      <w:r>
        <w:rPr/>
        <w:t>period</w:t>
      </w:r>
      <w:r>
        <w:rPr>
          <w:spacing w:val="-8"/>
        </w:rPr>
        <w:t> </w:t>
      </w:r>
      <w:r>
        <w:rPr/>
        <w:t>in</w:t>
      </w:r>
      <w:r>
        <w:rPr>
          <w:spacing w:val="-7"/>
        </w:rPr>
        <w:t> </w:t>
      </w:r>
      <w:r>
        <w:rPr/>
        <w:t>most</w:t>
      </w:r>
      <w:r>
        <w:rPr>
          <w:spacing w:val="-6"/>
        </w:rPr>
        <w:t> </w:t>
      </w:r>
      <w:r>
        <w:rPr/>
        <w:t>part</w:t>
      </w:r>
      <w:r>
        <w:rPr>
          <w:spacing w:val="-10"/>
        </w:rPr>
        <w:t> </w:t>
      </w:r>
      <w:r>
        <w:rPr/>
        <w:t>of</w:t>
      </w:r>
      <w:r>
        <w:rPr>
          <w:spacing w:val="-8"/>
        </w:rPr>
        <w:t> </w:t>
      </w:r>
      <w:r>
        <w:rPr/>
        <w:t>the</w:t>
      </w:r>
      <w:r>
        <w:rPr>
          <w:spacing w:val="-8"/>
        </w:rPr>
        <w:t> </w:t>
      </w:r>
      <w:r>
        <w:rPr/>
        <w:t>town.</w:t>
      </w:r>
      <w:r>
        <w:rPr>
          <w:spacing w:val="-7"/>
        </w:rPr>
        <w:t> </w:t>
      </w:r>
      <w:r>
        <w:rPr/>
        <w:t>The</w:t>
      </w:r>
      <w:r>
        <w:rPr>
          <w:spacing w:val="-8"/>
        </w:rPr>
        <w:t> </w:t>
      </w:r>
      <w:r>
        <w:rPr/>
        <w:t>city</w:t>
      </w:r>
      <w:r>
        <w:rPr>
          <w:spacing w:val="-10"/>
        </w:rPr>
        <w:t> </w:t>
      </w:r>
      <w:r>
        <w:rPr/>
        <w:t>centre</w:t>
      </w:r>
      <w:r>
        <w:rPr>
          <w:spacing w:val="-9"/>
        </w:rPr>
        <w:t> </w:t>
      </w:r>
      <w:r>
        <w:rPr/>
        <w:t>which</w:t>
      </w:r>
      <w:r>
        <w:rPr>
          <w:spacing w:val="-7"/>
        </w:rPr>
        <w:t> </w:t>
      </w:r>
      <w:r>
        <w:rPr/>
        <w:t>is</w:t>
      </w:r>
      <w:r>
        <w:rPr>
          <w:spacing w:val="-7"/>
        </w:rPr>
        <w:t> </w:t>
      </w:r>
      <w:r>
        <w:rPr/>
        <w:t>referred</w:t>
      </w:r>
      <w:r>
        <w:rPr>
          <w:spacing w:val="-7"/>
        </w:rPr>
        <w:t> </w:t>
      </w:r>
      <w:r>
        <w:rPr/>
        <w:t>to</w:t>
      </w:r>
      <w:r>
        <w:rPr>
          <w:spacing w:val="-7"/>
        </w:rPr>
        <w:t> </w:t>
      </w:r>
      <w:r>
        <w:rPr/>
        <w:t>the</w:t>
      </w:r>
      <w:r>
        <w:rPr>
          <w:spacing w:val="-8"/>
        </w:rPr>
        <w:t> </w:t>
      </w:r>
      <w:r>
        <w:rPr/>
        <w:t>CBD</w:t>
      </w:r>
      <w:r>
        <w:rPr>
          <w:spacing w:val="-8"/>
        </w:rPr>
        <w:t> </w:t>
      </w:r>
      <w:r>
        <w:rPr/>
        <w:t>in</w:t>
      </w:r>
      <w:r>
        <w:rPr>
          <w:spacing w:val="-7"/>
        </w:rPr>
        <w:t> </w:t>
      </w:r>
      <w:r>
        <w:rPr/>
        <w:t>this study has the lowest rental value through the study period. The study also shows the differences</w:t>
      </w:r>
      <w:r>
        <w:rPr>
          <w:spacing w:val="25"/>
        </w:rPr>
        <w:t> </w:t>
      </w:r>
      <w:r>
        <w:rPr/>
        <w:t>in</w:t>
      </w:r>
      <w:r>
        <w:rPr>
          <w:spacing w:val="26"/>
        </w:rPr>
        <w:t> </w:t>
      </w:r>
      <w:r>
        <w:rPr/>
        <w:t>rental</w:t>
      </w:r>
      <w:r>
        <w:rPr>
          <w:spacing w:val="25"/>
        </w:rPr>
        <w:t> </w:t>
      </w:r>
      <w:r>
        <w:rPr/>
        <w:t>value</w:t>
      </w:r>
      <w:r>
        <w:rPr>
          <w:spacing w:val="25"/>
        </w:rPr>
        <w:t> </w:t>
      </w:r>
      <w:r>
        <w:rPr/>
        <w:t>of</w:t>
      </w:r>
      <w:r>
        <w:rPr>
          <w:spacing w:val="26"/>
        </w:rPr>
        <w:t> </w:t>
      </w:r>
      <w:r>
        <w:rPr/>
        <w:t>apartments</w:t>
      </w:r>
      <w:r>
        <w:rPr>
          <w:spacing w:val="26"/>
        </w:rPr>
        <w:t> </w:t>
      </w:r>
      <w:r>
        <w:rPr/>
        <w:t>between</w:t>
      </w:r>
      <w:r>
        <w:rPr>
          <w:spacing w:val="25"/>
        </w:rPr>
        <w:t> </w:t>
      </w:r>
      <w:r>
        <w:rPr/>
        <w:t>the</w:t>
      </w:r>
      <w:r>
        <w:rPr>
          <w:spacing w:val="25"/>
        </w:rPr>
        <w:t> </w:t>
      </w:r>
      <w:r>
        <w:rPr/>
        <w:t>CBD</w:t>
      </w:r>
      <w:r>
        <w:rPr>
          <w:spacing w:val="24"/>
        </w:rPr>
        <w:t> </w:t>
      </w:r>
      <w:r>
        <w:rPr/>
        <w:t>and</w:t>
      </w:r>
      <w:r>
        <w:rPr>
          <w:spacing w:val="28"/>
        </w:rPr>
        <w:t> </w:t>
      </w:r>
      <w:r>
        <w:rPr/>
        <w:t>other</w:t>
      </w:r>
      <w:r>
        <w:rPr>
          <w:spacing w:val="27"/>
        </w:rPr>
        <w:t> </w:t>
      </w:r>
      <w:r>
        <w:rPr>
          <w:spacing w:val="-2"/>
        </w:rPr>
        <w:t>neighbourhoods</w:t>
      </w:r>
    </w:p>
    <w:p>
      <w:pPr>
        <w:spacing w:after="0" w:line="480" w:lineRule="auto"/>
        <w:sectPr>
          <w:pgSz w:w="11910" w:h="16840"/>
          <w:pgMar w:header="0" w:footer="1022" w:top="1320" w:bottom="1220" w:left="1680" w:right="900"/>
        </w:sectPr>
      </w:pPr>
    </w:p>
    <w:p>
      <w:pPr>
        <w:pStyle w:val="BodyText"/>
        <w:spacing w:line="480" w:lineRule="auto" w:before="72"/>
        <w:ind w:left="305"/>
        <w:jc w:val="left"/>
      </w:pPr>
      <w:r>
        <w:rPr/>
        <w:t>which</w:t>
      </w:r>
      <w:r>
        <w:rPr>
          <w:spacing w:val="40"/>
        </w:rPr>
        <w:t> </w:t>
      </w:r>
      <w:r>
        <w:rPr/>
        <w:t>continue</w:t>
      </w:r>
      <w:r>
        <w:rPr>
          <w:spacing w:val="40"/>
        </w:rPr>
        <w:t> </w:t>
      </w:r>
      <w:r>
        <w:rPr/>
        <w:t>to</w:t>
      </w:r>
      <w:r>
        <w:rPr>
          <w:spacing w:val="40"/>
        </w:rPr>
        <w:t> </w:t>
      </w:r>
      <w:r>
        <w:rPr/>
        <w:t>widen.</w:t>
      </w:r>
      <w:r>
        <w:rPr>
          <w:spacing w:val="40"/>
        </w:rPr>
        <w:t> </w:t>
      </w:r>
      <w:r>
        <w:rPr/>
        <w:t>For</w:t>
      </w:r>
      <w:r>
        <w:rPr>
          <w:spacing w:val="40"/>
        </w:rPr>
        <w:t> </w:t>
      </w:r>
      <w:r>
        <w:rPr/>
        <w:t>example,</w:t>
      </w:r>
      <w:r>
        <w:rPr>
          <w:spacing w:val="40"/>
        </w:rPr>
        <w:t> </w:t>
      </w:r>
      <w:r>
        <w:rPr/>
        <w:t>One</w:t>
      </w:r>
      <w:r>
        <w:rPr>
          <w:spacing w:val="40"/>
        </w:rPr>
        <w:t> </w:t>
      </w:r>
      <w:r>
        <w:rPr/>
        <w:t>bedroom</w:t>
      </w:r>
      <w:r>
        <w:rPr>
          <w:spacing w:val="40"/>
        </w:rPr>
        <w:t> </w:t>
      </w:r>
      <w:r>
        <w:rPr/>
        <w:t>apartments,</w:t>
      </w:r>
      <w:r>
        <w:rPr>
          <w:spacing w:val="40"/>
        </w:rPr>
        <w:t> </w:t>
      </w:r>
      <w:r>
        <w:rPr/>
        <w:t>in</w:t>
      </w:r>
      <w:r>
        <w:rPr>
          <w:spacing w:val="40"/>
        </w:rPr>
        <w:t> </w:t>
      </w:r>
      <w:r>
        <w:rPr/>
        <w:t>the</w:t>
      </w:r>
      <w:r>
        <w:rPr>
          <w:spacing w:val="40"/>
        </w:rPr>
        <w:t> </w:t>
      </w:r>
      <w:r>
        <w:rPr/>
        <w:t>year</w:t>
      </w:r>
      <w:r>
        <w:rPr>
          <w:spacing w:val="40"/>
        </w:rPr>
        <w:t> </w:t>
      </w:r>
      <w:r>
        <w:rPr/>
        <w:t>2008 commands</w:t>
      </w:r>
      <w:r>
        <w:rPr>
          <w:spacing w:val="11"/>
        </w:rPr>
        <w:t> </w:t>
      </w:r>
      <w:r>
        <w:rPr/>
        <w:t>rental</w:t>
      </w:r>
      <w:r>
        <w:rPr>
          <w:spacing w:val="14"/>
        </w:rPr>
        <w:t> </w:t>
      </w:r>
      <w:r>
        <w:rPr/>
        <w:t>value</w:t>
      </w:r>
      <w:r>
        <w:rPr>
          <w:spacing w:val="12"/>
        </w:rPr>
        <w:t> </w:t>
      </w:r>
      <w:r>
        <w:rPr/>
        <w:t>of</w:t>
      </w:r>
      <w:r>
        <w:rPr>
          <w:spacing w:val="13"/>
        </w:rPr>
        <w:t> </w:t>
      </w:r>
      <w:r>
        <w:rPr/>
        <w:t>around</w:t>
      </w:r>
      <w:r>
        <w:rPr>
          <w:spacing w:val="15"/>
        </w:rPr>
        <w:t> </w:t>
      </w:r>
      <w:r>
        <w:rPr>
          <w:dstrike/>
        </w:rPr>
        <w:t>N</w:t>
      </w:r>
      <w:r>
        <w:rPr>
          <w:strike w:val="0"/>
        </w:rPr>
        <w:t>70,000</w:t>
      </w:r>
      <w:r>
        <w:rPr>
          <w:strike w:val="0"/>
          <w:spacing w:val="14"/>
        </w:rPr>
        <w:t> </w:t>
      </w:r>
      <w:r>
        <w:rPr>
          <w:strike w:val="0"/>
        </w:rPr>
        <w:t>in</w:t>
      </w:r>
      <w:r>
        <w:rPr>
          <w:strike w:val="0"/>
          <w:spacing w:val="13"/>
        </w:rPr>
        <w:t> </w:t>
      </w:r>
      <w:r>
        <w:rPr>
          <w:strike w:val="0"/>
        </w:rPr>
        <w:t>GRA</w:t>
      </w:r>
      <w:r>
        <w:rPr>
          <w:strike w:val="0"/>
          <w:spacing w:val="13"/>
        </w:rPr>
        <w:t> </w:t>
      </w:r>
      <w:r>
        <w:rPr>
          <w:strike w:val="0"/>
        </w:rPr>
        <w:t>area</w:t>
      </w:r>
      <w:r>
        <w:rPr>
          <w:strike w:val="0"/>
          <w:spacing w:val="12"/>
        </w:rPr>
        <w:t> </w:t>
      </w:r>
      <w:r>
        <w:rPr>
          <w:strike w:val="0"/>
        </w:rPr>
        <w:t>and</w:t>
      </w:r>
      <w:r>
        <w:rPr>
          <w:strike w:val="0"/>
          <w:spacing w:val="14"/>
        </w:rPr>
        <w:t> </w:t>
      </w:r>
      <w:r>
        <w:rPr>
          <w:strike w:val="0"/>
        </w:rPr>
        <w:t>in</w:t>
      </w:r>
      <w:r>
        <w:rPr>
          <w:strike w:val="0"/>
          <w:spacing w:val="13"/>
        </w:rPr>
        <w:t> </w:t>
      </w:r>
      <w:r>
        <w:rPr>
          <w:strike w:val="0"/>
        </w:rPr>
        <w:t>the</w:t>
      </w:r>
      <w:r>
        <w:rPr>
          <w:strike w:val="0"/>
          <w:spacing w:val="13"/>
        </w:rPr>
        <w:t> </w:t>
      </w:r>
      <w:r>
        <w:rPr>
          <w:strike w:val="0"/>
        </w:rPr>
        <w:t>CBD</w:t>
      </w:r>
      <w:r>
        <w:rPr>
          <w:strike w:val="0"/>
          <w:spacing w:val="12"/>
        </w:rPr>
        <w:t> </w:t>
      </w:r>
      <w:r>
        <w:rPr>
          <w:strike w:val="0"/>
        </w:rPr>
        <w:t>it</w:t>
      </w:r>
      <w:r>
        <w:rPr>
          <w:strike w:val="0"/>
          <w:spacing w:val="14"/>
        </w:rPr>
        <w:t> </w:t>
      </w:r>
      <w:r>
        <w:rPr>
          <w:strike w:val="0"/>
        </w:rPr>
        <w:t>was</w:t>
      </w:r>
      <w:r>
        <w:rPr>
          <w:strike w:val="0"/>
          <w:spacing w:val="14"/>
        </w:rPr>
        <w:t> </w:t>
      </w:r>
      <w:r>
        <w:rPr>
          <w:strike w:val="0"/>
          <w:spacing w:val="-2"/>
        </w:rPr>
        <w:t>around</w:t>
      </w:r>
    </w:p>
    <w:p>
      <w:pPr>
        <w:pStyle w:val="BodyText"/>
        <w:ind w:left="305"/>
        <w:jc w:val="left"/>
      </w:pPr>
      <w:r>
        <w:rPr>
          <w:dstrike/>
        </w:rPr>
        <w:t>N</w:t>
      </w:r>
      <w:r>
        <w:rPr>
          <w:strike w:val="0"/>
        </w:rPr>
        <w:t>15,000</w:t>
      </w:r>
      <w:r>
        <w:rPr>
          <w:strike w:val="0"/>
          <w:spacing w:val="6"/>
        </w:rPr>
        <w:t> </w:t>
      </w:r>
      <w:r>
        <w:rPr>
          <w:strike w:val="0"/>
        </w:rPr>
        <w:t>to</w:t>
      </w:r>
      <w:r>
        <w:rPr>
          <w:strike w:val="0"/>
          <w:spacing w:val="10"/>
        </w:rPr>
        <w:t> </w:t>
      </w:r>
      <w:r>
        <w:rPr>
          <w:dstrike/>
        </w:rPr>
        <w:t>N</w:t>
      </w:r>
      <w:r>
        <w:rPr>
          <w:strike w:val="0"/>
        </w:rPr>
        <w:t>20,000.</w:t>
      </w:r>
      <w:r>
        <w:rPr>
          <w:strike w:val="0"/>
          <w:spacing w:val="8"/>
        </w:rPr>
        <w:t> </w:t>
      </w:r>
      <w:r>
        <w:rPr>
          <w:strike w:val="0"/>
        </w:rPr>
        <w:t>Ten</w:t>
      </w:r>
      <w:r>
        <w:rPr>
          <w:strike w:val="0"/>
          <w:spacing w:val="10"/>
        </w:rPr>
        <w:t> </w:t>
      </w:r>
      <w:r>
        <w:rPr>
          <w:strike w:val="0"/>
        </w:rPr>
        <w:t>years</w:t>
      </w:r>
      <w:r>
        <w:rPr>
          <w:strike w:val="0"/>
          <w:spacing w:val="8"/>
        </w:rPr>
        <w:t> </w:t>
      </w:r>
      <w:r>
        <w:rPr>
          <w:strike w:val="0"/>
        </w:rPr>
        <w:t>later,</w:t>
      </w:r>
      <w:r>
        <w:rPr>
          <w:strike w:val="0"/>
          <w:spacing w:val="10"/>
        </w:rPr>
        <w:t> </w:t>
      </w:r>
      <w:r>
        <w:rPr>
          <w:strike w:val="0"/>
        </w:rPr>
        <w:t>rental</w:t>
      </w:r>
      <w:r>
        <w:rPr>
          <w:strike w:val="0"/>
          <w:spacing w:val="9"/>
        </w:rPr>
        <w:t> </w:t>
      </w:r>
      <w:r>
        <w:rPr>
          <w:strike w:val="0"/>
        </w:rPr>
        <w:t>value</w:t>
      </w:r>
      <w:r>
        <w:rPr>
          <w:strike w:val="0"/>
          <w:spacing w:val="7"/>
        </w:rPr>
        <w:t> </w:t>
      </w:r>
      <w:r>
        <w:rPr>
          <w:strike w:val="0"/>
        </w:rPr>
        <w:t>for</w:t>
      </w:r>
      <w:r>
        <w:rPr>
          <w:strike w:val="0"/>
          <w:spacing w:val="7"/>
        </w:rPr>
        <w:t> </w:t>
      </w:r>
      <w:r>
        <w:rPr>
          <w:strike w:val="0"/>
        </w:rPr>
        <w:t>one</w:t>
      </w:r>
      <w:r>
        <w:rPr>
          <w:strike w:val="0"/>
          <w:spacing w:val="8"/>
        </w:rPr>
        <w:t> </w:t>
      </w:r>
      <w:r>
        <w:rPr>
          <w:strike w:val="0"/>
        </w:rPr>
        <w:t>bedroom</w:t>
      </w:r>
      <w:r>
        <w:rPr>
          <w:strike w:val="0"/>
          <w:spacing w:val="8"/>
        </w:rPr>
        <w:t> </w:t>
      </w:r>
      <w:r>
        <w:rPr>
          <w:strike w:val="0"/>
        </w:rPr>
        <w:t>apartment</w:t>
      </w:r>
      <w:r>
        <w:rPr>
          <w:strike w:val="0"/>
          <w:spacing w:val="9"/>
        </w:rPr>
        <w:t> </w:t>
      </w:r>
      <w:r>
        <w:rPr>
          <w:strike w:val="0"/>
          <w:spacing w:val="-2"/>
        </w:rPr>
        <w:t>increases</w:t>
      </w:r>
    </w:p>
    <w:p>
      <w:pPr>
        <w:pStyle w:val="BodyText"/>
        <w:jc w:val="left"/>
      </w:pPr>
    </w:p>
    <w:p>
      <w:pPr>
        <w:pStyle w:val="BodyText"/>
        <w:ind w:left="305"/>
        <w:jc w:val="left"/>
      </w:pPr>
      <w:r>
        <w:rPr/>
        <w:t>to</w:t>
      </w:r>
      <w:r>
        <w:rPr>
          <w:spacing w:val="-1"/>
        </w:rPr>
        <w:t> </w:t>
      </w:r>
      <w:r>
        <w:rPr/>
        <w:t>around </w:t>
      </w:r>
      <w:r>
        <w:rPr>
          <w:dstrike/>
        </w:rPr>
        <w:t>N</w:t>
      </w:r>
      <w:r>
        <w:rPr>
          <w:strike w:val="0"/>
        </w:rPr>
        <w:t>120,000</w:t>
      </w:r>
      <w:r>
        <w:rPr>
          <w:strike w:val="0"/>
          <w:spacing w:val="-1"/>
        </w:rPr>
        <w:t> </w:t>
      </w:r>
      <w:r>
        <w:rPr>
          <w:strike w:val="0"/>
        </w:rPr>
        <w:t>in GRA</w:t>
      </w:r>
      <w:r>
        <w:rPr>
          <w:strike w:val="0"/>
          <w:spacing w:val="-1"/>
        </w:rPr>
        <w:t> </w:t>
      </w:r>
      <w:r>
        <w:rPr>
          <w:strike w:val="0"/>
        </w:rPr>
        <w:t>area</w:t>
      </w:r>
      <w:r>
        <w:rPr>
          <w:strike w:val="0"/>
          <w:spacing w:val="1"/>
        </w:rPr>
        <w:t> </w:t>
      </w:r>
      <w:r>
        <w:rPr>
          <w:strike w:val="0"/>
        </w:rPr>
        <w:t>and </w:t>
      </w:r>
      <w:r>
        <w:rPr>
          <w:dstrike/>
        </w:rPr>
        <w:t>N</w:t>
      </w:r>
      <w:r>
        <w:rPr>
          <w:strike w:val="0"/>
        </w:rPr>
        <w:t>28,000 around</w:t>
      </w:r>
      <w:r>
        <w:rPr>
          <w:strike w:val="0"/>
          <w:spacing w:val="-1"/>
        </w:rPr>
        <w:t> </w:t>
      </w:r>
      <w:r>
        <w:rPr>
          <w:strike w:val="0"/>
        </w:rPr>
        <w:t>the </w:t>
      </w:r>
      <w:r>
        <w:rPr>
          <w:strike w:val="0"/>
          <w:spacing w:val="-4"/>
        </w:rPr>
        <w:t>CBD.</w:t>
      </w:r>
    </w:p>
    <w:p>
      <w:pPr>
        <w:pStyle w:val="BodyText"/>
        <w:spacing w:before="240"/>
        <w:jc w:val="left"/>
      </w:pPr>
    </w:p>
    <w:p>
      <w:pPr>
        <w:pStyle w:val="BodyText"/>
        <w:spacing w:line="480" w:lineRule="auto"/>
        <w:ind w:left="305" w:right="515"/>
      </w:pPr>
      <w:r>
        <w:rPr/>
        <w:t>The</w:t>
      </w:r>
      <w:r>
        <w:rPr>
          <w:spacing w:val="-15"/>
        </w:rPr>
        <w:t> </w:t>
      </w:r>
      <w:r>
        <w:rPr/>
        <w:t>outcome</w:t>
      </w:r>
      <w:r>
        <w:rPr>
          <w:spacing w:val="-13"/>
        </w:rPr>
        <w:t> </w:t>
      </w:r>
      <w:r>
        <w:rPr/>
        <w:t>of</w:t>
      </w:r>
      <w:r>
        <w:rPr>
          <w:spacing w:val="-13"/>
        </w:rPr>
        <w:t> </w:t>
      </w:r>
      <w:r>
        <w:rPr/>
        <w:t>the</w:t>
      </w:r>
      <w:r>
        <w:rPr>
          <w:spacing w:val="-12"/>
        </w:rPr>
        <w:t> </w:t>
      </w:r>
      <w:r>
        <w:rPr/>
        <w:t>ANN</w:t>
      </w:r>
      <w:r>
        <w:rPr>
          <w:spacing w:val="-11"/>
        </w:rPr>
        <w:t> </w:t>
      </w:r>
      <w:r>
        <w:rPr/>
        <w:t>and</w:t>
      </w:r>
      <w:r>
        <w:rPr>
          <w:spacing w:val="-12"/>
        </w:rPr>
        <w:t> </w:t>
      </w:r>
      <w:r>
        <w:rPr/>
        <w:t>raster</w:t>
      </w:r>
      <w:r>
        <w:rPr>
          <w:spacing w:val="-13"/>
        </w:rPr>
        <w:t> </w:t>
      </w:r>
      <w:r>
        <w:rPr/>
        <w:t>model</w:t>
      </w:r>
      <w:r>
        <w:rPr>
          <w:spacing w:val="-12"/>
        </w:rPr>
        <w:t> </w:t>
      </w:r>
      <w:r>
        <w:rPr/>
        <w:t>shows</w:t>
      </w:r>
      <w:r>
        <w:rPr>
          <w:spacing w:val="-12"/>
        </w:rPr>
        <w:t> </w:t>
      </w:r>
      <w:r>
        <w:rPr/>
        <w:t>that</w:t>
      </w:r>
      <w:r>
        <w:rPr>
          <w:spacing w:val="-12"/>
        </w:rPr>
        <w:t> </w:t>
      </w:r>
      <w:r>
        <w:rPr/>
        <w:t>residential</w:t>
      </w:r>
      <w:r>
        <w:rPr>
          <w:spacing w:val="-12"/>
        </w:rPr>
        <w:t> </w:t>
      </w:r>
      <w:r>
        <w:rPr/>
        <w:t>density</w:t>
      </w:r>
      <w:r>
        <w:rPr>
          <w:spacing w:val="-15"/>
        </w:rPr>
        <w:t> </w:t>
      </w:r>
      <w:r>
        <w:rPr/>
        <w:t>of</w:t>
      </w:r>
      <w:r>
        <w:rPr>
          <w:spacing w:val="-13"/>
        </w:rPr>
        <w:t> </w:t>
      </w:r>
      <w:r>
        <w:rPr/>
        <w:t>the</w:t>
      </w:r>
      <w:r>
        <w:rPr>
          <w:spacing w:val="-13"/>
        </w:rPr>
        <w:t> </w:t>
      </w:r>
      <w:r>
        <w:rPr/>
        <w:t>study</w:t>
      </w:r>
      <w:r>
        <w:rPr>
          <w:spacing w:val="-15"/>
        </w:rPr>
        <w:t> </w:t>
      </w:r>
      <w:r>
        <w:rPr/>
        <w:t>area shall continue</w:t>
      </w:r>
      <w:r>
        <w:rPr>
          <w:spacing w:val="-1"/>
        </w:rPr>
        <w:t> </w:t>
      </w:r>
      <w:r>
        <w:rPr/>
        <w:t>increasing in the nearest future (year</w:t>
      </w:r>
      <w:r>
        <w:rPr>
          <w:spacing w:val="-1"/>
        </w:rPr>
        <w:t> </w:t>
      </w:r>
      <w:r>
        <w:rPr/>
        <w:t>2033) and shall not deviate</w:t>
      </w:r>
      <w:r>
        <w:rPr>
          <w:spacing w:val="-1"/>
        </w:rPr>
        <w:t> </w:t>
      </w:r>
      <w:r>
        <w:rPr/>
        <w:t>from the Alonso’s monocentric model. Also that rental prices of one bedroom, two bedroom and 3</w:t>
      </w:r>
      <w:r>
        <w:rPr>
          <w:spacing w:val="-1"/>
        </w:rPr>
        <w:t> </w:t>
      </w:r>
      <w:r>
        <w:rPr/>
        <w:t>bedroom apartments will</w:t>
      </w:r>
      <w:r>
        <w:rPr>
          <w:spacing w:val="-1"/>
        </w:rPr>
        <w:t> </w:t>
      </w:r>
      <w:r>
        <w:rPr/>
        <w:t>maintain the pattern of</w:t>
      </w:r>
      <w:r>
        <w:rPr>
          <w:spacing w:val="-2"/>
        </w:rPr>
        <w:t> </w:t>
      </w:r>
      <w:r>
        <w:rPr/>
        <w:t>rents recorded between years 2008 to 2018 into the year 2033.</w:t>
      </w:r>
    </w:p>
    <w:p>
      <w:pPr>
        <w:spacing w:after="0" w:line="480" w:lineRule="auto"/>
        <w:sectPr>
          <w:pgSz w:w="11910" w:h="16840"/>
          <w:pgMar w:header="0" w:footer="1022" w:top="1320" w:bottom="1220" w:left="1680" w:right="900"/>
        </w:sectPr>
      </w:pPr>
    </w:p>
    <w:p>
      <w:pPr>
        <w:spacing w:before="76"/>
        <w:ind w:left="292" w:right="505" w:firstLine="0"/>
        <w:jc w:val="center"/>
        <w:rPr>
          <w:b/>
          <w:sz w:val="24"/>
        </w:rPr>
      </w:pPr>
      <w:r>
        <w:rPr>
          <w:b/>
          <w:sz w:val="24"/>
        </w:rPr>
        <w:t>CHAPTER</w:t>
      </w:r>
      <w:r>
        <w:rPr>
          <w:b/>
          <w:spacing w:val="-5"/>
          <w:sz w:val="24"/>
        </w:rPr>
        <w:t> </w:t>
      </w:r>
      <w:r>
        <w:rPr>
          <w:b/>
          <w:spacing w:val="-4"/>
          <w:sz w:val="24"/>
        </w:rPr>
        <w:t>FIVE</w:t>
      </w:r>
    </w:p>
    <w:p>
      <w:pPr>
        <w:pStyle w:val="BodyText"/>
        <w:spacing w:before="241"/>
        <w:jc w:val="left"/>
        <w:rPr>
          <w:b/>
        </w:rPr>
      </w:pPr>
    </w:p>
    <w:p>
      <w:pPr>
        <w:pStyle w:val="ListParagraph"/>
        <w:numPr>
          <w:ilvl w:val="1"/>
          <w:numId w:val="17"/>
        </w:numPr>
        <w:tabs>
          <w:tab w:pos="1865" w:val="left" w:leader="none"/>
        </w:tabs>
        <w:spacing w:line="240" w:lineRule="auto" w:before="0" w:after="0"/>
        <w:ind w:left="1865" w:right="0" w:hanging="1560"/>
        <w:jc w:val="both"/>
        <w:rPr>
          <w:b/>
          <w:sz w:val="24"/>
        </w:rPr>
      </w:pPr>
      <w:r>
        <w:rPr>
          <w:b/>
          <w:sz w:val="24"/>
        </w:rPr>
        <w:t>CONCLUSION</w:t>
      </w:r>
      <w:r>
        <w:rPr>
          <w:b/>
          <w:spacing w:val="-1"/>
          <w:sz w:val="24"/>
        </w:rPr>
        <w:t> </w:t>
      </w:r>
      <w:r>
        <w:rPr>
          <w:b/>
          <w:sz w:val="24"/>
        </w:rPr>
        <w:t>AND </w:t>
      </w:r>
      <w:r>
        <w:rPr>
          <w:b/>
          <w:spacing w:val="-2"/>
          <w:sz w:val="24"/>
        </w:rPr>
        <w:t>RECOMMENDATIONS</w:t>
      </w:r>
    </w:p>
    <w:p>
      <w:pPr>
        <w:pStyle w:val="BodyText"/>
        <w:spacing w:before="242"/>
        <w:jc w:val="left"/>
        <w:rPr>
          <w:b/>
        </w:rPr>
      </w:pPr>
    </w:p>
    <w:p>
      <w:pPr>
        <w:pStyle w:val="Heading1"/>
        <w:numPr>
          <w:ilvl w:val="1"/>
          <w:numId w:val="17"/>
        </w:numPr>
        <w:tabs>
          <w:tab w:pos="1024" w:val="left" w:leader="none"/>
        </w:tabs>
        <w:spacing w:line="240" w:lineRule="auto" w:before="0" w:after="0"/>
        <w:ind w:left="1024" w:right="0" w:hanging="719"/>
        <w:jc w:val="both"/>
      </w:pPr>
      <w:r>
        <w:rPr>
          <w:spacing w:val="-2"/>
        </w:rPr>
        <w:t>Conclusion</w:t>
      </w:r>
    </w:p>
    <w:p>
      <w:pPr>
        <w:pStyle w:val="BodyText"/>
        <w:spacing w:before="233"/>
        <w:jc w:val="left"/>
        <w:rPr>
          <w:b/>
        </w:rPr>
      </w:pPr>
    </w:p>
    <w:p>
      <w:pPr>
        <w:pStyle w:val="BodyText"/>
        <w:spacing w:line="480" w:lineRule="auto"/>
        <w:ind w:left="305" w:right="515"/>
      </w:pPr>
      <w:r>
        <w:rPr/>
        <w:t>From the study, the residential densities increase along the urban core areas moving outward to the urban fringe was observed which is in line with urban economic theory, though</w:t>
      </w:r>
      <w:r>
        <w:rPr>
          <w:spacing w:val="-4"/>
        </w:rPr>
        <w:t> </w:t>
      </w:r>
      <w:r>
        <w:rPr/>
        <w:t>restrictive</w:t>
      </w:r>
      <w:r>
        <w:rPr>
          <w:spacing w:val="-3"/>
        </w:rPr>
        <w:t> </w:t>
      </w:r>
      <w:r>
        <w:rPr/>
        <w:t>spatial</w:t>
      </w:r>
      <w:r>
        <w:rPr>
          <w:spacing w:val="-1"/>
        </w:rPr>
        <w:t> </w:t>
      </w:r>
      <w:r>
        <w:rPr/>
        <w:t>planning</w:t>
      </w:r>
      <w:r>
        <w:rPr>
          <w:spacing w:val="-5"/>
        </w:rPr>
        <w:t> </w:t>
      </w:r>
      <w:r>
        <w:rPr/>
        <w:t>is</w:t>
      </w:r>
      <w:r>
        <w:rPr>
          <w:spacing w:val="-3"/>
        </w:rPr>
        <w:t> </w:t>
      </w:r>
      <w:r>
        <w:rPr/>
        <w:t>not</w:t>
      </w:r>
      <w:r>
        <w:rPr>
          <w:spacing w:val="-3"/>
        </w:rPr>
        <w:t> </w:t>
      </w:r>
      <w:r>
        <w:rPr/>
        <w:t>in</w:t>
      </w:r>
      <w:r>
        <w:rPr>
          <w:spacing w:val="-3"/>
        </w:rPr>
        <w:t> </w:t>
      </w:r>
      <w:r>
        <w:rPr/>
        <w:t>place.</w:t>
      </w:r>
      <w:r>
        <w:rPr>
          <w:spacing w:val="-1"/>
        </w:rPr>
        <w:t> </w:t>
      </w:r>
      <w:r>
        <w:rPr/>
        <w:t>The</w:t>
      </w:r>
      <w:r>
        <w:rPr>
          <w:spacing w:val="-4"/>
        </w:rPr>
        <w:t> </w:t>
      </w:r>
      <w:r>
        <w:rPr/>
        <w:t>study</w:t>
      </w:r>
      <w:r>
        <w:rPr>
          <w:spacing w:val="-5"/>
        </w:rPr>
        <w:t> </w:t>
      </w:r>
      <w:r>
        <w:rPr/>
        <w:t>area</w:t>
      </w:r>
      <w:r>
        <w:rPr>
          <w:spacing w:val="-4"/>
        </w:rPr>
        <w:t> </w:t>
      </w:r>
      <w:r>
        <w:rPr/>
        <w:t>depicted patterns</w:t>
      </w:r>
      <w:r>
        <w:rPr>
          <w:spacing w:val="-3"/>
        </w:rPr>
        <w:t> </w:t>
      </w:r>
      <w:r>
        <w:rPr/>
        <w:t>in</w:t>
      </w:r>
      <w:r>
        <w:rPr>
          <w:spacing w:val="-3"/>
        </w:rPr>
        <w:t> </w:t>
      </w:r>
      <w:r>
        <w:rPr/>
        <w:t>the polycentric urban morphology contrary to urban spatial structure of the monocentric housing market. However, general pattern from the geospatial model of this study demonstrate a unique housing prices for the CBD while a divergence pattern for other areas. This study further demonstrate the benefits associated with the use of GIS technology</w:t>
      </w:r>
      <w:r>
        <w:rPr>
          <w:spacing w:val="-12"/>
        </w:rPr>
        <w:t> </w:t>
      </w:r>
      <w:r>
        <w:rPr/>
        <w:t>in</w:t>
      </w:r>
      <w:r>
        <w:rPr>
          <w:spacing w:val="-7"/>
        </w:rPr>
        <w:t> </w:t>
      </w:r>
      <w:r>
        <w:rPr/>
        <w:t>housing</w:t>
      </w:r>
      <w:r>
        <w:rPr>
          <w:spacing w:val="-10"/>
        </w:rPr>
        <w:t> </w:t>
      </w:r>
      <w:r>
        <w:rPr/>
        <w:t>research</w:t>
      </w:r>
      <w:r>
        <w:rPr>
          <w:spacing w:val="-5"/>
        </w:rPr>
        <w:t> </w:t>
      </w:r>
      <w:r>
        <w:rPr/>
        <w:t>and</w:t>
      </w:r>
      <w:r>
        <w:rPr>
          <w:spacing w:val="-7"/>
        </w:rPr>
        <w:t> </w:t>
      </w:r>
      <w:r>
        <w:rPr/>
        <w:t>the</w:t>
      </w:r>
      <w:r>
        <w:rPr>
          <w:spacing w:val="-8"/>
        </w:rPr>
        <w:t> </w:t>
      </w:r>
      <w:r>
        <w:rPr/>
        <w:t>benefits</w:t>
      </w:r>
      <w:r>
        <w:rPr>
          <w:spacing w:val="-7"/>
        </w:rPr>
        <w:t> </w:t>
      </w:r>
      <w:r>
        <w:rPr/>
        <w:t>obtained</w:t>
      </w:r>
      <w:r>
        <w:rPr>
          <w:spacing w:val="-7"/>
        </w:rPr>
        <w:t> </w:t>
      </w:r>
      <w:r>
        <w:rPr/>
        <w:t>by</w:t>
      </w:r>
      <w:r>
        <w:rPr>
          <w:spacing w:val="-12"/>
        </w:rPr>
        <w:t> </w:t>
      </w:r>
      <w:r>
        <w:rPr/>
        <w:t>modelling</w:t>
      </w:r>
      <w:r>
        <w:rPr>
          <w:spacing w:val="-9"/>
        </w:rPr>
        <w:t> </w:t>
      </w:r>
      <w:r>
        <w:rPr/>
        <w:t>the</w:t>
      </w:r>
      <w:r>
        <w:rPr>
          <w:spacing w:val="-5"/>
        </w:rPr>
        <w:t> </w:t>
      </w:r>
      <w:r>
        <w:rPr/>
        <w:t>spatial</w:t>
      </w:r>
      <w:r>
        <w:rPr>
          <w:spacing w:val="-7"/>
        </w:rPr>
        <w:t> </w:t>
      </w:r>
      <w:r>
        <w:rPr/>
        <w:t>as</w:t>
      </w:r>
      <w:r>
        <w:rPr>
          <w:spacing w:val="-7"/>
        </w:rPr>
        <w:t> </w:t>
      </w:r>
      <w:r>
        <w:rPr/>
        <w:t>well as</w:t>
      </w:r>
      <w:r>
        <w:rPr>
          <w:spacing w:val="-7"/>
        </w:rPr>
        <w:t> </w:t>
      </w:r>
      <w:r>
        <w:rPr/>
        <w:t>the</w:t>
      </w:r>
      <w:r>
        <w:rPr>
          <w:spacing w:val="-8"/>
        </w:rPr>
        <w:t> </w:t>
      </w:r>
      <w:r>
        <w:rPr/>
        <w:t>temporal</w:t>
      </w:r>
      <w:r>
        <w:rPr>
          <w:spacing w:val="-7"/>
        </w:rPr>
        <w:t> </w:t>
      </w:r>
      <w:r>
        <w:rPr/>
        <w:t>dependence</w:t>
      </w:r>
      <w:r>
        <w:rPr>
          <w:spacing w:val="-8"/>
        </w:rPr>
        <w:t> </w:t>
      </w:r>
      <w:r>
        <w:rPr/>
        <w:t>of</w:t>
      </w:r>
      <w:r>
        <w:rPr>
          <w:spacing w:val="-6"/>
        </w:rPr>
        <w:t> </w:t>
      </w:r>
      <w:r>
        <w:rPr/>
        <w:t>housing</w:t>
      </w:r>
      <w:r>
        <w:rPr>
          <w:spacing w:val="-10"/>
        </w:rPr>
        <w:t> </w:t>
      </w:r>
      <w:r>
        <w:rPr/>
        <w:t>price</w:t>
      </w:r>
      <w:r>
        <w:rPr>
          <w:spacing w:val="-8"/>
        </w:rPr>
        <w:t> </w:t>
      </w:r>
      <w:r>
        <w:rPr/>
        <w:t>data.</w:t>
      </w:r>
      <w:r>
        <w:rPr>
          <w:spacing w:val="-2"/>
        </w:rPr>
        <w:t> </w:t>
      </w:r>
      <w:r>
        <w:rPr/>
        <w:t>The</w:t>
      </w:r>
      <w:r>
        <w:rPr>
          <w:spacing w:val="-8"/>
        </w:rPr>
        <w:t> </w:t>
      </w:r>
      <w:r>
        <w:rPr/>
        <w:t>residential</w:t>
      </w:r>
      <w:r>
        <w:rPr>
          <w:spacing w:val="-7"/>
        </w:rPr>
        <w:t> </w:t>
      </w:r>
      <w:r>
        <w:rPr/>
        <w:t>densities</w:t>
      </w:r>
      <w:r>
        <w:rPr>
          <w:spacing w:val="-8"/>
        </w:rPr>
        <w:t> </w:t>
      </w:r>
      <w:r>
        <w:rPr/>
        <w:t>increase</w:t>
      </w:r>
      <w:r>
        <w:rPr>
          <w:spacing w:val="-8"/>
        </w:rPr>
        <w:t> </w:t>
      </w:r>
      <w:r>
        <w:rPr/>
        <w:t>shall continue</w:t>
      </w:r>
      <w:r>
        <w:rPr>
          <w:spacing w:val="-4"/>
        </w:rPr>
        <w:t> </w:t>
      </w:r>
      <w:r>
        <w:rPr/>
        <w:t>along</w:t>
      </w:r>
      <w:r>
        <w:rPr>
          <w:spacing w:val="-6"/>
        </w:rPr>
        <w:t> </w:t>
      </w:r>
      <w:r>
        <w:rPr/>
        <w:t>the</w:t>
      </w:r>
      <w:r>
        <w:rPr>
          <w:spacing w:val="-3"/>
        </w:rPr>
        <w:t> </w:t>
      </w:r>
      <w:r>
        <w:rPr/>
        <w:t>urban –</w:t>
      </w:r>
      <w:r>
        <w:rPr>
          <w:spacing w:val="-3"/>
        </w:rPr>
        <w:t> </w:t>
      </w:r>
      <w:r>
        <w:rPr/>
        <w:t>rural</w:t>
      </w:r>
      <w:r>
        <w:rPr>
          <w:spacing w:val="-1"/>
        </w:rPr>
        <w:t> </w:t>
      </w:r>
      <w:r>
        <w:rPr/>
        <w:t>gradient</w:t>
      </w:r>
      <w:r>
        <w:rPr>
          <w:spacing w:val="-3"/>
        </w:rPr>
        <w:t> </w:t>
      </w:r>
      <w:r>
        <w:rPr/>
        <w:t>thereby</w:t>
      </w:r>
      <w:r>
        <w:rPr>
          <w:spacing w:val="-6"/>
        </w:rPr>
        <w:t> </w:t>
      </w:r>
      <w:r>
        <w:rPr/>
        <w:t>causing</w:t>
      </w:r>
      <w:r>
        <w:rPr>
          <w:spacing w:val="-5"/>
        </w:rPr>
        <w:t> </w:t>
      </w:r>
      <w:r>
        <w:rPr/>
        <w:t>a</w:t>
      </w:r>
      <w:r>
        <w:rPr>
          <w:spacing w:val="-2"/>
        </w:rPr>
        <w:t> </w:t>
      </w:r>
      <w:r>
        <w:rPr/>
        <w:t>transition</w:t>
      </w:r>
      <w:r>
        <w:rPr>
          <w:spacing w:val="-3"/>
        </w:rPr>
        <w:t> </w:t>
      </w:r>
      <w:r>
        <w:rPr/>
        <w:t>of</w:t>
      </w:r>
      <w:r>
        <w:rPr>
          <w:spacing w:val="-3"/>
        </w:rPr>
        <w:t> </w:t>
      </w:r>
      <w:r>
        <w:rPr/>
        <w:t>open</w:t>
      </w:r>
      <w:r>
        <w:rPr>
          <w:spacing w:val="-3"/>
        </w:rPr>
        <w:t> </w:t>
      </w:r>
      <w:r>
        <w:rPr/>
        <w:t>spaces</w:t>
      </w:r>
      <w:r>
        <w:rPr>
          <w:spacing w:val="-3"/>
        </w:rPr>
        <w:t> </w:t>
      </w:r>
      <w:r>
        <w:rPr/>
        <w:t>and low density areas in to medium and high density areas in the coming years maintaining its</w:t>
      </w:r>
      <w:r>
        <w:rPr>
          <w:spacing w:val="-2"/>
        </w:rPr>
        <w:t> </w:t>
      </w:r>
      <w:r>
        <w:rPr/>
        <w:t>monocentricity.</w:t>
      </w:r>
      <w:r>
        <w:rPr>
          <w:spacing w:val="-2"/>
        </w:rPr>
        <w:t> </w:t>
      </w:r>
      <w:r>
        <w:rPr/>
        <w:t>Therefore,</w:t>
      </w:r>
      <w:r>
        <w:rPr>
          <w:spacing w:val="-2"/>
        </w:rPr>
        <w:t> </w:t>
      </w:r>
      <w:r>
        <w:rPr/>
        <w:t>demand for</w:t>
      </w:r>
      <w:r>
        <w:rPr>
          <w:spacing w:val="-3"/>
        </w:rPr>
        <w:t> </w:t>
      </w:r>
      <w:r>
        <w:rPr/>
        <w:t>housing</w:t>
      </w:r>
      <w:r>
        <w:rPr>
          <w:spacing w:val="-2"/>
        </w:rPr>
        <w:t> </w:t>
      </w:r>
      <w:r>
        <w:rPr/>
        <w:t>shall</w:t>
      </w:r>
      <w:r>
        <w:rPr>
          <w:spacing w:val="-2"/>
        </w:rPr>
        <w:t> </w:t>
      </w:r>
      <w:r>
        <w:rPr/>
        <w:t>increase</w:t>
      </w:r>
      <w:r>
        <w:rPr>
          <w:spacing w:val="-3"/>
        </w:rPr>
        <w:t> </w:t>
      </w:r>
      <w:r>
        <w:rPr/>
        <w:t>along</w:t>
      </w:r>
      <w:r>
        <w:rPr>
          <w:spacing w:val="-5"/>
        </w:rPr>
        <w:t> </w:t>
      </w:r>
      <w:r>
        <w:rPr/>
        <w:t>the urban</w:t>
      </w:r>
      <w:r>
        <w:rPr>
          <w:spacing w:val="-2"/>
        </w:rPr>
        <w:t> </w:t>
      </w:r>
      <w:r>
        <w:rPr/>
        <w:t>fringes thereby attracting development of more housing apartments. Also, the rental prices of housing</w:t>
      </w:r>
      <w:r>
        <w:rPr>
          <w:spacing w:val="-7"/>
        </w:rPr>
        <w:t> </w:t>
      </w:r>
      <w:r>
        <w:rPr/>
        <w:t>apartments</w:t>
      </w:r>
      <w:r>
        <w:rPr>
          <w:spacing w:val="-7"/>
        </w:rPr>
        <w:t> </w:t>
      </w:r>
      <w:r>
        <w:rPr/>
        <w:t>shall</w:t>
      </w:r>
      <w:r>
        <w:rPr>
          <w:spacing w:val="-4"/>
        </w:rPr>
        <w:t> </w:t>
      </w:r>
      <w:r>
        <w:rPr/>
        <w:t>continue</w:t>
      </w:r>
      <w:r>
        <w:rPr>
          <w:spacing w:val="-8"/>
        </w:rPr>
        <w:t> </w:t>
      </w:r>
      <w:r>
        <w:rPr/>
        <w:t>to</w:t>
      </w:r>
      <w:r>
        <w:rPr>
          <w:spacing w:val="-7"/>
        </w:rPr>
        <w:t> </w:t>
      </w:r>
      <w:r>
        <w:rPr/>
        <w:t>decrease</w:t>
      </w:r>
      <w:r>
        <w:rPr>
          <w:spacing w:val="-4"/>
        </w:rPr>
        <w:t> </w:t>
      </w:r>
      <w:r>
        <w:rPr/>
        <w:t>with</w:t>
      </w:r>
      <w:r>
        <w:rPr>
          <w:spacing w:val="-7"/>
        </w:rPr>
        <w:t> </w:t>
      </w:r>
      <w:r>
        <w:rPr/>
        <w:t>decreasing</w:t>
      </w:r>
      <w:r>
        <w:rPr>
          <w:spacing w:val="-10"/>
        </w:rPr>
        <w:t> </w:t>
      </w:r>
      <w:r>
        <w:rPr/>
        <w:t>distance</w:t>
      </w:r>
      <w:r>
        <w:rPr>
          <w:spacing w:val="-6"/>
        </w:rPr>
        <w:t> </w:t>
      </w:r>
      <w:r>
        <w:rPr/>
        <w:t>to</w:t>
      </w:r>
      <w:r>
        <w:rPr>
          <w:spacing w:val="-5"/>
        </w:rPr>
        <w:t> </w:t>
      </w:r>
      <w:r>
        <w:rPr/>
        <w:t>the</w:t>
      </w:r>
      <w:r>
        <w:rPr>
          <w:spacing w:val="-8"/>
        </w:rPr>
        <w:t> </w:t>
      </w:r>
      <w:r>
        <w:rPr/>
        <w:t>city</w:t>
      </w:r>
      <w:r>
        <w:rPr>
          <w:spacing w:val="-10"/>
        </w:rPr>
        <w:t> </w:t>
      </w:r>
      <w:r>
        <w:rPr/>
        <w:t>centre, and may continue to maintain its unique spatial pattern of housing prices in the coming </w:t>
      </w:r>
      <w:r>
        <w:rPr>
          <w:spacing w:val="-2"/>
        </w:rPr>
        <w:t>years.</w:t>
      </w:r>
    </w:p>
    <w:p>
      <w:pPr>
        <w:pStyle w:val="Heading1"/>
        <w:numPr>
          <w:ilvl w:val="1"/>
          <w:numId w:val="17"/>
        </w:numPr>
        <w:tabs>
          <w:tab w:pos="1024" w:val="left" w:leader="none"/>
        </w:tabs>
        <w:spacing w:line="240" w:lineRule="auto" w:before="247" w:after="0"/>
        <w:ind w:left="1024" w:right="0" w:hanging="719"/>
        <w:jc w:val="both"/>
      </w:pPr>
      <w:r>
        <w:rPr>
          <w:spacing w:val="-2"/>
        </w:rPr>
        <w:t>Recommendations</w:t>
      </w:r>
    </w:p>
    <w:p>
      <w:pPr>
        <w:pStyle w:val="BodyText"/>
        <w:spacing w:before="195"/>
        <w:jc w:val="left"/>
        <w:rPr>
          <w:b/>
        </w:rPr>
      </w:pPr>
    </w:p>
    <w:p>
      <w:pPr>
        <w:pStyle w:val="BodyText"/>
        <w:ind w:left="305"/>
      </w:pPr>
      <w:r>
        <w:rPr/>
        <w:t>In</w:t>
      </w:r>
      <w:r>
        <w:rPr>
          <w:spacing w:val="2"/>
        </w:rPr>
        <w:t> </w:t>
      </w:r>
      <w:r>
        <w:rPr/>
        <w:t>line</w:t>
      </w:r>
      <w:r>
        <w:rPr>
          <w:spacing w:val="4"/>
        </w:rPr>
        <w:t> </w:t>
      </w:r>
      <w:r>
        <w:rPr/>
        <w:t>with</w:t>
      </w:r>
      <w:r>
        <w:rPr>
          <w:spacing w:val="4"/>
        </w:rPr>
        <w:t> </w:t>
      </w:r>
      <w:r>
        <w:rPr/>
        <w:t>the</w:t>
      </w:r>
      <w:r>
        <w:rPr>
          <w:spacing w:val="5"/>
        </w:rPr>
        <w:t> </w:t>
      </w:r>
      <w:r>
        <w:rPr/>
        <w:t>implication</w:t>
      </w:r>
      <w:r>
        <w:rPr>
          <w:spacing w:val="2"/>
        </w:rPr>
        <w:t> </w:t>
      </w:r>
      <w:r>
        <w:rPr/>
        <w:t>of</w:t>
      </w:r>
      <w:r>
        <w:rPr>
          <w:spacing w:val="4"/>
        </w:rPr>
        <w:t> </w:t>
      </w:r>
      <w:r>
        <w:rPr/>
        <w:t>findings</w:t>
      </w:r>
      <w:r>
        <w:rPr>
          <w:spacing w:val="5"/>
        </w:rPr>
        <w:t> </w:t>
      </w:r>
      <w:r>
        <w:rPr/>
        <w:t>of</w:t>
      </w:r>
      <w:r>
        <w:rPr>
          <w:spacing w:val="2"/>
        </w:rPr>
        <w:t> </w:t>
      </w:r>
      <w:r>
        <w:rPr/>
        <w:t>this</w:t>
      </w:r>
      <w:r>
        <w:rPr>
          <w:spacing w:val="3"/>
        </w:rPr>
        <w:t> </w:t>
      </w:r>
      <w:r>
        <w:rPr/>
        <w:t>research,</w:t>
      </w:r>
      <w:r>
        <w:rPr>
          <w:spacing w:val="4"/>
        </w:rPr>
        <w:t> </w:t>
      </w:r>
      <w:r>
        <w:rPr/>
        <w:t>recommendations</w:t>
      </w:r>
      <w:r>
        <w:rPr>
          <w:spacing w:val="6"/>
        </w:rPr>
        <w:t> </w:t>
      </w:r>
      <w:r>
        <w:rPr/>
        <w:t>are</w:t>
      </w:r>
      <w:r>
        <w:rPr>
          <w:spacing w:val="6"/>
        </w:rPr>
        <w:t> </w:t>
      </w:r>
      <w:r>
        <w:rPr/>
        <w:t>as</w:t>
      </w:r>
      <w:r>
        <w:rPr>
          <w:spacing w:val="3"/>
        </w:rPr>
        <w:t> </w:t>
      </w:r>
      <w:r>
        <w:rPr>
          <w:spacing w:val="-2"/>
        </w:rPr>
        <w:t>follow:</w:t>
      </w:r>
    </w:p>
    <w:p>
      <w:pPr>
        <w:spacing w:after="0"/>
        <w:sectPr>
          <w:pgSz w:w="11910" w:h="16840"/>
          <w:pgMar w:header="0" w:footer="1022" w:top="1320" w:bottom="1220" w:left="1680" w:right="900"/>
        </w:sectPr>
      </w:pPr>
    </w:p>
    <w:p>
      <w:pPr>
        <w:pStyle w:val="ListParagraph"/>
        <w:numPr>
          <w:ilvl w:val="0"/>
          <w:numId w:val="18"/>
        </w:numPr>
        <w:tabs>
          <w:tab w:pos="1023" w:val="left" w:leader="none"/>
          <w:tab w:pos="1025" w:val="left" w:leader="none"/>
        </w:tabs>
        <w:spacing w:line="480" w:lineRule="auto" w:before="72" w:after="0"/>
        <w:ind w:left="1025" w:right="510" w:hanging="720"/>
        <w:jc w:val="both"/>
        <w:rPr>
          <w:sz w:val="24"/>
        </w:rPr>
      </w:pPr>
      <w:r>
        <w:rPr>
          <w:sz w:val="24"/>
        </w:rPr>
        <w:t>The study recommends the use of Artificial Neural Network (ANN), Ordinary Kriging and Point Density in examining housing related issues such as density, housing prices and other related issues.</w:t>
      </w:r>
    </w:p>
    <w:p>
      <w:pPr>
        <w:pStyle w:val="ListParagraph"/>
        <w:numPr>
          <w:ilvl w:val="0"/>
          <w:numId w:val="18"/>
        </w:numPr>
        <w:tabs>
          <w:tab w:pos="1023" w:val="left" w:leader="none"/>
          <w:tab w:pos="1025" w:val="left" w:leader="none"/>
        </w:tabs>
        <w:spacing w:line="480" w:lineRule="auto" w:before="0" w:after="0"/>
        <w:ind w:left="1025" w:right="516" w:hanging="720"/>
        <w:jc w:val="both"/>
        <w:rPr>
          <w:sz w:val="24"/>
        </w:rPr>
      </w:pPr>
      <w:r>
        <w:rPr>
          <w:sz w:val="24"/>
        </w:rPr>
        <w:t>It also recommends that relevant authorities need to develop Spatial Data Infrastructure (SDI) in order to enhance housing management and urban density related issues.</w:t>
      </w:r>
    </w:p>
    <w:p>
      <w:pPr>
        <w:pStyle w:val="ListParagraph"/>
        <w:numPr>
          <w:ilvl w:val="0"/>
          <w:numId w:val="18"/>
        </w:numPr>
        <w:tabs>
          <w:tab w:pos="1023" w:val="left" w:leader="none"/>
          <w:tab w:pos="1025" w:val="left" w:leader="none"/>
        </w:tabs>
        <w:spacing w:line="480" w:lineRule="auto" w:before="0" w:after="0"/>
        <w:ind w:left="1025" w:right="513" w:hanging="720"/>
        <w:jc w:val="both"/>
        <w:rPr>
          <w:sz w:val="24"/>
        </w:rPr>
      </w:pPr>
      <w:r>
        <w:rPr>
          <w:sz w:val="24"/>
        </w:rPr>
        <w:t>The study suggests rational densification (planned densification) in urban development which could curb the increasing residential density</w:t>
      </w:r>
      <w:r>
        <w:rPr>
          <w:spacing w:val="-1"/>
          <w:sz w:val="24"/>
        </w:rPr>
        <w:t> </w:t>
      </w:r>
      <w:r>
        <w:rPr>
          <w:sz w:val="24"/>
        </w:rPr>
        <w:t>that continue to grow organically, which could increase the standard of urban environment. In conducting this form of densification, urban managers should propose new development plan for the affected areas by converting certain areas from low density to medium density and medium density to high density.</w:t>
      </w:r>
    </w:p>
    <w:p>
      <w:pPr>
        <w:pStyle w:val="ListParagraph"/>
        <w:numPr>
          <w:ilvl w:val="0"/>
          <w:numId w:val="18"/>
        </w:numPr>
        <w:tabs>
          <w:tab w:pos="1023" w:val="left" w:leader="none"/>
          <w:tab w:pos="1025" w:val="left" w:leader="none"/>
        </w:tabs>
        <w:spacing w:line="480" w:lineRule="auto" w:before="1" w:after="0"/>
        <w:ind w:left="1025" w:right="514" w:hanging="720"/>
        <w:jc w:val="both"/>
        <w:rPr>
          <w:sz w:val="24"/>
        </w:rPr>
      </w:pPr>
      <w:r>
        <w:rPr>
          <w:sz w:val="24"/>
        </w:rPr>
        <w:t>There is need to create specific requirements for a spatial policy regulating not only the design and implementation of new cities and settlements, but also the management</w:t>
      </w:r>
      <w:r>
        <w:rPr>
          <w:spacing w:val="-1"/>
          <w:sz w:val="24"/>
        </w:rPr>
        <w:t> </w:t>
      </w:r>
      <w:r>
        <w:rPr>
          <w:sz w:val="24"/>
        </w:rPr>
        <w:t>of already</w:t>
      </w:r>
      <w:r>
        <w:rPr>
          <w:spacing w:val="-5"/>
          <w:sz w:val="24"/>
        </w:rPr>
        <w:t> </w:t>
      </w:r>
      <w:r>
        <w:rPr>
          <w:sz w:val="24"/>
        </w:rPr>
        <w:t>urbanised</w:t>
      </w:r>
      <w:r>
        <w:rPr>
          <w:spacing w:val="-2"/>
          <w:sz w:val="24"/>
        </w:rPr>
        <w:t> </w:t>
      </w:r>
      <w:r>
        <w:rPr>
          <w:sz w:val="24"/>
        </w:rPr>
        <w:t>areas,</w:t>
      </w:r>
      <w:r>
        <w:rPr>
          <w:spacing w:val="-1"/>
          <w:sz w:val="24"/>
        </w:rPr>
        <w:t> </w:t>
      </w:r>
      <w:r>
        <w:rPr>
          <w:sz w:val="24"/>
        </w:rPr>
        <w:t>which are</w:t>
      </w:r>
      <w:r>
        <w:rPr>
          <w:spacing w:val="-1"/>
          <w:sz w:val="24"/>
        </w:rPr>
        <w:t> </w:t>
      </w:r>
      <w:r>
        <w:rPr>
          <w:sz w:val="24"/>
        </w:rPr>
        <w:t>also</w:t>
      </w:r>
      <w:r>
        <w:rPr>
          <w:spacing w:val="-1"/>
          <w:sz w:val="24"/>
        </w:rPr>
        <w:t> </w:t>
      </w:r>
      <w:r>
        <w:rPr>
          <w:sz w:val="24"/>
        </w:rPr>
        <w:t>undergoing</w:t>
      </w:r>
      <w:r>
        <w:rPr>
          <w:spacing w:val="-3"/>
          <w:sz w:val="24"/>
        </w:rPr>
        <w:t> </w:t>
      </w:r>
      <w:r>
        <w:rPr>
          <w:sz w:val="24"/>
        </w:rPr>
        <w:t>development and transformation processes affecting on the way they are used on.</w:t>
      </w:r>
    </w:p>
    <w:p>
      <w:pPr>
        <w:pStyle w:val="ListParagraph"/>
        <w:numPr>
          <w:ilvl w:val="0"/>
          <w:numId w:val="18"/>
        </w:numPr>
        <w:tabs>
          <w:tab w:pos="1025" w:val="left" w:leader="none"/>
        </w:tabs>
        <w:spacing w:line="480" w:lineRule="auto" w:before="1" w:after="0"/>
        <w:ind w:left="1025" w:right="509" w:hanging="720"/>
        <w:jc w:val="both"/>
        <w:rPr>
          <w:sz w:val="24"/>
        </w:rPr>
      </w:pPr>
      <w:r>
        <w:rPr>
          <w:sz w:val="24"/>
        </w:rPr>
        <w:t>There is also need for policy formulation for urban development particularly urban</w:t>
      </w:r>
      <w:r>
        <w:rPr>
          <w:spacing w:val="-15"/>
          <w:sz w:val="24"/>
        </w:rPr>
        <w:t> </w:t>
      </w:r>
      <w:r>
        <w:rPr>
          <w:sz w:val="24"/>
        </w:rPr>
        <w:t>fringes</w:t>
      </w:r>
      <w:r>
        <w:rPr>
          <w:spacing w:val="-15"/>
          <w:sz w:val="24"/>
        </w:rPr>
        <w:t> </w:t>
      </w:r>
      <w:r>
        <w:rPr>
          <w:sz w:val="24"/>
        </w:rPr>
        <w:t>of</w:t>
      </w:r>
      <w:r>
        <w:rPr>
          <w:spacing w:val="-15"/>
          <w:sz w:val="24"/>
        </w:rPr>
        <w:t> </w:t>
      </w:r>
      <w:r>
        <w:rPr>
          <w:sz w:val="24"/>
        </w:rPr>
        <w:t>a</w:t>
      </w:r>
      <w:r>
        <w:rPr>
          <w:spacing w:val="-15"/>
          <w:sz w:val="24"/>
        </w:rPr>
        <w:t> </w:t>
      </w:r>
      <w:r>
        <w:rPr>
          <w:sz w:val="24"/>
        </w:rPr>
        <w:t>traditional</w:t>
      </w:r>
      <w:r>
        <w:rPr>
          <w:spacing w:val="-15"/>
          <w:sz w:val="24"/>
        </w:rPr>
        <w:t> </w:t>
      </w:r>
      <w:r>
        <w:rPr>
          <w:sz w:val="24"/>
        </w:rPr>
        <w:t>settlement</w:t>
      </w:r>
      <w:r>
        <w:rPr>
          <w:spacing w:val="-15"/>
          <w:sz w:val="24"/>
        </w:rPr>
        <w:t> </w:t>
      </w:r>
      <w:r>
        <w:rPr>
          <w:sz w:val="24"/>
        </w:rPr>
        <w:t>where</w:t>
      </w:r>
      <w:r>
        <w:rPr>
          <w:spacing w:val="-15"/>
          <w:sz w:val="24"/>
        </w:rPr>
        <w:t> </w:t>
      </w:r>
      <w:r>
        <w:rPr>
          <w:sz w:val="24"/>
        </w:rPr>
        <w:t>development</w:t>
      </w:r>
      <w:r>
        <w:rPr>
          <w:spacing w:val="-15"/>
          <w:sz w:val="24"/>
        </w:rPr>
        <w:t> </w:t>
      </w:r>
      <w:r>
        <w:rPr>
          <w:sz w:val="24"/>
        </w:rPr>
        <w:t>is</w:t>
      </w:r>
      <w:r>
        <w:rPr>
          <w:spacing w:val="-15"/>
          <w:sz w:val="24"/>
        </w:rPr>
        <w:t> </w:t>
      </w:r>
      <w:r>
        <w:rPr>
          <w:sz w:val="24"/>
        </w:rPr>
        <w:t>yet</w:t>
      </w:r>
      <w:r>
        <w:rPr>
          <w:spacing w:val="-15"/>
          <w:sz w:val="24"/>
        </w:rPr>
        <w:t> </w:t>
      </w:r>
      <w:r>
        <w:rPr>
          <w:sz w:val="24"/>
        </w:rPr>
        <w:t>to</w:t>
      </w:r>
      <w:r>
        <w:rPr>
          <w:spacing w:val="-15"/>
          <w:sz w:val="24"/>
        </w:rPr>
        <w:t> </w:t>
      </w:r>
      <w:r>
        <w:rPr>
          <w:sz w:val="24"/>
        </w:rPr>
        <w:t>reach</w:t>
      </w:r>
      <w:r>
        <w:rPr>
          <w:spacing w:val="-15"/>
          <w:sz w:val="24"/>
        </w:rPr>
        <w:t> </w:t>
      </w:r>
      <w:r>
        <w:rPr>
          <w:sz w:val="24"/>
        </w:rPr>
        <w:t>in</w:t>
      </w:r>
      <w:r>
        <w:rPr>
          <w:spacing w:val="-15"/>
          <w:sz w:val="24"/>
        </w:rPr>
        <w:t> </w:t>
      </w:r>
      <w:r>
        <w:rPr>
          <w:sz w:val="24"/>
        </w:rPr>
        <w:t>order to control the unplanned densification process.</w:t>
      </w:r>
    </w:p>
    <w:p>
      <w:pPr>
        <w:spacing w:after="0" w:line="480" w:lineRule="auto"/>
        <w:jc w:val="both"/>
        <w:rPr>
          <w:sz w:val="24"/>
        </w:rPr>
        <w:sectPr>
          <w:pgSz w:w="11910" w:h="16840"/>
          <w:pgMar w:header="0" w:footer="1022" w:top="1320" w:bottom="1220" w:left="1680" w:right="900"/>
        </w:sectPr>
      </w:pPr>
    </w:p>
    <w:p>
      <w:pPr>
        <w:spacing w:before="76"/>
        <w:ind w:left="292" w:right="504" w:firstLine="0"/>
        <w:jc w:val="center"/>
        <w:rPr>
          <w:b/>
          <w:sz w:val="24"/>
        </w:rPr>
      </w:pPr>
      <w:r>
        <w:rPr>
          <w:b/>
          <w:spacing w:val="-2"/>
          <w:sz w:val="24"/>
        </w:rPr>
        <w:t>REFERENCES</w:t>
      </w:r>
    </w:p>
    <w:p>
      <w:pPr>
        <w:pStyle w:val="BodyText"/>
        <w:spacing w:before="236"/>
        <w:jc w:val="left"/>
        <w:rPr>
          <w:b/>
        </w:rPr>
      </w:pPr>
    </w:p>
    <w:p>
      <w:pPr>
        <w:pStyle w:val="BodyText"/>
        <w:ind w:left="1025" w:right="512" w:hanging="720"/>
      </w:pPr>
      <w:r>
        <w:rPr/>
        <w:t>Abdullahi, A., Usman, H., &amp; Ibrahim, I. (2018). Determining house price for mass appraisal using multiple regression analysis modeling in Kaduna North, Nigeria. </w:t>
      </w:r>
      <w:r>
        <w:rPr>
          <w:i/>
        </w:rPr>
        <w:t>ATBU Journal of Environmental Technology</w:t>
      </w:r>
      <w:r>
        <w:rPr/>
        <w:t>, </w:t>
      </w:r>
      <w:r>
        <w:rPr>
          <w:i/>
        </w:rPr>
        <w:t>11</w:t>
      </w:r>
      <w:r>
        <w:rPr/>
        <w:t>(1), 26–40.</w:t>
      </w:r>
    </w:p>
    <w:p>
      <w:pPr>
        <w:pStyle w:val="BodyText"/>
        <w:spacing w:before="199"/>
        <w:ind w:left="1025" w:right="515" w:hanging="720"/>
      </w:pPr>
      <w:r>
        <w:rPr/>
        <w:t>Adedeji, Y. D., &amp; Olotuah, A. O. (2012). An evaluation of accessibility of low-income earners to housing finance in Nigeria. </w:t>
      </w:r>
      <w:r>
        <w:rPr>
          <w:i/>
        </w:rPr>
        <w:t>European Scientific Journal, ESJ</w:t>
      </w:r>
      <w:r>
        <w:rPr/>
        <w:t>, </w:t>
      </w:r>
      <w:r>
        <w:rPr>
          <w:i/>
        </w:rPr>
        <w:t>8</w:t>
      </w:r>
      <w:r>
        <w:rPr/>
        <w:t>(12). Retrieved from </w:t>
      </w:r>
      <w:hyperlink r:id="rId44">
        <w:r>
          <w:rPr/>
          <w:t>http://eujournal.org/index.php/esj/article/view/181</w:t>
        </w:r>
      </w:hyperlink>
    </w:p>
    <w:p>
      <w:pPr>
        <w:pStyle w:val="BodyText"/>
        <w:spacing w:before="200"/>
        <w:ind w:left="1025" w:right="514" w:hanging="720"/>
      </w:pPr>
      <w:r>
        <w:rPr/>
        <w:t>Adegoke,</w:t>
      </w:r>
      <w:r>
        <w:rPr>
          <w:spacing w:val="-5"/>
        </w:rPr>
        <w:t> </w:t>
      </w:r>
      <w:r>
        <w:rPr/>
        <w:t>O.</w:t>
      </w:r>
      <w:r>
        <w:rPr>
          <w:spacing w:val="-5"/>
        </w:rPr>
        <w:t> </w:t>
      </w:r>
      <w:r>
        <w:rPr/>
        <w:t>J.</w:t>
      </w:r>
      <w:r>
        <w:rPr>
          <w:spacing w:val="-5"/>
        </w:rPr>
        <w:t> </w:t>
      </w:r>
      <w:r>
        <w:rPr/>
        <w:t>(2014).</w:t>
      </w:r>
      <w:r>
        <w:rPr>
          <w:spacing w:val="-6"/>
        </w:rPr>
        <w:t> </w:t>
      </w:r>
      <w:r>
        <w:rPr/>
        <w:t>Critical</w:t>
      </w:r>
      <w:r>
        <w:rPr>
          <w:spacing w:val="-4"/>
        </w:rPr>
        <w:t> </w:t>
      </w:r>
      <w:r>
        <w:rPr/>
        <w:t>factors</w:t>
      </w:r>
      <w:r>
        <w:rPr>
          <w:spacing w:val="-5"/>
        </w:rPr>
        <w:t> </w:t>
      </w:r>
      <w:r>
        <w:rPr/>
        <w:t>determining</w:t>
      </w:r>
      <w:r>
        <w:rPr>
          <w:spacing w:val="-7"/>
        </w:rPr>
        <w:t> </w:t>
      </w:r>
      <w:r>
        <w:rPr/>
        <w:t>rental</w:t>
      </w:r>
      <w:r>
        <w:rPr>
          <w:spacing w:val="-5"/>
        </w:rPr>
        <w:t> </w:t>
      </w:r>
      <w:r>
        <w:rPr/>
        <w:t>value</w:t>
      </w:r>
      <w:r>
        <w:rPr>
          <w:spacing w:val="-5"/>
        </w:rPr>
        <w:t> </w:t>
      </w:r>
      <w:r>
        <w:rPr/>
        <w:t>of</w:t>
      </w:r>
      <w:r>
        <w:rPr>
          <w:spacing w:val="-6"/>
        </w:rPr>
        <w:t> </w:t>
      </w:r>
      <w:r>
        <w:rPr/>
        <w:t>residential</w:t>
      </w:r>
      <w:r>
        <w:rPr>
          <w:spacing w:val="-4"/>
        </w:rPr>
        <w:t> </w:t>
      </w:r>
      <w:r>
        <w:rPr/>
        <w:t>property</w:t>
      </w:r>
      <w:r>
        <w:rPr>
          <w:spacing w:val="-4"/>
        </w:rPr>
        <w:t> </w:t>
      </w:r>
      <w:r>
        <w:rPr/>
        <w:t>in Ibadan metropolis, Nigeria. </w:t>
      </w:r>
      <w:r>
        <w:rPr>
          <w:i/>
        </w:rPr>
        <w:t>Property Management</w:t>
      </w:r>
      <w:r>
        <w:rPr/>
        <w:t>, </w:t>
      </w:r>
      <w:r>
        <w:rPr>
          <w:i/>
        </w:rPr>
        <w:t>32</w:t>
      </w:r>
      <w:r>
        <w:rPr/>
        <w:t>(3), 224–240. </w:t>
      </w:r>
      <w:r>
        <w:rPr>
          <w:spacing w:val="-2"/>
        </w:rPr>
        <w:t>https://doi.org/10.1108/PM-05-2013-0033</w:t>
      </w:r>
    </w:p>
    <w:p>
      <w:pPr>
        <w:tabs>
          <w:tab w:pos="4707" w:val="left" w:leader="none"/>
        </w:tabs>
        <w:spacing w:line="240" w:lineRule="auto" w:before="202"/>
        <w:ind w:left="1025" w:right="514" w:hanging="720"/>
        <w:jc w:val="both"/>
        <w:rPr>
          <w:sz w:val="24"/>
        </w:rPr>
      </w:pPr>
      <w:r>
        <w:rPr>
          <w:sz w:val="24"/>
        </w:rPr>
        <w:t>Aderibigbe,</w:t>
      </w:r>
      <w:r>
        <w:rPr>
          <w:spacing w:val="-8"/>
          <w:sz w:val="24"/>
        </w:rPr>
        <w:t> </w:t>
      </w:r>
      <w:r>
        <w:rPr>
          <w:sz w:val="24"/>
        </w:rPr>
        <w:t>T.,</w:t>
      </w:r>
      <w:r>
        <w:rPr>
          <w:spacing w:val="-6"/>
          <w:sz w:val="24"/>
        </w:rPr>
        <w:t> </w:t>
      </w:r>
      <w:r>
        <w:rPr>
          <w:sz w:val="24"/>
        </w:rPr>
        <w:t>&amp;</w:t>
      </w:r>
      <w:r>
        <w:rPr>
          <w:spacing w:val="-10"/>
          <w:sz w:val="24"/>
        </w:rPr>
        <w:t> </w:t>
      </w:r>
      <w:r>
        <w:rPr>
          <w:sz w:val="24"/>
        </w:rPr>
        <w:t>Chi,</w:t>
      </w:r>
      <w:r>
        <w:rPr>
          <w:spacing w:val="-8"/>
          <w:sz w:val="24"/>
        </w:rPr>
        <w:t> </w:t>
      </w:r>
      <w:r>
        <w:rPr>
          <w:sz w:val="24"/>
        </w:rPr>
        <w:t>H.</w:t>
      </w:r>
      <w:r>
        <w:rPr>
          <w:spacing w:val="-7"/>
          <w:sz w:val="24"/>
        </w:rPr>
        <w:t> </w:t>
      </w:r>
      <w:r>
        <w:rPr>
          <w:sz w:val="24"/>
        </w:rPr>
        <w:t>(2018).</w:t>
      </w:r>
      <w:r>
        <w:rPr>
          <w:spacing w:val="-7"/>
          <w:sz w:val="24"/>
        </w:rPr>
        <w:t> </w:t>
      </w:r>
      <w:r>
        <w:rPr>
          <w:sz w:val="24"/>
        </w:rPr>
        <w:t>Investigation</w:t>
      </w:r>
      <w:r>
        <w:rPr>
          <w:spacing w:val="-8"/>
          <w:sz w:val="24"/>
        </w:rPr>
        <w:t> </w:t>
      </w:r>
      <w:r>
        <w:rPr>
          <w:sz w:val="24"/>
        </w:rPr>
        <w:t>of</w:t>
      </w:r>
      <w:r>
        <w:rPr>
          <w:spacing w:val="-4"/>
          <w:sz w:val="24"/>
        </w:rPr>
        <w:t> </w:t>
      </w:r>
      <w:r>
        <w:rPr>
          <w:sz w:val="24"/>
        </w:rPr>
        <w:t>florida</w:t>
      </w:r>
      <w:r>
        <w:rPr>
          <w:spacing w:val="-9"/>
          <w:sz w:val="24"/>
        </w:rPr>
        <w:t> </w:t>
      </w:r>
      <w:r>
        <w:rPr>
          <w:sz w:val="24"/>
        </w:rPr>
        <w:t>housing</w:t>
      </w:r>
      <w:r>
        <w:rPr>
          <w:spacing w:val="-11"/>
          <w:sz w:val="24"/>
        </w:rPr>
        <w:t> </w:t>
      </w:r>
      <w:r>
        <w:rPr>
          <w:sz w:val="24"/>
        </w:rPr>
        <w:t>prices</w:t>
      </w:r>
      <w:r>
        <w:rPr>
          <w:spacing w:val="-7"/>
          <w:sz w:val="24"/>
        </w:rPr>
        <w:t> </w:t>
      </w:r>
      <w:r>
        <w:rPr>
          <w:sz w:val="24"/>
        </w:rPr>
        <w:t>using</w:t>
      </w:r>
      <w:r>
        <w:rPr>
          <w:spacing w:val="-10"/>
          <w:sz w:val="24"/>
        </w:rPr>
        <w:t> </w:t>
      </w:r>
      <w:r>
        <w:rPr>
          <w:sz w:val="24"/>
        </w:rPr>
        <w:t>predictive time series model. </w:t>
      </w:r>
      <w:r>
        <w:rPr>
          <w:i/>
          <w:sz w:val="24"/>
        </w:rPr>
        <w:t>Proceedings of the Practice and Experience on Advanced Research</w:t>
      </w:r>
      <w:r>
        <w:rPr>
          <w:i/>
          <w:spacing w:val="80"/>
          <w:sz w:val="24"/>
        </w:rPr>
        <w:t>   </w:t>
      </w:r>
      <w:r>
        <w:rPr>
          <w:i/>
          <w:sz w:val="24"/>
        </w:rPr>
        <w:t>Computing</w:t>
        <w:tab/>
        <w:t>- PEARC ’18</w:t>
      </w:r>
      <w:r>
        <w:rPr>
          <w:sz w:val="24"/>
        </w:rPr>
        <w:t>, </w:t>
      </w:r>
      <w:r>
        <w:rPr>
          <w:i/>
          <w:sz w:val="24"/>
        </w:rPr>
        <w:t>4</w:t>
      </w:r>
      <w:r>
        <w:rPr>
          <w:sz w:val="24"/>
        </w:rPr>
        <w:t>, </w:t>
      </w:r>
      <w:r>
        <w:rPr>
          <w:sz w:val="24"/>
        </w:rPr>
        <w:t>1–4. </w:t>
      </w:r>
      <w:r>
        <w:rPr>
          <w:spacing w:val="-2"/>
          <w:sz w:val="24"/>
        </w:rPr>
        <w:t>https://doi.org/10.1145/3219104.3229253</w:t>
      </w:r>
    </w:p>
    <w:p>
      <w:pPr>
        <w:pStyle w:val="BodyText"/>
        <w:spacing w:before="199"/>
        <w:ind w:left="1025" w:right="515" w:hanging="720"/>
      </w:pPr>
      <w:r>
        <w:rPr/>
        <w:t>Agbola,</w:t>
      </w:r>
      <w:r>
        <w:rPr>
          <w:spacing w:val="-4"/>
        </w:rPr>
        <w:t> </w:t>
      </w:r>
      <w:r>
        <w:rPr/>
        <w:t>T.,</w:t>
      </w:r>
      <w:r>
        <w:rPr>
          <w:spacing w:val="-4"/>
        </w:rPr>
        <w:t> </w:t>
      </w:r>
      <w:r>
        <w:rPr/>
        <w:t>&amp;</w:t>
      </w:r>
      <w:r>
        <w:rPr>
          <w:spacing w:val="-6"/>
        </w:rPr>
        <w:t> </w:t>
      </w:r>
      <w:r>
        <w:rPr/>
        <w:t>Adegoke,</w:t>
      </w:r>
      <w:r>
        <w:rPr>
          <w:spacing w:val="-2"/>
        </w:rPr>
        <w:t> </w:t>
      </w:r>
      <w:r>
        <w:rPr/>
        <w:t>S.</w:t>
      </w:r>
      <w:r>
        <w:rPr>
          <w:spacing w:val="-4"/>
        </w:rPr>
        <w:t> </w:t>
      </w:r>
      <w:r>
        <w:rPr/>
        <w:t>A.</w:t>
      </w:r>
      <w:r>
        <w:rPr>
          <w:spacing w:val="-4"/>
        </w:rPr>
        <w:t> </w:t>
      </w:r>
      <w:r>
        <w:rPr/>
        <w:t>(2007).</w:t>
      </w:r>
      <w:r>
        <w:rPr>
          <w:spacing w:val="-4"/>
        </w:rPr>
        <w:t> </w:t>
      </w:r>
      <w:r>
        <w:rPr/>
        <w:t>Economics</w:t>
      </w:r>
      <w:r>
        <w:rPr>
          <w:spacing w:val="-7"/>
        </w:rPr>
        <w:t> </w:t>
      </w:r>
      <w:r>
        <w:rPr/>
        <w:t>of</w:t>
      </w:r>
      <w:r>
        <w:rPr>
          <w:spacing w:val="-3"/>
        </w:rPr>
        <w:t> </w:t>
      </w:r>
      <w:r>
        <w:rPr/>
        <w:t>housing.</w:t>
      </w:r>
      <w:r>
        <w:rPr>
          <w:spacing w:val="-2"/>
        </w:rPr>
        <w:t> </w:t>
      </w:r>
      <w:r>
        <w:rPr/>
        <w:t>In</w:t>
      </w:r>
      <w:r>
        <w:rPr>
          <w:spacing w:val="-4"/>
        </w:rPr>
        <w:t> </w:t>
      </w:r>
      <w:r>
        <w:rPr/>
        <w:t>T.</w:t>
      </w:r>
      <w:r>
        <w:rPr>
          <w:spacing w:val="-4"/>
        </w:rPr>
        <w:t> </w:t>
      </w:r>
      <w:r>
        <w:rPr/>
        <w:t>Agbola,</w:t>
      </w:r>
      <w:r>
        <w:rPr>
          <w:spacing w:val="-1"/>
        </w:rPr>
        <w:t> </w:t>
      </w:r>
      <w:r>
        <w:rPr/>
        <w:t>L.</w:t>
      </w:r>
      <w:r>
        <w:rPr>
          <w:spacing w:val="-4"/>
        </w:rPr>
        <w:t> </w:t>
      </w:r>
      <w:r>
        <w:rPr/>
        <w:t>Egunjobi, &amp; C. O. Olatubara (Eds.), </w:t>
      </w:r>
      <w:r>
        <w:rPr>
          <w:i/>
        </w:rPr>
        <w:t>Housing Development and Management. A book of readings </w:t>
      </w:r>
      <w:r>
        <w:rPr/>
        <w:t>(pp. 107–149). Ibadan: Department of Urban and Regional Planning, Faculty of Social sciences, University of Ibadan, Nigeria.</w:t>
      </w:r>
    </w:p>
    <w:p>
      <w:pPr>
        <w:pStyle w:val="BodyText"/>
        <w:spacing w:before="199"/>
        <w:ind w:left="1025" w:right="511" w:hanging="720"/>
      </w:pPr>
      <w:r>
        <w:rPr/>
        <w:t>Ahlfeldt, G. (2011). If Alonso was right: Modeling accessibility and explaining the residential land gradient. </w:t>
      </w:r>
      <w:r>
        <w:rPr>
          <w:i/>
        </w:rPr>
        <w:t>Journal of Regional Science</w:t>
      </w:r>
      <w:r>
        <w:rPr/>
        <w:t>, </w:t>
      </w:r>
      <w:r>
        <w:rPr>
          <w:i/>
        </w:rPr>
        <w:t>51</w:t>
      </w:r>
      <w:r>
        <w:rPr/>
        <w:t>(2), 318–338. </w:t>
      </w:r>
      <w:r>
        <w:rPr>
          <w:spacing w:val="-2"/>
        </w:rPr>
        <w:t>https://doi.org/10.1111/j.1467-9787.2010.00694.x</w:t>
      </w:r>
    </w:p>
    <w:p>
      <w:pPr>
        <w:pStyle w:val="BodyText"/>
        <w:spacing w:before="203"/>
        <w:ind w:left="1025" w:right="510" w:hanging="720"/>
      </w:pPr>
      <w:r>
        <w:rPr/>
        <w:t>Ajayi, M. T. A., Nuhu, M. B., Bello, M. Z., Shuaib, S. I., Owoyele, G., Onuigbo, I., … Alias, A. (2015). A GIS based assessment of the relationship between housing conditions</w:t>
      </w:r>
      <w:r>
        <w:rPr>
          <w:spacing w:val="-9"/>
        </w:rPr>
        <w:t> </w:t>
      </w:r>
      <w:r>
        <w:rPr/>
        <w:t>and</w:t>
      </w:r>
      <w:r>
        <w:rPr>
          <w:spacing w:val="-11"/>
        </w:rPr>
        <w:t> </w:t>
      </w:r>
      <w:r>
        <w:rPr/>
        <w:t>rental</w:t>
      </w:r>
      <w:r>
        <w:rPr>
          <w:spacing w:val="-11"/>
        </w:rPr>
        <w:t> </w:t>
      </w:r>
      <w:r>
        <w:rPr/>
        <w:t>value</w:t>
      </w:r>
      <w:r>
        <w:rPr>
          <w:spacing w:val="-11"/>
        </w:rPr>
        <w:t> </w:t>
      </w:r>
      <w:r>
        <w:rPr/>
        <w:t>in</w:t>
      </w:r>
      <w:r>
        <w:rPr>
          <w:spacing w:val="-10"/>
        </w:rPr>
        <w:t> </w:t>
      </w:r>
      <w:r>
        <w:rPr/>
        <w:t>government</w:t>
      </w:r>
      <w:r>
        <w:rPr>
          <w:spacing w:val="-10"/>
        </w:rPr>
        <w:t> </w:t>
      </w:r>
      <w:r>
        <w:rPr/>
        <w:t>built</w:t>
      </w:r>
      <w:r>
        <w:rPr>
          <w:spacing w:val="-10"/>
        </w:rPr>
        <w:t> </w:t>
      </w:r>
      <w:r>
        <w:rPr/>
        <w:t>housing</w:t>
      </w:r>
      <w:r>
        <w:rPr>
          <w:spacing w:val="-13"/>
        </w:rPr>
        <w:t> </w:t>
      </w:r>
      <w:r>
        <w:rPr/>
        <w:t>estates</w:t>
      </w:r>
      <w:r>
        <w:rPr>
          <w:spacing w:val="-9"/>
        </w:rPr>
        <w:t> </w:t>
      </w:r>
      <w:r>
        <w:rPr/>
        <w:t>in</w:t>
      </w:r>
      <w:r>
        <w:rPr>
          <w:spacing w:val="-10"/>
        </w:rPr>
        <w:t> </w:t>
      </w:r>
      <w:r>
        <w:rPr/>
        <w:t>Minna.</w:t>
      </w:r>
      <w:r>
        <w:rPr>
          <w:spacing w:val="-10"/>
        </w:rPr>
        <w:t> </w:t>
      </w:r>
      <w:r>
        <w:rPr>
          <w:i/>
        </w:rPr>
        <w:t>Journal of Building Performance</w:t>
      </w:r>
      <w:r>
        <w:rPr/>
        <w:t>, </w:t>
      </w:r>
      <w:r>
        <w:rPr>
          <w:i/>
        </w:rPr>
        <w:t>6</w:t>
      </w:r>
      <w:r>
        <w:rPr/>
        <w:t>(1), 50–62.</w:t>
      </w:r>
    </w:p>
    <w:p>
      <w:pPr>
        <w:pStyle w:val="BodyText"/>
        <w:spacing w:before="199"/>
        <w:ind w:left="1025" w:right="514" w:hanging="720"/>
      </w:pPr>
      <w:r>
        <w:rPr/>
        <w:t>Alarima,</w:t>
      </w:r>
      <w:r>
        <w:rPr>
          <w:spacing w:val="-11"/>
        </w:rPr>
        <w:t> </w:t>
      </w:r>
      <w:r>
        <w:rPr/>
        <w:t>C.</w:t>
      </w:r>
      <w:r>
        <w:rPr>
          <w:spacing w:val="-8"/>
        </w:rPr>
        <w:t> </w:t>
      </w:r>
      <w:r>
        <w:rPr/>
        <w:t>I.,</w:t>
      </w:r>
      <w:r>
        <w:rPr>
          <w:spacing w:val="-11"/>
        </w:rPr>
        <w:t> </w:t>
      </w:r>
      <w:r>
        <w:rPr/>
        <w:t>Fabusoro,</w:t>
      </w:r>
      <w:r>
        <w:rPr>
          <w:spacing w:val="-11"/>
        </w:rPr>
        <w:t> </w:t>
      </w:r>
      <w:r>
        <w:rPr/>
        <w:t>E.,</w:t>
      </w:r>
      <w:r>
        <w:rPr>
          <w:spacing w:val="-11"/>
        </w:rPr>
        <w:t> </w:t>
      </w:r>
      <w:r>
        <w:rPr/>
        <w:t>Kolawole,</w:t>
      </w:r>
      <w:r>
        <w:rPr>
          <w:spacing w:val="-11"/>
        </w:rPr>
        <w:t> </w:t>
      </w:r>
      <w:r>
        <w:rPr/>
        <w:t>A.,</w:t>
      </w:r>
      <w:r>
        <w:rPr>
          <w:spacing w:val="-11"/>
        </w:rPr>
        <w:t> </w:t>
      </w:r>
      <w:r>
        <w:rPr/>
        <w:t>Uzoma,</w:t>
      </w:r>
      <w:r>
        <w:rPr>
          <w:spacing w:val="-11"/>
        </w:rPr>
        <w:t> </w:t>
      </w:r>
      <w:r>
        <w:rPr/>
        <w:t>K.</w:t>
      </w:r>
      <w:r>
        <w:rPr>
          <w:spacing w:val="-11"/>
        </w:rPr>
        <w:t> </w:t>
      </w:r>
      <w:r>
        <w:rPr/>
        <w:t>C.,</w:t>
      </w:r>
      <w:r>
        <w:rPr>
          <w:spacing w:val="-11"/>
        </w:rPr>
        <w:t> </w:t>
      </w:r>
      <w:r>
        <w:rPr/>
        <w:t>Aromolaran,</w:t>
      </w:r>
      <w:r>
        <w:rPr>
          <w:spacing w:val="-11"/>
        </w:rPr>
        <w:t> </w:t>
      </w:r>
      <w:r>
        <w:rPr/>
        <w:t>A.</w:t>
      </w:r>
      <w:r>
        <w:rPr>
          <w:spacing w:val="-14"/>
        </w:rPr>
        <w:t> </w:t>
      </w:r>
      <w:r>
        <w:rPr/>
        <w:t>K.,</w:t>
      </w:r>
      <w:r>
        <w:rPr>
          <w:spacing w:val="-11"/>
        </w:rPr>
        <w:t> </w:t>
      </w:r>
      <w:r>
        <w:rPr/>
        <w:t>Masunaga, T., &amp; Wakatsuki, T. (2012). Land rights and rental systems: implications for management of</w:t>
      </w:r>
      <w:r>
        <w:rPr>
          <w:spacing w:val="-1"/>
        </w:rPr>
        <w:t> </w:t>
      </w:r>
      <w:r>
        <w:rPr/>
        <w:t>conflicts related to land in sawah- based rice</w:t>
      </w:r>
      <w:r>
        <w:rPr>
          <w:spacing w:val="-1"/>
        </w:rPr>
        <w:t> </w:t>
      </w:r>
      <w:r>
        <w:rPr/>
        <w:t>production systems in Nigeria. </w:t>
      </w:r>
      <w:r>
        <w:rPr>
          <w:i/>
        </w:rPr>
        <w:t>African Study Monographs</w:t>
      </w:r>
      <w:r>
        <w:rPr/>
        <w:t>, </w:t>
      </w:r>
      <w:r>
        <w:rPr>
          <w:i/>
        </w:rPr>
        <w:t>33</w:t>
      </w:r>
      <w:r>
        <w:rPr/>
        <w:t>(3), 189–208.</w:t>
      </w:r>
    </w:p>
    <w:p>
      <w:pPr>
        <w:spacing w:line="240" w:lineRule="auto" w:before="199"/>
        <w:ind w:left="1025" w:right="515" w:hanging="720"/>
        <w:jc w:val="both"/>
        <w:rPr>
          <w:sz w:val="24"/>
        </w:rPr>
      </w:pPr>
      <w:r>
        <w:rPr>
          <w:sz w:val="24"/>
        </w:rPr>
        <w:t>Albawi, S., Mohammed, T. A., &amp;</w:t>
      </w:r>
      <w:r>
        <w:rPr>
          <w:spacing w:val="-1"/>
          <w:sz w:val="24"/>
        </w:rPr>
        <w:t> </w:t>
      </w:r>
      <w:r>
        <w:rPr>
          <w:sz w:val="24"/>
        </w:rPr>
        <w:t>Al-Zawi, S. (2017). Understanding</w:t>
      </w:r>
      <w:r>
        <w:rPr>
          <w:spacing w:val="-1"/>
          <w:sz w:val="24"/>
        </w:rPr>
        <w:t> </w:t>
      </w:r>
      <w:r>
        <w:rPr>
          <w:sz w:val="24"/>
        </w:rPr>
        <w:t>of a convolutional neural network. </w:t>
      </w:r>
      <w:r>
        <w:rPr>
          <w:i/>
          <w:sz w:val="24"/>
        </w:rPr>
        <w:t>2017 International Conference on Engineering and Technology (ICET)</w:t>
      </w:r>
      <w:r>
        <w:rPr>
          <w:sz w:val="24"/>
        </w:rPr>
        <w:t>, 1–6. https://doi.org/10.1109/ICEngTechnol.2017.8308186</w:t>
      </w:r>
    </w:p>
    <w:p>
      <w:pPr>
        <w:spacing w:line="242" w:lineRule="auto" w:before="202"/>
        <w:ind w:left="1025" w:right="515" w:hanging="720"/>
        <w:jc w:val="both"/>
        <w:rPr>
          <w:sz w:val="24"/>
        </w:rPr>
      </w:pPr>
      <w:r>
        <w:rPr>
          <w:sz w:val="24"/>
        </w:rPr>
        <w:t>Alexander, E. R. (1993). Density measures: A review and analysis. </w:t>
      </w:r>
      <w:r>
        <w:rPr>
          <w:i/>
          <w:sz w:val="24"/>
        </w:rPr>
        <w:t>Journal of Architectural and Planning Research</w:t>
      </w:r>
      <w:r>
        <w:rPr>
          <w:sz w:val="24"/>
        </w:rPr>
        <w:t>, </w:t>
      </w:r>
      <w:r>
        <w:rPr>
          <w:i/>
          <w:sz w:val="24"/>
        </w:rPr>
        <w:t>10</w:t>
      </w:r>
      <w:r>
        <w:rPr>
          <w:sz w:val="24"/>
        </w:rPr>
        <w:t>(3), 181–202.</w:t>
      </w:r>
    </w:p>
    <w:p>
      <w:pPr>
        <w:spacing w:line="242" w:lineRule="auto" w:before="194"/>
        <w:ind w:left="1025" w:right="515" w:hanging="720"/>
        <w:jc w:val="both"/>
        <w:rPr>
          <w:sz w:val="24"/>
        </w:rPr>
      </w:pPr>
      <w:r>
        <w:rPr>
          <w:sz w:val="24"/>
        </w:rPr>
        <w:t>Ali, S. S. (2006). </w:t>
      </w:r>
      <w:r>
        <w:rPr>
          <w:i/>
          <w:sz w:val="24"/>
        </w:rPr>
        <w:t>Economic thought of Ibn Khaldun (1332—1406 A. D.) </w:t>
      </w:r>
      <w:r>
        <w:rPr>
          <w:sz w:val="24"/>
        </w:rPr>
        <w:t>[IRTI]. Islamic Development Bank.</w:t>
      </w:r>
    </w:p>
    <w:p>
      <w:pPr>
        <w:spacing w:line="240" w:lineRule="auto" w:before="194"/>
        <w:ind w:left="1025" w:right="516" w:hanging="720"/>
        <w:jc w:val="both"/>
        <w:rPr>
          <w:sz w:val="24"/>
        </w:rPr>
      </w:pPr>
      <w:r>
        <w:rPr>
          <w:sz w:val="24"/>
        </w:rPr>
        <w:t>Aliyu,</w:t>
      </w:r>
      <w:r>
        <w:rPr>
          <w:spacing w:val="-15"/>
          <w:sz w:val="24"/>
        </w:rPr>
        <w:t> </w:t>
      </w:r>
      <w:r>
        <w:rPr>
          <w:sz w:val="24"/>
        </w:rPr>
        <w:t>A.</w:t>
      </w:r>
      <w:r>
        <w:rPr>
          <w:spacing w:val="-14"/>
          <w:sz w:val="24"/>
        </w:rPr>
        <w:t> </w:t>
      </w:r>
      <w:r>
        <w:rPr>
          <w:sz w:val="24"/>
        </w:rPr>
        <w:t>A.</w:t>
      </w:r>
      <w:r>
        <w:rPr>
          <w:spacing w:val="-14"/>
          <w:sz w:val="24"/>
        </w:rPr>
        <w:t> </w:t>
      </w:r>
      <w:r>
        <w:rPr>
          <w:sz w:val="24"/>
        </w:rPr>
        <w:t>(2012).</w:t>
      </w:r>
      <w:r>
        <w:rPr>
          <w:spacing w:val="-15"/>
          <w:sz w:val="24"/>
        </w:rPr>
        <w:t> </w:t>
      </w:r>
      <w:r>
        <w:rPr>
          <w:i/>
          <w:sz w:val="24"/>
        </w:rPr>
        <w:t>Impact</w:t>
      </w:r>
      <w:r>
        <w:rPr>
          <w:i/>
          <w:spacing w:val="-15"/>
          <w:sz w:val="24"/>
        </w:rPr>
        <w:t> </w:t>
      </w:r>
      <w:r>
        <w:rPr>
          <w:i/>
          <w:sz w:val="24"/>
        </w:rPr>
        <w:t>of</w:t>
      </w:r>
      <w:r>
        <w:rPr>
          <w:i/>
          <w:spacing w:val="-15"/>
          <w:sz w:val="24"/>
        </w:rPr>
        <w:t> </w:t>
      </w:r>
      <w:r>
        <w:rPr>
          <w:i/>
          <w:sz w:val="24"/>
        </w:rPr>
        <w:t>intangible</w:t>
      </w:r>
      <w:r>
        <w:rPr>
          <w:i/>
          <w:spacing w:val="-15"/>
          <w:sz w:val="24"/>
        </w:rPr>
        <w:t> </w:t>
      </w:r>
      <w:r>
        <w:rPr>
          <w:i/>
          <w:sz w:val="24"/>
        </w:rPr>
        <w:t>location</w:t>
      </w:r>
      <w:r>
        <w:rPr>
          <w:i/>
          <w:spacing w:val="-13"/>
          <w:sz w:val="24"/>
        </w:rPr>
        <w:t> </w:t>
      </w:r>
      <w:r>
        <w:rPr>
          <w:i/>
          <w:sz w:val="24"/>
        </w:rPr>
        <w:t>attributes</w:t>
      </w:r>
      <w:r>
        <w:rPr>
          <w:i/>
          <w:spacing w:val="-15"/>
          <w:sz w:val="24"/>
        </w:rPr>
        <w:t> </w:t>
      </w:r>
      <w:r>
        <w:rPr>
          <w:i/>
          <w:sz w:val="24"/>
        </w:rPr>
        <w:t>on</w:t>
      </w:r>
      <w:r>
        <w:rPr>
          <w:i/>
          <w:spacing w:val="-15"/>
          <w:sz w:val="24"/>
        </w:rPr>
        <w:t> </w:t>
      </w:r>
      <w:r>
        <w:rPr>
          <w:i/>
          <w:sz w:val="24"/>
        </w:rPr>
        <w:t>residential</w:t>
      </w:r>
      <w:r>
        <w:rPr>
          <w:i/>
          <w:spacing w:val="-15"/>
          <w:sz w:val="24"/>
        </w:rPr>
        <w:t> </w:t>
      </w:r>
      <w:r>
        <w:rPr>
          <w:i/>
          <w:sz w:val="24"/>
        </w:rPr>
        <w:t>property</w:t>
      </w:r>
      <w:r>
        <w:rPr>
          <w:i/>
          <w:spacing w:val="-15"/>
          <w:sz w:val="24"/>
        </w:rPr>
        <w:t> </w:t>
      </w:r>
      <w:r>
        <w:rPr>
          <w:i/>
          <w:sz w:val="24"/>
        </w:rPr>
        <w:t>value in Nigeria </w:t>
      </w:r>
      <w:r>
        <w:rPr>
          <w:sz w:val="24"/>
        </w:rPr>
        <w:t>(PhD Thesis, Universiti Tun Hussein Onn Malaysia). Retrieved from </w:t>
      </w:r>
      <w:hyperlink r:id="rId45">
        <w:r>
          <w:rPr>
            <w:spacing w:val="-2"/>
            <w:sz w:val="24"/>
          </w:rPr>
          <w:t>http://eprints.uthm.edu.my/2913/</w:t>
        </w:r>
      </w:hyperlink>
    </w:p>
    <w:p>
      <w:pPr>
        <w:spacing w:after="0" w:line="240" w:lineRule="auto"/>
        <w:jc w:val="both"/>
        <w:rPr>
          <w:sz w:val="24"/>
        </w:rPr>
        <w:sectPr>
          <w:pgSz w:w="11910" w:h="16840"/>
          <w:pgMar w:header="0" w:footer="1022" w:top="1320" w:bottom="1220" w:left="1680" w:right="900"/>
        </w:sectPr>
      </w:pPr>
    </w:p>
    <w:p>
      <w:pPr>
        <w:spacing w:line="242" w:lineRule="auto" w:before="72"/>
        <w:ind w:left="1025" w:right="516" w:hanging="720"/>
        <w:jc w:val="both"/>
        <w:rPr>
          <w:sz w:val="24"/>
        </w:rPr>
      </w:pPr>
      <w:r>
        <w:rPr>
          <w:sz w:val="24"/>
        </w:rPr>
        <w:t>Alkali, M. A., Sipan, I., &amp; Razali, M. N. (2018). An overview of macro-economic determinants</w:t>
      </w:r>
      <w:r>
        <w:rPr>
          <w:spacing w:val="-3"/>
          <w:sz w:val="24"/>
        </w:rPr>
        <w:t> </w:t>
      </w:r>
      <w:r>
        <w:rPr>
          <w:sz w:val="24"/>
        </w:rPr>
        <w:t>of</w:t>
      </w:r>
      <w:r>
        <w:rPr>
          <w:spacing w:val="-3"/>
          <w:sz w:val="24"/>
        </w:rPr>
        <w:t> </w:t>
      </w:r>
      <w:r>
        <w:rPr>
          <w:sz w:val="24"/>
        </w:rPr>
        <w:t>real</w:t>
      </w:r>
      <w:r>
        <w:rPr>
          <w:spacing w:val="-2"/>
          <w:sz w:val="24"/>
        </w:rPr>
        <w:t> </w:t>
      </w:r>
      <w:r>
        <w:rPr>
          <w:sz w:val="24"/>
        </w:rPr>
        <w:t>estate</w:t>
      </w:r>
      <w:r>
        <w:rPr>
          <w:spacing w:val="-5"/>
          <w:sz w:val="24"/>
        </w:rPr>
        <w:t> </w:t>
      </w:r>
      <w:r>
        <w:rPr>
          <w:sz w:val="24"/>
        </w:rPr>
        <w:t>price</w:t>
      </w:r>
      <w:r>
        <w:rPr>
          <w:spacing w:val="-4"/>
          <w:sz w:val="24"/>
        </w:rPr>
        <w:t> </w:t>
      </w:r>
      <w:r>
        <w:rPr>
          <w:sz w:val="24"/>
        </w:rPr>
        <w:t>in</w:t>
      </w:r>
      <w:r>
        <w:rPr>
          <w:spacing w:val="-4"/>
          <w:sz w:val="24"/>
        </w:rPr>
        <w:t> </w:t>
      </w:r>
      <w:r>
        <w:rPr>
          <w:sz w:val="24"/>
        </w:rPr>
        <w:t>Nigeria.</w:t>
      </w:r>
      <w:r>
        <w:rPr>
          <w:spacing w:val="-4"/>
          <w:sz w:val="24"/>
        </w:rPr>
        <w:t> </w:t>
      </w:r>
      <w:r>
        <w:rPr>
          <w:i/>
          <w:sz w:val="24"/>
        </w:rPr>
        <w:t>International</w:t>
      </w:r>
      <w:r>
        <w:rPr>
          <w:i/>
          <w:spacing w:val="-4"/>
          <w:sz w:val="24"/>
        </w:rPr>
        <w:t> </w:t>
      </w:r>
      <w:r>
        <w:rPr>
          <w:i/>
          <w:sz w:val="24"/>
        </w:rPr>
        <w:t>Journal</w:t>
      </w:r>
      <w:r>
        <w:rPr>
          <w:i/>
          <w:spacing w:val="-4"/>
          <w:sz w:val="24"/>
        </w:rPr>
        <w:t> </w:t>
      </w:r>
      <w:r>
        <w:rPr>
          <w:i/>
          <w:sz w:val="24"/>
        </w:rPr>
        <w:t>of</w:t>
      </w:r>
      <w:r>
        <w:rPr>
          <w:i/>
          <w:spacing w:val="-4"/>
          <w:sz w:val="24"/>
        </w:rPr>
        <w:t> </w:t>
      </w:r>
      <w:r>
        <w:rPr>
          <w:i/>
          <w:sz w:val="24"/>
        </w:rPr>
        <w:t>Engineering &amp; Technology</w:t>
      </w:r>
      <w:r>
        <w:rPr>
          <w:sz w:val="24"/>
        </w:rPr>
        <w:t>, </w:t>
      </w:r>
      <w:r>
        <w:rPr>
          <w:i/>
          <w:sz w:val="24"/>
        </w:rPr>
        <w:t>7</w:t>
      </w:r>
      <w:r>
        <w:rPr>
          <w:sz w:val="24"/>
        </w:rPr>
        <w:t>(3), 484–488.</w:t>
      </w:r>
    </w:p>
    <w:p>
      <w:pPr>
        <w:spacing w:line="240" w:lineRule="auto" w:before="191"/>
        <w:ind w:left="1025" w:right="511" w:hanging="720"/>
        <w:jc w:val="both"/>
        <w:rPr>
          <w:sz w:val="24"/>
        </w:rPr>
      </w:pPr>
      <w:r>
        <w:rPr>
          <w:sz w:val="24"/>
        </w:rPr>
        <w:t>Alonso, W. (1964). </w:t>
      </w:r>
      <w:r>
        <w:rPr>
          <w:i/>
          <w:sz w:val="24"/>
        </w:rPr>
        <w:t>Location and land use: Toward a general theory of land rent. Publication</w:t>
      </w:r>
      <w:r>
        <w:rPr>
          <w:i/>
          <w:spacing w:val="-15"/>
          <w:sz w:val="24"/>
        </w:rPr>
        <w:t> </w:t>
      </w:r>
      <w:r>
        <w:rPr>
          <w:i/>
          <w:sz w:val="24"/>
        </w:rPr>
        <w:t>of</w:t>
      </w:r>
      <w:r>
        <w:rPr>
          <w:i/>
          <w:spacing w:val="-15"/>
          <w:sz w:val="24"/>
        </w:rPr>
        <w:t> </w:t>
      </w:r>
      <w:r>
        <w:rPr>
          <w:i/>
          <w:sz w:val="24"/>
        </w:rPr>
        <w:t>the</w:t>
      </w:r>
      <w:r>
        <w:rPr>
          <w:i/>
          <w:spacing w:val="-15"/>
          <w:sz w:val="24"/>
        </w:rPr>
        <w:t> </w:t>
      </w:r>
      <w:r>
        <w:rPr>
          <w:i/>
          <w:sz w:val="24"/>
        </w:rPr>
        <w:t>Joint</w:t>
      </w:r>
      <w:r>
        <w:rPr>
          <w:i/>
          <w:spacing w:val="-15"/>
          <w:sz w:val="24"/>
        </w:rPr>
        <w:t> </w:t>
      </w:r>
      <w:r>
        <w:rPr>
          <w:i/>
          <w:sz w:val="24"/>
        </w:rPr>
        <w:t>Center</w:t>
      </w:r>
      <w:r>
        <w:rPr>
          <w:i/>
          <w:spacing w:val="-15"/>
          <w:sz w:val="24"/>
        </w:rPr>
        <w:t> </w:t>
      </w:r>
      <w:r>
        <w:rPr>
          <w:i/>
          <w:sz w:val="24"/>
        </w:rPr>
        <w:t>for</w:t>
      </w:r>
      <w:r>
        <w:rPr>
          <w:i/>
          <w:spacing w:val="-15"/>
          <w:sz w:val="24"/>
        </w:rPr>
        <w:t> </w:t>
      </w:r>
      <w:r>
        <w:rPr>
          <w:i/>
          <w:sz w:val="24"/>
        </w:rPr>
        <w:t>Urban</w:t>
      </w:r>
      <w:r>
        <w:rPr>
          <w:i/>
          <w:spacing w:val="-15"/>
          <w:sz w:val="24"/>
        </w:rPr>
        <w:t> </w:t>
      </w:r>
      <w:r>
        <w:rPr>
          <w:i/>
          <w:sz w:val="24"/>
        </w:rPr>
        <w:t>Studies</w:t>
      </w:r>
      <w:r>
        <w:rPr>
          <w:sz w:val="24"/>
        </w:rPr>
        <w:t>.</w:t>
      </w:r>
      <w:r>
        <w:rPr>
          <w:spacing w:val="-15"/>
          <w:sz w:val="24"/>
        </w:rPr>
        <w:t> </w:t>
      </w:r>
      <w:r>
        <w:rPr>
          <w:sz w:val="24"/>
        </w:rPr>
        <w:t>Cambridge:</w:t>
      </w:r>
      <w:r>
        <w:rPr>
          <w:spacing w:val="-15"/>
          <w:sz w:val="24"/>
        </w:rPr>
        <w:t> </w:t>
      </w:r>
      <w:r>
        <w:rPr>
          <w:sz w:val="24"/>
        </w:rPr>
        <w:t>Harvard</w:t>
      </w:r>
      <w:r>
        <w:rPr>
          <w:spacing w:val="-15"/>
          <w:sz w:val="24"/>
        </w:rPr>
        <w:t> </w:t>
      </w:r>
      <w:r>
        <w:rPr>
          <w:sz w:val="24"/>
        </w:rPr>
        <w:t>University </w:t>
      </w:r>
      <w:r>
        <w:rPr>
          <w:spacing w:val="-2"/>
          <w:sz w:val="24"/>
        </w:rPr>
        <w:t>Press.</w:t>
      </w:r>
    </w:p>
    <w:p>
      <w:pPr>
        <w:pStyle w:val="BodyText"/>
        <w:spacing w:before="199"/>
        <w:ind w:left="1025" w:right="514" w:hanging="720"/>
      </w:pPr>
      <w:r>
        <w:rPr/>
        <w:t>Amer, M., Mustafa, A., Teller, J., Attia, S., &amp; Reiter, S. (2017). A methodology to determine</w:t>
      </w:r>
      <w:r>
        <w:rPr>
          <w:spacing w:val="-1"/>
        </w:rPr>
        <w:t> </w:t>
      </w:r>
      <w:r>
        <w:rPr/>
        <w:t>the potential of</w:t>
      </w:r>
      <w:r>
        <w:rPr>
          <w:spacing w:val="-1"/>
        </w:rPr>
        <w:t> </w:t>
      </w:r>
      <w:r>
        <w:rPr/>
        <w:t>urban densification through roof</w:t>
      </w:r>
      <w:r>
        <w:rPr>
          <w:spacing w:val="-1"/>
        </w:rPr>
        <w:t> </w:t>
      </w:r>
      <w:r>
        <w:rPr/>
        <w:t>stacking. </w:t>
      </w:r>
      <w:r>
        <w:rPr>
          <w:i/>
        </w:rPr>
        <w:t>Sustainable Cities and Society</w:t>
      </w:r>
      <w:r>
        <w:rPr/>
        <w:t>, </w:t>
      </w:r>
      <w:r>
        <w:rPr>
          <w:i/>
        </w:rPr>
        <w:t>35</w:t>
      </w:r>
      <w:r>
        <w:rPr/>
        <w:t>, 677–691. https://doi.org/10.1016/j.scs.2017.09.021</w:t>
      </w:r>
    </w:p>
    <w:p>
      <w:pPr>
        <w:pStyle w:val="BodyText"/>
        <w:spacing w:before="202"/>
        <w:ind w:left="1025" w:right="511" w:hanging="720"/>
      </w:pPr>
      <w:r>
        <w:rPr/>
        <w:t>Anselin,</w:t>
      </w:r>
      <w:r>
        <w:rPr>
          <w:spacing w:val="-5"/>
        </w:rPr>
        <w:t> </w:t>
      </w:r>
      <w:r>
        <w:rPr/>
        <w:t>L.,</w:t>
      </w:r>
      <w:r>
        <w:rPr>
          <w:spacing w:val="-5"/>
        </w:rPr>
        <w:t> </w:t>
      </w:r>
      <w:r>
        <w:rPr/>
        <w:t>&amp;</w:t>
      </w:r>
      <w:r>
        <w:rPr>
          <w:spacing w:val="-7"/>
        </w:rPr>
        <w:t> </w:t>
      </w:r>
      <w:r>
        <w:rPr/>
        <w:t>Le</w:t>
      </w:r>
      <w:r>
        <w:rPr>
          <w:spacing w:val="-6"/>
        </w:rPr>
        <w:t> </w:t>
      </w:r>
      <w:r>
        <w:rPr/>
        <w:t>Gallo,</w:t>
      </w:r>
      <w:r>
        <w:rPr>
          <w:spacing w:val="-5"/>
        </w:rPr>
        <w:t> </w:t>
      </w:r>
      <w:r>
        <w:rPr/>
        <w:t>J.</w:t>
      </w:r>
      <w:r>
        <w:rPr>
          <w:spacing w:val="-7"/>
        </w:rPr>
        <w:t> </w:t>
      </w:r>
      <w:r>
        <w:rPr/>
        <w:t>(2006).</w:t>
      </w:r>
      <w:r>
        <w:rPr>
          <w:spacing w:val="-6"/>
        </w:rPr>
        <w:t> </w:t>
      </w:r>
      <w:r>
        <w:rPr/>
        <w:t>Interpolation</w:t>
      </w:r>
      <w:r>
        <w:rPr>
          <w:spacing w:val="-7"/>
        </w:rPr>
        <w:t> </w:t>
      </w:r>
      <w:r>
        <w:rPr/>
        <w:t>of</w:t>
      </w:r>
      <w:r>
        <w:rPr>
          <w:spacing w:val="-5"/>
        </w:rPr>
        <w:t> </w:t>
      </w:r>
      <w:r>
        <w:rPr/>
        <w:t>air</w:t>
      </w:r>
      <w:r>
        <w:rPr>
          <w:spacing w:val="-5"/>
        </w:rPr>
        <w:t> </w:t>
      </w:r>
      <w:r>
        <w:rPr/>
        <w:t>quality</w:t>
      </w:r>
      <w:r>
        <w:rPr>
          <w:spacing w:val="-10"/>
        </w:rPr>
        <w:t> </w:t>
      </w:r>
      <w:r>
        <w:rPr/>
        <w:t>measures</w:t>
      </w:r>
      <w:r>
        <w:rPr>
          <w:spacing w:val="-6"/>
        </w:rPr>
        <w:t> </w:t>
      </w:r>
      <w:r>
        <w:rPr/>
        <w:t>in</w:t>
      </w:r>
      <w:r>
        <w:rPr>
          <w:spacing w:val="-4"/>
        </w:rPr>
        <w:t> </w:t>
      </w:r>
      <w:r>
        <w:rPr/>
        <w:t>hedonic</w:t>
      </w:r>
      <w:r>
        <w:rPr>
          <w:spacing w:val="-8"/>
        </w:rPr>
        <w:t> </w:t>
      </w:r>
      <w:r>
        <w:rPr/>
        <w:t>house price models: Spatial aspects. </w:t>
      </w:r>
      <w:r>
        <w:rPr>
          <w:i/>
        </w:rPr>
        <w:t>Spatial Economic Analysis</w:t>
      </w:r>
      <w:r>
        <w:rPr/>
        <w:t>, </w:t>
      </w:r>
      <w:r>
        <w:rPr>
          <w:i/>
        </w:rPr>
        <w:t>1</w:t>
      </w:r>
      <w:r>
        <w:rPr/>
        <w:t>(1), 31–52. </w:t>
      </w:r>
      <w:r>
        <w:rPr>
          <w:spacing w:val="-2"/>
        </w:rPr>
        <w:t>https://doi.org/10.1080/17421770600661337</w:t>
      </w:r>
    </w:p>
    <w:p>
      <w:pPr>
        <w:pStyle w:val="BodyText"/>
        <w:spacing w:before="200"/>
        <w:ind w:left="1025" w:right="513" w:hanging="720"/>
      </w:pPr>
      <w:r>
        <w:rPr/>
        <w:t>Antoniucci, V., &amp; Marella, G. (2017a). Immigrants and the city: The relevance of immigration on housing price gradient. </w:t>
      </w:r>
      <w:r>
        <w:rPr>
          <w:i/>
        </w:rPr>
        <w:t>Buildings</w:t>
      </w:r>
      <w:r>
        <w:rPr/>
        <w:t>, </w:t>
      </w:r>
      <w:r>
        <w:rPr>
          <w:i/>
        </w:rPr>
        <w:t>7</w:t>
      </w:r>
      <w:r>
        <w:rPr/>
        <w:t>(4), 2–14. </w:t>
      </w:r>
      <w:r>
        <w:rPr>
          <w:spacing w:val="-2"/>
        </w:rPr>
        <w:t>https://doi.org/10.3390/buildings7040091</w:t>
      </w:r>
    </w:p>
    <w:p>
      <w:pPr>
        <w:pStyle w:val="BodyText"/>
        <w:spacing w:before="199"/>
        <w:ind w:left="1025" w:right="511" w:hanging="720"/>
      </w:pPr>
      <w:r>
        <w:rPr/>
        <w:t>Antoniucci, V., &amp; Marella, G. (2017b). Is social polarization related to urban density? Evidence from the Italian housing market. </w:t>
      </w:r>
      <w:r>
        <w:rPr>
          <w:i/>
        </w:rPr>
        <w:t>Landscape and Urban Planning</w:t>
      </w:r>
      <w:r>
        <w:rPr/>
        <w:t>. </w:t>
      </w:r>
      <w:r>
        <w:rPr>
          <w:spacing w:val="-2"/>
        </w:rPr>
        <w:t>https://doi.org/10.1016/j.landurbplan.2017.08.012</w:t>
      </w:r>
    </w:p>
    <w:p>
      <w:pPr>
        <w:pStyle w:val="BodyText"/>
        <w:spacing w:before="202"/>
        <w:ind w:left="1025" w:right="511" w:hanging="720"/>
      </w:pPr>
      <w:r>
        <w:rPr/>
        <w:t>Antoniucci, V., &amp; Marella, G. (2018). Is social polarization related to urban density? Evidence from the Italian housing</w:t>
      </w:r>
      <w:r>
        <w:rPr>
          <w:spacing w:val="-1"/>
        </w:rPr>
        <w:t> </w:t>
      </w:r>
      <w:r>
        <w:rPr/>
        <w:t>market. </w:t>
      </w:r>
      <w:r>
        <w:rPr>
          <w:i/>
        </w:rPr>
        <w:t>Landscape and Urban Planning</w:t>
      </w:r>
      <w:r>
        <w:rPr/>
        <w:t>, </w:t>
      </w:r>
      <w:r>
        <w:rPr>
          <w:i/>
        </w:rPr>
        <w:t>177</w:t>
      </w:r>
      <w:r>
        <w:rPr/>
        <w:t>, 340–349. https://doi.org/10.1016/j.landurbplan.2017.08.012</w:t>
      </w:r>
    </w:p>
    <w:p>
      <w:pPr>
        <w:pStyle w:val="BodyText"/>
        <w:spacing w:before="199"/>
        <w:ind w:left="1025" w:right="514" w:hanging="720"/>
      </w:pPr>
      <w:r>
        <w:rPr/>
        <w:t>Archer,</w:t>
      </w:r>
      <w:r>
        <w:rPr>
          <w:spacing w:val="-3"/>
        </w:rPr>
        <w:t> </w:t>
      </w:r>
      <w:r>
        <w:rPr/>
        <w:t>W.</w:t>
      </w:r>
      <w:r>
        <w:rPr>
          <w:spacing w:val="-3"/>
        </w:rPr>
        <w:t> </w:t>
      </w:r>
      <w:r>
        <w:rPr/>
        <w:t>R.,</w:t>
      </w:r>
      <w:r>
        <w:rPr>
          <w:spacing w:val="-3"/>
        </w:rPr>
        <w:t> </w:t>
      </w:r>
      <w:r>
        <w:rPr/>
        <w:t>Ling,</w:t>
      </w:r>
      <w:r>
        <w:rPr>
          <w:spacing w:val="-3"/>
        </w:rPr>
        <w:t> </w:t>
      </w:r>
      <w:r>
        <w:rPr/>
        <w:t>D.</w:t>
      </w:r>
      <w:r>
        <w:rPr>
          <w:spacing w:val="-2"/>
        </w:rPr>
        <w:t> </w:t>
      </w:r>
      <w:r>
        <w:rPr/>
        <w:t>C.,</w:t>
      </w:r>
      <w:r>
        <w:rPr>
          <w:spacing w:val="-3"/>
        </w:rPr>
        <w:t> </w:t>
      </w:r>
      <w:r>
        <w:rPr/>
        <w:t>&amp;</w:t>
      </w:r>
      <w:r>
        <w:rPr>
          <w:spacing w:val="-5"/>
        </w:rPr>
        <w:t> </w:t>
      </w:r>
      <w:r>
        <w:rPr/>
        <w:t>Smith,</w:t>
      </w:r>
      <w:r>
        <w:rPr>
          <w:spacing w:val="-3"/>
        </w:rPr>
        <w:t> </w:t>
      </w:r>
      <w:r>
        <w:rPr/>
        <w:t>B.</w:t>
      </w:r>
      <w:r>
        <w:rPr>
          <w:spacing w:val="-3"/>
        </w:rPr>
        <w:t> </w:t>
      </w:r>
      <w:r>
        <w:rPr/>
        <w:t>C.</w:t>
      </w:r>
      <w:r>
        <w:rPr>
          <w:spacing w:val="-3"/>
        </w:rPr>
        <w:t> </w:t>
      </w:r>
      <w:r>
        <w:rPr/>
        <w:t>(2010).</w:t>
      </w:r>
      <w:r>
        <w:rPr>
          <w:spacing w:val="-3"/>
        </w:rPr>
        <w:t> </w:t>
      </w:r>
      <w:r>
        <w:rPr/>
        <w:t>Ownership duration</w:t>
      </w:r>
      <w:r>
        <w:rPr>
          <w:spacing w:val="-3"/>
        </w:rPr>
        <w:t> </w:t>
      </w:r>
      <w:r>
        <w:rPr/>
        <w:t>in</w:t>
      </w:r>
      <w:r>
        <w:rPr>
          <w:spacing w:val="-3"/>
        </w:rPr>
        <w:t> </w:t>
      </w:r>
      <w:r>
        <w:rPr/>
        <w:t>the</w:t>
      </w:r>
      <w:r>
        <w:rPr>
          <w:spacing w:val="-4"/>
        </w:rPr>
        <w:t> </w:t>
      </w:r>
      <w:r>
        <w:rPr/>
        <w:t>residential housing market: The influence of structure, tenure, household and neighborhood factors. </w:t>
      </w:r>
      <w:r>
        <w:rPr>
          <w:i/>
        </w:rPr>
        <w:t>The Journal of Real Estate Finance and Economics</w:t>
      </w:r>
      <w:r>
        <w:rPr/>
        <w:t>, </w:t>
      </w:r>
      <w:r>
        <w:rPr>
          <w:i/>
        </w:rPr>
        <w:t>40</w:t>
      </w:r>
      <w:r>
        <w:rPr/>
        <w:t>(1), 41–61. </w:t>
      </w:r>
      <w:r>
        <w:rPr>
          <w:spacing w:val="-2"/>
        </w:rPr>
        <w:t>https://doi.org/10.1007/s11146-008-9126-2</w:t>
      </w:r>
    </w:p>
    <w:p>
      <w:pPr>
        <w:spacing w:line="240" w:lineRule="auto" w:before="200"/>
        <w:ind w:left="1025" w:right="516" w:hanging="720"/>
        <w:jc w:val="both"/>
        <w:rPr>
          <w:sz w:val="24"/>
        </w:rPr>
      </w:pPr>
      <w:r>
        <w:rPr>
          <w:sz w:val="24"/>
        </w:rPr>
        <w:t>Asian Development Bank. (2012). </w:t>
      </w:r>
      <w:r>
        <w:rPr>
          <w:i/>
          <w:sz w:val="24"/>
        </w:rPr>
        <w:t>The State of Pacific Towns and Cities: Urbanization in ADB’s Pacific Development Member Countries</w:t>
      </w:r>
      <w:r>
        <w:rPr>
          <w:sz w:val="24"/>
        </w:rPr>
        <w:t>. Manila: Asian Development </w:t>
      </w:r>
      <w:r>
        <w:rPr>
          <w:spacing w:val="-2"/>
          <w:sz w:val="24"/>
        </w:rPr>
        <w:t>Bank.</w:t>
      </w:r>
    </w:p>
    <w:p>
      <w:pPr>
        <w:tabs>
          <w:tab w:pos="3274" w:val="left" w:leader="none"/>
          <w:tab w:pos="5814" w:val="left" w:leader="none"/>
          <w:tab w:pos="8343" w:val="left" w:leader="none"/>
        </w:tabs>
        <w:spacing w:line="240" w:lineRule="auto" w:before="201"/>
        <w:ind w:left="1025" w:right="513" w:hanging="720"/>
        <w:jc w:val="left"/>
        <w:rPr>
          <w:sz w:val="24"/>
        </w:rPr>
      </w:pPr>
      <w:r>
        <w:rPr>
          <w:sz w:val="24"/>
        </w:rPr>
        <w:t>Asian Development Bank. (2015). </w:t>
      </w:r>
      <w:r>
        <w:rPr>
          <w:i/>
          <w:sz w:val="24"/>
        </w:rPr>
        <w:t>‘Revisiting the GMS Economic Corridor Strategies</w:t>
      </w:r>
      <w:r>
        <w:rPr>
          <w:i/>
          <w:spacing w:val="40"/>
          <w:sz w:val="24"/>
        </w:rPr>
        <w:t> </w:t>
      </w:r>
      <w:r>
        <w:rPr>
          <w:i/>
          <w:sz w:val="24"/>
        </w:rPr>
        <w:t>and Action Plans’, Discussion Paper Prepared for the 7th Economic Corridors </w:t>
      </w:r>
      <w:r>
        <w:rPr>
          <w:i/>
          <w:spacing w:val="-2"/>
          <w:sz w:val="24"/>
        </w:rPr>
        <w:t>Forum</w:t>
      </w:r>
      <w:r>
        <w:rPr>
          <w:i/>
          <w:sz w:val="24"/>
        </w:rPr>
        <w:tab/>
      </w:r>
      <w:r>
        <w:rPr>
          <w:i/>
          <w:spacing w:val="-2"/>
          <w:sz w:val="24"/>
        </w:rPr>
        <w:t>Kunming</w:t>
      </w:r>
      <w:r>
        <w:rPr>
          <w:spacing w:val="-2"/>
          <w:sz w:val="24"/>
        </w:rPr>
        <w:t>.</w:t>
      </w:r>
      <w:r>
        <w:rPr>
          <w:sz w:val="24"/>
        </w:rPr>
        <w:tab/>
      </w:r>
      <w:r>
        <w:rPr>
          <w:spacing w:val="-2"/>
          <w:sz w:val="24"/>
        </w:rPr>
        <w:t>Retrieved</w:t>
      </w:r>
      <w:r>
        <w:rPr>
          <w:sz w:val="24"/>
        </w:rPr>
        <w:tab/>
      </w:r>
      <w:r>
        <w:rPr>
          <w:spacing w:val="-4"/>
          <w:sz w:val="24"/>
        </w:rPr>
        <w:t>from </w:t>
      </w:r>
      <w:hyperlink r:id="rId46">
        <w:r>
          <w:rPr>
            <w:spacing w:val="-2"/>
            <w:sz w:val="24"/>
          </w:rPr>
          <w:t>http://www.adb.org/sites/default/files/related/33507/revisiting-the-gms-</w:t>
        </w:r>
      </w:hyperlink>
      <w:r>
        <w:rPr>
          <w:spacing w:val="80"/>
          <w:sz w:val="24"/>
        </w:rPr>
        <w:t> </w:t>
      </w:r>
      <w:r>
        <w:rPr>
          <w:spacing w:val="-2"/>
          <w:sz w:val="24"/>
        </w:rPr>
        <w:t>strategies-andaction-plans.pdf</w:t>
      </w:r>
    </w:p>
    <w:p>
      <w:pPr>
        <w:spacing w:line="240" w:lineRule="auto" w:before="200"/>
        <w:ind w:left="1025" w:right="513" w:hanging="720"/>
        <w:jc w:val="both"/>
        <w:rPr>
          <w:sz w:val="24"/>
        </w:rPr>
      </w:pPr>
      <w:r>
        <w:rPr>
          <w:sz w:val="24"/>
        </w:rPr>
        <w:t>Bajat,</w:t>
      </w:r>
      <w:r>
        <w:rPr>
          <w:spacing w:val="-8"/>
          <w:sz w:val="24"/>
        </w:rPr>
        <w:t> </w:t>
      </w:r>
      <w:r>
        <w:rPr>
          <w:sz w:val="24"/>
        </w:rPr>
        <w:t>B.,</w:t>
      </w:r>
      <w:r>
        <w:rPr>
          <w:spacing w:val="-9"/>
          <w:sz w:val="24"/>
        </w:rPr>
        <w:t> </w:t>
      </w:r>
      <w:r>
        <w:rPr>
          <w:sz w:val="24"/>
        </w:rPr>
        <w:t>Kilibarda,</w:t>
      </w:r>
      <w:r>
        <w:rPr>
          <w:spacing w:val="-9"/>
          <w:sz w:val="24"/>
        </w:rPr>
        <w:t> </w:t>
      </w:r>
      <w:r>
        <w:rPr>
          <w:sz w:val="24"/>
        </w:rPr>
        <w:t>M.,</w:t>
      </w:r>
      <w:r>
        <w:rPr>
          <w:spacing w:val="-8"/>
          <w:sz w:val="24"/>
        </w:rPr>
        <w:t> </w:t>
      </w:r>
      <w:r>
        <w:rPr>
          <w:sz w:val="24"/>
        </w:rPr>
        <w:t>Pejović,</w:t>
      </w:r>
      <w:r>
        <w:rPr>
          <w:spacing w:val="-11"/>
          <w:sz w:val="24"/>
        </w:rPr>
        <w:t> </w:t>
      </w:r>
      <w:r>
        <w:rPr>
          <w:sz w:val="24"/>
        </w:rPr>
        <w:t>M.,</w:t>
      </w:r>
      <w:r>
        <w:rPr>
          <w:spacing w:val="-10"/>
          <w:sz w:val="24"/>
        </w:rPr>
        <w:t> </w:t>
      </w:r>
      <w:r>
        <w:rPr>
          <w:sz w:val="24"/>
        </w:rPr>
        <w:t>&amp;</w:t>
      </w:r>
      <w:r>
        <w:rPr>
          <w:spacing w:val="-10"/>
          <w:sz w:val="24"/>
        </w:rPr>
        <w:t> </w:t>
      </w:r>
      <w:r>
        <w:rPr>
          <w:sz w:val="24"/>
        </w:rPr>
        <w:t>Petrović,</w:t>
      </w:r>
      <w:r>
        <w:rPr>
          <w:spacing w:val="-6"/>
          <w:sz w:val="24"/>
        </w:rPr>
        <w:t> </w:t>
      </w:r>
      <w:r>
        <w:rPr>
          <w:sz w:val="24"/>
        </w:rPr>
        <w:t>M.</w:t>
      </w:r>
      <w:r>
        <w:rPr>
          <w:spacing w:val="-10"/>
          <w:sz w:val="24"/>
        </w:rPr>
        <w:t> </w:t>
      </w:r>
      <w:r>
        <w:rPr>
          <w:sz w:val="24"/>
        </w:rPr>
        <w:t>S.</w:t>
      </w:r>
      <w:r>
        <w:rPr>
          <w:spacing w:val="-11"/>
          <w:sz w:val="24"/>
        </w:rPr>
        <w:t> </w:t>
      </w:r>
      <w:r>
        <w:rPr>
          <w:sz w:val="24"/>
        </w:rPr>
        <w:t>(2018).</w:t>
      </w:r>
      <w:r>
        <w:rPr>
          <w:spacing w:val="-11"/>
          <w:sz w:val="24"/>
        </w:rPr>
        <w:t> </w:t>
      </w:r>
      <w:r>
        <w:rPr>
          <w:sz w:val="24"/>
        </w:rPr>
        <w:t>Spatial</w:t>
      </w:r>
      <w:r>
        <w:rPr>
          <w:spacing w:val="-8"/>
          <w:sz w:val="24"/>
        </w:rPr>
        <w:t> </w:t>
      </w:r>
      <w:r>
        <w:rPr>
          <w:sz w:val="24"/>
        </w:rPr>
        <w:t>hedonic</w:t>
      </w:r>
      <w:r>
        <w:rPr>
          <w:spacing w:val="-11"/>
          <w:sz w:val="24"/>
        </w:rPr>
        <w:t> </w:t>
      </w:r>
      <w:r>
        <w:rPr>
          <w:sz w:val="24"/>
        </w:rPr>
        <w:t>modeling of housing prices using auxiliary</w:t>
      </w:r>
      <w:r>
        <w:rPr>
          <w:spacing w:val="-2"/>
          <w:sz w:val="24"/>
        </w:rPr>
        <w:t> </w:t>
      </w:r>
      <w:r>
        <w:rPr>
          <w:sz w:val="24"/>
        </w:rPr>
        <w:t>maps. In J.-C. Thill (Ed.), </w:t>
      </w:r>
      <w:r>
        <w:rPr>
          <w:i/>
          <w:sz w:val="24"/>
        </w:rPr>
        <w:t>Spatial Analysis and Location Modeling in Urban and Regional Systems </w:t>
      </w:r>
      <w:r>
        <w:rPr>
          <w:sz w:val="24"/>
        </w:rPr>
        <w:t>(pp. 97–122). </w:t>
      </w:r>
      <w:r>
        <w:rPr>
          <w:spacing w:val="-2"/>
          <w:sz w:val="24"/>
        </w:rPr>
        <w:t>https://doi.org/10.1007/978-3-642-37896-6_5</w:t>
      </w:r>
    </w:p>
    <w:p>
      <w:pPr>
        <w:spacing w:line="242" w:lineRule="auto" w:before="200"/>
        <w:ind w:left="1025" w:right="390" w:hanging="720"/>
        <w:jc w:val="left"/>
        <w:rPr>
          <w:sz w:val="24"/>
        </w:rPr>
      </w:pPr>
      <w:r>
        <w:rPr>
          <w:sz w:val="24"/>
        </w:rPr>
        <w:t>Baranzini,</w:t>
      </w:r>
      <w:r>
        <w:rPr>
          <w:spacing w:val="-15"/>
          <w:sz w:val="24"/>
        </w:rPr>
        <w:t> </w:t>
      </w:r>
      <w:r>
        <w:rPr>
          <w:sz w:val="24"/>
        </w:rPr>
        <w:t>A.,</w:t>
      </w:r>
      <w:r>
        <w:rPr>
          <w:spacing w:val="-15"/>
          <w:sz w:val="24"/>
        </w:rPr>
        <w:t> </w:t>
      </w:r>
      <w:r>
        <w:rPr>
          <w:sz w:val="24"/>
        </w:rPr>
        <w:t>Ramirez,</w:t>
      </w:r>
      <w:r>
        <w:rPr>
          <w:spacing w:val="-15"/>
          <w:sz w:val="24"/>
        </w:rPr>
        <w:t> </w:t>
      </w:r>
      <w:r>
        <w:rPr>
          <w:sz w:val="24"/>
        </w:rPr>
        <w:t>J.,</w:t>
      </w:r>
      <w:r>
        <w:rPr>
          <w:spacing w:val="-15"/>
          <w:sz w:val="24"/>
        </w:rPr>
        <w:t> </w:t>
      </w:r>
      <w:r>
        <w:rPr>
          <w:sz w:val="24"/>
        </w:rPr>
        <w:t>Schaerer,</w:t>
      </w:r>
      <w:r>
        <w:rPr>
          <w:spacing w:val="-15"/>
          <w:sz w:val="24"/>
        </w:rPr>
        <w:t> </w:t>
      </w:r>
      <w:r>
        <w:rPr>
          <w:sz w:val="24"/>
        </w:rPr>
        <w:t>C.,</w:t>
      </w:r>
      <w:r>
        <w:rPr>
          <w:spacing w:val="-13"/>
          <w:sz w:val="24"/>
        </w:rPr>
        <w:t> </w:t>
      </w:r>
      <w:r>
        <w:rPr>
          <w:sz w:val="24"/>
        </w:rPr>
        <w:t>&amp;</w:t>
      </w:r>
      <w:r>
        <w:rPr>
          <w:spacing w:val="-15"/>
          <w:sz w:val="24"/>
        </w:rPr>
        <w:t> </w:t>
      </w:r>
      <w:r>
        <w:rPr>
          <w:sz w:val="24"/>
        </w:rPr>
        <w:t>Thalmann,</w:t>
      </w:r>
      <w:r>
        <w:rPr>
          <w:spacing w:val="-15"/>
          <w:sz w:val="24"/>
        </w:rPr>
        <w:t> </w:t>
      </w:r>
      <w:r>
        <w:rPr>
          <w:sz w:val="24"/>
        </w:rPr>
        <w:t>P.</w:t>
      </w:r>
      <w:r>
        <w:rPr>
          <w:spacing w:val="-15"/>
          <w:sz w:val="24"/>
        </w:rPr>
        <w:t> </w:t>
      </w:r>
      <w:r>
        <w:rPr>
          <w:sz w:val="24"/>
        </w:rPr>
        <w:t>(Eds.).</w:t>
      </w:r>
      <w:r>
        <w:rPr>
          <w:spacing w:val="-14"/>
          <w:sz w:val="24"/>
        </w:rPr>
        <w:t> </w:t>
      </w:r>
      <w:r>
        <w:rPr>
          <w:sz w:val="24"/>
        </w:rPr>
        <w:t>(2008).</w:t>
      </w:r>
      <w:r>
        <w:rPr>
          <w:spacing w:val="-8"/>
          <w:sz w:val="24"/>
        </w:rPr>
        <w:t> </w:t>
      </w:r>
      <w:r>
        <w:rPr>
          <w:i/>
          <w:sz w:val="24"/>
        </w:rPr>
        <w:t>Hedonic</w:t>
      </w:r>
      <w:r>
        <w:rPr>
          <w:i/>
          <w:spacing w:val="-15"/>
          <w:sz w:val="24"/>
        </w:rPr>
        <w:t> </w:t>
      </w:r>
      <w:r>
        <w:rPr>
          <w:i/>
          <w:sz w:val="24"/>
        </w:rPr>
        <w:t>methods in housing markets</w:t>
      </w:r>
      <w:r>
        <w:rPr>
          <w:sz w:val="24"/>
        </w:rPr>
        <w:t>. https://doi.org/10.1007/978-0-387-76815-1</w:t>
      </w:r>
    </w:p>
    <w:p>
      <w:pPr>
        <w:pStyle w:val="BodyText"/>
        <w:spacing w:before="193"/>
        <w:ind w:left="305"/>
        <w:jc w:val="left"/>
      </w:pPr>
      <w:r>
        <w:rPr/>
        <w:t>Basu,</w:t>
      </w:r>
      <w:r>
        <w:rPr>
          <w:spacing w:val="-2"/>
        </w:rPr>
        <w:t> </w:t>
      </w:r>
      <w:r>
        <w:rPr/>
        <w:t>S.,</w:t>
      </w:r>
      <w:r>
        <w:rPr>
          <w:spacing w:val="1"/>
        </w:rPr>
        <w:t> </w:t>
      </w:r>
      <w:r>
        <w:rPr/>
        <w:t>&amp;</w:t>
      </w:r>
      <w:r>
        <w:rPr>
          <w:spacing w:val="-2"/>
        </w:rPr>
        <w:t> </w:t>
      </w:r>
      <w:r>
        <w:rPr/>
        <w:t>Thibodeau,</w:t>
      </w:r>
      <w:r>
        <w:rPr>
          <w:spacing w:val="3"/>
        </w:rPr>
        <w:t> </w:t>
      </w:r>
      <w:r>
        <w:rPr/>
        <w:t>T. G.</w:t>
      </w:r>
      <w:r>
        <w:rPr>
          <w:spacing w:val="-1"/>
        </w:rPr>
        <w:t> </w:t>
      </w:r>
      <w:r>
        <w:rPr/>
        <w:t>(1998). Analysis</w:t>
      </w:r>
      <w:r>
        <w:rPr>
          <w:spacing w:val="1"/>
        </w:rPr>
        <w:t> </w:t>
      </w:r>
      <w:r>
        <w:rPr/>
        <w:t>of</w:t>
      </w:r>
      <w:r>
        <w:rPr>
          <w:spacing w:val="5"/>
        </w:rPr>
        <w:t> </w:t>
      </w:r>
      <w:r>
        <w:rPr/>
        <w:t>spatial</w:t>
      </w:r>
      <w:r>
        <w:rPr>
          <w:spacing w:val="1"/>
        </w:rPr>
        <w:t> </w:t>
      </w:r>
      <w:r>
        <w:rPr/>
        <w:t>autocorrelation</w:t>
      </w:r>
      <w:r>
        <w:rPr>
          <w:spacing w:val="2"/>
        </w:rPr>
        <w:t> </w:t>
      </w:r>
      <w:r>
        <w:rPr/>
        <w:t>in</w:t>
      </w:r>
      <w:r>
        <w:rPr>
          <w:spacing w:val="1"/>
        </w:rPr>
        <w:t> </w:t>
      </w:r>
      <w:r>
        <w:rPr/>
        <w:t>house </w:t>
      </w:r>
      <w:r>
        <w:rPr>
          <w:spacing w:val="-2"/>
        </w:rPr>
        <w:t>prices.</w:t>
      </w:r>
    </w:p>
    <w:p>
      <w:pPr>
        <w:spacing w:before="3"/>
        <w:ind w:left="1025" w:right="0" w:firstLine="0"/>
        <w:jc w:val="left"/>
        <w:rPr>
          <w:sz w:val="24"/>
        </w:rPr>
      </w:pPr>
      <w:r>
        <w:rPr>
          <w:i/>
          <w:sz w:val="24"/>
        </w:rPr>
        <w:t>Journal of Real</w:t>
      </w:r>
      <w:r>
        <w:rPr>
          <w:i/>
          <w:spacing w:val="-1"/>
          <w:sz w:val="24"/>
        </w:rPr>
        <w:t> </w:t>
      </w:r>
      <w:r>
        <w:rPr>
          <w:i/>
          <w:sz w:val="24"/>
        </w:rPr>
        <w:t>Estate Finance</w:t>
      </w:r>
      <w:r>
        <w:rPr>
          <w:i/>
          <w:spacing w:val="-2"/>
          <w:sz w:val="24"/>
        </w:rPr>
        <w:t> </w:t>
      </w:r>
      <w:r>
        <w:rPr>
          <w:i/>
          <w:sz w:val="24"/>
        </w:rPr>
        <w:t>and</w:t>
      </w:r>
      <w:r>
        <w:rPr>
          <w:i/>
          <w:spacing w:val="-1"/>
          <w:sz w:val="24"/>
        </w:rPr>
        <w:t> </w:t>
      </w:r>
      <w:r>
        <w:rPr>
          <w:i/>
          <w:sz w:val="24"/>
        </w:rPr>
        <w:t>Economics</w:t>
      </w:r>
      <w:r>
        <w:rPr>
          <w:sz w:val="24"/>
        </w:rPr>
        <w:t>, </w:t>
      </w:r>
      <w:r>
        <w:rPr>
          <w:i/>
          <w:sz w:val="24"/>
        </w:rPr>
        <w:t>17</w:t>
      </w:r>
      <w:r>
        <w:rPr>
          <w:sz w:val="24"/>
        </w:rPr>
        <w:t>(1), </w:t>
      </w:r>
      <w:r>
        <w:rPr>
          <w:spacing w:val="-2"/>
          <w:sz w:val="24"/>
        </w:rPr>
        <w:t>61–85.</w:t>
      </w:r>
    </w:p>
    <w:p>
      <w:pPr>
        <w:spacing w:after="0"/>
        <w:jc w:val="left"/>
        <w:rPr>
          <w:sz w:val="24"/>
        </w:rPr>
        <w:sectPr>
          <w:pgSz w:w="11910" w:h="16840"/>
          <w:pgMar w:header="0" w:footer="1022" w:top="1320" w:bottom="1220" w:left="1680" w:right="900"/>
        </w:sectPr>
      </w:pPr>
    </w:p>
    <w:p>
      <w:pPr>
        <w:pStyle w:val="BodyText"/>
        <w:tabs>
          <w:tab w:pos="3103" w:val="left" w:leader="none"/>
          <w:tab w:pos="4555" w:val="left" w:leader="none"/>
          <w:tab w:pos="6601" w:val="left" w:leader="none"/>
          <w:tab w:pos="8272" w:val="left" w:leader="none"/>
        </w:tabs>
        <w:spacing w:before="72"/>
        <w:ind w:left="1025" w:right="511" w:hanging="720"/>
      </w:pPr>
      <w:r>
        <w:rPr/>
        <w:t>Bates, L. K. (2006). Does neighborhood really matter?: Comparing historically defined neighborhood boundaries with housing submarkets. </w:t>
      </w:r>
      <w:r>
        <w:rPr>
          <w:i/>
        </w:rPr>
        <w:t>Journal of Planning </w:t>
      </w:r>
      <w:r>
        <w:rPr>
          <w:i/>
          <w:spacing w:val="-2"/>
        </w:rPr>
        <w:t>Education</w:t>
      </w:r>
      <w:r>
        <w:rPr>
          <w:i/>
        </w:rPr>
        <w:tab/>
      </w:r>
      <w:r>
        <w:rPr>
          <w:i/>
          <w:spacing w:val="-4"/>
        </w:rPr>
        <w:t>and</w:t>
      </w:r>
      <w:r>
        <w:rPr>
          <w:i/>
        </w:rPr>
        <w:tab/>
      </w:r>
      <w:r>
        <w:rPr>
          <w:i/>
          <w:spacing w:val="-2"/>
        </w:rPr>
        <w:t>Research</w:t>
      </w:r>
      <w:r>
        <w:rPr>
          <w:spacing w:val="-2"/>
        </w:rPr>
        <w:t>,</w:t>
      </w:r>
      <w:r>
        <w:rPr/>
        <w:tab/>
      </w:r>
      <w:r>
        <w:rPr>
          <w:i/>
          <w:spacing w:val="-2"/>
        </w:rPr>
        <w:t>26</w:t>
      </w:r>
      <w:r>
        <w:rPr>
          <w:spacing w:val="-2"/>
        </w:rPr>
        <w:t>(1),</w:t>
      </w:r>
      <w:r>
        <w:rPr/>
        <w:tab/>
      </w:r>
      <w:r>
        <w:rPr>
          <w:spacing w:val="-2"/>
        </w:rPr>
        <w:t>5–17. https://doi.org/10.1177/0739456X05283254</w:t>
      </w:r>
    </w:p>
    <w:p>
      <w:pPr>
        <w:spacing w:line="240" w:lineRule="auto" w:before="199"/>
        <w:ind w:left="1025" w:right="516" w:hanging="720"/>
        <w:jc w:val="both"/>
        <w:rPr>
          <w:sz w:val="24"/>
        </w:rPr>
      </w:pPr>
      <w:r>
        <w:rPr>
          <w:sz w:val="24"/>
        </w:rPr>
        <w:t>Bérard, G., &amp; Trannoy, A. (2018). The impact of the 2014 increase in the real estate transfer</w:t>
      </w:r>
      <w:r>
        <w:rPr>
          <w:spacing w:val="-9"/>
          <w:sz w:val="24"/>
        </w:rPr>
        <w:t> </w:t>
      </w:r>
      <w:r>
        <w:rPr>
          <w:sz w:val="24"/>
        </w:rPr>
        <w:t>taxes</w:t>
      </w:r>
      <w:r>
        <w:rPr>
          <w:spacing w:val="-8"/>
          <w:sz w:val="24"/>
        </w:rPr>
        <w:t> </w:t>
      </w:r>
      <w:r>
        <w:rPr>
          <w:sz w:val="24"/>
        </w:rPr>
        <w:t>on</w:t>
      </w:r>
      <w:r>
        <w:rPr>
          <w:spacing w:val="-8"/>
          <w:sz w:val="24"/>
        </w:rPr>
        <w:t> </w:t>
      </w:r>
      <w:r>
        <w:rPr>
          <w:sz w:val="24"/>
        </w:rPr>
        <w:t>the</w:t>
      </w:r>
      <w:r>
        <w:rPr>
          <w:spacing w:val="-9"/>
          <w:sz w:val="24"/>
        </w:rPr>
        <w:t> </w:t>
      </w:r>
      <w:r>
        <w:rPr>
          <w:sz w:val="24"/>
        </w:rPr>
        <w:t>French</w:t>
      </w:r>
      <w:r>
        <w:rPr>
          <w:spacing w:val="-8"/>
          <w:sz w:val="24"/>
        </w:rPr>
        <w:t> </w:t>
      </w:r>
      <w:r>
        <w:rPr>
          <w:sz w:val="24"/>
        </w:rPr>
        <w:t>housing</w:t>
      </w:r>
      <w:r>
        <w:rPr>
          <w:spacing w:val="-11"/>
          <w:sz w:val="24"/>
        </w:rPr>
        <w:t> </w:t>
      </w:r>
      <w:r>
        <w:rPr>
          <w:sz w:val="24"/>
        </w:rPr>
        <w:t>market.</w:t>
      </w:r>
      <w:r>
        <w:rPr>
          <w:spacing w:val="-5"/>
          <w:sz w:val="24"/>
        </w:rPr>
        <w:t> </w:t>
      </w:r>
      <w:r>
        <w:rPr>
          <w:i/>
          <w:sz w:val="24"/>
        </w:rPr>
        <w:t>Economie</w:t>
      </w:r>
      <w:r>
        <w:rPr>
          <w:i/>
          <w:spacing w:val="-9"/>
          <w:sz w:val="24"/>
        </w:rPr>
        <w:t> </w:t>
      </w:r>
      <w:r>
        <w:rPr>
          <w:i/>
          <w:sz w:val="24"/>
        </w:rPr>
        <w:t>et</w:t>
      </w:r>
      <w:r>
        <w:rPr>
          <w:i/>
          <w:spacing w:val="-8"/>
          <w:sz w:val="24"/>
        </w:rPr>
        <w:t> </w:t>
      </w:r>
      <w:r>
        <w:rPr>
          <w:i/>
          <w:sz w:val="24"/>
        </w:rPr>
        <w:t>Statistique</w:t>
      </w:r>
      <w:r>
        <w:rPr>
          <w:i/>
          <w:spacing w:val="-9"/>
          <w:sz w:val="24"/>
        </w:rPr>
        <w:t> </w:t>
      </w:r>
      <w:r>
        <w:rPr>
          <w:i/>
          <w:sz w:val="24"/>
        </w:rPr>
        <w:t>/</w:t>
      </w:r>
      <w:r>
        <w:rPr>
          <w:i/>
          <w:spacing w:val="-8"/>
          <w:sz w:val="24"/>
        </w:rPr>
        <w:t> </w:t>
      </w:r>
      <w:r>
        <w:rPr>
          <w:i/>
          <w:sz w:val="24"/>
        </w:rPr>
        <w:t>Economics and Statistics</w:t>
      </w:r>
      <w:r>
        <w:rPr>
          <w:sz w:val="24"/>
        </w:rPr>
        <w:t>, (500t), 179–200. https://doi.org/10.24187/ecostat.2018.500t.1951</w:t>
      </w:r>
    </w:p>
    <w:p>
      <w:pPr>
        <w:pStyle w:val="BodyText"/>
        <w:spacing w:before="200"/>
        <w:ind w:left="1025" w:right="508" w:hanging="720"/>
      </w:pPr>
      <w:r>
        <w:rPr/>
        <w:t>Bin, O., Kruse, J. B., &amp; Landry, C. E. (2008). Flood hazards, insurance rates, and amenities: Evidence from the coastal housing market. </w:t>
      </w:r>
      <w:r>
        <w:rPr>
          <w:i/>
        </w:rPr>
        <w:t>Journal of Risk &amp; Insurance</w:t>
      </w:r>
      <w:r>
        <w:rPr/>
        <w:t>, </w:t>
      </w:r>
      <w:r>
        <w:rPr>
          <w:i/>
        </w:rPr>
        <w:t>75</w:t>
      </w:r>
      <w:r>
        <w:rPr/>
        <w:t>(1), 63–82. https://doi.org/10.1111/j.1539-6975.2007.00248.x</w:t>
      </w:r>
    </w:p>
    <w:p>
      <w:pPr>
        <w:pStyle w:val="BodyText"/>
        <w:spacing w:line="242" w:lineRule="auto" w:before="201"/>
        <w:ind w:left="1025" w:right="513" w:hanging="720"/>
      </w:pPr>
      <w:r>
        <w:rPr/>
        <w:t>Bolton, R. (2018). The value of third-party verified green residential housing in the Chicagoland area. </w:t>
      </w:r>
      <w:r>
        <w:rPr>
          <w:i/>
        </w:rPr>
        <w:t>The Park Place Economist</w:t>
      </w:r>
      <w:r>
        <w:rPr/>
        <w:t>, </w:t>
      </w:r>
      <w:r>
        <w:rPr>
          <w:i/>
        </w:rPr>
        <w:t>26</w:t>
      </w:r>
      <w:r>
        <w:rPr/>
        <w:t>(1), 1–12.</w:t>
      </w:r>
    </w:p>
    <w:p>
      <w:pPr>
        <w:spacing w:line="240" w:lineRule="auto" w:before="195"/>
        <w:ind w:left="1025" w:right="511" w:hanging="720"/>
        <w:jc w:val="both"/>
        <w:rPr>
          <w:sz w:val="24"/>
        </w:rPr>
      </w:pPr>
      <w:r>
        <w:rPr>
          <w:sz w:val="24"/>
        </w:rPr>
        <w:t>Broitman,</w:t>
      </w:r>
      <w:r>
        <w:rPr>
          <w:spacing w:val="-13"/>
          <w:sz w:val="24"/>
        </w:rPr>
        <w:t> </w:t>
      </w:r>
      <w:r>
        <w:rPr>
          <w:sz w:val="24"/>
        </w:rPr>
        <w:t>D.,</w:t>
      </w:r>
      <w:r>
        <w:rPr>
          <w:spacing w:val="-10"/>
          <w:sz w:val="24"/>
        </w:rPr>
        <w:t> </w:t>
      </w:r>
      <w:r>
        <w:rPr>
          <w:sz w:val="24"/>
        </w:rPr>
        <w:t>&amp;</w:t>
      </w:r>
      <w:r>
        <w:rPr>
          <w:spacing w:val="-12"/>
          <w:sz w:val="24"/>
        </w:rPr>
        <w:t> </w:t>
      </w:r>
      <w:r>
        <w:rPr>
          <w:sz w:val="24"/>
        </w:rPr>
        <w:t>Koomen,</w:t>
      </w:r>
      <w:r>
        <w:rPr>
          <w:spacing w:val="-12"/>
          <w:sz w:val="24"/>
        </w:rPr>
        <w:t> </w:t>
      </w:r>
      <w:r>
        <w:rPr>
          <w:sz w:val="24"/>
        </w:rPr>
        <w:t>E.</w:t>
      </w:r>
      <w:r>
        <w:rPr>
          <w:spacing w:val="-12"/>
          <w:sz w:val="24"/>
        </w:rPr>
        <w:t> </w:t>
      </w:r>
      <w:r>
        <w:rPr>
          <w:sz w:val="24"/>
        </w:rPr>
        <w:t>(2015).</w:t>
      </w:r>
      <w:r>
        <w:rPr>
          <w:spacing w:val="-13"/>
          <w:sz w:val="24"/>
        </w:rPr>
        <w:t> </w:t>
      </w:r>
      <w:r>
        <w:rPr>
          <w:sz w:val="24"/>
        </w:rPr>
        <w:t>Residential</w:t>
      </w:r>
      <w:r>
        <w:rPr>
          <w:spacing w:val="-12"/>
          <w:sz w:val="24"/>
        </w:rPr>
        <w:t> </w:t>
      </w:r>
      <w:r>
        <w:rPr>
          <w:sz w:val="24"/>
        </w:rPr>
        <w:t>density</w:t>
      </w:r>
      <w:r>
        <w:rPr>
          <w:spacing w:val="-15"/>
          <w:sz w:val="24"/>
        </w:rPr>
        <w:t> </w:t>
      </w:r>
      <w:r>
        <w:rPr>
          <w:sz w:val="24"/>
        </w:rPr>
        <w:t>change:</w:t>
      </w:r>
      <w:r>
        <w:rPr>
          <w:spacing w:val="-12"/>
          <w:sz w:val="24"/>
        </w:rPr>
        <w:t> </w:t>
      </w:r>
      <w:r>
        <w:rPr>
          <w:sz w:val="24"/>
        </w:rPr>
        <w:t>Densification</w:t>
      </w:r>
      <w:r>
        <w:rPr>
          <w:spacing w:val="-12"/>
          <w:sz w:val="24"/>
        </w:rPr>
        <w:t> </w:t>
      </w:r>
      <w:r>
        <w:rPr>
          <w:sz w:val="24"/>
        </w:rPr>
        <w:t>and</w:t>
      </w:r>
      <w:r>
        <w:rPr>
          <w:spacing w:val="-12"/>
          <w:sz w:val="24"/>
        </w:rPr>
        <w:t> </w:t>
      </w:r>
      <w:r>
        <w:rPr>
          <w:sz w:val="24"/>
        </w:rPr>
        <w:t>urban expansion. </w:t>
      </w:r>
      <w:r>
        <w:rPr>
          <w:i/>
          <w:sz w:val="24"/>
        </w:rPr>
        <w:t>Computers, Environment and Urban Systems</w:t>
      </w:r>
      <w:r>
        <w:rPr>
          <w:sz w:val="24"/>
        </w:rPr>
        <w:t>, </w:t>
      </w:r>
      <w:r>
        <w:rPr>
          <w:i/>
          <w:sz w:val="24"/>
        </w:rPr>
        <w:t>54</w:t>
      </w:r>
      <w:r>
        <w:rPr>
          <w:sz w:val="24"/>
        </w:rPr>
        <w:t>, 32–46. </w:t>
      </w:r>
      <w:r>
        <w:rPr>
          <w:spacing w:val="-2"/>
          <w:sz w:val="24"/>
        </w:rPr>
        <w:t>https://doi.org/10.1016/j.compenvurbsys.2015.05.006</w:t>
      </w:r>
    </w:p>
    <w:p>
      <w:pPr>
        <w:pStyle w:val="BodyText"/>
        <w:spacing w:before="199"/>
        <w:ind w:left="292" w:right="504"/>
        <w:jc w:val="center"/>
      </w:pPr>
      <w:r>
        <w:rPr/>
        <w:t>Brounen,</w:t>
      </w:r>
      <w:r>
        <w:rPr>
          <w:spacing w:val="-12"/>
        </w:rPr>
        <w:t> </w:t>
      </w:r>
      <w:r>
        <w:rPr/>
        <w:t>D.,</w:t>
      </w:r>
      <w:r>
        <w:rPr>
          <w:spacing w:val="-11"/>
        </w:rPr>
        <w:t> </w:t>
      </w:r>
      <w:r>
        <w:rPr/>
        <w:t>&amp;</w:t>
      </w:r>
      <w:r>
        <w:rPr>
          <w:spacing w:val="-13"/>
        </w:rPr>
        <w:t> </w:t>
      </w:r>
      <w:r>
        <w:rPr/>
        <w:t>Kok,</w:t>
      </w:r>
      <w:r>
        <w:rPr>
          <w:spacing w:val="-11"/>
        </w:rPr>
        <w:t> </w:t>
      </w:r>
      <w:r>
        <w:rPr/>
        <w:t>N.</w:t>
      </w:r>
      <w:r>
        <w:rPr>
          <w:spacing w:val="-12"/>
        </w:rPr>
        <w:t> </w:t>
      </w:r>
      <w:r>
        <w:rPr/>
        <w:t>(2011).</w:t>
      </w:r>
      <w:r>
        <w:rPr>
          <w:spacing w:val="-11"/>
        </w:rPr>
        <w:t> </w:t>
      </w:r>
      <w:r>
        <w:rPr/>
        <w:t>On</w:t>
      </w:r>
      <w:r>
        <w:rPr>
          <w:spacing w:val="-11"/>
        </w:rPr>
        <w:t> </w:t>
      </w:r>
      <w:r>
        <w:rPr/>
        <w:t>the</w:t>
      </w:r>
      <w:r>
        <w:rPr>
          <w:spacing w:val="-12"/>
        </w:rPr>
        <w:t> </w:t>
      </w:r>
      <w:r>
        <w:rPr/>
        <w:t>economics</w:t>
      </w:r>
      <w:r>
        <w:rPr>
          <w:spacing w:val="-10"/>
        </w:rPr>
        <w:t> </w:t>
      </w:r>
      <w:r>
        <w:rPr/>
        <w:t>of</w:t>
      </w:r>
      <w:r>
        <w:rPr>
          <w:spacing w:val="-12"/>
        </w:rPr>
        <w:t> </w:t>
      </w:r>
      <w:r>
        <w:rPr/>
        <w:t>energy</w:t>
      </w:r>
      <w:r>
        <w:rPr>
          <w:spacing w:val="-17"/>
        </w:rPr>
        <w:t> </w:t>
      </w:r>
      <w:r>
        <w:rPr/>
        <w:t>labels</w:t>
      </w:r>
      <w:r>
        <w:rPr>
          <w:spacing w:val="-10"/>
        </w:rPr>
        <w:t> </w:t>
      </w:r>
      <w:r>
        <w:rPr/>
        <w:t>in</w:t>
      </w:r>
      <w:r>
        <w:rPr>
          <w:spacing w:val="-10"/>
        </w:rPr>
        <w:t> </w:t>
      </w:r>
      <w:r>
        <w:rPr/>
        <w:t>the</w:t>
      </w:r>
      <w:r>
        <w:rPr>
          <w:spacing w:val="-12"/>
        </w:rPr>
        <w:t> </w:t>
      </w:r>
      <w:r>
        <w:rPr/>
        <w:t>housing</w:t>
      </w:r>
      <w:r>
        <w:rPr>
          <w:spacing w:val="-12"/>
        </w:rPr>
        <w:t> </w:t>
      </w:r>
      <w:r>
        <w:rPr>
          <w:spacing w:val="-2"/>
        </w:rPr>
        <w:t>market.</w:t>
      </w:r>
    </w:p>
    <w:p>
      <w:pPr>
        <w:spacing w:before="2"/>
        <w:ind w:left="0" w:right="290" w:firstLine="0"/>
        <w:jc w:val="center"/>
        <w:rPr>
          <w:sz w:val="24"/>
        </w:rPr>
      </w:pPr>
      <w:r>
        <w:rPr>
          <w:i/>
          <w:sz w:val="24"/>
        </w:rPr>
        <w:t>Journal</w:t>
      </w:r>
      <w:r>
        <w:rPr>
          <w:i/>
          <w:spacing w:val="-1"/>
          <w:sz w:val="24"/>
        </w:rPr>
        <w:t> </w:t>
      </w:r>
      <w:r>
        <w:rPr>
          <w:i/>
          <w:sz w:val="24"/>
        </w:rPr>
        <w:t>of</w:t>
      </w:r>
      <w:r>
        <w:rPr>
          <w:i/>
          <w:spacing w:val="-1"/>
          <w:sz w:val="24"/>
        </w:rPr>
        <w:t> </w:t>
      </w:r>
      <w:r>
        <w:rPr>
          <w:i/>
          <w:sz w:val="24"/>
        </w:rPr>
        <w:t>Environmental</w:t>
      </w:r>
      <w:r>
        <w:rPr>
          <w:i/>
          <w:spacing w:val="-1"/>
          <w:sz w:val="24"/>
        </w:rPr>
        <w:t> </w:t>
      </w:r>
      <w:r>
        <w:rPr>
          <w:i/>
          <w:sz w:val="24"/>
        </w:rPr>
        <w:t>Economics</w:t>
      </w:r>
      <w:r>
        <w:rPr>
          <w:i/>
          <w:spacing w:val="-1"/>
          <w:sz w:val="24"/>
        </w:rPr>
        <w:t> </w:t>
      </w:r>
      <w:r>
        <w:rPr>
          <w:i/>
          <w:sz w:val="24"/>
        </w:rPr>
        <w:t>and</w:t>
      </w:r>
      <w:r>
        <w:rPr>
          <w:i/>
          <w:spacing w:val="-1"/>
          <w:sz w:val="24"/>
        </w:rPr>
        <w:t> </w:t>
      </w:r>
      <w:r>
        <w:rPr>
          <w:i/>
          <w:sz w:val="24"/>
        </w:rPr>
        <w:t>Management</w:t>
      </w:r>
      <w:r>
        <w:rPr>
          <w:sz w:val="24"/>
        </w:rPr>
        <w:t>,</w:t>
      </w:r>
      <w:r>
        <w:rPr>
          <w:spacing w:val="-1"/>
          <w:sz w:val="24"/>
        </w:rPr>
        <w:t> </w:t>
      </w:r>
      <w:r>
        <w:rPr>
          <w:i/>
          <w:sz w:val="24"/>
        </w:rPr>
        <w:t>62</w:t>
      </w:r>
      <w:r>
        <w:rPr>
          <w:sz w:val="24"/>
        </w:rPr>
        <w:t>(2),</w:t>
      </w:r>
      <w:r>
        <w:rPr>
          <w:spacing w:val="-1"/>
          <w:sz w:val="24"/>
        </w:rPr>
        <w:t> </w:t>
      </w:r>
      <w:r>
        <w:rPr>
          <w:spacing w:val="-2"/>
          <w:sz w:val="24"/>
        </w:rPr>
        <w:t>166–179.</w:t>
      </w:r>
    </w:p>
    <w:p>
      <w:pPr>
        <w:pStyle w:val="BodyText"/>
        <w:spacing w:before="200"/>
        <w:ind w:left="1025" w:right="514" w:hanging="720"/>
      </w:pPr>
      <w:r>
        <w:rPr/>
        <w:t>Cajias, M., Fuerst, F., &amp; Bienert, S. (2019). Tearing down the information barrier: The price impacts of energy efficiency ratings for buildings in the German rental market. </w:t>
      </w:r>
      <w:r>
        <w:rPr>
          <w:i/>
        </w:rPr>
        <w:t>Energy Research &amp; Social Science</w:t>
      </w:r>
      <w:r>
        <w:rPr/>
        <w:t>, </w:t>
      </w:r>
      <w:r>
        <w:rPr>
          <w:i/>
        </w:rPr>
        <w:t>47</w:t>
      </w:r>
      <w:r>
        <w:rPr/>
        <w:t>, 177–191. </w:t>
      </w:r>
      <w:r>
        <w:rPr>
          <w:spacing w:val="-2"/>
        </w:rPr>
        <w:t>https://doi.org/10.1016/j.erss.2018.08.014</w:t>
      </w:r>
    </w:p>
    <w:p>
      <w:pPr>
        <w:spacing w:line="242" w:lineRule="auto" w:before="199"/>
        <w:ind w:left="1025" w:right="514" w:hanging="720"/>
        <w:jc w:val="both"/>
        <w:rPr>
          <w:sz w:val="24"/>
        </w:rPr>
      </w:pPr>
      <w:r>
        <w:rPr>
          <w:sz w:val="24"/>
        </w:rPr>
        <w:t>Cameron, T. (2018). </w:t>
      </w:r>
      <w:r>
        <w:rPr>
          <w:i/>
          <w:sz w:val="24"/>
        </w:rPr>
        <w:t>The house rules: Housing market responses to oil price shocks in Canada </w:t>
      </w:r>
      <w:r>
        <w:rPr>
          <w:sz w:val="24"/>
        </w:rPr>
        <w:t>(Masters Dissertation). University of Ottawa, Ottawa, Canada.</w:t>
      </w:r>
    </w:p>
    <w:p>
      <w:pPr>
        <w:pStyle w:val="BodyText"/>
        <w:spacing w:before="197"/>
        <w:ind w:left="1025" w:right="516" w:hanging="720"/>
      </w:pPr>
      <w:r>
        <w:rPr/>
        <w:t>Chandrabose, M., Owen, N., Giles</w:t>
      </w:r>
      <w:r>
        <w:rPr>
          <w:rFonts w:ascii="Cambria Math" w:hAnsi="Cambria Math"/>
        </w:rPr>
        <w:t>‐</w:t>
      </w:r>
      <w:r>
        <w:rPr/>
        <w:t>Corti, B., Turrell, G., Carver, A., &amp; Sugiyama, T. (2019). Urban densification and 12</w:t>
      </w:r>
      <w:r>
        <w:rPr>
          <w:rFonts w:ascii="Cambria Math" w:hAnsi="Cambria Math"/>
        </w:rPr>
        <w:t>‐</w:t>
      </w:r>
      <w:r>
        <w:rPr/>
        <w:t>year changes in cardiovascular risk markers. </w:t>
      </w:r>
      <w:r>
        <w:rPr>
          <w:i/>
        </w:rPr>
        <w:t>Journal of the American Heart Association</w:t>
      </w:r>
      <w:r>
        <w:rPr/>
        <w:t>, </w:t>
      </w:r>
      <w:r>
        <w:rPr>
          <w:i/>
        </w:rPr>
        <w:t>8</w:t>
      </w:r>
      <w:r>
        <w:rPr/>
        <w:t>(15). </w:t>
      </w:r>
      <w:r>
        <w:rPr>
          <w:spacing w:val="-2"/>
        </w:rPr>
        <w:t>https://doi.org/10.1161/JAHA.119.013199</w:t>
      </w:r>
    </w:p>
    <w:p>
      <w:pPr>
        <w:pStyle w:val="BodyText"/>
        <w:spacing w:before="197"/>
        <w:ind w:left="1025" w:right="514" w:hanging="720"/>
      </w:pPr>
      <w:r>
        <w:rPr/>
        <w:t>Chen, F. (2018). Spatial differentiation of urban housing prices in Guangdong province and its influencing factors. </w:t>
      </w:r>
      <w:r>
        <w:rPr>
          <w:i/>
        </w:rPr>
        <w:t>Modern Economy</w:t>
      </w:r>
      <w:r>
        <w:rPr/>
        <w:t>, </w:t>
      </w:r>
      <w:r>
        <w:rPr>
          <w:i/>
        </w:rPr>
        <w:t>09</w:t>
      </w:r>
      <w:r>
        <w:rPr/>
        <w:t>(04), </w:t>
      </w:r>
      <w:r>
        <w:rPr/>
        <w:t>664–681. </w:t>
      </w:r>
      <w:r>
        <w:rPr>
          <w:spacing w:val="-2"/>
        </w:rPr>
        <w:t>https://doi.org/10.4236/me.2018.94043</w:t>
      </w:r>
    </w:p>
    <w:p>
      <w:pPr>
        <w:pStyle w:val="BodyText"/>
        <w:spacing w:line="242" w:lineRule="auto" w:before="200"/>
        <w:ind w:left="1025" w:right="514" w:hanging="720"/>
      </w:pPr>
      <w:r>
        <w:rPr/>
        <w:t>Chen,</w:t>
      </w:r>
      <w:r>
        <w:rPr>
          <w:spacing w:val="-12"/>
        </w:rPr>
        <w:t> </w:t>
      </w:r>
      <w:r>
        <w:rPr/>
        <w:t>J.,</w:t>
      </w:r>
      <w:r>
        <w:rPr>
          <w:spacing w:val="-12"/>
        </w:rPr>
        <w:t> </w:t>
      </w:r>
      <w:r>
        <w:rPr/>
        <w:t>Guo,</w:t>
      </w:r>
      <w:r>
        <w:rPr>
          <w:spacing w:val="-13"/>
        </w:rPr>
        <w:t> </w:t>
      </w:r>
      <w:r>
        <w:rPr/>
        <w:t>F.,</w:t>
      </w:r>
      <w:r>
        <w:rPr>
          <w:spacing w:val="-10"/>
        </w:rPr>
        <w:t> </w:t>
      </w:r>
      <w:r>
        <w:rPr/>
        <w:t>&amp;</w:t>
      </w:r>
      <w:r>
        <w:rPr>
          <w:spacing w:val="-14"/>
        </w:rPr>
        <w:t> </w:t>
      </w:r>
      <w:r>
        <w:rPr/>
        <w:t>Wu,</w:t>
      </w:r>
      <w:r>
        <w:rPr>
          <w:spacing w:val="-10"/>
        </w:rPr>
        <w:t> </w:t>
      </w:r>
      <w:r>
        <w:rPr/>
        <w:t>Y.</w:t>
      </w:r>
      <w:r>
        <w:rPr>
          <w:spacing w:val="-13"/>
        </w:rPr>
        <w:t> </w:t>
      </w:r>
      <w:r>
        <w:rPr/>
        <w:t>(2011).</w:t>
      </w:r>
      <w:r>
        <w:rPr>
          <w:spacing w:val="-11"/>
        </w:rPr>
        <w:t> </w:t>
      </w:r>
      <w:r>
        <w:rPr/>
        <w:t>One</w:t>
      </w:r>
      <w:r>
        <w:rPr>
          <w:spacing w:val="-14"/>
        </w:rPr>
        <w:t> </w:t>
      </w:r>
      <w:r>
        <w:rPr/>
        <w:t>decade</w:t>
      </w:r>
      <w:r>
        <w:rPr>
          <w:spacing w:val="-13"/>
        </w:rPr>
        <w:t> </w:t>
      </w:r>
      <w:r>
        <w:rPr/>
        <w:t>of</w:t>
      </w:r>
      <w:r>
        <w:rPr>
          <w:spacing w:val="-10"/>
        </w:rPr>
        <w:t> </w:t>
      </w:r>
      <w:r>
        <w:rPr/>
        <w:t>urban</w:t>
      </w:r>
      <w:r>
        <w:rPr>
          <w:spacing w:val="-12"/>
        </w:rPr>
        <w:t> </w:t>
      </w:r>
      <w:r>
        <w:rPr/>
        <w:t>housing</w:t>
      </w:r>
      <w:r>
        <w:rPr>
          <w:spacing w:val="-14"/>
        </w:rPr>
        <w:t> </w:t>
      </w:r>
      <w:r>
        <w:rPr/>
        <w:t>reform</w:t>
      </w:r>
      <w:r>
        <w:rPr>
          <w:spacing w:val="-9"/>
        </w:rPr>
        <w:t> </w:t>
      </w:r>
      <w:r>
        <w:rPr/>
        <w:t>in</w:t>
      </w:r>
      <w:r>
        <w:rPr>
          <w:spacing w:val="-9"/>
        </w:rPr>
        <w:t> </w:t>
      </w:r>
      <w:r>
        <w:rPr/>
        <w:t>China:</w:t>
      </w:r>
      <w:r>
        <w:rPr>
          <w:spacing w:val="-12"/>
        </w:rPr>
        <w:t> </w:t>
      </w:r>
      <w:r>
        <w:rPr/>
        <w:t>Urban housing price dynamics and the role of migration and urbanization, 1995-2005. </w:t>
      </w:r>
      <w:r>
        <w:rPr>
          <w:i/>
        </w:rPr>
        <w:t>Habitat International</w:t>
      </w:r>
      <w:r>
        <w:rPr/>
        <w:t>, </w:t>
      </w:r>
      <w:r>
        <w:rPr>
          <w:i/>
        </w:rPr>
        <w:t>35</w:t>
      </w:r>
      <w:r>
        <w:rPr/>
        <w:t>(1), 1–8.</w:t>
      </w:r>
    </w:p>
    <w:p>
      <w:pPr>
        <w:pStyle w:val="BodyText"/>
        <w:tabs>
          <w:tab w:pos="2609" w:val="left" w:leader="none"/>
          <w:tab w:pos="4460" w:val="left" w:leader="none"/>
          <w:tab w:pos="6625" w:val="left" w:leader="none"/>
          <w:tab w:pos="8270" w:val="left" w:leader="none"/>
        </w:tabs>
        <w:spacing w:before="194"/>
        <w:ind w:left="1025" w:right="513" w:hanging="720"/>
      </w:pPr>
      <w:r>
        <w:rPr/>
        <w:t>Chen,</w:t>
      </w:r>
      <w:r>
        <w:rPr>
          <w:spacing w:val="-7"/>
        </w:rPr>
        <w:t> </w:t>
      </w:r>
      <w:r>
        <w:rPr/>
        <w:t>W.</w:t>
      </w:r>
      <w:r>
        <w:rPr>
          <w:spacing w:val="-7"/>
        </w:rPr>
        <w:t> </w:t>
      </w:r>
      <w:r>
        <w:rPr/>
        <w:t>Y.,</w:t>
      </w:r>
      <w:r>
        <w:rPr>
          <w:spacing w:val="-8"/>
        </w:rPr>
        <w:t> </w:t>
      </w:r>
      <w:r>
        <w:rPr/>
        <w:t>&amp;</w:t>
      </w:r>
      <w:r>
        <w:rPr>
          <w:spacing w:val="-7"/>
        </w:rPr>
        <w:t> </w:t>
      </w:r>
      <w:r>
        <w:rPr/>
        <w:t>Li,</w:t>
      </w:r>
      <w:r>
        <w:rPr>
          <w:spacing w:val="-4"/>
        </w:rPr>
        <w:t> </w:t>
      </w:r>
      <w:r>
        <w:rPr/>
        <w:t>X.</w:t>
      </w:r>
      <w:r>
        <w:rPr>
          <w:spacing w:val="-8"/>
        </w:rPr>
        <w:t> </w:t>
      </w:r>
      <w:r>
        <w:rPr/>
        <w:t>(2017).</w:t>
      </w:r>
      <w:r>
        <w:rPr>
          <w:spacing w:val="-8"/>
        </w:rPr>
        <w:t> </w:t>
      </w:r>
      <w:r>
        <w:rPr/>
        <w:t>Cumulative</w:t>
      </w:r>
      <w:r>
        <w:rPr>
          <w:spacing w:val="-8"/>
        </w:rPr>
        <w:t> </w:t>
      </w:r>
      <w:r>
        <w:rPr/>
        <w:t>impacts</w:t>
      </w:r>
      <w:r>
        <w:rPr>
          <w:spacing w:val="-7"/>
        </w:rPr>
        <w:t> </w:t>
      </w:r>
      <w:r>
        <w:rPr/>
        <w:t>of</w:t>
      </w:r>
      <w:r>
        <w:rPr>
          <w:spacing w:val="-8"/>
        </w:rPr>
        <w:t> </w:t>
      </w:r>
      <w:r>
        <w:rPr/>
        <w:t>polluted</w:t>
      </w:r>
      <w:r>
        <w:rPr>
          <w:spacing w:val="-8"/>
        </w:rPr>
        <w:t> </w:t>
      </w:r>
      <w:r>
        <w:rPr/>
        <w:t>urban</w:t>
      </w:r>
      <w:r>
        <w:rPr>
          <w:spacing w:val="-7"/>
        </w:rPr>
        <w:t> </w:t>
      </w:r>
      <w:r>
        <w:rPr/>
        <w:t>streams</w:t>
      </w:r>
      <w:r>
        <w:rPr>
          <w:spacing w:val="-7"/>
        </w:rPr>
        <w:t> </w:t>
      </w:r>
      <w:r>
        <w:rPr/>
        <w:t>on</w:t>
      </w:r>
      <w:r>
        <w:rPr>
          <w:spacing w:val="-7"/>
        </w:rPr>
        <w:t> </w:t>
      </w:r>
      <w:r>
        <w:rPr/>
        <w:t>property values:</w:t>
      </w:r>
      <w:r>
        <w:rPr>
          <w:spacing w:val="-7"/>
        </w:rPr>
        <w:t> </w:t>
      </w:r>
      <w:r>
        <w:rPr/>
        <w:t>A</w:t>
      </w:r>
      <w:r>
        <w:rPr>
          <w:spacing w:val="-7"/>
        </w:rPr>
        <w:t> </w:t>
      </w:r>
      <w:r>
        <w:rPr/>
        <w:t>3-D</w:t>
      </w:r>
      <w:r>
        <w:rPr>
          <w:spacing w:val="-7"/>
        </w:rPr>
        <w:t> </w:t>
      </w:r>
      <w:r>
        <w:rPr/>
        <w:t>spatial</w:t>
      </w:r>
      <w:r>
        <w:rPr>
          <w:spacing w:val="-7"/>
        </w:rPr>
        <w:t> </w:t>
      </w:r>
      <w:r>
        <w:rPr/>
        <w:t>hedonic</w:t>
      </w:r>
      <w:r>
        <w:rPr>
          <w:spacing w:val="-7"/>
        </w:rPr>
        <w:t> </w:t>
      </w:r>
      <w:r>
        <w:rPr/>
        <w:t>model</w:t>
      </w:r>
      <w:r>
        <w:rPr>
          <w:spacing w:val="-7"/>
        </w:rPr>
        <w:t> </w:t>
      </w:r>
      <w:r>
        <w:rPr/>
        <w:t>at</w:t>
      </w:r>
      <w:r>
        <w:rPr>
          <w:spacing w:val="-7"/>
        </w:rPr>
        <w:t> </w:t>
      </w:r>
      <w:r>
        <w:rPr/>
        <w:t>the</w:t>
      </w:r>
      <w:r>
        <w:rPr>
          <w:spacing w:val="-7"/>
        </w:rPr>
        <w:t> </w:t>
      </w:r>
      <w:r>
        <w:rPr/>
        <w:t>micro-neighborhood</w:t>
      </w:r>
      <w:r>
        <w:rPr>
          <w:spacing w:val="-7"/>
        </w:rPr>
        <w:t> </w:t>
      </w:r>
      <w:r>
        <w:rPr/>
        <w:t>level.</w:t>
      </w:r>
      <w:r>
        <w:rPr>
          <w:spacing w:val="-6"/>
        </w:rPr>
        <w:t> </w:t>
      </w:r>
      <w:r>
        <w:rPr>
          <w:i/>
        </w:rPr>
        <w:t>Landscape </w:t>
      </w:r>
      <w:r>
        <w:rPr>
          <w:i/>
          <w:spacing w:val="-4"/>
        </w:rPr>
        <w:t>and</w:t>
      </w:r>
      <w:r>
        <w:rPr>
          <w:i/>
        </w:rPr>
        <w:tab/>
      </w:r>
      <w:r>
        <w:rPr>
          <w:i/>
          <w:spacing w:val="-2"/>
        </w:rPr>
        <w:t>Urban</w:t>
      </w:r>
      <w:r>
        <w:rPr>
          <w:i/>
        </w:rPr>
        <w:tab/>
      </w:r>
      <w:r>
        <w:rPr>
          <w:i/>
          <w:spacing w:val="-2"/>
        </w:rPr>
        <w:t>Planning</w:t>
      </w:r>
      <w:r>
        <w:rPr>
          <w:spacing w:val="-2"/>
        </w:rPr>
        <w:t>,</w:t>
      </w:r>
      <w:r>
        <w:rPr/>
        <w:tab/>
      </w:r>
      <w:r>
        <w:rPr>
          <w:i/>
          <w:spacing w:val="-4"/>
        </w:rPr>
        <w:t>162</w:t>
      </w:r>
      <w:r>
        <w:rPr>
          <w:spacing w:val="-4"/>
        </w:rPr>
        <w:t>,</w:t>
      </w:r>
      <w:r>
        <w:rPr/>
        <w:tab/>
      </w:r>
      <w:r>
        <w:rPr>
          <w:spacing w:val="-2"/>
        </w:rPr>
        <w:t>1–12. https://doi.org/10.1016/j.landurbplan.2017.01.012</w:t>
      </w:r>
    </w:p>
    <w:p>
      <w:pPr>
        <w:spacing w:line="242" w:lineRule="auto" w:before="199"/>
        <w:ind w:left="1025" w:right="517" w:hanging="720"/>
        <w:jc w:val="both"/>
        <w:rPr>
          <w:sz w:val="24"/>
        </w:rPr>
      </w:pPr>
      <w:r>
        <w:rPr>
          <w:sz w:val="24"/>
        </w:rPr>
        <w:t>Chen, Y., Pryce, G., &amp; Mackay, D. (2011). </w:t>
      </w:r>
      <w:r>
        <w:rPr>
          <w:i/>
          <w:sz w:val="24"/>
        </w:rPr>
        <w:t>Flood Risk, Climate Change and Housing </w:t>
      </w:r>
      <w:r>
        <w:rPr>
          <w:i/>
          <w:spacing w:val="-2"/>
          <w:sz w:val="24"/>
        </w:rPr>
        <w:t>Economics</w:t>
      </w:r>
      <w:r>
        <w:rPr>
          <w:spacing w:val="-2"/>
          <w:sz w:val="24"/>
        </w:rPr>
        <w:t>.</w:t>
      </w:r>
    </w:p>
    <w:p>
      <w:pPr>
        <w:spacing w:after="0" w:line="242" w:lineRule="auto"/>
        <w:jc w:val="both"/>
        <w:rPr>
          <w:sz w:val="24"/>
        </w:rPr>
        <w:sectPr>
          <w:pgSz w:w="11910" w:h="16840"/>
          <w:pgMar w:header="0" w:footer="1022" w:top="1320" w:bottom="1220" w:left="1680" w:right="900"/>
        </w:sectPr>
      </w:pPr>
    </w:p>
    <w:p>
      <w:pPr>
        <w:pStyle w:val="BodyText"/>
        <w:spacing w:line="242" w:lineRule="auto" w:before="72"/>
        <w:ind w:left="1025" w:right="514" w:hanging="720"/>
      </w:pPr>
      <w:r>
        <w:rPr/>
        <w:t>Cheung, R., Wetherell, D., &amp; Whitaker, S. (2018). Induced earthquakes and housing markets:</w:t>
      </w:r>
      <w:r>
        <w:rPr>
          <w:spacing w:val="-5"/>
        </w:rPr>
        <w:t> </w:t>
      </w:r>
      <w:r>
        <w:rPr/>
        <w:t>Evidence</w:t>
      </w:r>
      <w:r>
        <w:rPr>
          <w:spacing w:val="-4"/>
        </w:rPr>
        <w:t> </w:t>
      </w:r>
      <w:r>
        <w:rPr/>
        <w:t>from</w:t>
      </w:r>
      <w:r>
        <w:rPr>
          <w:spacing w:val="-3"/>
        </w:rPr>
        <w:t> </w:t>
      </w:r>
      <w:r>
        <w:rPr/>
        <w:t>Oklahoma.</w:t>
      </w:r>
      <w:r>
        <w:rPr>
          <w:spacing w:val="-4"/>
        </w:rPr>
        <w:t> </w:t>
      </w:r>
      <w:r>
        <w:rPr>
          <w:i/>
        </w:rPr>
        <w:t>Regional</w:t>
      </w:r>
      <w:r>
        <w:rPr>
          <w:i/>
          <w:spacing w:val="-5"/>
        </w:rPr>
        <w:t> </w:t>
      </w:r>
      <w:r>
        <w:rPr>
          <w:i/>
        </w:rPr>
        <w:t>Science</w:t>
      </w:r>
      <w:r>
        <w:rPr>
          <w:i/>
          <w:spacing w:val="-5"/>
        </w:rPr>
        <w:t> </w:t>
      </w:r>
      <w:r>
        <w:rPr>
          <w:i/>
        </w:rPr>
        <w:t>and</w:t>
      </w:r>
      <w:r>
        <w:rPr>
          <w:i/>
          <w:spacing w:val="-5"/>
        </w:rPr>
        <w:t> </w:t>
      </w:r>
      <w:r>
        <w:rPr>
          <w:i/>
        </w:rPr>
        <w:t>Urban</w:t>
      </w:r>
      <w:r>
        <w:rPr>
          <w:i/>
          <w:spacing w:val="-5"/>
        </w:rPr>
        <w:t> </w:t>
      </w:r>
      <w:r>
        <w:rPr>
          <w:i/>
        </w:rPr>
        <w:t>Economics</w:t>
      </w:r>
      <w:r>
        <w:rPr/>
        <w:t>,</w:t>
      </w:r>
      <w:r>
        <w:rPr>
          <w:spacing w:val="-5"/>
        </w:rPr>
        <w:t> </w:t>
      </w:r>
      <w:r>
        <w:rPr>
          <w:i/>
        </w:rPr>
        <w:t>69</w:t>
      </w:r>
      <w:r>
        <w:rPr/>
        <w:t>, 153–166. https://doi.org/10.1016/j.regsciurbeco.2018.01.004</w:t>
      </w:r>
    </w:p>
    <w:p>
      <w:pPr>
        <w:pStyle w:val="BodyText"/>
        <w:spacing w:before="191"/>
        <w:ind w:left="1025" w:right="511" w:hanging="720"/>
      </w:pPr>
      <w:r>
        <w:rPr/>
        <w:t>Chhipi-Shrestha, G., Hewage, K., &amp; Sadiq, R. (2017). Impacts of neighborhood densification</w:t>
      </w:r>
      <w:r>
        <w:rPr>
          <w:spacing w:val="-2"/>
        </w:rPr>
        <w:t> </w:t>
      </w:r>
      <w:r>
        <w:rPr/>
        <w:t>on</w:t>
      </w:r>
      <w:r>
        <w:rPr>
          <w:spacing w:val="-2"/>
        </w:rPr>
        <w:t> </w:t>
      </w:r>
      <w:r>
        <w:rPr/>
        <w:t>water-energy-carbon</w:t>
      </w:r>
      <w:r>
        <w:rPr>
          <w:spacing w:val="-3"/>
        </w:rPr>
        <w:t> </w:t>
      </w:r>
      <w:r>
        <w:rPr/>
        <w:t>nexus: Investigating</w:t>
      </w:r>
      <w:r>
        <w:rPr>
          <w:spacing w:val="-5"/>
        </w:rPr>
        <w:t> </w:t>
      </w:r>
      <w:r>
        <w:rPr/>
        <w:t>water</w:t>
      </w:r>
      <w:r>
        <w:rPr>
          <w:spacing w:val="-3"/>
        </w:rPr>
        <w:t> </w:t>
      </w:r>
      <w:r>
        <w:rPr/>
        <w:t>distribution</w:t>
      </w:r>
      <w:r>
        <w:rPr>
          <w:spacing w:val="-2"/>
        </w:rPr>
        <w:t> </w:t>
      </w:r>
      <w:r>
        <w:rPr/>
        <w:t>and residential landscaping system. </w:t>
      </w:r>
      <w:r>
        <w:rPr>
          <w:i/>
        </w:rPr>
        <w:t>Journal of Cleaner Production</w:t>
      </w:r>
      <w:r>
        <w:rPr/>
        <w:t>, </w:t>
      </w:r>
      <w:r>
        <w:rPr>
          <w:i/>
        </w:rPr>
        <w:t>156</w:t>
      </w:r>
      <w:r>
        <w:rPr/>
        <w:t>, 786–795. </w:t>
      </w:r>
      <w:r>
        <w:rPr>
          <w:spacing w:val="-2"/>
        </w:rPr>
        <w:t>https://doi.org/10.1016/j.jclepro.2017.04.113</w:t>
      </w:r>
    </w:p>
    <w:p>
      <w:pPr>
        <w:spacing w:line="242" w:lineRule="auto" w:before="199"/>
        <w:ind w:left="1025" w:right="513" w:hanging="720"/>
        <w:jc w:val="both"/>
        <w:rPr>
          <w:sz w:val="24"/>
        </w:rPr>
      </w:pPr>
      <w:r>
        <w:rPr>
          <w:sz w:val="24"/>
        </w:rPr>
        <w:t>Chu,</w:t>
      </w:r>
      <w:r>
        <w:rPr>
          <w:spacing w:val="-12"/>
          <w:sz w:val="24"/>
        </w:rPr>
        <w:t> </w:t>
      </w:r>
      <w:r>
        <w:rPr>
          <w:sz w:val="24"/>
        </w:rPr>
        <w:t>S.-Y.</w:t>
      </w:r>
      <w:r>
        <w:rPr>
          <w:spacing w:val="-12"/>
          <w:sz w:val="24"/>
        </w:rPr>
        <w:t> </w:t>
      </w:r>
      <w:r>
        <w:rPr>
          <w:sz w:val="24"/>
        </w:rPr>
        <w:t>(2018).</w:t>
      </w:r>
      <w:r>
        <w:rPr>
          <w:spacing w:val="-12"/>
          <w:sz w:val="24"/>
        </w:rPr>
        <w:t> </w:t>
      </w:r>
      <w:r>
        <w:rPr>
          <w:sz w:val="24"/>
        </w:rPr>
        <w:t>Macroeconomic</w:t>
      </w:r>
      <w:r>
        <w:rPr>
          <w:spacing w:val="-12"/>
          <w:sz w:val="24"/>
        </w:rPr>
        <w:t> </w:t>
      </w:r>
      <w:r>
        <w:rPr>
          <w:sz w:val="24"/>
        </w:rPr>
        <w:t>policies</w:t>
      </w:r>
      <w:r>
        <w:rPr>
          <w:spacing w:val="-12"/>
          <w:sz w:val="24"/>
        </w:rPr>
        <w:t> </w:t>
      </w:r>
      <w:r>
        <w:rPr>
          <w:sz w:val="24"/>
        </w:rPr>
        <w:t>and</w:t>
      </w:r>
      <w:r>
        <w:rPr>
          <w:spacing w:val="-12"/>
          <w:sz w:val="24"/>
        </w:rPr>
        <w:t> </w:t>
      </w:r>
      <w:r>
        <w:rPr>
          <w:sz w:val="24"/>
        </w:rPr>
        <w:t>housing</w:t>
      </w:r>
      <w:r>
        <w:rPr>
          <w:spacing w:val="-12"/>
          <w:sz w:val="24"/>
        </w:rPr>
        <w:t> </w:t>
      </w:r>
      <w:r>
        <w:rPr>
          <w:sz w:val="24"/>
        </w:rPr>
        <w:t>market</w:t>
      </w:r>
      <w:r>
        <w:rPr>
          <w:spacing w:val="-11"/>
          <w:sz w:val="24"/>
        </w:rPr>
        <w:t> </w:t>
      </w:r>
      <w:r>
        <w:rPr>
          <w:sz w:val="24"/>
        </w:rPr>
        <w:t>in</w:t>
      </w:r>
      <w:r>
        <w:rPr>
          <w:spacing w:val="-11"/>
          <w:sz w:val="24"/>
        </w:rPr>
        <w:t> </w:t>
      </w:r>
      <w:r>
        <w:rPr>
          <w:sz w:val="24"/>
        </w:rPr>
        <w:t>Taiwan.</w:t>
      </w:r>
      <w:r>
        <w:rPr>
          <w:spacing w:val="-8"/>
          <w:sz w:val="24"/>
        </w:rPr>
        <w:t> </w:t>
      </w:r>
      <w:r>
        <w:rPr>
          <w:i/>
          <w:sz w:val="24"/>
        </w:rPr>
        <w:t>International Review of Economics &amp; Finance</w:t>
      </w:r>
      <w:r>
        <w:rPr>
          <w:sz w:val="24"/>
        </w:rPr>
        <w:t>. https://doi.org/10.1016/j.iref.2018.05.002</w:t>
      </w:r>
    </w:p>
    <w:p>
      <w:pPr>
        <w:pStyle w:val="BodyText"/>
        <w:spacing w:before="196"/>
        <w:ind w:left="1025" w:right="511" w:hanging="720"/>
      </w:pPr>
      <w:r>
        <w:rPr/>
        <w:t>Chung,</w:t>
      </w:r>
      <w:r>
        <w:rPr>
          <w:spacing w:val="-11"/>
        </w:rPr>
        <w:t> </w:t>
      </w:r>
      <w:r>
        <w:rPr/>
        <w:t>Y.,</w:t>
      </w:r>
      <w:r>
        <w:rPr>
          <w:spacing w:val="-11"/>
        </w:rPr>
        <w:t> </w:t>
      </w:r>
      <w:r>
        <w:rPr/>
        <w:t>Seo,</w:t>
      </w:r>
      <w:r>
        <w:rPr>
          <w:spacing w:val="-11"/>
        </w:rPr>
        <w:t> </w:t>
      </w:r>
      <w:r>
        <w:rPr/>
        <w:t>D.,</w:t>
      </w:r>
      <w:r>
        <w:rPr>
          <w:spacing w:val="-11"/>
        </w:rPr>
        <w:t> </w:t>
      </w:r>
      <w:r>
        <w:rPr/>
        <w:t>&amp;</w:t>
      </w:r>
      <w:r>
        <w:rPr>
          <w:spacing w:val="-13"/>
        </w:rPr>
        <w:t> </w:t>
      </w:r>
      <w:r>
        <w:rPr/>
        <w:t>Kim,</w:t>
      </w:r>
      <w:r>
        <w:rPr>
          <w:spacing w:val="-13"/>
        </w:rPr>
        <w:t> </w:t>
      </w:r>
      <w:r>
        <w:rPr/>
        <w:t>J.</w:t>
      </w:r>
      <w:r>
        <w:rPr>
          <w:spacing w:val="-11"/>
        </w:rPr>
        <w:t> </w:t>
      </w:r>
      <w:r>
        <w:rPr/>
        <w:t>(2018).</w:t>
      </w:r>
      <w:r>
        <w:rPr>
          <w:spacing w:val="-11"/>
        </w:rPr>
        <w:t> </w:t>
      </w:r>
      <w:r>
        <w:rPr/>
        <w:t>Price</w:t>
      </w:r>
      <w:r>
        <w:rPr>
          <w:spacing w:val="-10"/>
        </w:rPr>
        <w:t> </w:t>
      </w:r>
      <w:r>
        <w:rPr/>
        <w:t>determinants</w:t>
      </w:r>
      <w:r>
        <w:rPr>
          <w:spacing w:val="-9"/>
        </w:rPr>
        <w:t> </w:t>
      </w:r>
      <w:r>
        <w:rPr/>
        <w:t>and</w:t>
      </w:r>
      <w:r>
        <w:rPr>
          <w:spacing w:val="-11"/>
        </w:rPr>
        <w:t> </w:t>
      </w:r>
      <w:r>
        <w:rPr/>
        <w:t>GIS</w:t>
      </w:r>
      <w:r>
        <w:rPr>
          <w:spacing w:val="-9"/>
        </w:rPr>
        <w:t> </w:t>
      </w:r>
      <w:r>
        <w:rPr/>
        <w:t>analysis</w:t>
      </w:r>
      <w:r>
        <w:rPr>
          <w:spacing w:val="-9"/>
        </w:rPr>
        <w:t> </w:t>
      </w:r>
      <w:r>
        <w:rPr/>
        <w:t>of</w:t>
      </w:r>
      <w:r>
        <w:rPr>
          <w:spacing w:val="-11"/>
        </w:rPr>
        <w:t> </w:t>
      </w:r>
      <w:r>
        <w:rPr/>
        <w:t>the</w:t>
      </w:r>
      <w:r>
        <w:rPr>
          <w:spacing w:val="-11"/>
        </w:rPr>
        <w:t> </w:t>
      </w:r>
      <w:r>
        <w:rPr/>
        <w:t>housing market in Vietnam: The cases of Ho Chi Minh city and Hanoi. </w:t>
      </w:r>
      <w:r>
        <w:rPr>
          <w:i/>
        </w:rPr>
        <w:t>Sustainability</w:t>
      </w:r>
      <w:r>
        <w:rPr/>
        <w:t>, </w:t>
      </w:r>
      <w:r>
        <w:rPr>
          <w:i/>
        </w:rPr>
        <w:t>10</w:t>
      </w:r>
      <w:r>
        <w:rPr/>
        <w:t>(12), 1–18. https://doi.org/10.3390/su10124720</w:t>
      </w:r>
    </w:p>
    <w:p>
      <w:pPr>
        <w:pStyle w:val="BodyText"/>
        <w:spacing w:before="200"/>
        <w:ind w:left="1025" w:right="514" w:hanging="720"/>
      </w:pPr>
      <w:r>
        <w:rPr/>
        <w:t>Cichociński, P., &amp; Dąbrowski, J. (2013). Spatio-temporal analysis of the real estate market using geographic information systems. </w:t>
      </w:r>
      <w:r>
        <w:rPr>
          <w:i/>
        </w:rPr>
        <w:t>Real Estate Management and Valuation</w:t>
      </w:r>
      <w:r>
        <w:rPr/>
        <w:t>, </w:t>
      </w:r>
      <w:r>
        <w:rPr>
          <w:i/>
        </w:rPr>
        <w:t>21</w:t>
      </w:r>
      <w:r>
        <w:rPr/>
        <w:t>(2), 73–82. https://doi.org/10.2478/remav-2013-0019</w:t>
      </w:r>
    </w:p>
    <w:p>
      <w:pPr>
        <w:spacing w:line="240" w:lineRule="auto" w:before="200"/>
        <w:ind w:left="1025" w:right="511" w:hanging="720"/>
        <w:jc w:val="both"/>
        <w:rPr>
          <w:sz w:val="24"/>
        </w:rPr>
      </w:pPr>
      <w:r>
        <w:rPr>
          <w:sz w:val="24"/>
        </w:rPr>
        <w:t>Clauw,</w:t>
      </w:r>
      <w:r>
        <w:rPr>
          <w:spacing w:val="-10"/>
          <w:sz w:val="24"/>
        </w:rPr>
        <w:t> </w:t>
      </w:r>
      <w:r>
        <w:rPr>
          <w:sz w:val="24"/>
        </w:rPr>
        <w:t>F.</w:t>
      </w:r>
      <w:r>
        <w:rPr>
          <w:spacing w:val="-10"/>
          <w:sz w:val="24"/>
        </w:rPr>
        <w:t> </w:t>
      </w:r>
      <w:r>
        <w:rPr>
          <w:sz w:val="24"/>
        </w:rPr>
        <w:t>(2007).</w:t>
      </w:r>
      <w:r>
        <w:rPr>
          <w:spacing w:val="-11"/>
          <w:sz w:val="24"/>
        </w:rPr>
        <w:t> </w:t>
      </w:r>
      <w:r>
        <w:rPr>
          <w:i/>
          <w:sz w:val="24"/>
        </w:rPr>
        <w:t>The</w:t>
      </w:r>
      <w:r>
        <w:rPr>
          <w:i/>
          <w:spacing w:val="-9"/>
          <w:sz w:val="24"/>
        </w:rPr>
        <w:t> </w:t>
      </w:r>
      <w:r>
        <w:rPr>
          <w:i/>
          <w:sz w:val="24"/>
        </w:rPr>
        <w:t>effect</w:t>
      </w:r>
      <w:r>
        <w:rPr>
          <w:i/>
          <w:spacing w:val="-10"/>
          <w:sz w:val="24"/>
        </w:rPr>
        <w:t> </w:t>
      </w:r>
      <w:r>
        <w:rPr>
          <w:i/>
          <w:sz w:val="24"/>
        </w:rPr>
        <w:t>of</w:t>
      </w:r>
      <w:r>
        <w:rPr>
          <w:i/>
          <w:spacing w:val="-10"/>
          <w:sz w:val="24"/>
        </w:rPr>
        <w:t> </w:t>
      </w:r>
      <w:r>
        <w:rPr>
          <w:i/>
          <w:sz w:val="24"/>
        </w:rPr>
        <w:t>soil</w:t>
      </w:r>
      <w:r>
        <w:rPr>
          <w:i/>
          <w:spacing w:val="-10"/>
          <w:sz w:val="24"/>
        </w:rPr>
        <w:t> </w:t>
      </w:r>
      <w:r>
        <w:rPr>
          <w:i/>
          <w:sz w:val="24"/>
        </w:rPr>
        <w:t>contamination</w:t>
      </w:r>
      <w:r>
        <w:rPr>
          <w:i/>
          <w:spacing w:val="-10"/>
          <w:sz w:val="24"/>
        </w:rPr>
        <w:t> </w:t>
      </w:r>
      <w:r>
        <w:rPr>
          <w:i/>
          <w:sz w:val="24"/>
        </w:rPr>
        <w:t>on</w:t>
      </w:r>
      <w:r>
        <w:rPr>
          <w:i/>
          <w:spacing w:val="-10"/>
          <w:sz w:val="24"/>
        </w:rPr>
        <w:t> </w:t>
      </w:r>
      <w:r>
        <w:rPr>
          <w:i/>
          <w:sz w:val="24"/>
        </w:rPr>
        <w:t>real</w:t>
      </w:r>
      <w:r>
        <w:rPr>
          <w:i/>
          <w:spacing w:val="-10"/>
          <w:sz w:val="24"/>
        </w:rPr>
        <w:t> </w:t>
      </w:r>
      <w:r>
        <w:rPr>
          <w:i/>
          <w:sz w:val="24"/>
        </w:rPr>
        <w:t>estate</w:t>
      </w:r>
      <w:r>
        <w:rPr>
          <w:i/>
          <w:spacing w:val="-11"/>
          <w:sz w:val="24"/>
        </w:rPr>
        <w:t> </w:t>
      </w:r>
      <w:r>
        <w:rPr>
          <w:i/>
          <w:sz w:val="24"/>
        </w:rPr>
        <w:t>value:</w:t>
      </w:r>
      <w:r>
        <w:rPr>
          <w:i/>
          <w:spacing w:val="-11"/>
          <w:sz w:val="24"/>
        </w:rPr>
        <w:t> </w:t>
      </w:r>
      <w:r>
        <w:rPr>
          <w:i/>
          <w:sz w:val="24"/>
        </w:rPr>
        <w:t>A</w:t>
      </w:r>
      <w:r>
        <w:rPr>
          <w:i/>
          <w:spacing w:val="-10"/>
          <w:sz w:val="24"/>
        </w:rPr>
        <w:t> </w:t>
      </w:r>
      <w:r>
        <w:rPr>
          <w:i/>
          <w:sz w:val="24"/>
        </w:rPr>
        <w:t>hedonic</w:t>
      </w:r>
      <w:r>
        <w:rPr>
          <w:i/>
          <w:spacing w:val="-7"/>
          <w:sz w:val="24"/>
        </w:rPr>
        <w:t> </w:t>
      </w:r>
      <w:r>
        <w:rPr>
          <w:i/>
          <w:sz w:val="24"/>
        </w:rPr>
        <w:t>pricing approach based on different risk measures </w:t>
      </w:r>
      <w:r>
        <w:rPr>
          <w:sz w:val="24"/>
        </w:rPr>
        <w:t>(UHasselt Diepenbeek). Retrieved from https://doclib.uhasselt.be/dspace/handle/1942/8973</w:t>
      </w:r>
    </w:p>
    <w:p>
      <w:pPr>
        <w:pStyle w:val="BodyText"/>
        <w:spacing w:before="201"/>
        <w:ind w:left="1025" w:right="510" w:hanging="720"/>
      </w:pPr>
      <w:r>
        <w:rPr/>
        <w:t>Cui, N., Gu, H., Shen, T., &amp; Feng, C. (2018). The impact of micro-level influencing factors on home value: A housing price-rent comparison. </w:t>
      </w:r>
      <w:r>
        <w:rPr>
          <w:i/>
        </w:rPr>
        <w:t>Sustainability</w:t>
      </w:r>
      <w:r>
        <w:rPr/>
        <w:t>, </w:t>
      </w:r>
      <w:r>
        <w:rPr>
          <w:i/>
        </w:rPr>
        <w:t>10</w:t>
      </w:r>
      <w:r>
        <w:rPr/>
        <w:t>(12), 1–23. https://doi.org/10.3390/su10124343</w:t>
      </w:r>
    </w:p>
    <w:p>
      <w:pPr>
        <w:pStyle w:val="BodyText"/>
        <w:spacing w:line="242" w:lineRule="auto" w:before="200"/>
        <w:ind w:left="1025" w:right="512" w:hanging="720"/>
      </w:pPr>
      <w:r>
        <w:rPr/>
        <w:t>D’Acci, L. (2018). Quality of urban area, distance from city centre, and housing value. Case study on real estate values in Turin. </w:t>
      </w:r>
      <w:r>
        <w:rPr>
          <w:i/>
        </w:rPr>
        <w:t>Cities</w:t>
      </w:r>
      <w:r>
        <w:rPr/>
        <w:t>, </w:t>
      </w:r>
      <w:r>
        <w:rPr>
          <w:i/>
        </w:rPr>
        <w:t>xxx</w:t>
      </w:r>
      <w:r>
        <w:rPr/>
        <w:t>(xx), xxx. </w:t>
      </w:r>
      <w:r>
        <w:rPr>
          <w:spacing w:val="-2"/>
        </w:rPr>
        <w:t>https://doi.org/10.1016/j.cities.2018.11.008</w:t>
      </w:r>
    </w:p>
    <w:p>
      <w:pPr>
        <w:spacing w:line="242" w:lineRule="auto" w:before="191"/>
        <w:ind w:left="1025" w:right="515" w:hanging="720"/>
        <w:jc w:val="both"/>
        <w:rPr>
          <w:sz w:val="24"/>
        </w:rPr>
      </w:pPr>
      <w:r>
        <w:rPr>
          <w:sz w:val="24"/>
        </w:rPr>
        <w:t>Day, B. (2003). </w:t>
      </w:r>
      <w:r>
        <w:rPr>
          <w:i/>
          <w:sz w:val="24"/>
        </w:rPr>
        <w:t>Submarket identification in property markets: A hedonic housing price model for Glasgow </w:t>
      </w:r>
      <w:r>
        <w:rPr>
          <w:sz w:val="24"/>
        </w:rPr>
        <w:t>[Working paper]. Norwich: University of East Anglia.</w:t>
      </w:r>
    </w:p>
    <w:p>
      <w:pPr>
        <w:pStyle w:val="BodyText"/>
        <w:spacing w:before="196"/>
        <w:ind w:left="1025" w:right="509" w:hanging="720"/>
      </w:pPr>
      <w:r>
        <w:rPr/>
        <w:t>De Paola, P., Del Giudice, V., Massimo, D. E., Forte, F., Musolino, M., &amp; Malerba, A. (2019).</w:t>
      </w:r>
      <w:r>
        <w:rPr>
          <w:spacing w:val="-3"/>
        </w:rPr>
        <w:t> </w:t>
      </w:r>
      <w:r>
        <w:rPr/>
        <w:t>Isovalore</w:t>
      </w:r>
      <w:r>
        <w:rPr>
          <w:spacing w:val="-4"/>
        </w:rPr>
        <w:t> </w:t>
      </w:r>
      <w:r>
        <w:rPr/>
        <w:t>maps</w:t>
      </w:r>
      <w:r>
        <w:rPr>
          <w:spacing w:val="-4"/>
        </w:rPr>
        <w:t> </w:t>
      </w:r>
      <w:r>
        <w:rPr/>
        <w:t>for</w:t>
      </w:r>
      <w:r>
        <w:rPr>
          <w:spacing w:val="-3"/>
        </w:rPr>
        <w:t> </w:t>
      </w:r>
      <w:r>
        <w:rPr/>
        <w:t>the</w:t>
      </w:r>
      <w:r>
        <w:rPr>
          <w:spacing w:val="-4"/>
        </w:rPr>
        <w:t> </w:t>
      </w:r>
      <w:r>
        <w:rPr/>
        <w:t>spatial</w:t>
      </w:r>
      <w:r>
        <w:rPr>
          <w:spacing w:val="-3"/>
        </w:rPr>
        <w:t> </w:t>
      </w:r>
      <w:r>
        <w:rPr/>
        <w:t>analysis</w:t>
      </w:r>
      <w:r>
        <w:rPr>
          <w:spacing w:val="-3"/>
        </w:rPr>
        <w:t> </w:t>
      </w:r>
      <w:r>
        <w:rPr/>
        <w:t>of</w:t>
      </w:r>
      <w:r>
        <w:rPr>
          <w:spacing w:val="-4"/>
        </w:rPr>
        <w:t> </w:t>
      </w:r>
      <w:r>
        <w:rPr/>
        <w:t>real</w:t>
      </w:r>
      <w:r>
        <w:rPr>
          <w:spacing w:val="-3"/>
        </w:rPr>
        <w:t> </w:t>
      </w:r>
      <w:r>
        <w:rPr/>
        <w:t>estate</w:t>
      </w:r>
      <w:r>
        <w:rPr>
          <w:spacing w:val="-3"/>
        </w:rPr>
        <w:t> </w:t>
      </w:r>
      <w:r>
        <w:rPr/>
        <w:t>market:</w:t>
      </w:r>
      <w:r>
        <w:rPr>
          <w:spacing w:val="-3"/>
        </w:rPr>
        <w:t> </w:t>
      </w:r>
      <w:r>
        <w:rPr/>
        <w:t>A</w:t>
      </w:r>
      <w:r>
        <w:rPr>
          <w:spacing w:val="-3"/>
        </w:rPr>
        <w:t> </w:t>
      </w:r>
      <w:r>
        <w:rPr/>
        <w:t>case</w:t>
      </w:r>
      <w:r>
        <w:rPr>
          <w:spacing w:val="-4"/>
        </w:rPr>
        <w:t> </w:t>
      </w:r>
      <w:r>
        <w:rPr/>
        <w:t>study for a central urban area of Reggio Calabria, Italy. In F. Calabrò, L. Della Spina, &amp;</w:t>
      </w:r>
      <w:r>
        <w:rPr>
          <w:spacing w:val="-10"/>
        </w:rPr>
        <w:t> </w:t>
      </w:r>
      <w:r>
        <w:rPr/>
        <w:t>C.</w:t>
      </w:r>
      <w:r>
        <w:rPr>
          <w:spacing w:val="-9"/>
        </w:rPr>
        <w:t> </w:t>
      </w:r>
      <w:r>
        <w:rPr/>
        <w:t>Bevilacqua</w:t>
      </w:r>
      <w:r>
        <w:rPr>
          <w:spacing w:val="-8"/>
        </w:rPr>
        <w:t> </w:t>
      </w:r>
      <w:r>
        <w:rPr/>
        <w:t>(Eds.),</w:t>
      </w:r>
      <w:r>
        <w:rPr>
          <w:spacing w:val="-6"/>
        </w:rPr>
        <w:t> </w:t>
      </w:r>
      <w:r>
        <w:rPr>
          <w:i/>
        </w:rPr>
        <w:t>New</w:t>
      </w:r>
      <w:r>
        <w:rPr>
          <w:i/>
          <w:spacing w:val="-9"/>
        </w:rPr>
        <w:t> </w:t>
      </w:r>
      <w:r>
        <w:rPr>
          <w:i/>
        </w:rPr>
        <w:t>Metropolitan</w:t>
      </w:r>
      <w:r>
        <w:rPr>
          <w:i/>
          <w:spacing w:val="-9"/>
        </w:rPr>
        <w:t> </w:t>
      </w:r>
      <w:r>
        <w:rPr>
          <w:i/>
        </w:rPr>
        <w:t>Perspectives</w:t>
      </w:r>
      <w:r>
        <w:rPr>
          <w:i/>
          <w:spacing w:val="-6"/>
        </w:rPr>
        <w:t> </w:t>
      </w:r>
      <w:r>
        <w:rPr/>
        <w:t>(Vol.</w:t>
      </w:r>
      <w:r>
        <w:rPr>
          <w:spacing w:val="-9"/>
        </w:rPr>
        <w:t> </w:t>
      </w:r>
      <w:r>
        <w:rPr/>
        <w:t>100,</w:t>
      </w:r>
      <w:r>
        <w:rPr>
          <w:spacing w:val="-9"/>
        </w:rPr>
        <w:t> </w:t>
      </w:r>
      <w:r>
        <w:rPr/>
        <w:t>pp.</w:t>
      </w:r>
      <w:r>
        <w:rPr>
          <w:spacing w:val="-9"/>
        </w:rPr>
        <w:t> </w:t>
      </w:r>
      <w:r>
        <w:rPr/>
        <w:t>402–410). </w:t>
      </w:r>
      <w:r>
        <w:rPr>
          <w:spacing w:val="-2"/>
        </w:rPr>
        <w:t>https://doi.org/10.1007/978-3-319-92099-3_46</w:t>
      </w:r>
    </w:p>
    <w:p>
      <w:pPr>
        <w:pStyle w:val="BodyText"/>
        <w:spacing w:before="199"/>
        <w:ind w:left="305"/>
        <w:jc w:val="left"/>
      </w:pPr>
      <w:r>
        <w:rPr/>
        <w:t>Debaniyu,</w:t>
      </w:r>
      <w:r>
        <w:rPr>
          <w:spacing w:val="-7"/>
        </w:rPr>
        <w:t> </w:t>
      </w:r>
      <w:r>
        <w:rPr/>
        <w:t>I.</w:t>
      </w:r>
      <w:r>
        <w:rPr>
          <w:spacing w:val="-7"/>
        </w:rPr>
        <w:t> </w:t>
      </w:r>
      <w:r>
        <w:rPr/>
        <w:t>F.</w:t>
      </w:r>
      <w:r>
        <w:rPr>
          <w:spacing w:val="-6"/>
        </w:rPr>
        <w:t> </w:t>
      </w:r>
      <w:r>
        <w:rPr/>
        <w:t>(2013).</w:t>
      </w:r>
      <w:r>
        <w:rPr>
          <w:spacing w:val="-7"/>
        </w:rPr>
        <w:t> </w:t>
      </w:r>
      <w:r>
        <w:rPr/>
        <w:t>Price</w:t>
      </w:r>
      <w:r>
        <w:rPr>
          <w:spacing w:val="-8"/>
        </w:rPr>
        <w:t> </w:t>
      </w:r>
      <w:r>
        <w:rPr/>
        <w:t>integration</w:t>
      </w:r>
      <w:r>
        <w:rPr>
          <w:spacing w:val="-5"/>
        </w:rPr>
        <w:t> </w:t>
      </w:r>
      <w:r>
        <w:rPr/>
        <w:t>of</w:t>
      </w:r>
      <w:r>
        <w:rPr>
          <w:spacing w:val="-8"/>
        </w:rPr>
        <w:t> </w:t>
      </w:r>
      <w:r>
        <w:rPr/>
        <w:t>cowpea</w:t>
      </w:r>
      <w:r>
        <w:rPr>
          <w:spacing w:val="-7"/>
        </w:rPr>
        <w:t> </w:t>
      </w:r>
      <w:r>
        <w:rPr/>
        <w:t>retail</w:t>
      </w:r>
      <w:r>
        <w:rPr>
          <w:spacing w:val="-7"/>
        </w:rPr>
        <w:t> </w:t>
      </w:r>
      <w:r>
        <w:rPr/>
        <w:t>markets</w:t>
      </w:r>
      <w:r>
        <w:rPr>
          <w:spacing w:val="-5"/>
        </w:rPr>
        <w:t> </w:t>
      </w:r>
      <w:r>
        <w:rPr/>
        <w:t>in</w:t>
      </w:r>
      <w:r>
        <w:rPr>
          <w:spacing w:val="-6"/>
        </w:rPr>
        <w:t> </w:t>
      </w:r>
      <w:r>
        <w:rPr/>
        <w:t>Niger</w:t>
      </w:r>
      <w:r>
        <w:rPr>
          <w:spacing w:val="-8"/>
        </w:rPr>
        <w:t> </w:t>
      </w:r>
      <w:r>
        <w:rPr/>
        <w:t>State,</w:t>
      </w:r>
      <w:r>
        <w:rPr>
          <w:spacing w:val="-6"/>
        </w:rPr>
        <w:t> </w:t>
      </w:r>
      <w:r>
        <w:rPr>
          <w:spacing w:val="-2"/>
        </w:rPr>
        <w:t>Nigeria.</w:t>
      </w:r>
    </w:p>
    <w:p>
      <w:pPr>
        <w:spacing w:before="3"/>
        <w:ind w:left="1025" w:right="0" w:firstLine="0"/>
        <w:jc w:val="left"/>
        <w:rPr>
          <w:sz w:val="24"/>
        </w:rPr>
      </w:pPr>
      <w:r>
        <w:rPr>
          <w:i/>
          <w:sz w:val="24"/>
        </w:rPr>
        <w:t>Academic</w:t>
      </w:r>
      <w:r>
        <w:rPr>
          <w:i/>
          <w:spacing w:val="-3"/>
          <w:sz w:val="24"/>
        </w:rPr>
        <w:t> </w:t>
      </w:r>
      <w:r>
        <w:rPr>
          <w:i/>
          <w:sz w:val="24"/>
        </w:rPr>
        <w:t>Research</w:t>
      </w:r>
      <w:r>
        <w:rPr>
          <w:i/>
          <w:spacing w:val="1"/>
          <w:sz w:val="24"/>
        </w:rPr>
        <w:t> </w:t>
      </w:r>
      <w:r>
        <w:rPr>
          <w:i/>
          <w:sz w:val="24"/>
        </w:rPr>
        <w:t>International</w:t>
      </w:r>
      <w:r>
        <w:rPr>
          <w:sz w:val="24"/>
        </w:rPr>
        <w:t>,</w:t>
      </w:r>
      <w:r>
        <w:rPr>
          <w:spacing w:val="-1"/>
          <w:sz w:val="24"/>
        </w:rPr>
        <w:t> </w:t>
      </w:r>
      <w:r>
        <w:rPr>
          <w:i/>
          <w:sz w:val="24"/>
        </w:rPr>
        <w:t>4</w:t>
      </w:r>
      <w:r>
        <w:rPr>
          <w:sz w:val="24"/>
        </w:rPr>
        <w:t>(3),</w:t>
      </w:r>
      <w:r>
        <w:rPr>
          <w:spacing w:val="-1"/>
          <w:sz w:val="24"/>
        </w:rPr>
        <w:t> </w:t>
      </w:r>
      <w:r>
        <w:rPr>
          <w:spacing w:val="-2"/>
          <w:sz w:val="24"/>
        </w:rPr>
        <w:t>264–277.</w:t>
      </w:r>
    </w:p>
    <w:p>
      <w:pPr>
        <w:spacing w:line="240" w:lineRule="auto" w:before="197"/>
        <w:ind w:left="1025" w:right="515" w:hanging="720"/>
        <w:jc w:val="both"/>
        <w:rPr>
          <w:sz w:val="24"/>
        </w:rPr>
      </w:pPr>
      <w:r>
        <w:rPr>
          <w:sz w:val="24"/>
        </w:rPr>
        <w:t>Debrezion, G., Pels, E. A., &amp; Rietveld, P. (2006). </w:t>
      </w:r>
      <w:r>
        <w:rPr>
          <w:i/>
          <w:sz w:val="24"/>
        </w:rPr>
        <w:t>The impact of rail transport on real estate</w:t>
      </w:r>
      <w:r>
        <w:rPr>
          <w:i/>
          <w:spacing w:val="-7"/>
          <w:sz w:val="24"/>
        </w:rPr>
        <w:t> </w:t>
      </w:r>
      <w:r>
        <w:rPr>
          <w:i/>
          <w:sz w:val="24"/>
        </w:rPr>
        <w:t>prices:</w:t>
      </w:r>
      <w:r>
        <w:rPr>
          <w:i/>
          <w:spacing w:val="-6"/>
          <w:sz w:val="24"/>
        </w:rPr>
        <w:t> </w:t>
      </w:r>
      <w:r>
        <w:rPr>
          <w:i/>
          <w:sz w:val="24"/>
        </w:rPr>
        <w:t>An</w:t>
      </w:r>
      <w:r>
        <w:rPr>
          <w:i/>
          <w:spacing w:val="-6"/>
          <w:sz w:val="24"/>
        </w:rPr>
        <w:t> </w:t>
      </w:r>
      <w:r>
        <w:rPr>
          <w:i/>
          <w:sz w:val="24"/>
        </w:rPr>
        <w:t>empirical</w:t>
      </w:r>
      <w:r>
        <w:rPr>
          <w:i/>
          <w:spacing w:val="-6"/>
          <w:sz w:val="24"/>
        </w:rPr>
        <w:t> </w:t>
      </w:r>
      <w:r>
        <w:rPr>
          <w:i/>
          <w:sz w:val="24"/>
        </w:rPr>
        <w:t>analysis</w:t>
      </w:r>
      <w:r>
        <w:rPr>
          <w:i/>
          <w:spacing w:val="-6"/>
          <w:sz w:val="24"/>
        </w:rPr>
        <w:t> </w:t>
      </w:r>
      <w:r>
        <w:rPr>
          <w:i/>
          <w:sz w:val="24"/>
        </w:rPr>
        <w:t>of</w:t>
      </w:r>
      <w:r>
        <w:rPr>
          <w:i/>
          <w:spacing w:val="-6"/>
          <w:sz w:val="24"/>
        </w:rPr>
        <w:t> </w:t>
      </w:r>
      <w:r>
        <w:rPr>
          <w:i/>
          <w:sz w:val="24"/>
        </w:rPr>
        <w:t>the</w:t>
      </w:r>
      <w:r>
        <w:rPr>
          <w:i/>
          <w:spacing w:val="-6"/>
          <w:sz w:val="24"/>
        </w:rPr>
        <w:t> </w:t>
      </w:r>
      <w:r>
        <w:rPr>
          <w:i/>
          <w:sz w:val="24"/>
        </w:rPr>
        <w:t>Dutch</w:t>
      </w:r>
      <w:r>
        <w:rPr>
          <w:i/>
          <w:spacing w:val="-6"/>
          <w:sz w:val="24"/>
        </w:rPr>
        <w:t> </w:t>
      </w:r>
      <w:r>
        <w:rPr>
          <w:i/>
          <w:sz w:val="24"/>
        </w:rPr>
        <w:t>housing</w:t>
      </w:r>
      <w:r>
        <w:rPr>
          <w:i/>
          <w:spacing w:val="-6"/>
          <w:sz w:val="24"/>
        </w:rPr>
        <w:t> </w:t>
      </w:r>
      <w:r>
        <w:rPr>
          <w:i/>
          <w:sz w:val="24"/>
        </w:rPr>
        <w:t>market</w:t>
      </w:r>
      <w:r>
        <w:rPr>
          <w:sz w:val="24"/>
        </w:rPr>
        <w:t>.</w:t>
      </w:r>
      <w:r>
        <w:rPr>
          <w:spacing w:val="-6"/>
          <w:sz w:val="24"/>
        </w:rPr>
        <w:t> </w:t>
      </w:r>
      <w:r>
        <w:rPr>
          <w:sz w:val="24"/>
        </w:rPr>
        <w:t>Retrieved</w:t>
      </w:r>
      <w:r>
        <w:rPr>
          <w:spacing w:val="-5"/>
          <w:sz w:val="24"/>
        </w:rPr>
        <w:t> </w:t>
      </w:r>
      <w:r>
        <w:rPr>
          <w:sz w:val="24"/>
        </w:rPr>
        <w:t>from </w:t>
      </w:r>
      <w:r>
        <w:rPr>
          <w:spacing w:val="-2"/>
          <w:sz w:val="24"/>
        </w:rPr>
        <w:t>https://papers.ssrn.com/sol3/papers.cfm?abstract_id=895270</w:t>
      </w:r>
    </w:p>
    <w:p>
      <w:pPr>
        <w:spacing w:line="240" w:lineRule="auto" w:before="199"/>
        <w:ind w:left="1025" w:right="511" w:hanging="720"/>
        <w:jc w:val="both"/>
        <w:rPr>
          <w:sz w:val="24"/>
        </w:rPr>
      </w:pPr>
      <w:r>
        <w:rPr>
          <w:sz w:val="24"/>
        </w:rPr>
        <w:t>Del</w:t>
      </w:r>
      <w:r>
        <w:rPr>
          <w:spacing w:val="-7"/>
          <w:sz w:val="24"/>
        </w:rPr>
        <w:t> </w:t>
      </w:r>
      <w:r>
        <w:rPr>
          <w:sz w:val="24"/>
        </w:rPr>
        <w:t>Giudice,</w:t>
      </w:r>
      <w:r>
        <w:rPr>
          <w:spacing w:val="-7"/>
          <w:sz w:val="24"/>
        </w:rPr>
        <w:t> </w:t>
      </w:r>
      <w:r>
        <w:rPr>
          <w:sz w:val="24"/>
        </w:rPr>
        <w:t>V.,</w:t>
      </w:r>
      <w:r>
        <w:rPr>
          <w:spacing w:val="-6"/>
          <w:sz w:val="24"/>
        </w:rPr>
        <w:t> </w:t>
      </w:r>
      <w:r>
        <w:rPr>
          <w:sz w:val="24"/>
        </w:rPr>
        <w:t>De</w:t>
      </w:r>
      <w:r>
        <w:rPr>
          <w:spacing w:val="-9"/>
          <w:sz w:val="24"/>
        </w:rPr>
        <w:t> </w:t>
      </w:r>
      <w:r>
        <w:rPr>
          <w:sz w:val="24"/>
        </w:rPr>
        <w:t>Paola,</w:t>
      </w:r>
      <w:r>
        <w:rPr>
          <w:spacing w:val="-7"/>
          <w:sz w:val="24"/>
        </w:rPr>
        <w:t> </w:t>
      </w:r>
      <w:r>
        <w:rPr>
          <w:sz w:val="24"/>
        </w:rPr>
        <w:t>P.,</w:t>
      </w:r>
      <w:r>
        <w:rPr>
          <w:spacing w:val="-7"/>
          <w:sz w:val="24"/>
        </w:rPr>
        <w:t> </w:t>
      </w:r>
      <w:r>
        <w:rPr>
          <w:sz w:val="24"/>
        </w:rPr>
        <w:t>&amp;</w:t>
      </w:r>
      <w:r>
        <w:rPr>
          <w:spacing w:val="-7"/>
          <w:sz w:val="24"/>
        </w:rPr>
        <w:t> </w:t>
      </w:r>
      <w:r>
        <w:rPr>
          <w:sz w:val="24"/>
        </w:rPr>
        <w:t>Forte,</w:t>
      </w:r>
      <w:r>
        <w:rPr>
          <w:spacing w:val="-5"/>
          <w:sz w:val="24"/>
        </w:rPr>
        <w:t> </w:t>
      </w:r>
      <w:r>
        <w:rPr>
          <w:sz w:val="24"/>
        </w:rPr>
        <w:t>F.</w:t>
      </w:r>
      <w:r>
        <w:rPr>
          <w:spacing w:val="-7"/>
          <w:sz w:val="24"/>
        </w:rPr>
        <w:t> </w:t>
      </w:r>
      <w:r>
        <w:rPr>
          <w:sz w:val="24"/>
        </w:rPr>
        <w:t>(2017).</w:t>
      </w:r>
      <w:r>
        <w:rPr>
          <w:spacing w:val="-6"/>
          <w:sz w:val="24"/>
        </w:rPr>
        <w:t> </w:t>
      </w:r>
      <w:r>
        <w:rPr>
          <w:sz w:val="24"/>
        </w:rPr>
        <w:t>Bayesian</w:t>
      </w:r>
      <w:r>
        <w:rPr>
          <w:spacing w:val="-7"/>
          <w:sz w:val="24"/>
        </w:rPr>
        <w:t> </w:t>
      </w:r>
      <w:r>
        <w:rPr>
          <w:sz w:val="24"/>
        </w:rPr>
        <w:t>neural</w:t>
      </w:r>
      <w:r>
        <w:rPr>
          <w:spacing w:val="-7"/>
          <w:sz w:val="24"/>
        </w:rPr>
        <w:t> </w:t>
      </w:r>
      <w:r>
        <w:rPr>
          <w:sz w:val="24"/>
        </w:rPr>
        <w:t>network</w:t>
      </w:r>
      <w:r>
        <w:rPr>
          <w:spacing w:val="-4"/>
          <w:sz w:val="24"/>
        </w:rPr>
        <w:t> </w:t>
      </w:r>
      <w:r>
        <w:rPr>
          <w:sz w:val="24"/>
        </w:rPr>
        <w:t>models</w:t>
      </w:r>
      <w:r>
        <w:rPr>
          <w:spacing w:val="-7"/>
          <w:sz w:val="24"/>
        </w:rPr>
        <w:t> </w:t>
      </w:r>
      <w:r>
        <w:rPr>
          <w:sz w:val="24"/>
        </w:rPr>
        <w:t>in</w:t>
      </w:r>
      <w:r>
        <w:rPr>
          <w:spacing w:val="-7"/>
          <w:sz w:val="24"/>
        </w:rPr>
        <w:t> </w:t>
      </w:r>
      <w:r>
        <w:rPr>
          <w:sz w:val="24"/>
        </w:rPr>
        <w:t>the appraisal of real estate properties. </w:t>
      </w:r>
      <w:r>
        <w:rPr>
          <w:i/>
          <w:sz w:val="24"/>
        </w:rPr>
        <w:t>International Conference on Computational Science and Its Applications</w:t>
      </w:r>
      <w:r>
        <w:rPr>
          <w:sz w:val="24"/>
        </w:rPr>
        <w:t>, 478–489. Cham: Springer.</w:t>
      </w:r>
    </w:p>
    <w:p>
      <w:pPr>
        <w:spacing w:line="242" w:lineRule="auto" w:before="202"/>
        <w:ind w:left="1025" w:right="517" w:hanging="720"/>
        <w:jc w:val="both"/>
        <w:rPr>
          <w:sz w:val="24"/>
        </w:rPr>
      </w:pPr>
      <w:r>
        <w:rPr>
          <w:sz w:val="24"/>
        </w:rPr>
        <w:t>Delbari, M., Afrasiab, P., &amp; Jahani, S. (2013). </w:t>
      </w:r>
      <w:r>
        <w:rPr>
          <w:i/>
          <w:sz w:val="24"/>
        </w:rPr>
        <w:t>Spatial interpolation of monthly and annual rainfall in northeast of Iran</w:t>
      </w:r>
      <w:r>
        <w:rPr>
          <w:sz w:val="24"/>
        </w:rPr>
        <w:t>. </w:t>
      </w:r>
      <w:r>
        <w:rPr>
          <w:i/>
          <w:sz w:val="24"/>
        </w:rPr>
        <w:t>122</w:t>
      </w:r>
      <w:r>
        <w:rPr>
          <w:sz w:val="24"/>
        </w:rPr>
        <w:t>(1–2), 103–113.</w:t>
      </w:r>
    </w:p>
    <w:p>
      <w:pPr>
        <w:spacing w:after="0" w:line="242" w:lineRule="auto"/>
        <w:jc w:val="both"/>
        <w:rPr>
          <w:sz w:val="24"/>
        </w:rPr>
        <w:sectPr>
          <w:pgSz w:w="11910" w:h="16840"/>
          <w:pgMar w:header="0" w:footer="1022" w:top="1320" w:bottom="1220" w:left="1680" w:right="900"/>
        </w:sectPr>
      </w:pPr>
    </w:p>
    <w:p>
      <w:pPr>
        <w:pStyle w:val="BodyText"/>
        <w:spacing w:before="72"/>
        <w:ind w:left="1025" w:right="511" w:hanging="720"/>
      </w:pPr>
      <w:r>
        <w:rPr/>
        <w:t>Delmelle, E., Zhou, Y., &amp; Thill, J.-C. (2014). Densification without Growth Management? Evidence from local land development and housing trends in Charlotte, North Carolina, USA. </w:t>
      </w:r>
      <w:r>
        <w:rPr>
          <w:i/>
        </w:rPr>
        <w:t>Sustainability</w:t>
      </w:r>
      <w:r>
        <w:rPr/>
        <w:t>, </w:t>
      </w:r>
      <w:r>
        <w:rPr>
          <w:i/>
        </w:rPr>
        <w:t>6</w:t>
      </w:r>
      <w:r>
        <w:rPr/>
        <w:t>(6), 3975–3990. </w:t>
      </w:r>
      <w:r>
        <w:rPr>
          <w:spacing w:val="-2"/>
        </w:rPr>
        <w:t>https://doi.org/10.3390/su6063975</w:t>
      </w:r>
    </w:p>
    <w:p>
      <w:pPr>
        <w:pStyle w:val="BodyText"/>
        <w:spacing w:before="199"/>
        <w:ind w:left="1025" w:right="511" w:hanging="720"/>
      </w:pPr>
      <w:r>
        <w:rPr/>
        <w:t>Deng, Y., Morck, R. K., Wu, J., &amp; Yeung, B. Y. (2011). Monetary and fiscal stimuli, ownership structure, and China’s housing market. </w:t>
      </w:r>
      <w:r>
        <w:rPr>
          <w:i/>
        </w:rPr>
        <w:t>SSRN Electronic Journal</w:t>
      </w:r>
      <w:r>
        <w:rPr/>
        <w:t>. </w:t>
      </w:r>
      <w:r>
        <w:rPr>
          <w:spacing w:val="-2"/>
        </w:rPr>
        <w:t>https://doi.org/10.2139/ssrn.1775363</w:t>
      </w:r>
    </w:p>
    <w:p>
      <w:pPr>
        <w:pStyle w:val="BodyText"/>
        <w:spacing w:before="200"/>
        <w:ind w:left="1025" w:right="509" w:hanging="720"/>
      </w:pPr>
      <w:r>
        <w:rPr/>
        <w:t>Devaux, N., Berthold, E., &amp; Dubé, J. (2018). Economic impact of a heritage policy on residential property values in a historic district context: The Case of the old city of Quebec. </w:t>
      </w:r>
      <w:r>
        <w:rPr>
          <w:i/>
        </w:rPr>
        <w:t>The Review of Regional Studies</w:t>
      </w:r>
      <w:r>
        <w:rPr/>
        <w:t>, </w:t>
      </w:r>
      <w:r>
        <w:rPr>
          <w:i/>
        </w:rPr>
        <w:t>48</w:t>
      </w:r>
      <w:r>
        <w:rPr/>
        <w:t>, 279–297.</w:t>
      </w:r>
    </w:p>
    <w:p>
      <w:pPr>
        <w:pStyle w:val="BodyText"/>
        <w:tabs>
          <w:tab w:pos="3190" w:val="left" w:leader="none"/>
          <w:tab w:pos="4738" w:val="left" w:leader="none"/>
          <w:tab w:pos="6412" w:val="left" w:leader="none"/>
          <w:tab w:pos="7912" w:val="left" w:leader="none"/>
        </w:tabs>
        <w:spacing w:line="242" w:lineRule="auto" w:before="201"/>
        <w:ind w:left="1025" w:right="511" w:hanging="720"/>
      </w:pPr>
      <w:r>
        <w:rPr/>
        <w:t>Diao, M. (2015). Selectivity, spatial autocorrelation and the valuation of transit </w:t>
      </w:r>
      <w:r>
        <w:rPr>
          <w:spacing w:val="-2"/>
        </w:rPr>
        <w:t>accessibility.</w:t>
      </w:r>
      <w:r>
        <w:rPr/>
        <w:tab/>
      </w:r>
      <w:r>
        <w:rPr>
          <w:i/>
          <w:spacing w:val="-2"/>
        </w:rPr>
        <w:t>Urban</w:t>
      </w:r>
      <w:r>
        <w:rPr>
          <w:i/>
        </w:rPr>
        <w:tab/>
      </w:r>
      <w:r>
        <w:rPr>
          <w:i/>
          <w:spacing w:val="-2"/>
        </w:rPr>
        <w:t>Studies</w:t>
      </w:r>
      <w:r>
        <w:rPr>
          <w:spacing w:val="-2"/>
        </w:rPr>
        <w:t>,</w:t>
      </w:r>
      <w:r>
        <w:rPr/>
        <w:tab/>
      </w:r>
      <w:r>
        <w:rPr>
          <w:i/>
          <w:spacing w:val="-2"/>
        </w:rPr>
        <w:t>52</w:t>
      </w:r>
      <w:r>
        <w:rPr>
          <w:spacing w:val="-2"/>
        </w:rPr>
        <w:t>(1),</w:t>
      </w:r>
      <w:r>
        <w:rPr/>
        <w:tab/>
      </w:r>
      <w:r>
        <w:rPr>
          <w:spacing w:val="-2"/>
        </w:rPr>
        <w:t>159–177. https://doi.org/10.1177/0042098014523686</w:t>
      </w:r>
    </w:p>
    <w:p>
      <w:pPr>
        <w:pStyle w:val="BodyText"/>
        <w:spacing w:before="192"/>
        <w:ind w:left="1025" w:right="514" w:hanging="720"/>
      </w:pPr>
      <w:r>
        <w:rPr/>
        <w:t>Díaz-Fernández,</w:t>
      </w:r>
      <w:r>
        <w:rPr>
          <w:spacing w:val="-15"/>
        </w:rPr>
        <w:t> </w:t>
      </w:r>
      <w:r>
        <w:rPr/>
        <w:t>M.,</w:t>
      </w:r>
      <w:r>
        <w:rPr>
          <w:spacing w:val="-15"/>
        </w:rPr>
        <w:t> </w:t>
      </w:r>
      <w:r>
        <w:rPr/>
        <w:t>Llorente-Marrón,</w:t>
      </w:r>
      <w:r>
        <w:rPr>
          <w:spacing w:val="-15"/>
        </w:rPr>
        <w:t> </w:t>
      </w:r>
      <w:r>
        <w:rPr/>
        <w:t>M.,</w:t>
      </w:r>
      <w:r>
        <w:rPr>
          <w:spacing w:val="-15"/>
        </w:rPr>
        <w:t> </w:t>
      </w:r>
      <w:r>
        <w:rPr/>
        <w:t>&amp;</w:t>
      </w:r>
      <w:r>
        <w:rPr>
          <w:spacing w:val="-15"/>
        </w:rPr>
        <w:t> </w:t>
      </w:r>
      <w:r>
        <w:rPr/>
        <w:t>Méndez-Rodríguez,</w:t>
      </w:r>
      <w:r>
        <w:rPr>
          <w:spacing w:val="-15"/>
        </w:rPr>
        <w:t> </w:t>
      </w:r>
      <w:r>
        <w:rPr/>
        <w:t>P.</w:t>
      </w:r>
      <w:r>
        <w:rPr>
          <w:spacing w:val="-15"/>
        </w:rPr>
        <w:t> </w:t>
      </w:r>
      <w:r>
        <w:rPr/>
        <w:t>(2018).</w:t>
      </w:r>
      <w:r>
        <w:rPr>
          <w:spacing w:val="-15"/>
        </w:rPr>
        <w:t> </w:t>
      </w:r>
      <w:r>
        <w:rPr/>
        <w:t>Interrelation between births and the housing market: A cointegration analysis for the Spanish case: Does fertility affect dynamics of housing market? </w:t>
      </w:r>
      <w:r>
        <w:rPr>
          <w:i/>
        </w:rPr>
        <w:t>Population, Space and Place</w:t>
      </w:r>
      <w:r>
        <w:rPr/>
        <w:t>, 1–10. https://doi.org/10.1002/psp.2172</w:t>
      </w:r>
    </w:p>
    <w:p>
      <w:pPr>
        <w:pStyle w:val="BodyText"/>
        <w:spacing w:before="199"/>
        <w:ind w:left="1025" w:right="512" w:hanging="720"/>
      </w:pPr>
      <w:r>
        <w:rPr/>
        <w:t>Doszyń, M., &amp; Gnat, S. (2017). Econometric identification of the impact of real estate characteristics based on predictive and studentized residuals. </w:t>
      </w:r>
      <w:r>
        <w:rPr>
          <w:i/>
        </w:rPr>
        <w:t>Real Estate Management and Valuation</w:t>
      </w:r>
      <w:r>
        <w:rPr/>
        <w:t>, </w:t>
      </w:r>
      <w:r>
        <w:rPr>
          <w:i/>
        </w:rPr>
        <w:t>25</w:t>
      </w:r>
      <w:r>
        <w:rPr/>
        <w:t>(1). https://doi.org/10.1515/remav-2017-0005</w:t>
      </w:r>
    </w:p>
    <w:p>
      <w:pPr>
        <w:spacing w:line="242" w:lineRule="auto" w:before="202"/>
        <w:ind w:left="1025" w:right="514" w:hanging="720"/>
        <w:jc w:val="both"/>
        <w:rPr>
          <w:sz w:val="24"/>
        </w:rPr>
      </w:pPr>
      <w:r>
        <w:rPr>
          <w:sz w:val="24"/>
        </w:rPr>
        <w:t>Dubin,</w:t>
      </w:r>
      <w:r>
        <w:rPr>
          <w:spacing w:val="-9"/>
          <w:sz w:val="24"/>
        </w:rPr>
        <w:t> </w:t>
      </w:r>
      <w:r>
        <w:rPr>
          <w:sz w:val="24"/>
        </w:rPr>
        <w:t>R</w:t>
      </w:r>
      <w:r>
        <w:rPr>
          <w:spacing w:val="-9"/>
          <w:sz w:val="24"/>
        </w:rPr>
        <w:t> </w:t>
      </w:r>
      <w:r>
        <w:rPr>
          <w:sz w:val="24"/>
        </w:rPr>
        <w:t>A.</w:t>
      </w:r>
      <w:r>
        <w:rPr>
          <w:spacing w:val="-10"/>
          <w:sz w:val="24"/>
        </w:rPr>
        <w:t> </w:t>
      </w:r>
      <w:r>
        <w:rPr>
          <w:sz w:val="24"/>
        </w:rPr>
        <w:t>(1998).</w:t>
      </w:r>
      <w:r>
        <w:rPr>
          <w:spacing w:val="-10"/>
          <w:sz w:val="24"/>
        </w:rPr>
        <w:t> </w:t>
      </w:r>
      <w:r>
        <w:rPr>
          <w:sz w:val="24"/>
        </w:rPr>
        <w:t>Spatial</w:t>
      </w:r>
      <w:r>
        <w:rPr>
          <w:spacing w:val="-8"/>
          <w:sz w:val="24"/>
        </w:rPr>
        <w:t> </w:t>
      </w:r>
      <w:r>
        <w:rPr>
          <w:sz w:val="24"/>
        </w:rPr>
        <w:t>autocorrelation:</w:t>
      </w:r>
      <w:r>
        <w:rPr>
          <w:spacing w:val="-9"/>
          <w:sz w:val="24"/>
        </w:rPr>
        <w:t> </w:t>
      </w:r>
      <w:r>
        <w:rPr>
          <w:sz w:val="24"/>
        </w:rPr>
        <w:t>A</w:t>
      </w:r>
      <w:r>
        <w:rPr>
          <w:spacing w:val="-10"/>
          <w:sz w:val="24"/>
        </w:rPr>
        <w:t> </w:t>
      </w:r>
      <w:r>
        <w:rPr>
          <w:sz w:val="24"/>
        </w:rPr>
        <w:t>primer.</w:t>
      </w:r>
      <w:r>
        <w:rPr>
          <w:spacing w:val="-9"/>
          <w:sz w:val="24"/>
        </w:rPr>
        <w:t> </w:t>
      </w:r>
      <w:r>
        <w:rPr>
          <w:i/>
          <w:sz w:val="24"/>
        </w:rPr>
        <w:t>Journal</w:t>
      </w:r>
      <w:r>
        <w:rPr>
          <w:i/>
          <w:spacing w:val="-9"/>
          <w:sz w:val="24"/>
        </w:rPr>
        <w:t> </w:t>
      </w:r>
      <w:r>
        <w:rPr>
          <w:i/>
          <w:sz w:val="24"/>
        </w:rPr>
        <w:t>of</w:t>
      </w:r>
      <w:r>
        <w:rPr>
          <w:i/>
          <w:spacing w:val="-9"/>
          <w:sz w:val="24"/>
        </w:rPr>
        <w:t> </w:t>
      </w:r>
      <w:r>
        <w:rPr>
          <w:i/>
          <w:sz w:val="24"/>
        </w:rPr>
        <w:t>Housing</w:t>
      </w:r>
      <w:r>
        <w:rPr>
          <w:i/>
          <w:spacing w:val="-10"/>
          <w:sz w:val="24"/>
        </w:rPr>
        <w:t> </w:t>
      </w:r>
      <w:r>
        <w:rPr>
          <w:i/>
          <w:sz w:val="24"/>
        </w:rPr>
        <w:t>Economics</w:t>
      </w:r>
      <w:r>
        <w:rPr>
          <w:sz w:val="24"/>
        </w:rPr>
        <w:t>,</w:t>
      </w:r>
      <w:r>
        <w:rPr>
          <w:spacing w:val="-9"/>
          <w:sz w:val="24"/>
        </w:rPr>
        <w:t> </w:t>
      </w:r>
      <w:r>
        <w:rPr>
          <w:i/>
          <w:sz w:val="24"/>
        </w:rPr>
        <w:t>7</w:t>
      </w:r>
      <w:r>
        <w:rPr>
          <w:sz w:val="24"/>
        </w:rPr>
        <w:t>, </w:t>
      </w:r>
      <w:r>
        <w:rPr>
          <w:spacing w:val="-2"/>
          <w:sz w:val="24"/>
        </w:rPr>
        <w:t>304–327.</w:t>
      </w:r>
    </w:p>
    <w:p>
      <w:pPr>
        <w:spacing w:line="240" w:lineRule="auto" w:before="194"/>
        <w:ind w:left="1025" w:right="513" w:hanging="720"/>
        <w:jc w:val="both"/>
        <w:rPr>
          <w:sz w:val="24"/>
        </w:rPr>
      </w:pPr>
      <w:r>
        <w:rPr>
          <w:sz w:val="24"/>
        </w:rPr>
        <w:t>Dubin, Robin A. (1992). Spatial autocorrelation and neighborhood quality. </w:t>
      </w:r>
      <w:r>
        <w:rPr>
          <w:i/>
          <w:sz w:val="24"/>
        </w:rPr>
        <w:t>Regional Science and Urban Economics</w:t>
      </w:r>
      <w:r>
        <w:rPr>
          <w:sz w:val="24"/>
        </w:rPr>
        <w:t>, </w:t>
      </w:r>
      <w:r>
        <w:rPr>
          <w:i/>
          <w:sz w:val="24"/>
        </w:rPr>
        <w:t>22</w:t>
      </w:r>
      <w:r>
        <w:rPr>
          <w:sz w:val="24"/>
        </w:rPr>
        <w:t>(3), 433–452. https://doi.org/10.1016/0166- </w:t>
      </w:r>
      <w:r>
        <w:rPr>
          <w:spacing w:val="-2"/>
          <w:sz w:val="24"/>
        </w:rPr>
        <w:t>0462(92)90038-3</w:t>
      </w:r>
    </w:p>
    <w:p>
      <w:pPr>
        <w:pStyle w:val="BodyText"/>
        <w:spacing w:before="199"/>
        <w:ind w:left="1025" w:right="513" w:hanging="720"/>
      </w:pPr>
      <w:r>
        <w:rPr/>
        <w:t>Flage,</w:t>
      </w:r>
      <w:r>
        <w:rPr>
          <w:spacing w:val="-15"/>
        </w:rPr>
        <w:t> </w:t>
      </w:r>
      <w:r>
        <w:rPr/>
        <w:t>A.</w:t>
      </w:r>
      <w:r>
        <w:rPr>
          <w:spacing w:val="-15"/>
        </w:rPr>
        <w:t> </w:t>
      </w:r>
      <w:r>
        <w:rPr/>
        <w:t>(2018).</w:t>
      </w:r>
      <w:r>
        <w:rPr>
          <w:spacing w:val="-15"/>
        </w:rPr>
        <w:t> </w:t>
      </w:r>
      <w:r>
        <w:rPr/>
        <w:t>Ethnic</w:t>
      </w:r>
      <w:r>
        <w:rPr>
          <w:spacing w:val="-15"/>
        </w:rPr>
        <w:t> </w:t>
      </w:r>
      <w:r>
        <w:rPr/>
        <w:t>and</w:t>
      </w:r>
      <w:r>
        <w:rPr>
          <w:spacing w:val="-15"/>
        </w:rPr>
        <w:t> </w:t>
      </w:r>
      <w:r>
        <w:rPr/>
        <w:t>gender</w:t>
      </w:r>
      <w:r>
        <w:rPr>
          <w:spacing w:val="-15"/>
        </w:rPr>
        <w:t> </w:t>
      </w:r>
      <w:r>
        <w:rPr/>
        <w:t>discrimination</w:t>
      </w:r>
      <w:r>
        <w:rPr>
          <w:spacing w:val="-15"/>
        </w:rPr>
        <w:t> </w:t>
      </w:r>
      <w:r>
        <w:rPr/>
        <w:t>in</w:t>
      </w:r>
      <w:r>
        <w:rPr>
          <w:spacing w:val="-15"/>
        </w:rPr>
        <w:t> </w:t>
      </w:r>
      <w:r>
        <w:rPr/>
        <w:t>the</w:t>
      </w:r>
      <w:r>
        <w:rPr>
          <w:spacing w:val="-15"/>
        </w:rPr>
        <w:t> </w:t>
      </w:r>
      <w:r>
        <w:rPr/>
        <w:t>rental</w:t>
      </w:r>
      <w:r>
        <w:rPr>
          <w:spacing w:val="-15"/>
        </w:rPr>
        <w:t> </w:t>
      </w:r>
      <w:r>
        <w:rPr/>
        <w:t>housing</w:t>
      </w:r>
      <w:r>
        <w:rPr>
          <w:spacing w:val="-15"/>
        </w:rPr>
        <w:t> </w:t>
      </w:r>
      <w:r>
        <w:rPr/>
        <w:t>market:</w:t>
      </w:r>
      <w:r>
        <w:rPr>
          <w:spacing w:val="-15"/>
        </w:rPr>
        <w:t> </w:t>
      </w:r>
      <w:r>
        <w:rPr/>
        <w:t>Evidence from a meta-analysis of correspondence tests, 2006–2017. </w:t>
      </w:r>
      <w:r>
        <w:rPr>
          <w:i/>
        </w:rPr>
        <w:t>Journal of </w:t>
      </w:r>
      <w:r>
        <w:rPr>
          <w:i/>
        </w:rPr>
        <w:t>Housing Economics</w:t>
      </w:r>
      <w:r>
        <w:rPr/>
        <w:t>, </w:t>
      </w:r>
      <w:r>
        <w:rPr>
          <w:i/>
        </w:rPr>
        <w:t>41</w:t>
      </w:r>
      <w:r>
        <w:rPr/>
        <w:t>, 251–273. https://doi.org/10.1016/j.jhe.2018.07.003</w:t>
      </w:r>
    </w:p>
    <w:p>
      <w:pPr>
        <w:spacing w:line="242" w:lineRule="auto" w:before="202"/>
        <w:ind w:left="1025" w:right="516" w:hanging="720"/>
        <w:jc w:val="both"/>
        <w:rPr>
          <w:sz w:val="24"/>
        </w:rPr>
      </w:pPr>
      <w:r>
        <w:rPr>
          <w:sz w:val="24"/>
        </w:rPr>
        <w:t>Fujita, M. (1989). </w:t>
      </w:r>
      <w:r>
        <w:rPr>
          <w:i/>
          <w:sz w:val="24"/>
        </w:rPr>
        <w:t>Urban economic theory: Land use and city size</w:t>
      </w:r>
      <w:r>
        <w:rPr>
          <w:sz w:val="24"/>
        </w:rPr>
        <w:t>. Cambridge [Cambridgeshire] ; New York: Cambridge University Press.</w:t>
      </w:r>
    </w:p>
    <w:p>
      <w:pPr>
        <w:pStyle w:val="BodyText"/>
        <w:spacing w:before="194"/>
        <w:ind w:left="1025" w:right="511" w:hanging="720"/>
      </w:pPr>
      <w:r>
        <w:rPr/>
        <w:t>Fujita,</w:t>
      </w:r>
      <w:r>
        <w:rPr>
          <w:spacing w:val="-13"/>
        </w:rPr>
        <w:t> </w:t>
      </w:r>
      <w:r>
        <w:rPr/>
        <w:t>M.</w:t>
      </w:r>
      <w:r>
        <w:rPr>
          <w:spacing w:val="-13"/>
        </w:rPr>
        <w:t> </w:t>
      </w:r>
      <w:r>
        <w:rPr/>
        <w:t>(2010).</w:t>
      </w:r>
      <w:r>
        <w:rPr>
          <w:spacing w:val="-14"/>
        </w:rPr>
        <w:t> </w:t>
      </w:r>
      <w:r>
        <w:rPr/>
        <w:t>The</w:t>
      </w:r>
      <w:r>
        <w:rPr>
          <w:spacing w:val="-14"/>
        </w:rPr>
        <w:t> </w:t>
      </w:r>
      <w:r>
        <w:rPr/>
        <w:t>evolution</w:t>
      </w:r>
      <w:r>
        <w:rPr>
          <w:spacing w:val="-12"/>
        </w:rPr>
        <w:t> </w:t>
      </w:r>
      <w:r>
        <w:rPr/>
        <w:t>of</w:t>
      </w:r>
      <w:r>
        <w:rPr>
          <w:spacing w:val="-13"/>
        </w:rPr>
        <w:t> </w:t>
      </w:r>
      <w:r>
        <w:rPr/>
        <w:t>spatial</w:t>
      </w:r>
      <w:r>
        <w:rPr>
          <w:spacing w:val="-13"/>
        </w:rPr>
        <w:t> </w:t>
      </w:r>
      <w:r>
        <w:rPr/>
        <w:t>economics:</w:t>
      </w:r>
      <w:r>
        <w:rPr>
          <w:spacing w:val="-13"/>
        </w:rPr>
        <w:t> </w:t>
      </w:r>
      <w:r>
        <w:rPr/>
        <w:t>From</w:t>
      </w:r>
      <w:r>
        <w:rPr>
          <w:spacing w:val="-13"/>
        </w:rPr>
        <w:t> </w:t>
      </w:r>
      <w:r>
        <w:rPr/>
        <w:t>Thünen</w:t>
      </w:r>
      <w:r>
        <w:rPr>
          <w:spacing w:val="-12"/>
        </w:rPr>
        <w:t> </w:t>
      </w:r>
      <w:r>
        <w:rPr/>
        <w:t>to</w:t>
      </w:r>
      <w:r>
        <w:rPr>
          <w:spacing w:val="-13"/>
        </w:rPr>
        <w:t> </w:t>
      </w:r>
      <w:r>
        <w:rPr/>
        <w:t>the</w:t>
      </w:r>
      <w:r>
        <w:rPr>
          <w:spacing w:val="-13"/>
        </w:rPr>
        <w:t> </w:t>
      </w:r>
      <w:r>
        <w:rPr/>
        <w:t>new</w:t>
      </w:r>
      <w:r>
        <w:rPr>
          <w:spacing w:val="-14"/>
        </w:rPr>
        <w:t> </w:t>
      </w:r>
      <w:r>
        <w:rPr/>
        <w:t>economic geography. </w:t>
      </w:r>
      <w:r>
        <w:rPr>
          <w:i/>
        </w:rPr>
        <w:t>Japanese Economic Review</w:t>
      </w:r>
      <w:r>
        <w:rPr/>
        <w:t>, </w:t>
      </w:r>
      <w:r>
        <w:rPr>
          <w:i/>
        </w:rPr>
        <w:t>61</w:t>
      </w:r>
      <w:r>
        <w:rPr/>
        <w:t>(1), 1–32. </w:t>
      </w:r>
      <w:r>
        <w:rPr>
          <w:spacing w:val="-2"/>
        </w:rPr>
        <w:t>https://doi.org/10.1111/j.1468-5876.2009.00504.x</w:t>
      </w:r>
    </w:p>
    <w:p>
      <w:pPr>
        <w:pStyle w:val="BodyText"/>
        <w:spacing w:before="199"/>
        <w:ind w:left="1025" w:right="513" w:hanging="720"/>
      </w:pPr>
      <w:r>
        <w:rPr/>
        <w:t>Gambo,</w:t>
      </w:r>
      <w:r>
        <w:rPr>
          <w:spacing w:val="-4"/>
        </w:rPr>
        <w:t> </w:t>
      </w:r>
      <w:r>
        <w:rPr/>
        <w:t>Y.</w:t>
      </w:r>
      <w:r>
        <w:rPr>
          <w:spacing w:val="-3"/>
        </w:rPr>
        <w:t> </w:t>
      </w:r>
      <w:r>
        <w:rPr/>
        <w:t>L.</w:t>
      </w:r>
      <w:r>
        <w:rPr>
          <w:spacing w:val="-5"/>
        </w:rPr>
        <w:t> </w:t>
      </w:r>
      <w:r>
        <w:rPr/>
        <w:t>(2012).</w:t>
      </w:r>
      <w:r>
        <w:rPr>
          <w:spacing w:val="-6"/>
        </w:rPr>
        <w:t> </w:t>
      </w:r>
      <w:r>
        <w:rPr/>
        <w:t>Hedonic</w:t>
      </w:r>
      <w:r>
        <w:rPr>
          <w:spacing w:val="-4"/>
        </w:rPr>
        <w:t> </w:t>
      </w:r>
      <w:r>
        <w:rPr/>
        <w:t>price</w:t>
      </w:r>
      <w:r>
        <w:rPr>
          <w:spacing w:val="-6"/>
        </w:rPr>
        <w:t> </w:t>
      </w:r>
      <w:r>
        <w:rPr/>
        <w:t>modeling</w:t>
      </w:r>
      <w:r>
        <w:rPr>
          <w:spacing w:val="-6"/>
        </w:rPr>
        <w:t> </w:t>
      </w:r>
      <w:r>
        <w:rPr/>
        <w:t>of</w:t>
      </w:r>
      <w:r>
        <w:rPr>
          <w:spacing w:val="-6"/>
        </w:rPr>
        <w:t> </w:t>
      </w:r>
      <w:r>
        <w:rPr/>
        <w:t>the</w:t>
      </w:r>
      <w:r>
        <w:rPr>
          <w:spacing w:val="-6"/>
        </w:rPr>
        <w:t> </w:t>
      </w:r>
      <w:r>
        <w:rPr/>
        <w:t>influence</w:t>
      </w:r>
      <w:r>
        <w:rPr>
          <w:spacing w:val="-5"/>
        </w:rPr>
        <w:t> </w:t>
      </w:r>
      <w:r>
        <w:rPr/>
        <w:t>of</w:t>
      </w:r>
      <w:r>
        <w:rPr>
          <w:spacing w:val="-6"/>
        </w:rPr>
        <w:t> </w:t>
      </w:r>
      <w:r>
        <w:rPr/>
        <w:t>violent</w:t>
      </w:r>
      <w:r>
        <w:rPr>
          <w:spacing w:val="-4"/>
        </w:rPr>
        <w:t> </w:t>
      </w:r>
      <w:r>
        <w:rPr/>
        <w:t>ethno-religious conflict on residential property values in Bauchi metropolis, Nigeria. </w:t>
      </w:r>
      <w:r>
        <w:rPr>
          <w:i/>
        </w:rPr>
        <w:t>Journal of Sustainable Development</w:t>
      </w:r>
      <w:r>
        <w:rPr/>
        <w:t>, </w:t>
      </w:r>
      <w:r>
        <w:rPr>
          <w:i/>
        </w:rPr>
        <w:t>5</w:t>
      </w:r>
      <w:r>
        <w:rPr/>
        <w:t>(9), 85–97. https://doi.org/10.5539/jsd.v5n9p85</w:t>
      </w:r>
    </w:p>
    <w:p>
      <w:pPr>
        <w:pStyle w:val="BodyText"/>
        <w:spacing w:before="200"/>
        <w:ind w:left="1025" w:right="511" w:hanging="720"/>
      </w:pPr>
      <w:r>
        <w:rPr/>
        <w:t>Gan, L., Wang, P., &amp; Zhang, Q. (2018). Market thickness and the impact of unemployment on housing market outcomes. </w:t>
      </w:r>
      <w:r>
        <w:rPr>
          <w:i/>
        </w:rPr>
        <w:t>Journal of Monetary Economics</w:t>
      </w:r>
      <w:r>
        <w:rPr/>
        <w:t>. </w:t>
      </w:r>
      <w:r>
        <w:rPr>
          <w:spacing w:val="-2"/>
        </w:rPr>
        <w:t>https://doi.org/10.1016/j.jmoneco.2018.04.007</w:t>
      </w:r>
    </w:p>
    <w:p>
      <w:pPr>
        <w:spacing w:after="0"/>
        <w:sectPr>
          <w:pgSz w:w="11910" w:h="16840"/>
          <w:pgMar w:header="0" w:footer="1022" w:top="1320" w:bottom="1220" w:left="1680" w:right="900"/>
        </w:sectPr>
      </w:pPr>
    </w:p>
    <w:p>
      <w:pPr>
        <w:tabs>
          <w:tab w:pos="2580" w:val="left" w:leader="none"/>
          <w:tab w:pos="4402" w:val="left" w:leader="none"/>
          <w:tab w:pos="6417" w:val="left" w:leader="none"/>
          <w:tab w:pos="7912" w:val="left" w:leader="none"/>
        </w:tabs>
        <w:spacing w:line="242" w:lineRule="auto" w:before="72"/>
        <w:ind w:left="1025" w:right="511" w:hanging="720"/>
        <w:jc w:val="both"/>
        <w:rPr>
          <w:sz w:val="24"/>
        </w:rPr>
      </w:pPr>
      <w:r>
        <w:rPr>
          <w:sz w:val="24"/>
        </w:rPr>
        <w:t>Ge, J. (2017). Endogenous rise and collapse of housing price. </w:t>
      </w:r>
      <w:r>
        <w:rPr>
          <w:i/>
          <w:sz w:val="24"/>
        </w:rPr>
        <w:t>Computers, Environment </w:t>
      </w:r>
      <w:r>
        <w:rPr>
          <w:i/>
          <w:spacing w:val="-4"/>
          <w:sz w:val="24"/>
        </w:rPr>
        <w:t>and</w:t>
      </w:r>
      <w:r>
        <w:rPr>
          <w:i/>
          <w:sz w:val="24"/>
        </w:rPr>
        <w:tab/>
      </w:r>
      <w:r>
        <w:rPr>
          <w:i/>
          <w:spacing w:val="-2"/>
          <w:sz w:val="24"/>
        </w:rPr>
        <w:t>Urban</w:t>
      </w:r>
      <w:r>
        <w:rPr>
          <w:i/>
          <w:sz w:val="24"/>
        </w:rPr>
        <w:tab/>
      </w:r>
      <w:r>
        <w:rPr>
          <w:i/>
          <w:spacing w:val="-2"/>
          <w:sz w:val="24"/>
        </w:rPr>
        <w:t>Systems</w:t>
      </w:r>
      <w:r>
        <w:rPr>
          <w:spacing w:val="-2"/>
          <w:sz w:val="24"/>
        </w:rPr>
        <w:t>,</w:t>
      </w:r>
      <w:r>
        <w:rPr>
          <w:sz w:val="24"/>
        </w:rPr>
        <w:tab/>
      </w:r>
      <w:r>
        <w:rPr>
          <w:i/>
          <w:spacing w:val="-4"/>
          <w:sz w:val="24"/>
        </w:rPr>
        <w:t>62</w:t>
      </w:r>
      <w:r>
        <w:rPr>
          <w:spacing w:val="-4"/>
          <w:sz w:val="24"/>
        </w:rPr>
        <w:t>,</w:t>
      </w:r>
      <w:r>
        <w:rPr>
          <w:sz w:val="24"/>
        </w:rPr>
        <w:tab/>
      </w:r>
      <w:r>
        <w:rPr>
          <w:spacing w:val="-2"/>
          <w:sz w:val="24"/>
        </w:rPr>
        <w:t>182–198. https://doi.org/10.1016/j.compenvurbsys.2016.11.005</w:t>
      </w:r>
    </w:p>
    <w:p>
      <w:pPr>
        <w:tabs>
          <w:tab w:pos="2690" w:val="left" w:leader="none"/>
          <w:tab w:pos="3822" w:val="left" w:leader="none"/>
          <w:tab w:pos="4995" w:val="left" w:leader="none"/>
          <w:tab w:pos="6558" w:val="left" w:leader="none"/>
          <w:tab w:pos="7911" w:val="left" w:leader="none"/>
        </w:tabs>
        <w:spacing w:line="240" w:lineRule="auto" w:before="191"/>
        <w:ind w:left="1025" w:right="511" w:hanging="720"/>
        <w:jc w:val="both"/>
        <w:rPr>
          <w:sz w:val="24"/>
        </w:rPr>
      </w:pPr>
      <w:r>
        <w:rPr>
          <w:sz w:val="24"/>
        </w:rPr>
        <w:t>Ghadami,</w:t>
      </w:r>
      <w:r>
        <w:rPr>
          <w:spacing w:val="-10"/>
          <w:sz w:val="24"/>
        </w:rPr>
        <w:t> </w:t>
      </w:r>
      <w:r>
        <w:rPr>
          <w:sz w:val="24"/>
        </w:rPr>
        <w:t>M.,</w:t>
      </w:r>
      <w:r>
        <w:rPr>
          <w:spacing w:val="-7"/>
          <w:sz w:val="24"/>
        </w:rPr>
        <w:t> </w:t>
      </w:r>
      <w:r>
        <w:rPr>
          <w:sz w:val="24"/>
        </w:rPr>
        <w:t>&amp;</w:t>
      </w:r>
      <w:r>
        <w:rPr>
          <w:spacing w:val="-12"/>
          <w:sz w:val="24"/>
        </w:rPr>
        <w:t> </w:t>
      </w:r>
      <w:r>
        <w:rPr>
          <w:sz w:val="24"/>
        </w:rPr>
        <w:t>Newman,</w:t>
      </w:r>
      <w:r>
        <w:rPr>
          <w:spacing w:val="-10"/>
          <w:sz w:val="24"/>
        </w:rPr>
        <w:t> </w:t>
      </w:r>
      <w:r>
        <w:rPr>
          <w:sz w:val="24"/>
        </w:rPr>
        <w:t>P.</w:t>
      </w:r>
      <w:r>
        <w:rPr>
          <w:spacing w:val="-10"/>
          <w:sz w:val="24"/>
        </w:rPr>
        <w:t> </w:t>
      </w:r>
      <w:r>
        <w:rPr>
          <w:sz w:val="24"/>
        </w:rPr>
        <w:t>(2019).</w:t>
      </w:r>
      <w:r>
        <w:rPr>
          <w:spacing w:val="-10"/>
          <w:sz w:val="24"/>
        </w:rPr>
        <w:t> </w:t>
      </w:r>
      <w:r>
        <w:rPr>
          <w:sz w:val="24"/>
        </w:rPr>
        <w:t>Spatial</w:t>
      </w:r>
      <w:r>
        <w:rPr>
          <w:spacing w:val="-9"/>
          <w:sz w:val="24"/>
        </w:rPr>
        <w:t> </w:t>
      </w:r>
      <w:r>
        <w:rPr>
          <w:sz w:val="24"/>
        </w:rPr>
        <w:t>consequences</w:t>
      </w:r>
      <w:r>
        <w:rPr>
          <w:spacing w:val="-9"/>
          <w:sz w:val="24"/>
        </w:rPr>
        <w:t> </w:t>
      </w:r>
      <w:r>
        <w:rPr>
          <w:sz w:val="24"/>
        </w:rPr>
        <w:t>of</w:t>
      </w:r>
      <w:r>
        <w:rPr>
          <w:spacing w:val="-10"/>
          <w:sz w:val="24"/>
        </w:rPr>
        <w:t> </w:t>
      </w:r>
      <w:r>
        <w:rPr>
          <w:sz w:val="24"/>
        </w:rPr>
        <w:t>urban</w:t>
      </w:r>
      <w:r>
        <w:rPr>
          <w:spacing w:val="-10"/>
          <w:sz w:val="24"/>
        </w:rPr>
        <w:t> </w:t>
      </w:r>
      <w:r>
        <w:rPr>
          <w:sz w:val="24"/>
        </w:rPr>
        <w:t>densification</w:t>
      </w:r>
      <w:r>
        <w:rPr>
          <w:spacing w:val="-10"/>
          <w:sz w:val="24"/>
        </w:rPr>
        <w:t> </w:t>
      </w:r>
      <w:r>
        <w:rPr>
          <w:sz w:val="24"/>
        </w:rPr>
        <w:t>policy: Floor-to-area ratio policy in Tehran, Iran. </w:t>
      </w:r>
      <w:r>
        <w:rPr>
          <w:i/>
          <w:sz w:val="24"/>
        </w:rPr>
        <w:t>Environment and Planning B: Urban </w:t>
      </w:r>
      <w:r>
        <w:rPr>
          <w:i/>
          <w:spacing w:val="-2"/>
          <w:sz w:val="24"/>
        </w:rPr>
        <w:t>Analytics</w:t>
      </w:r>
      <w:r>
        <w:rPr>
          <w:i/>
          <w:sz w:val="24"/>
        </w:rPr>
        <w:tab/>
      </w:r>
      <w:r>
        <w:rPr>
          <w:i/>
          <w:spacing w:val="-4"/>
          <w:sz w:val="24"/>
        </w:rPr>
        <w:t>and</w:t>
      </w:r>
      <w:r>
        <w:rPr>
          <w:i/>
          <w:sz w:val="24"/>
        </w:rPr>
        <w:tab/>
      </w:r>
      <w:r>
        <w:rPr>
          <w:i/>
          <w:spacing w:val="-4"/>
          <w:sz w:val="24"/>
        </w:rPr>
        <w:t>City</w:t>
      </w:r>
      <w:r>
        <w:rPr>
          <w:i/>
          <w:sz w:val="24"/>
        </w:rPr>
        <w:tab/>
      </w:r>
      <w:r>
        <w:rPr>
          <w:i/>
          <w:spacing w:val="-2"/>
          <w:sz w:val="24"/>
        </w:rPr>
        <w:t>Science</w:t>
      </w:r>
      <w:r>
        <w:rPr>
          <w:spacing w:val="-2"/>
          <w:sz w:val="24"/>
        </w:rPr>
        <w:t>,</w:t>
      </w:r>
      <w:r>
        <w:rPr>
          <w:sz w:val="24"/>
        </w:rPr>
        <w:tab/>
      </w:r>
      <w:r>
        <w:rPr>
          <w:i/>
          <w:spacing w:val="-2"/>
          <w:sz w:val="24"/>
        </w:rPr>
        <w:t>46</w:t>
      </w:r>
      <w:r>
        <w:rPr>
          <w:spacing w:val="-2"/>
          <w:sz w:val="24"/>
        </w:rPr>
        <w:t>(4),</w:t>
      </w:r>
      <w:r>
        <w:rPr>
          <w:sz w:val="24"/>
        </w:rPr>
        <w:tab/>
      </w:r>
      <w:r>
        <w:rPr>
          <w:spacing w:val="-2"/>
          <w:sz w:val="24"/>
        </w:rPr>
        <w:t>626–647. https://doi.org/10.1177/2399808317722168</w:t>
      </w:r>
    </w:p>
    <w:p>
      <w:pPr>
        <w:pStyle w:val="BodyText"/>
        <w:spacing w:line="242" w:lineRule="auto" w:before="199"/>
        <w:ind w:left="1025" w:right="516" w:hanging="720"/>
      </w:pPr>
      <w:r>
        <w:rPr/>
        <w:t>Goodman, A. C., &amp; Thibodeau, T. G. (1995). Age-related heteroskedasticity in hedonic house price equations. </w:t>
      </w:r>
      <w:r>
        <w:rPr>
          <w:i/>
        </w:rPr>
        <w:t>Journal of Housing Research</w:t>
      </w:r>
      <w:r>
        <w:rPr/>
        <w:t>, </w:t>
      </w:r>
      <w:r>
        <w:rPr>
          <w:i/>
        </w:rPr>
        <w:t>6</w:t>
      </w:r>
      <w:r>
        <w:rPr/>
        <w:t>(1), 25–42.</w:t>
      </w:r>
    </w:p>
    <w:p>
      <w:pPr>
        <w:spacing w:line="242" w:lineRule="auto" w:before="196"/>
        <w:ind w:left="1025" w:right="515" w:hanging="720"/>
        <w:jc w:val="both"/>
        <w:rPr>
          <w:sz w:val="24"/>
        </w:rPr>
      </w:pPr>
      <w:r>
        <w:rPr>
          <w:sz w:val="24"/>
        </w:rPr>
        <w:t>Goodman, A. C., &amp; Thibodeau, T. G. (1998). Housing market segmentation. </w:t>
      </w:r>
      <w:r>
        <w:rPr>
          <w:i/>
          <w:sz w:val="24"/>
        </w:rPr>
        <w:t>Journal of Housing Economics</w:t>
      </w:r>
      <w:r>
        <w:rPr>
          <w:sz w:val="24"/>
        </w:rPr>
        <w:t>, </w:t>
      </w:r>
      <w:r>
        <w:rPr>
          <w:i/>
          <w:sz w:val="24"/>
        </w:rPr>
        <w:t>7</w:t>
      </w:r>
      <w:r>
        <w:rPr>
          <w:sz w:val="24"/>
        </w:rPr>
        <w:t>(2), 121–143.</w:t>
      </w:r>
    </w:p>
    <w:p>
      <w:pPr>
        <w:pStyle w:val="BodyText"/>
        <w:spacing w:before="195"/>
        <w:ind w:left="1025" w:right="511" w:hanging="720"/>
      </w:pPr>
      <w:r>
        <w:rPr/>
        <w:t>Goodman,</w:t>
      </w:r>
      <w:r>
        <w:rPr>
          <w:spacing w:val="-1"/>
        </w:rPr>
        <w:t> </w:t>
      </w:r>
      <w:r>
        <w:rPr/>
        <w:t>A.</w:t>
      </w:r>
      <w:r>
        <w:rPr>
          <w:spacing w:val="-1"/>
        </w:rPr>
        <w:t> </w:t>
      </w:r>
      <w:r>
        <w:rPr/>
        <w:t>C.,</w:t>
      </w:r>
      <w:r>
        <w:rPr>
          <w:spacing w:val="-1"/>
        </w:rPr>
        <w:t> </w:t>
      </w:r>
      <w:r>
        <w:rPr/>
        <w:t>&amp;</w:t>
      </w:r>
      <w:r>
        <w:rPr>
          <w:spacing w:val="-2"/>
        </w:rPr>
        <w:t> </w:t>
      </w:r>
      <w:r>
        <w:rPr/>
        <w:t>Thibodeau,</w:t>
      </w:r>
      <w:r>
        <w:rPr>
          <w:spacing w:val="-1"/>
        </w:rPr>
        <w:t> </w:t>
      </w:r>
      <w:r>
        <w:rPr/>
        <w:t>T.</w:t>
      </w:r>
      <w:r>
        <w:rPr>
          <w:spacing w:val="-1"/>
        </w:rPr>
        <w:t> </w:t>
      </w:r>
      <w:r>
        <w:rPr/>
        <w:t>G.</w:t>
      </w:r>
      <w:r>
        <w:rPr>
          <w:spacing w:val="-1"/>
        </w:rPr>
        <w:t> </w:t>
      </w:r>
      <w:r>
        <w:rPr/>
        <w:t>(2007).</w:t>
      </w:r>
      <w:r>
        <w:rPr>
          <w:spacing w:val="-1"/>
        </w:rPr>
        <w:t> </w:t>
      </w:r>
      <w:r>
        <w:rPr/>
        <w:t>The spatial</w:t>
      </w:r>
      <w:r>
        <w:rPr>
          <w:spacing w:val="-1"/>
        </w:rPr>
        <w:t> </w:t>
      </w:r>
      <w:r>
        <w:rPr/>
        <w:t>proximity</w:t>
      </w:r>
      <w:r>
        <w:rPr>
          <w:spacing w:val="-5"/>
        </w:rPr>
        <w:t> </w:t>
      </w:r>
      <w:r>
        <w:rPr/>
        <w:t>of</w:t>
      </w:r>
      <w:r>
        <w:rPr>
          <w:spacing w:val="-1"/>
        </w:rPr>
        <w:t> </w:t>
      </w:r>
      <w:r>
        <w:rPr/>
        <w:t>metropolitan</w:t>
      </w:r>
      <w:r>
        <w:rPr>
          <w:spacing w:val="-1"/>
        </w:rPr>
        <w:t> </w:t>
      </w:r>
      <w:r>
        <w:rPr/>
        <w:t>area housing submarkets. </w:t>
      </w:r>
      <w:r>
        <w:rPr>
          <w:i/>
        </w:rPr>
        <w:t>Real Estate Economics</w:t>
      </w:r>
      <w:r>
        <w:rPr/>
        <w:t>, </w:t>
      </w:r>
      <w:r>
        <w:rPr>
          <w:i/>
        </w:rPr>
        <w:t>35</w:t>
      </w:r>
      <w:r>
        <w:rPr/>
        <w:t>(2), 209–232. </w:t>
      </w:r>
      <w:r>
        <w:rPr>
          <w:spacing w:val="-2"/>
        </w:rPr>
        <w:t>https://doi.org/10.1111/j.1540-6229.2007.00188.x</w:t>
      </w:r>
    </w:p>
    <w:p>
      <w:pPr>
        <w:pStyle w:val="BodyText"/>
        <w:spacing w:line="242" w:lineRule="auto" w:before="199"/>
        <w:ind w:left="1025" w:right="516" w:hanging="720"/>
      </w:pPr>
      <w:r>
        <w:rPr/>
        <w:t>Gu,</w:t>
      </w:r>
      <w:r>
        <w:rPr>
          <w:spacing w:val="-6"/>
        </w:rPr>
        <w:t> </w:t>
      </w:r>
      <w:r>
        <w:rPr/>
        <w:t>Y.</w:t>
      </w:r>
      <w:r>
        <w:rPr>
          <w:spacing w:val="-6"/>
        </w:rPr>
        <w:t> </w:t>
      </w:r>
      <w:r>
        <w:rPr/>
        <w:t>(2018).</w:t>
      </w:r>
      <w:r>
        <w:rPr>
          <w:spacing w:val="-7"/>
        </w:rPr>
        <w:t> </w:t>
      </w:r>
      <w:r>
        <w:rPr/>
        <w:t>What</w:t>
      </w:r>
      <w:r>
        <w:rPr>
          <w:spacing w:val="-5"/>
        </w:rPr>
        <w:t> </w:t>
      </w:r>
      <w:r>
        <w:rPr/>
        <w:t>are</w:t>
      </w:r>
      <w:r>
        <w:rPr>
          <w:spacing w:val="-7"/>
        </w:rPr>
        <w:t> </w:t>
      </w:r>
      <w:r>
        <w:rPr/>
        <w:t>the</w:t>
      </w:r>
      <w:r>
        <w:rPr>
          <w:spacing w:val="-7"/>
        </w:rPr>
        <w:t> </w:t>
      </w:r>
      <w:r>
        <w:rPr/>
        <w:t>most</w:t>
      </w:r>
      <w:r>
        <w:rPr>
          <w:spacing w:val="-5"/>
        </w:rPr>
        <w:t> </w:t>
      </w:r>
      <w:r>
        <w:rPr/>
        <w:t>important</w:t>
      </w:r>
      <w:r>
        <w:rPr>
          <w:spacing w:val="-3"/>
        </w:rPr>
        <w:t> </w:t>
      </w:r>
      <w:r>
        <w:rPr/>
        <w:t>factors</w:t>
      </w:r>
      <w:r>
        <w:rPr>
          <w:spacing w:val="-4"/>
        </w:rPr>
        <w:t> </w:t>
      </w:r>
      <w:r>
        <w:rPr/>
        <w:t>that</w:t>
      </w:r>
      <w:r>
        <w:rPr>
          <w:spacing w:val="-6"/>
        </w:rPr>
        <w:t> </w:t>
      </w:r>
      <w:r>
        <w:rPr/>
        <w:t>influence</w:t>
      </w:r>
      <w:r>
        <w:rPr>
          <w:spacing w:val="-7"/>
        </w:rPr>
        <w:t> </w:t>
      </w:r>
      <w:r>
        <w:rPr/>
        <w:t>the</w:t>
      </w:r>
      <w:r>
        <w:rPr>
          <w:spacing w:val="-3"/>
        </w:rPr>
        <w:t> </w:t>
      </w:r>
      <w:r>
        <w:rPr/>
        <w:t>changes</w:t>
      </w:r>
      <w:r>
        <w:rPr>
          <w:spacing w:val="-6"/>
        </w:rPr>
        <w:t> </w:t>
      </w:r>
      <w:r>
        <w:rPr/>
        <w:t>in</w:t>
      </w:r>
      <w:r>
        <w:rPr>
          <w:spacing w:val="-3"/>
        </w:rPr>
        <w:t> </w:t>
      </w:r>
      <w:r>
        <w:rPr/>
        <w:t>London real estate prices? How to quantify them? </w:t>
      </w:r>
      <w:r>
        <w:rPr>
          <w:i/>
        </w:rPr>
        <w:t>ArXiv Preprint ArXiv:1802.08238</w:t>
      </w:r>
      <w:r>
        <w:rPr/>
        <w:t>.</w:t>
      </w:r>
    </w:p>
    <w:p>
      <w:pPr>
        <w:pStyle w:val="BodyText"/>
        <w:spacing w:before="196"/>
        <w:ind w:left="1025" w:right="511" w:hanging="720"/>
      </w:pPr>
      <w:r>
        <w:rPr/>
        <w:t>Guan,</w:t>
      </w:r>
      <w:r>
        <w:rPr>
          <w:spacing w:val="-2"/>
        </w:rPr>
        <w:t> </w:t>
      </w:r>
      <w:r>
        <w:rPr/>
        <w:t>J.,</w:t>
      </w:r>
      <w:r>
        <w:rPr>
          <w:spacing w:val="-2"/>
        </w:rPr>
        <w:t> </w:t>
      </w:r>
      <w:r>
        <w:rPr/>
        <w:t>&amp;</w:t>
      </w:r>
      <w:r>
        <w:rPr>
          <w:spacing w:val="-2"/>
        </w:rPr>
        <w:t> </w:t>
      </w:r>
      <w:r>
        <w:rPr/>
        <w:t>Gao,</w:t>
      </w:r>
      <w:r>
        <w:rPr>
          <w:spacing w:val="-2"/>
        </w:rPr>
        <w:t> </w:t>
      </w:r>
      <w:r>
        <w:rPr/>
        <w:t>J.</w:t>
      </w:r>
      <w:r>
        <w:rPr>
          <w:spacing w:val="-2"/>
        </w:rPr>
        <w:t> </w:t>
      </w:r>
      <w:r>
        <w:rPr/>
        <w:t>(2018).</w:t>
      </w:r>
      <w:r>
        <w:rPr>
          <w:spacing w:val="-2"/>
        </w:rPr>
        <w:t> </w:t>
      </w:r>
      <w:r>
        <w:rPr/>
        <w:t>Time</w:t>
      </w:r>
      <w:r>
        <w:rPr>
          <w:spacing w:val="-3"/>
        </w:rPr>
        <w:t> </w:t>
      </w:r>
      <w:r>
        <w:rPr/>
        <w:t>and space</w:t>
      </w:r>
      <w:r>
        <w:rPr>
          <w:spacing w:val="-1"/>
        </w:rPr>
        <w:t> </w:t>
      </w:r>
      <w:r>
        <w:rPr/>
        <w:t>analysis</w:t>
      </w:r>
      <w:r>
        <w:rPr>
          <w:spacing w:val="-1"/>
        </w:rPr>
        <w:t> </w:t>
      </w:r>
      <w:r>
        <w:rPr/>
        <w:t>of</w:t>
      </w:r>
      <w:r>
        <w:rPr>
          <w:spacing w:val="-3"/>
        </w:rPr>
        <w:t> </w:t>
      </w:r>
      <w:r>
        <w:rPr/>
        <w:t>house</w:t>
      </w:r>
      <w:r>
        <w:rPr>
          <w:spacing w:val="-3"/>
        </w:rPr>
        <w:t> </w:t>
      </w:r>
      <w:r>
        <w:rPr/>
        <w:t>price</w:t>
      </w:r>
      <w:r>
        <w:rPr>
          <w:spacing w:val="-3"/>
        </w:rPr>
        <w:t> </w:t>
      </w:r>
      <w:r>
        <w:rPr/>
        <w:t>in mainland</w:t>
      </w:r>
      <w:r>
        <w:rPr>
          <w:spacing w:val="-2"/>
        </w:rPr>
        <w:t> </w:t>
      </w:r>
      <w:r>
        <w:rPr/>
        <w:t>China</w:t>
      </w:r>
      <w:r>
        <w:rPr>
          <w:spacing w:val="-2"/>
        </w:rPr>
        <w:t> </w:t>
      </w:r>
      <w:r>
        <w:rPr/>
        <w:t>in the last 10 years. </w:t>
      </w:r>
      <w:r>
        <w:rPr>
          <w:i/>
        </w:rPr>
        <w:t>Modern Economy</w:t>
      </w:r>
      <w:r>
        <w:rPr/>
        <w:t>, </w:t>
      </w:r>
      <w:r>
        <w:rPr>
          <w:i/>
        </w:rPr>
        <w:t>09</w:t>
      </w:r>
      <w:r>
        <w:rPr/>
        <w:t>(09), </w:t>
      </w:r>
      <w:r>
        <w:rPr/>
        <w:t>1520–1532. </w:t>
      </w:r>
      <w:r>
        <w:rPr>
          <w:spacing w:val="-2"/>
        </w:rPr>
        <w:t>https://doi.org/10.4236/me.2018.99096</w:t>
      </w:r>
    </w:p>
    <w:p>
      <w:pPr>
        <w:pStyle w:val="BodyText"/>
        <w:spacing w:before="199"/>
        <w:ind w:left="1025" w:right="514" w:hanging="720"/>
      </w:pPr>
      <w:r>
        <w:rPr/>
        <w:t>Gulyani, S., Talukdar, D., &amp; Bassett, E. M. (2018). A sharing economy? Unpacking demand and living conditions in the urban housing market in Kenya. </w:t>
      </w:r>
      <w:r>
        <w:rPr>
          <w:i/>
        </w:rPr>
        <w:t>World Development</w:t>
      </w:r>
      <w:r>
        <w:rPr/>
        <w:t>, </w:t>
      </w:r>
      <w:r>
        <w:rPr>
          <w:i/>
        </w:rPr>
        <w:t>109</w:t>
      </w:r>
      <w:r>
        <w:rPr/>
        <w:t>, 57–72. https://doi.org/10.1016/j.worlddev.2018.04.007</w:t>
      </w:r>
    </w:p>
    <w:p>
      <w:pPr>
        <w:spacing w:line="242" w:lineRule="auto" w:before="200"/>
        <w:ind w:left="1025" w:right="514" w:hanging="720"/>
        <w:jc w:val="both"/>
        <w:rPr>
          <w:sz w:val="24"/>
        </w:rPr>
      </w:pPr>
      <w:r>
        <w:rPr>
          <w:sz w:val="24"/>
        </w:rPr>
        <w:t>Gurran, N., &amp; Bramley, G. (2017). </w:t>
      </w:r>
      <w:r>
        <w:rPr>
          <w:i/>
          <w:sz w:val="24"/>
        </w:rPr>
        <w:t>Urban Planning and the Housing Market</w:t>
      </w:r>
      <w:r>
        <w:rPr>
          <w:sz w:val="24"/>
        </w:rPr>
        <w:t>. </w:t>
      </w:r>
      <w:r>
        <w:rPr>
          <w:spacing w:val="-2"/>
          <w:sz w:val="24"/>
        </w:rPr>
        <w:t>https://doi.org/10.1057/978-1-137-46403-3</w:t>
      </w:r>
    </w:p>
    <w:p>
      <w:pPr>
        <w:pStyle w:val="BodyText"/>
        <w:spacing w:before="196"/>
        <w:ind w:left="1025" w:right="511" w:hanging="720"/>
      </w:pPr>
      <w:r>
        <w:rPr/>
        <w:t>Gwamna, E. S., Wan Yusoff, W. Z., &amp; Ismail, M. F. (2015). Determinants of land use and property value. </w:t>
      </w:r>
      <w:r>
        <w:rPr>
          <w:i/>
        </w:rPr>
        <w:t>Advanced Science Letters</w:t>
      </w:r>
      <w:r>
        <w:rPr/>
        <w:t>, </w:t>
      </w:r>
      <w:r>
        <w:rPr>
          <w:i/>
        </w:rPr>
        <w:t>21</w:t>
      </w:r>
      <w:r>
        <w:rPr/>
        <w:t>(5), 1150–1153. </w:t>
      </w:r>
      <w:r>
        <w:rPr>
          <w:spacing w:val="-2"/>
        </w:rPr>
        <w:t>https://doi.org/10.1166/asl.2015.6065</w:t>
      </w:r>
    </w:p>
    <w:p>
      <w:pPr>
        <w:pStyle w:val="BodyText"/>
        <w:spacing w:before="200"/>
        <w:ind w:left="1025" w:right="512" w:hanging="720"/>
      </w:pPr>
      <w:r>
        <w:rPr>
          <w:spacing w:val="-2"/>
        </w:rPr>
        <w:t>Hanson,</w:t>
      </w:r>
      <w:r>
        <w:rPr>
          <w:spacing w:val="-6"/>
        </w:rPr>
        <w:t> </w:t>
      </w:r>
      <w:r>
        <w:rPr>
          <w:spacing w:val="-2"/>
        </w:rPr>
        <w:t>A.,</w:t>
      </w:r>
      <w:r>
        <w:rPr>
          <w:spacing w:val="-6"/>
        </w:rPr>
        <w:t> </w:t>
      </w:r>
      <w:r>
        <w:rPr>
          <w:spacing w:val="-2"/>
        </w:rPr>
        <w:t>&amp;</w:t>
      </w:r>
      <w:r>
        <w:rPr>
          <w:spacing w:val="-9"/>
        </w:rPr>
        <w:t> </w:t>
      </w:r>
      <w:r>
        <w:rPr>
          <w:spacing w:val="-2"/>
        </w:rPr>
        <w:t>Hawley, Z.</w:t>
      </w:r>
      <w:r>
        <w:rPr>
          <w:spacing w:val="-6"/>
        </w:rPr>
        <w:t> </w:t>
      </w:r>
      <w:r>
        <w:rPr>
          <w:spacing w:val="-2"/>
        </w:rPr>
        <w:t>(2011).</w:t>
      </w:r>
      <w:r>
        <w:rPr>
          <w:spacing w:val="-7"/>
        </w:rPr>
        <w:t> </w:t>
      </w:r>
      <w:r>
        <w:rPr>
          <w:spacing w:val="-2"/>
        </w:rPr>
        <w:t>Do</w:t>
      </w:r>
      <w:r>
        <w:rPr>
          <w:spacing w:val="-6"/>
        </w:rPr>
        <w:t> </w:t>
      </w:r>
      <w:r>
        <w:rPr>
          <w:spacing w:val="-2"/>
        </w:rPr>
        <w:t>landlords</w:t>
      </w:r>
      <w:r>
        <w:rPr>
          <w:spacing w:val="-6"/>
        </w:rPr>
        <w:t> </w:t>
      </w:r>
      <w:r>
        <w:rPr>
          <w:spacing w:val="-2"/>
        </w:rPr>
        <w:t>discriminate</w:t>
      </w:r>
      <w:r>
        <w:rPr>
          <w:spacing w:val="-7"/>
        </w:rPr>
        <w:t> </w:t>
      </w:r>
      <w:r>
        <w:rPr>
          <w:spacing w:val="-2"/>
        </w:rPr>
        <w:t>in</w:t>
      </w:r>
      <w:r>
        <w:rPr>
          <w:spacing w:val="-5"/>
        </w:rPr>
        <w:t> </w:t>
      </w:r>
      <w:r>
        <w:rPr>
          <w:spacing w:val="-2"/>
        </w:rPr>
        <w:t>the</w:t>
      </w:r>
      <w:r>
        <w:rPr>
          <w:spacing w:val="-6"/>
        </w:rPr>
        <w:t> </w:t>
      </w:r>
      <w:r>
        <w:rPr>
          <w:spacing w:val="-2"/>
        </w:rPr>
        <w:t>rental</w:t>
      </w:r>
      <w:r>
        <w:rPr>
          <w:spacing w:val="-6"/>
        </w:rPr>
        <w:t> </w:t>
      </w:r>
      <w:r>
        <w:rPr>
          <w:spacing w:val="-2"/>
        </w:rPr>
        <w:t>housing</w:t>
      </w:r>
      <w:r>
        <w:rPr>
          <w:spacing w:val="-9"/>
        </w:rPr>
        <w:t> </w:t>
      </w:r>
      <w:r>
        <w:rPr>
          <w:spacing w:val="-2"/>
        </w:rPr>
        <w:t>market? </w:t>
      </w:r>
      <w:r>
        <w:rPr/>
        <w:t>Evidence from an internet field experiment in US cities. </w:t>
      </w:r>
      <w:r>
        <w:rPr>
          <w:i/>
        </w:rPr>
        <w:t>Journal of Urban Economics</w:t>
      </w:r>
      <w:r>
        <w:rPr/>
        <w:t>, </w:t>
      </w:r>
      <w:r>
        <w:rPr>
          <w:i/>
        </w:rPr>
        <w:t>70</w:t>
      </w:r>
      <w:r>
        <w:rPr/>
        <w:t>(2–3), 99–114. https://doi.org/10.1016/j.jue.2011.02.003</w:t>
      </w:r>
    </w:p>
    <w:p>
      <w:pPr>
        <w:pStyle w:val="BodyText"/>
        <w:spacing w:line="242" w:lineRule="auto" w:before="199"/>
        <w:ind w:left="1025" w:right="515" w:hanging="720"/>
      </w:pPr>
      <w:r>
        <w:rPr/>
        <w:t>He, X., Cai, X.-J., &amp; Hamori, S. (2018). Bank credit and housing prices in China: Evidence</w:t>
      </w:r>
      <w:r>
        <w:rPr>
          <w:spacing w:val="-2"/>
        </w:rPr>
        <w:t> </w:t>
      </w:r>
      <w:r>
        <w:rPr/>
        <w:t>from</w:t>
      </w:r>
      <w:r>
        <w:rPr>
          <w:spacing w:val="-1"/>
        </w:rPr>
        <w:t> </w:t>
      </w:r>
      <w:r>
        <w:rPr/>
        <w:t>a</w:t>
      </w:r>
      <w:r>
        <w:rPr>
          <w:spacing w:val="-4"/>
        </w:rPr>
        <w:t> </w:t>
      </w:r>
      <w:r>
        <w:rPr/>
        <w:t>TVP-VAR</w:t>
      </w:r>
      <w:r>
        <w:rPr>
          <w:spacing w:val="-3"/>
        </w:rPr>
        <w:t> </w:t>
      </w:r>
      <w:r>
        <w:rPr/>
        <w:t>model</w:t>
      </w:r>
      <w:r>
        <w:rPr>
          <w:spacing w:val="-3"/>
        </w:rPr>
        <w:t> </w:t>
      </w:r>
      <w:r>
        <w:rPr/>
        <w:t>with</w:t>
      </w:r>
      <w:r>
        <w:rPr>
          <w:spacing w:val="-3"/>
        </w:rPr>
        <w:t> </w:t>
      </w:r>
      <w:r>
        <w:rPr/>
        <w:t>stochastic</w:t>
      </w:r>
      <w:r>
        <w:rPr>
          <w:spacing w:val="-4"/>
        </w:rPr>
        <w:t> </w:t>
      </w:r>
      <w:r>
        <w:rPr/>
        <w:t>volatility.</w:t>
      </w:r>
      <w:r>
        <w:rPr>
          <w:spacing w:val="-1"/>
        </w:rPr>
        <w:t> </w:t>
      </w:r>
      <w:r>
        <w:rPr>
          <w:i/>
        </w:rPr>
        <w:t>Journal</w:t>
      </w:r>
      <w:r>
        <w:rPr>
          <w:i/>
          <w:spacing w:val="-3"/>
        </w:rPr>
        <w:t> </w:t>
      </w:r>
      <w:r>
        <w:rPr>
          <w:i/>
        </w:rPr>
        <w:t>of</w:t>
      </w:r>
      <w:r>
        <w:rPr>
          <w:i/>
          <w:spacing w:val="-3"/>
        </w:rPr>
        <w:t> </w:t>
      </w:r>
      <w:r>
        <w:rPr>
          <w:i/>
        </w:rPr>
        <w:t>Risk</w:t>
      </w:r>
      <w:r>
        <w:rPr>
          <w:i/>
          <w:spacing w:val="-4"/>
        </w:rPr>
        <w:t> </w:t>
      </w:r>
      <w:r>
        <w:rPr>
          <w:i/>
        </w:rPr>
        <w:t>and Financial Management</w:t>
      </w:r>
      <w:r>
        <w:rPr/>
        <w:t>, </w:t>
      </w:r>
      <w:r>
        <w:rPr>
          <w:i/>
        </w:rPr>
        <w:t>11</w:t>
      </w:r>
      <w:r>
        <w:rPr/>
        <w:t>(90), 1–16. https://doi.org/10.3390/jrfm11040090</w:t>
      </w:r>
    </w:p>
    <w:p>
      <w:pPr>
        <w:pStyle w:val="BodyText"/>
        <w:spacing w:before="194"/>
        <w:ind w:left="1025" w:right="512" w:hanging="720"/>
      </w:pPr>
      <w:r>
        <w:rPr/>
        <w:t>Helbich, M., Brunauer, W., Vaz, E., &amp; Nijkamp, P. (2014). Spatial heterogeneity in hedonic</w:t>
      </w:r>
      <w:r>
        <w:rPr>
          <w:spacing w:val="-8"/>
        </w:rPr>
        <w:t> </w:t>
      </w:r>
      <w:r>
        <w:rPr/>
        <w:t>house</w:t>
      </w:r>
      <w:r>
        <w:rPr>
          <w:spacing w:val="-8"/>
        </w:rPr>
        <w:t> </w:t>
      </w:r>
      <w:r>
        <w:rPr/>
        <w:t>price</w:t>
      </w:r>
      <w:r>
        <w:rPr>
          <w:spacing w:val="-8"/>
        </w:rPr>
        <w:t> </w:t>
      </w:r>
      <w:r>
        <w:rPr/>
        <w:t>models:</w:t>
      </w:r>
      <w:r>
        <w:rPr>
          <w:spacing w:val="-7"/>
        </w:rPr>
        <w:t> </w:t>
      </w:r>
      <w:r>
        <w:rPr/>
        <w:t>The</w:t>
      </w:r>
      <w:r>
        <w:rPr>
          <w:spacing w:val="-8"/>
        </w:rPr>
        <w:t> </w:t>
      </w:r>
      <w:r>
        <w:rPr/>
        <w:t>case</w:t>
      </w:r>
      <w:r>
        <w:rPr>
          <w:spacing w:val="-8"/>
        </w:rPr>
        <w:t> </w:t>
      </w:r>
      <w:r>
        <w:rPr/>
        <w:t>of</w:t>
      </w:r>
      <w:r>
        <w:rPr>
          <w:spacing w:val="-6"/>
        </w:rPr>
        <w:t> </w:t>
      </w:r>
      <w:r>
        <w:rPr/>
        <w:t>Austria.</w:t>
      </w:r>
      <w:r>
        <w:rPr>
          <w:spacing w:val="-5"/>
        </w:rPr>
        <w:t> </w:t>
      </w:r>
      <w:r>
        <w:rPr>
          <w:i/>
        </w:rPr>
        <w:t>Urban</w:t>
      </w:r>
      <w:r>
        <w:rPr>
          <w:i/>
          <w:spacing w:val="-8"/>
        </w:rPr>
        <w:t> </w:t>
      </w:r>
      <w:r>
        <w:rPr>
          <w:i/>
        </w:rPr>
        <w:t>Studies</w:t>
      </w:r>
      <w:r>
        <w:rPr/>
        <w:t>,</w:t>
      </w:r>
      <w:r>
        <w:rPr>
          <w:spacing w:val="-7"/>
        </w:rPr>
        <w:t> </w:t>
      </w:r>
      <w:r>
        <w:rPr>
          <w:i/>
        </w:rPr>
        <w:t>51</w:t>
      </w:r>
      <w:r>
        <w:rPr/>
        <w:t>(2),</w:t>
      </w:r>
      <w:r>
        <w:rPr>
          <w:spacing w:val="-7"/>
        </w:rPr>
        <w:t> </w:t>
      </w:r>
      <w:r>
        <w:rPr/>
        <w:t>390–411. </w:t>
      </w:r>
      <w:r>
        <w:rPr>
          <w:spacing w:val="-2"/>
        </w:rPr>
        <w:t>https://doi.org/10.1177/0042098013492234</w:t>
      </w:r>
    </w:p>
    <w:p>
      <w:pPr>
        <w:pStyle w:val="BodyText"/>
        <w:spacing w:before="199"/>
        <w:ind w:left="1025" w:right="511" w:hanging="720"/>
      </w:pPr>
      <w:r>
        <w:rPr/>
        <w:t>Hill, R. J., &amp; Scholz, M. (2017). Can geospatial data improve house price indexes? A hedonic imputation approach with splines. </w:t>
      </w:r>
      <w:r>
        <w:rPr>
          <w:i/>
        </w:rPr>
        <w:t>Review of Income and Wealth</w:t>
      </w:r>
      <w:r>
        <w:rPr/>
        <w:t>. </w:t>
      </w:r>
      <w:r>
        <w:rPr>
          <w:spacing w:val="-2"/>
        </w:rPr>
        <w:t>https://doi.org/10.1111/roiw.12303</w:t>
      </w:r>
    </w:p>
    <w:p>
      <w:pPr>
        <w:spacing w:after="0"/>
        <w:sectPr>
          <w:pgSz w:w="11910" w:h="16840"/>
          <w:pgMar w:header="0" w:footer="1022" w:top="1320" w:bottom="1220" w:left="1680" w:right="900"/>
        </w:sectPr>
      </w:pPr>
    </w:p>
    <w:p>
      <w:pPr>
        <w:pStyle w:val="BodyText"/>
        <w:spacing w:line="242" w:lineRule="auto" w:before="72"/>
        <w:ind w:left="1025" w:right="512" w:hanging="720"/>
      </w:pPr>
      <w:r>
        <w:rPr/>
        <w:t>Hu, S., Cheng, Q., Wang, L., &amp; Xu, D. (2013). Modeling land price distribution using multifractal</w:t>
      </w:r>
      <w:r>
        <w:rPr>
          <w:spacing w:val="-15"/>
        </w:rPr>
        <w:t> </w:t>
      </w:r>
      <w:r>
        <w:rPr/>
        <w:t>IDW</w:t>
      </w:r>
      <w:r>
        <w:rPr>
          <w:spacing w:val="-15"/>
        </w:rPr>
        <w:t> </w:t>
      </w:r>
      <w:r>
        <w:rPr/>
        <w:t>interpolation</w:t>
      </w:r>
      <w:r>
        <w:rPr>
          <w:spacing w:val="-15"/>
        </w:rPr>
        <w:t> </w:t>
      </w:r>
      <w:r>
        <w:rPr/>
        <w:t>and</w:t>
      </w:r>
      <w:r>
        <w:rPr>
          <w:spacing w:val="-15"/>
        </w:rPr>
        <w:t> </w:t>
      </w:r>
      <w:r>
        <w:rPr/>
        <w:t>fractal</w:t>
      </w:r>
      <w:r>
        <w:rPr>
          <w:spacing w:val="-15"/>
        </w:rPr>
        <w:t> </w:t>
      </w:r>
      <w:r>
        <w:rPr/>
        <w:t>filtering</w:t>
      </w:r>
      <w:r>
        <w:rPr>
          <w:spacing w:val="-15"/>
        </w:rPr>
        <w:t> </w:t>
      </w:r>
      <w:r>
        <w:rPr/>
        <w:t>method.</w:t>
      </w:r>
      <w:r>
        <w:rPr>
          <w:spacing w:val="-15"/>
        </w:rPr>
        <w:t> </w:t>
      </w:r>
      <w:r>
        <w:rPr>
          <w:i/>
        </w:rPr>
        <w:t>Landscape</w:t>
      </w:r>
      <w:r>
        <w:rPr>
          <w:i/>
          <w:spacing w:val="-15"/>
        </w:rPr>
        <w:t> </w:t>
      </w:r>
      <w:r>
        <w:rPr>
          <w:i/>
        </w:rPr>
        <w:t>and</w:t>
      </w:r>
      <w:r>
        <w:rPr>
          <w:i/>
          <w:spacing w:val="-15"/>
        </w:rPr>
        <w:t> </w:t>
      </w:r>
      <w:r>
        <w:rPr>
          <w:i/>
        </w:rPr>
        <w:t>Urban Planning</w:t>
      </w:r>
      <w:r>
        <w:rPr/>
        <w:t>, </w:t>
      </w:r>
      <w:r>
        <w:rPr>
          <w:i/>
        </w:rPr>
        <w:t>110</w:t>
      </w:r>
      <w:r>
        <w:rPr/>
        <w:t>, 25–35. https://doi.org/10.1016/j.landurbplan.2012.09.008</w:t>
      </w:r>
    </w:p>
    <w:p>
      <w:pPr>
        <w:pStyle w:val="BodyText"/>
        <w:tabs>
          <w:tab w:pos="2219" w:val="left" w:leader="none"/>
          <w:tab w:pos="3634" w:val="left" w:leader="none"/>
          <w:tab w:pos="5157" w:val="left" w:leader="none"/>
          <w:tab w:pos="7074" w:val="left" w:leader="none"/>
          <w:tab w:pos="8154" w:val="left" w:leader="none"/>
        </w:tabs>
        <w:spacing w:before="191"/>
        <w:ind w:left="1025" w:right="511" w:hanging="720"/>
      </w:pPr>
      <w:r>
        <w:rPr/>
        <w:t>Hu, S., Yang, S., Li, W., Zhang, C., &amp; Xu, F. (2016). Spatially non-stationary relationships between urban residential land price and impact factors in Wuhan </w:t>
      </w:r>
      <w:r>
        <w:rPr>
          <w:spacing w:val="-2"/>
        </w:rPr>
        <w:t>city,</w:t>
      </w:r>
      <w:r>
        <w:rPr/>
        <w:tab/>
      </w:r>
      <w:r>
        <w:rPr>
          <w:spacing w:val="-2"/>
        </w:rPr>
        <w:t>China.</w:t>
      </w:r>
      <w:r>
        <w:rPr/>
        <w:tab/>
      </w:r>
      <w:r>
        <w:rPr>
          <w:i/>
          <w:spacing w:val="-2"/>
        </w:rPr>
        <w:t>Applied</w:t>
      </w:r>
      <w:r>
        <w:rPr>
          <w:i/>
        </w:rPr>
        <w:tab/>
      </w:r>
      <w:r>
        <w:rPr>
          <w:i/>
          <w:spacing w:val="-2"/>
        </w:rPr>
        <w:t>Geography</w:t>
      </w:r>
      <w:r>
        <w:rPr>
          <w:spacing w:val="-2"/>
        </w:rPr>
        <w:t>,</w:t>
      </w:r>
      <w:r>
        <w:rPr/>
        <w:tab/>
      </w:r>
      <w:r>
        <w:rPr>
          <w:i/>
          <w:spacing w:val="-4"/>
        </w:rPr>
        <w:t>68</w:t>
      </w:r>
      <w:r>
        <w:rPr>
          <w:spacing w:val="-4"/>
        </w:rPr>
        <w:t>,</w:t>
      </w:r>
      <w:r>
        <w:rPr/>
        <w:tab/>
      </w:r>
      <w:r>
        <w:rPr>
          <w:spacing w:val="-2"/>
        </w:rPr>
        <w:t>48–56. https://doi.org/10.1016/j.apgeog.2016.01.006</w:t>
      </w:r>
    </w:p>
    <w:p>
      <w:pPr>
        <w:tabs>
          <w:tab w:pos="3158" w:val="left" w:leader="none"/>
          <w:tab w:pos="4601" w:val="left" w:leader="none"/>
          <w:tab w:pos="6529" w:val="left" w:leader="none"/>
          <w:tab w:pos="8389" w:val="left" w:leader="none"/>
        </w:tabs>
        <w:spacing w:line="240" w:lineRule="auto" w:before="199"/>
        <w:ind w:left="1025" w:right="512" w:hanging="720"/>
        <w:jc w:val="both"/>
        <w:rPr>
          <w:sz w:val="24"/>
        </w:rPr>
      </w:pPr>
      <w:r>
        <w:rPr>
          <w:sz w:val="24"/>
        </w:rPr>
        <w:t>Huang, W.-L., Lin, W.-Y., &amp; Ning, S.-L. (2018). The effect of economic policy uncertainty on China’s housing market. </w:t>
      </w:r>
      <w:r>
        <w:rPr>
          <w:i/>
          <w:sz w:val="24"/>
        </w:rPr>
        <w:t>The North American Journal of </w:t>
      </w:r>
      <w:r>
        <w:rPr>
          <w:i/>
          <w:spacing w:val="-2"/>
          <w:sz w:val="24"/>
        </w:rPr>
        <w:t>Economics</w:t>
      </w:r>
      <w:r>
        <w:rPr>
          <w:i/>
          <w:sz w:val="24"/>
        </w:rPr>
        <w:tab/>
      </w:r>
      <w:r>
        <w:rPr>
          <w:i/>
          <w:spacing w:val="-4"/>
          <w:sz w:val="24"/>
        </w:rPr>
        <w:t>and</w:t>
      </w:r>
      <w:r>
        <w:rPr>
          <w:i/>
          <w:sz w:val="24"/>
        </w:rPr>
        <w:tab/>
      </w:r>
      <w:r>
        <w:rPr>
          <w:i/>
          <w:spacing w:val="-2"/>
          <w:sz w:val="24"/>
        </w:rPr>
        <w:t>Finance</w:t>
      </w:r>
      <w:r>
        <w:rPr>
          <w:spacing w:val="-2"/>
          <w:sz w:val="24"/>
        </w:rPr>
        <w:t>,</w:t>
      </w:r>
      <w:r>
        <w:rPr>
          <w:sz w:val="24"/>
        </w:rPr>
        <w:tab/>
      </w:r>
      <w:r>
        <w:rPr>
          <w:i/>
          <w:spacing w:val="-2"/>
          <w:sz w:val="24"/>
        </w:rPr>
        <w:t>xxx</w:t>
      </w:r>
      <w:r>
        <w:rPr>
          <w:spacing w:val="-2"/>
          <w:sz w:val="24"/>
        </w:rPr>
        <w:t>(xx),</w:t>
      </w:r>
      <w:r>
        <w:rPr>
          <w:sz w:val="24"/>
        </w:rPr>
        <w:tab/>
      </w:r>
      <w:r>
        <w:rPr>
          <w:spacing w:val="-4"/>
          <w:sz w:val="24"/>
        </w:rPr>
        <w:t>xxx. </w:t>
      </w:r>
      <w:r>
        <w:rPr>
          <w:spacing w:val="-2"/>
          <w:sz w:val="24"/>
        </w:rPr>
        <w:t>https://doi.org/10.1016/j.najef.2018.09.008</w:t>
      </w:r>
    </w:p>
    <w:p>
      <w:pPr>
        <w:pStyle w:val="BodyText"/>
        <w:spacing w:line="242" w:lineRule="auto" w:before="202"/>
        <w:ind w:left="1025" w:right="515" w:hanging="720"/>
      </w:pPr>
      <w:r>
        <w:rPr/>
        <w:t>Hulse, K., &amp; Reynolds, M. (2018). Investification: Financialisation of housing markets and</w:t>
      </w:r>
      <w:r>
        <w:rPr>
          <w:spacing w:val="-2"/>
        </w:rPr>
        <w:t> </w:t>
      </w:r>
      <w:r>
        <w:rPr/>
        <w:t>persistence</w:t>
      </w:r>
      <w:r>
        <w:rPr>
          <w:spacing w:val="-3"/>
        </w:rPr>
        <w:t> </w:t>
      </w:r>
      <w:r>
        <w:rPr/>
        <w:t>of</w:t>
      </w:r>
      <w:r>
        <w:rPr>
          <w:spacing w:val="-3"/>
        </w:rPr>
        <w:t> </w:t>
      </w:r>
      <w:r>
        <w:rPr/>
        <w:t>suburban</w:t>
      </w:r>
      <w:r>
        <w:rPr>
          <w:spacing w:val="-2"/>
        </w:rPr>
        <w:t> </w:t>
      </w:r>
      <w:r>
        <w:rPr/>
        <w:t>socio-economic</w:t>
      </w:r>
      <w:r>
        <w:rPr>
          <w:spacing w:val="-3"/>
        </w:rPr>
        <w:t> </w:t>
      </w:r>
      <w:r>
        <w:rPr/>
        <w:t>disadvantage. </w:t>
      </w:r>
      <w:r>
        <w:rPr>
          <w:i/>
        </w:rPr>
        <w:t>Urban</w:t>
      </w:r>
      <w:r>
        <w:rPr>
          <w:i/>
          <w:spacing w:val="-3"/>
        </w:rPr>
        <w:t> </w:t>
      </w:r>
      <w:r>
        <w:rPr>
          <w:i/>
        </w:rPr>
        <w:t>Studies</w:t>
      </w:r>
      <w:r>
        <w:rPr/>
        <w:t>, </w:t>
      </w:r>
      <w:r>
        <w:rPr>
          <w:i/>
        </w:rPr>
        <w:t>55</w:t>
      </w:r>
      <w:r>
        <w:rPr/>
        <w:t>(8), 1655–1671. https://doi.org/10.1177/0042098017734995</w:t>
      </w:r>
    </w:p>
    <w:p>
      <w:pPr>
        <w:spacing w:line="242" w:lineRule="auto" w:before="192"/>
        <w:ind w:left="1025" w:right="512" w:hanging="720"/>
        <w:jc w:val="both"/>
        <w:rPr>
          <w:sz w:val="24"/>
        </w:rPr>
      </w:pPr>
      <w:r>
        <w:rPr>
          <w:sz w:val="24"/>
        </w:rPr>
        <w:t>Ibn Khaldun, A. (1958). </w:t>
      </w:r>
      <w:r>
        <w:rPr>
          <w:i/>
          <w:sz w:val="24"/>
        </w:rPr>
        <w:t>The Muqaddimah; An Introduction to History </w:t>
      </w:r>
      <w:r>
        <w:rPr>
          <w:sz w:val="24"/>
        </w:rPr>
        <w:t>(Translated by Franz Rosenthal). New York: Pantheon Books Inc.</w:t>
      </w:r>
    </w:p>
    <w:p>
      <w:pPr>
        <w:spacing w:line="242" w:lineRule="auto" w:before="193"/>
        <w:ind w:left="1025" w:right="511" w:hanging="720"/>
        <w:jc w:val="both"/>
        <w:rPr>
          <w:sz w:val="24"/>
        </w:rPr>
      </w:pPr>
      <w:r>
        <w:rPr>
          <w:sz w:val="24"/>
        </w:rPr>
        <w:t>Ibn Taymiyyah, A. (1962). </w:t>
      </w:r>
      <w:r>
        <w:rPr>
          <w:i/>
          <w:sz w:val="24"/>
        </w:rPr>
        <w:t>Majmu’ Fatawa Shaikh al Islam Ahmad b. Taimiyah </w:t>
      </w:r>
      <w:r>
        <w:rPr>
          <w:sz w:val="24"/>
        </w:rPr>
        <w:t>(Vol. 8 &amp; 28). Riyadh: al Riyadh Press.</w:t>
      </w:r>
    </w:p>
    <w:p>
      <w:pPr>
        <w:spacing w:line="242" w:lineRule="auto" w:before="196"/>
        <w:ind w:left="1025" w:right="515" w:hanging="720"/>
        <w:jc w:val="both"/>
        <w:rPr>
          <w:sz w:val="24"/>
        </w:rPr>
      </w:pPr>
      <w:r>
        <w:rPr>
          <w:sz w:val="24"/>
        </w:rPr>
        <w:t>Iliopoulou, P., &amp; Stratakis, P. (2018). </w:t>
      </w:r>
      <w:r>
        <w:rPr>
          <w:i/>
          <w:sz w:val="24"/>
        </w:rPr>
        <w:t>Spatial analysis of housing prices in the Athens Region, Greece</w:t>
      </w:r>
      <w:r>
        <w:rPr>
          <w:sz w:val="24"/>
        </w:rPr>
        <w:t>. 10.</w:t>
      </w:r>
    </w:p>
    <w:p>
      <w:pPr>
        <w:spacing w:line="242" w:lineRule="auto" w:before="194"/>
        <w:ind w:left="1025" w:right="516" w:hanging="720"/>
        <w:jc w:val="both"/>
        <w:rPr>
          <w:sz w:val="24"/>
        </w:rPr>
      </w:pPr>
      <w:r>
        <w:rPr>
          <w:sz w:val="24"/>
        </w:rPr>
        <w:t>Islahi,</w:t>
      </w:r>
      <w:r>
        <w:rPr>
          <w:spacing w:val="-11"/>
          <w:sz w:val="24"/>
        </w:rPr>
        <w:t> </w:t>
      </w:r>
      <w:r>
        <w:rPr>
          <w:sz w:val="24"/>
        </w:rPr>
        <w:t>A.</w:t>
      </w:r>
      <w:r>
        <w:rPr>
          <w:spacing w:val="-12"/>
          <w:sz w:val="24"/>
        </w:rPr>
        <w:t> </w:t>
      </w:r>
      <w:r>
        <w:rPr>
          <w:sz w:val="24"/>
        </w:rPr>
        <w:t>A.</w:t>
      </w:r>
      <w:r>
        <w:rPr>
          <w:spacing w:val="-12"/>
          <w:sz w:val="24"/>
        </w:rPr>
        <w:t> </w:t>
      </w:r>
      <w:r>
        <w:rPr>
          <w:sz w:val="24"/>
        </w:rPr>
        <w:t>(1985).</w:t>
      </w:r>
      <w:r>
        <w:rPr>
          <w:spacing w:val="-10"/>
          <w:sz w:val="24"/>
        </w:rPr>
        <w:t> </w:t>
      </w:r>
      <w:r>
        <w:rPr>
          <w:sz w:val="24"/>
        </w:rPr>
        <w:t>Ibn</w:t>
      </w:r>
      <w:r>
        <w:rPr>
          <w:spacing w:val="-12"/>
          <w:sz w:val="24"/>
        </w:rPr>
        <w:t> </w:t>
      </w:r>
      <w:r>
        <w:rPr>
          <w:sz w:val="24"/>
        </w:rPr>
        <w:t>Taimiyah’s</w:t>
      </w:r>
      <w:r>
        <w:rPr>
          <w:spacing w:val="-11"/>
          <w:sz w:val="24"/>
        </w:rPr>
        <w:t> </w:t>
      </w:r>
      <w:r>
        <w:rPr>
          <w:sz w:val="24"/>
        </w:rPr>
        <w:t>concept</w:t>
      </w:r>
      <w:r>
        <w:rPr>
          <w:spacing w:val="-11"/>
          <w:sz w:val="24"/>
        </w:rPr>
        <w:t> </w:t>
      </w:r>
      <w:r>
        <w:rPr>
          <w:sz w:val="24"/>
        </w:rPr>
        <w:t>of</w:t>
      </w:r>
      <w:r>
        <w:rPr>
          <w:spacing w:val="-12"/>
          <w:sz w:val="24"/>
        </w:rPr>
        <w:t> </w:t>
      </w:r>
      <w:r>
        <w:rPr>
          <w:sz w:val="24"/>
        </w:rPr>
        <w:t>market</w:t>
      </w:r>
      <w:r>
        <w:rPr>
          <w:spacing w:val="-11"/>
          <w:sz w:val="24"/>
        </w:rPr>
        <w:t> </w:t>
      </w:r>
      <w:r>
        <w:rPr>
          <w:sz w:val="24"/>
        </w:rPr>
        <w:t>mechanism.</w:t>
      </w:r>
      <w:r>
        <w:rPr>
          <w:spacing w:val="-12"/>
          <w:sz w:val="24"/>
        </w:rPr>
        <w:t> </w:t>
      </w:r>
      <w:r>
        <w:rPr>
          <w:i/>
          <w:sz w:val="24"/>
        </w:rPr>
        <w:t>J.</w:t>
      </w:r>
      <w:r>
        <w:rPr>
          <w:i/>
          <w:spacing w:val="-12"/>
          <w:sz w:val="24"/>
        </w:rPr>
        <w:t> </w:t>
      </w:r>
      <w:r>
        <w:rPr>
          <w:i/>
          <w:sz w:val="24"/>
        </w:rPr>
        <w:t>Res.</w:t>
      </w:r>
      <w:r>
        <w:rPr>
          <w:i/>
          <w:spacing w:val="-11"/>
          <w:sz w:val="24"/>
        </w:rPr>
        <w:t> </w:t>
      </w:r>
      <w:r>
        <w:rPr>
          <w:i/>
          <w:sz w:val="24"/>
        </w:rPr>
        <w:t>Islamic</w:t>
      </w:r>
      <w:r>
        <w:rPr>
          <w:i/>
          <w:spacing w:val="-13"/>
          <w:sz w:val="24"/>
        </w:rPr>
        <w:t> </w:t>
      </w:r>
      <w:r>
        <w:rPr>
          <w:i/>
          <w:sz w:val="24"/>
        </w:rPr>
        <w:t>Econ.</w:t>
      </w:r>
      <w:r>
        <w:rPr>
          <w:sz w:val="24"/>
        </w:rPr>
        <w:t>, </w:t>
      </w:r>
      <w:r>
        <w:rPr>
          <w:i/>
          <w:sz w:val="24"/>
        </w:rPr>
        <w:t>2</w:t>
      </w:r>
      <w:r>
        <w:rPr>
          <w:sz w:val="24"/>
        </w:rPr>
        <w:t>(2), 51–60.</w:t>
      </w:r>
    </w:p>
    <w:p>
      <w:pPr>
        <w:spacing w:line="240" w:lineRule="auto" w:before="194"/>
        <w:ind w:left="1025" w:right="513" w:hanging="720"/>
        <w:jc w:val="both"/>
        <w:rPr>
          <w:sz w:val="24"/>
        </w:rPr>
      </w:pPr>
      <w:r>
        <w:rPr>
          <w:sz w:val="24"/>
        </w:rPr>
        <w:t>Islam, K. S., &amp; Asami, Y. (2009). Housing market segmentation: A review. </w:t>
      </w:r>
      <w:r>
        <w:rPr>
          <w:i/>
          <w:sz w:val="24"/>
        </w:rPr>
        <w:t>Review of Urban &amp; Regional Development Studies</w:t>
      </w:r>
      <w:r>
        <w:rPr>
          <w:sz w:val="24"/>
        </w:rPr>
        <w:t>, </w:t>
      </w:r>
      <w:r>
        <w:rPr>
          <w:i/>
          <w:sz w:val="24"/>
        </w:rPr>
        <w:t>21</w:t>
      </w:r>
      <w:r>
        <w:rPr>
          <w:sz w:val="24"/>
        </w:rPr>
        <w:t>(2–3), 93–109. </w:t>
      </w:r>
      <w:r>
        <w:rPr>
          <w:spacing w:val="-2"/>
          <w:sz w:val="24"/>
        </w:rPr>
        <w:t>https://doi.org/10.1111/j.1467-940X.2009.00161.x</w:t>
      </w:r>
    </w:p>
    <w:p>
      <w:pPr>
        <w:spacing w:line="240" w:lineRule="auto" w:before="202"/>
        <w:ind w:left="1025" w:right="514" w:hanging="720"/>
        <w:jc w:val="both"/>
        <w:rPr>
          <w:sz w:val="24"/>
        </w:rPr>
      </w:pPr>
      <w:r>
        <w:rPr>
          <w:sz w:val="24"/>
        </w:rPr>
        <w:t>James,</w:t>
      </w:r>
      <w:r>
        <w:rPr>
          <w:spacing w:val="-11"/>
          <w:sz w:val="24"/>
        </w:rPr>
        <w:t> </w:t>
      </w:r>
      <w:r>
        <w:rPr>
          <w:sz w:val="24"/>
        </w:rPr>
        <w:t>R.</w:t>
      </w:r>
      <w:r>
        <w:rPr>
          <w:spacing w:val="-13"/>
          <w:sz w:val="24"/>
        </w:rPr>
        <w:t> </w:t>
      </w:r>
      <w:r>
        <w:rPr>
          <w:sz w:val="24"/>
        </w:rPr>
        <w:t>C.,</w:t>
      </w:r>
      <w:r>
        <w:rPr>
          <w:spacing w:val="-11"/>
          <w:sz w:val="24"/>
        </w:rPr>
        <w:t> </w:t>
      </w:r>
      <w:r>
        <w:rPr>
          <w:sz w:val="24"/>
        </w:rPr>
        <w:t>&amp;</w:t>
      </w:r>
      <w:r>
        <w:rPr>
          <w:spacing w:val="-13"/>
          <w:sz w:val="24"/>
        </w:rPr>
        <w:t> </w:t>
      </w:r>
      <w:r>
        <w:rPr>
          <w:sz w:val="24"/>
        </w:rPr>
        <w:t>Carol,</w:t>
      </w:r>
      <w:r>
        <w:rPr>
          <w:spacing w:val="-11"/>
          <w:sz w:val="24"/>
        </w:rPr>
        <w:t> </w:t>
      </w:r>
      <w:r>
        <w:rPr>
          <w:sz w:val="24"/>
        </w:rPr>
        <w:t>E.</w:t>
      </w:r>
      <w:r>
        <w:rPr>
          <w:spacing w:val="-11"/>
          <w:sz w:val="24"/>
        </w:rPr>
        <w:t> </w:t>
      </w:r>
      <w:r>
        <w:rPr>
          <w:sz w:val="24"/>
        </w:rPr>
        <w:t>B.</w:t>
      </w:r>
      <w:r>
        <w:rPr>
          <w:spacing w:val="-11"/>
          <w:sz w:val="24"/>
        </w:rPr>
        <w:t> </w:t>
      </w:r>
      <w:r>
        <w:rPr>
          <w:sz w:val="24"/>
        </w:rPr>
        <w:t>(2000).</w:t>
      </w:r>
      <w:r>
        <w:rPr>
          <w:spacing w:val="-11"/>
          <w:sz w:val="24"/>
        </w:rPr>
        <w:t> </w:t>
      </w:r>
      <w:r>
        <w:rPr>
          <w:sz w:val="24"/>
        </w:rPr>
        <w:t>Artificial</w:t>
      </w:r>
      <w:r>
        <w:rPr>
          <w:spacing w:val="-8"/>
          <w:sz w:val="24"/>
        </w:rPr>
        <w:t> </w:t>
      </w:r>
      <w:r>
        <w:rPr>
          <w:sz w:val="24"/>
        </w:rPr>
        <w:t>neural</w:t>
      </w:r>
      <w:r>
        <w:rPr>
          <w:spacing w:val="-10"/>
          <w:sz w:val="24"/>
        </w:rPr>
        <w:t> </w:t>
      </w:r>
      <w:r>
        <w:rPr>
          <w:sz w:val="24"/>
        </w:rPr>
        <w:t>networks</w:t>
      </w:r>
      <w:r>
        <w:rPr>
          <w:spacing w:val="-10"/>
          <w:sz w:val="24"/>
        </w:rPr>
        <w:t> </w:t>
      </w:r>
      <w:r>
        <w:rPr>
          <w:sz w:val="24"/>
        </w:rPr>
        <w:t>in</w:t>
      </w:r>
      <w:r>
        <w:rPr>
          <w:spacing w:val="-10"/>
          <w:sz w:val="24"/>
        </w:rPr>
        <w:t> </w:t>
      </w:r>
      <w:r>
        <w:rPr>
          <w:sz w:val="24"/>
        </w:rPr>
        <w:t>accounting</w:t>
      </w:r>
      <w:r>
        <w:rPr>
          <w:spacing w:val="-10"/>
          <w:sz w:val="24"/>
        </w:rPr>
        <w:t> </w:t>
      </w:r>
      <w:r>
        <w:rPr>
          <w:sz w:val="24"/>
        </w:rPr>
        <w:t>and</w:t>
      </w:r>
      <w:r>
        <w:rPr>
          <w:spacing w:val="-10"/>
          <w:sz w:val="24"/>
        </w:rPr>
        <w:t> </w:t>
      </w:r>
      <w:r>
        <w:rPr>
          <w:sz w:val="24"/>
        </w:rPr>
        <w:t>finance: Modeling issues. </w:t>
      </w:r>
      <w:r>
        <w:rPr>
          <w:i/>
          <w:sz w:val="24"/>
        </w:rPr>
        <w:t>International Journal of Intelligent Systems in Accounting, Finance &amp; Management</w:t>
      </w:r>
      <w:r>
        <w:rPr>
          <w:sz w:val="24"/>
        </w:rPr>
        <w:t>, </w:t>
      </w:r>
      <w:r>
        <w:rPr>
          <w:i/>
          <w:sz w:val="24"/>
        </w:rPr>
        <w:t>9</w:t>
      </w:r>
      <w:r>
        <w:rPr>
          <w:sz w:val="24"/>
        </w:rPr>
        <w:t>, 119 – 144.</w:t>
      </w:r>
    </w:p>
    <w:p>
      <w:pPr>
        <w:pStyle w:val="BodyText"/>
        <w:spacing w:before="199"/>
        <w:ind w:left="1025" w:right="514" w:hanging="720"/>
      </w:pPr>
      <w:r>
        <w:rPr/>
        <w:t>Jiao, L. (2015). Urban land density function: A new method to characterize urban expansion. </w:t>
      </w:r>
      <w:r>
        <w:rPr>
          <w:i/>
        </w:rPr>
        <w:t>Landscape and Urban Planning</w:t>
      </w:r>
      <w:r>
        <w:rPr/>
        <w:t>, </w:t>
      </w:r>
      <w:r>
        <w:rPr>
          <w:i/>
        </w:rPr>
        <w:t>139</w:t>
      </w:r>
      <w:r>
        <w:rPr/>
        <w:t>, </w:t>
      </w:r>
      <w:r>
        <w:rPr/>
        <w:t>26–39. </w:t>
      </w:r>
      <w:hyperlink r:id="rId47">
        <w:r>
          <w:rPr>
            <w:spacing w:val="-2"/>
          </w:rPr>
          <w:t>http://dx.doi.org/10.1016/j.landurbplan.2015.02.017</w:t>
        </w:r>
      </w:hyperlink>
    </w:p>
    <w:p>
      <w:pPr>
        <w:pStyle w:val="BodyText"/>
        <w:spacing w:line="242" w:lineRule="auto" w:before="200"/>
        <w:ind w:left="1025" w:right="511" w:hanging="720"/>
      </w:pPr>
      <w:r>
        <w:rPr/>
        <w:t>Jung, E., &amp; Yoon, H. (2018). Is flood risk capitalized into real estate market value? A Mahalanobis-Metric matching approach to the housing market in Gyeonggi, South Korea. </w:t>
      </w:r>
      <w:r>
        <w:rPr>
          <w:i/>
        </w:rPr>
        <w:t>Sustainability</w:t>
      </w:r>
      <w:r>
        <w:rPr/>
        <w:t>, </w:t>
      </w:r>
      <w:r>
        <w:rPr>
          <w:i/>
        </w:rPr>
        <w:t>10</w:t>
      </w:r>
      <w:r>
        <w:rPr/>
        <w:t>(11), 1–17. https://doi.org/10.3390/su10114008</w:t>
      </w:r>
    </w:p>
    <w:p>
      <w:pPr>
        <w:spacing w:before="194"/>
        <w:ind w:left="1025" w:right="518" w:hanging="720"/>
        <w:jc w:val="both"/>
        <w:rPr>
          <w:sz w:val="24"/>
        </w:rPr>
      </w:pPr>
      <w:r>
        <w:rPr>
          <w:sz w:val="24"/>
        </w:rPr>
        <w:t>Kauko,</w:t>
      </w:r>
      <w:r>
        <w:rPr>
          <w:spacing w:val="-4"/>
          <w:sz w:val="24"/>
        </w:rPr>
        <w:t> </w:t>
      </w:r>
      <w:r>
        <w:rPr>
          <w:sz w:val="24"/>
        </w:rPr>
        <w:t>T.</w:t>
      </w:r>
      <w:r>
        <w:rPr>
          <w:spacing w:val="-4"/>
          <w:sz w:val="24"/>
        </w:rPr>
        <w:t> </w:t>
      </w:r>
      <w:r>
        <w:rPr>
          <w:sz w:val="24"/>
        </w:rPr>
        <w:t>(2003).</w:t>
      </w:r>
      <w:r>
        <w:rPr>
          <w:spacing w:val="-4"/>
          <w:sz w:val="24"/>
        </w:rPr>
        <w:t> </w:t>
      </w:r>
      <w:r>
        <w:rPr>
          <w:sz w:val="24"/>
        </w:rPr>
        <w:t>On</w:t>
      </w:r>
      <w:r>
        <w:rPr>
          <w:spacing w:val="-3"/>
          <w:sz w:val="24"/>
        </w:rPr>
        <w:t> </w:t>
      </w:r>
      <w:r>
        <w:rPr>
          <w:sz w:val="24"/>
        </w:rPr>
        <w:t>current</w:t>
      </w:r>
      <w:r>
        <w:rPr>
          <w:spacing w:val="-4"/>
          <w:sz w:val="24"/>
        </w:rPr>
        <w:t> </w:t>
      </w:r>
      <w:r>
        <w:rPr>
          <w:sz w:val="24"/>
        </w:rPr>
        <w:t>neural</w:t>
      </w:r>
      <w:r>
        <w:rPr>
          <w:spacing w:val="-4"/>
          <w:sz w:val="24"/>
        </w:rPr>
        <w:t> </w:t>
      </w:r>
      <w:r>
        <w:rPr>
          <w:sz w:val="24"/>
        </w:rPr>
        <w:t>network</w:t>
      </w:r>
      <w:r>
        <w:rPr>
          <w:spacing w:val="-4"/>
          <w:sz w:val="24"/>
        </w:rPr>
        <w:t> </w:t>
      </w:r>
      <w:r>
        <w:rPr>
          <w:sz w:val="24"/>
        </w:rPr>
        <w:t>applications</w:t>
      </w:r>
      <w:r>
        <w:rPr>
          <w:spacing w:val="-4"/>
          <w:sz w:val="24"/>
        </w:rPr>
        <w:t> </w:t>
      </w:r>
      <w:r>
        <w:rPr>
          <w:sz w:val="24"/>
        </w:rPr>
        <w:t>involving</w:t>
      </w:r>
      <w:r>
        <w:rPr>
          <w:spacing w:val="-7"/>
          <w:sz w:val="24"/>
        </w:rPr>
        <w:t> </w:t>
      </w:r>
      <w:r>
        <w:rPr>
          <w:sz w:val="24"/>
        </w:rPr>
        <w:t>spatial</w:t>
      </w:r>
      <w:r>
        <w:rPr>
          <w:spacing w:val="-2"/>
          <w:sz w:val="24"/>
        </w:rPr>
        <w:t> </w:t>
      </w:r>
      <w:r>
        <w:rPr>
          <w:sz w:val="24"/>
        </w:rPr>
        <w:t>modelling</w:t>
      </w:r>
      <w:r>
        <w:rPr>
          <w:spacing w:val="-7"/>
          <w:sz w:val="24"/>
        </w:rPr>
        <w:t> </w:t>
      </w:r>
      <w:r>
        <w:rPr>
          <w:sz w:val="24"/>
        </w:rPr>
        <w:t>of property prices. </w:t>
      </w:r>
      <w:r>
        <w:rPr>
          <w:i/>
          <w:sz w:val="24"/>
        </w:rPr>
        <w:t>Journal of Housing and the Built Environment</w:t>
      </w:r>
      <w:r>
        <w:rPr>
          <w:sz w:val="24"/>
        </w:rPr>
        <w:t>, </w:t>
      </w:r>
      <w:r>
        <w:rPr>
          <w:i/>
          <w:sz w:val="24"/>
        </w:rPr>
        <w:t>18</w:t>
      </w:r>
      <w:r>
        <w:rPr>
          <w:sz w:val="24"/>
        </w:rPr>
        <w:t>, 159–181.</w:t>
      </w:r>
    </w:p>
    <w:p>
      <w:pPr>
        <w:pStyle w:val="BodyText"/>
        <w:spacing w:before="199"/>
        <w:ind w:left="1025" w:right="514" w:hanging="720"/>
      </w:pPr>
      <w:r>
        <w:rPr/>
        <w:t>Kauko, T., Hooimeijer, P., &amp; Hakfoort, J. (2002). Capturing housing market segmentation: An alternative approach based on neural network modelling. </w:t>
      </w:r>
      <w:r>
        <w:rPr>
          <w:i/>
        </w:rPr>
        <w:t>Housing Studies</w:t>
      </w:r>
      <w:r>
        <w:rPr/>
        <w:t>, </w:t>
      </w:r>
      <w:r>
        <w:rPr>
          <w:i/>
        </w:rPr>
        <w:t>17</w:t>
      </w:r>
      <w:r>
        <w:rPr/>
        <w:t>(6), 875–894. https://doi.org/10.1080/02673030215999</w:t>
      </w:r>
    </w:p>
    <w:p>
      <w:pPr>
        <w:spacing w:after="0"/>
        <w:sectPr>
          <w:pgSz w:w="11910" w:h="16840"/>
          <w:pgMar w:header="0" w:footer="1022" w:top="1320" w:bottom="1220" w:left="1680" w:right="900"/>
        </w:sectPr>
      </w:pPr>
    </w:p>
    <w:p>
      <w:pPr>
        <w:spacing w:line="240" w:lineRule="auto" w:before="72"/>
        <w:ind w:left="1025" w:right="511" w:hanging="720"/>
        <w:jc w:val="both"/>
        <w:rPr>
          <w:sz w:val="24"/>
        </w:rPr>
      </w:pPr>
      <w:r>
        <w:rPr>
          <w:sz w:val="24"/>
        </w:rPr>
        <w:t>Kemiki, O., Ojetunde, I., &amp; Ayoola, A. (2014). The impact of noise and dust level on rental price of residential tenements around Lafarge cement factory in Ewekoro Town, Nigeria. </w:t>
      </w:r>
      <w:r>
        <w:rPr>
          <w:i/>
          <w:sz w:val="24"/>
        </w:rPr>
        <w:t>Ethiopian Journal of Environmental Studies and Management</w:t>
      </w:r>
      <w:r>
        <w:rPr>
          <w:sz w:val="24"/>
        </w:rPr>
        <w:t>, </w:t>
      </w:r>
      <w:r>
        <w:rPr>
          <w:i/>
          <w:sz w:val="24"/>
        </w:rPr>
        <w:t>7</w:t>
      </w:r>
      <w:r>
        <w:rPr>
          <w:sz w:val="24"/>
        </w:rPr>
        <w:t>(2), 108–116. https://doi.org/10.4314/ejesm.v7i2.1</w:t>
      </w:r>
    </w:p>
    <w:p>
      <w:pPr>
        <w:pStyle w:val="BodyText"/>
        <w:spacing w:before="199"/>
        <w:ind w:left="1025" w:right="511" w:hanging="720"/>
      </w:pPr>
      <w:r>
        <w:rPr/>
        <w:t>Khalafallah, A. (2008). Neural network based model for predicting housing market performance. </w:t>
      </w:r>
      <w:r>
        <w:rPr>
          <w:i/>
        </w:rPr>
        <w:t>Tsinghua Science and Technology</w:t>
      </w:r>
      <w:r>
        <w:rPr/>
        <w:t>, </w:t>
      </w:r>
      <w:r>
        <w:rPr>
          <w:i/>
        </w:rPr>
        <w:t>13</w:t>
      </w:r>
      <w:r>
        <w:rPr/>
        <w:t>(S1), 325–328. </w:t>
      </w:r>
      <w:r>
        <w:rPr>
          <w:spacing w:val="-2"/>
        </w:rPr>
        <w:t>https://doi.org/10.1016/S1007-0214(08)70169-X</w:t>
      </w:r>
    </w:p>
    <w:p>
      <w:pPr>
        <w:pStyle w:val="BodyText"/>
        <w:spacing w:before="200"/>
        <w:ind w:left="1025" w:right="511" w:hanging="720"/>
      </w:pPr>
      <w:r>
        <w:rPr/>
        <w:t>Killins,</w:t>
      </w:r>
      <w:r>
        <w:rPr>
          <w:spacing w:val="-13"/>
        </w:rPr>
        <w:t> </w:t>
      </w:r>
      <w:r>
        <w:rPr/>
        <w:t>R.</w:t>
      </w:r>
      <w:r>
        <w:rPr>
          <w:spacing w:val="-13"/>
        </w:rPr>
        <w:t> </w:t>
      </w:r>
      <w:r>
        <w:rPr/>
        <w:t>N.,</w:t>
      </w:r>
      <w:r>
        <w:rPr>
          <w:spacing w:val="-14"/>
        </w:rPr>
        <w:t> </w:t>
      </w:r>
      <w:r>
        <w:rPr/>
        <w:t>Egly,</w:t>
      </w:r>
      <w:r>
        <w:rPr>
          <w:spacing w:val="-12"/>
        </w:rPr>
        <w:t> </w:t>
      </w:r>
      <w:r>
        <w:rPr/>
        <w:t>P.</w:t>
      </w:r>
      <w:r>
        <w:rPr>
          <w:spacing w:val="-13"/>
        </w:rPr>
        <w:t> </w:t>
      </w:r>
      <w:r>
        <w:rPr/>
        <w:t>V.,</w:t>
      </w:r>
      <w:r>
        <w:rPr>
          <w:spacing w:val="-13"/>
        </w:rPr>
        <w:t> </w:t>
      </w:r>
      <w:r>
        <w:rPr/>
        <w:t>&amp;</w:t>
      </w:r>
      <w:r>
        <w:rPr>
          <w:spacing w:val="-13"/>
        </w:rPr>
        <w:t> </w:t>
      </w:r>
      <w:r>
        <w:rPr/>
        <w:t>Escobari,</w:t>
      </w:r>
      <w:r>
        <w:rPr>
          <w:spacing w:val="-14"/>
        </w:rPr>
        <w:t> </w:t>
      </w:r>
      <w:r>
        <w:rPr/>
        <w:t>D.</w:t>
      </w:r>
      <w:r>
        <w:rPr>
          <w:spacing w:val="-12"/>
        </w:rPr>
        <w:t> </w:t>
      </w:r>
      <w:r>
        <w:rPr/>
        <w:t>(2017).</w:t>
      </w:r>
      <w:r>
        <w:rPr>
          <w:spacing w:val="-12"/>
        </w:rPr>
        <w:t> </w:t>
      </w:r>
      <w:r>
        <w:rPr/>
        <w:t>The</w:t>
      </w:r>
      <w:r>
        <w:rPr>
          <w:spacing w:val="-15"/>
        </w:rPr>
        <w:t> </w:t>
      </w:r>
      <w:r>
        <w:rPr/>
        <w:t>impact</w:t>
      </w:r>
      <w:r>
        <w:rPr>
          <w:spacing w:val="-13"/>
        </w:rPr>
        <w:t> </w:t>
      </w:r>
      <w:r>
        <w:rPr/>
        <w:t>of</w:t>
      </w:r>
      <w:r>
        <w:rPr>
          <w:spacing w:val="-14"/>
        </w:rPr>
        <w:t> </w:t>
      </w:r>
      <w:r>
        <w:rPr/>
        <w:t>oil</w:t>
      </w:r>
      <w:r>
        <w:rPr>
          <w:spacing w:val="-13"/>
        </w:rPr>
        <w:t> </w:t>
      </w:r>
      <w:r>
        <w:rPr/>
        <w:t>shocks</w:t>
      </w:r>
      <w:r>
        <w:rPr>
          <w:spacing w:val="-10"/>
        </w:rPr>
        <w:t> </w:t>
      </w:r>
      <w:r>
        <w:rPr/>
        <w:t>on</w:t>
      </w:r>
      <w:r>
        <w:rPr>
          <w:spacing w:val="-13"/>
        </w:rPr>
        <w:t> </w:t>
      </w:r>
      <w:r>
        <w:rPr/>
        <w:t>the</w:t>
      </w:r>
      <w:r>
        <w:rPr>
          <w:spacing w:val="-14"/>
        </w:rPr>
        <w:t> </w:t>
      </w:r>
      <w:r>
        <w:rPr/>
        <w:t>housing market:</w:t>
      </w:r>
      <w:r>
        <w:rPr>
          <w:spacing w:val="-4"/>
        </w:rPr>
        <w:t> </w:t>
      </w:r>
      <w:r>
        <w:rPr/>
        <w:t>Evidence</w:t>
      </w:r>
      <w:r>
        <w:rPr>
          <w:spacing w:val="-5"/>
        </w:rPr>
        <w:t> </w:t>
      </w:r>
      <w:r>
        <w:rPr/>
        <w:t>from</w:t>
      </w:r>
      <w:r>
        <w:rPr>
          <w:spacing w:val="-4"/>
        </w:rPr>
        <w:t> </w:t>
      </w:r>
      <w:r>
        <w:rPr/>
        <w:t>Canada</w:t>
      </w:r>
      <w:r>
        <w:rPr>
          <w:spacing w:val="-5"/>
        </w:rPr>
        <w:t> </w:t>
      </w:r>
      <w:r>
        <w:rPr/>
        <w:t>and</w:t>
      </w:r>
      <w:r>
        <w:rPr>
          <w:spacing w:val="-4"/>
        </w:rPr>
        <w:t> </w:t>
      </w:r>
      <w:r>
        <w:rPr/>
        <w:t>U.S.</w:t>
      </w:r>
      <w:r>
        <w:rPr>
          <w:spacing w:val="-2"/>
        </w:rPr>
        <w:t> </w:t>
      </w:r>
      <w:r>
        <w:rPr>
          <w:i/>
        </w:rPr>
        <w:t>Journal</w:t>
      </w:r>
      <w:r>
        <w:rPr>
          <w:i/>
          <w:spacing w:val="-4"/>
        </w:rPr>
        <w:t> </w:t>
      </w:r>
      <w:r>
        <w:rPr>
          <w:i/>
        </w:rPr>
        <w:t>of</w:t>
      </w:r>
      <w:r>
        <w:rPr>
          <w:i/>
          <w:spacing w:val="-4"/>
        </w:rPr>
        <w:t> </w:t>
      </w:r>
      <w:r>
        <w:rPr>
          <w:i/>
        </w:rPr>
        <w:t>Economics</w:t>
      </w:r>
      <w:r>
        <w:rPr>
          <w:i/>
          <w:spacing w:val="-4"/>
        </w:rPr>
        <w:t> </w:t>
      </w:r>
      <w:r>
        <w:rPr>
          <w:i/>
        </w:rPr>
        <w:t>and</w:t>
      </w:r>
      <w:r>
        <w:rPr>
          <w:i/>
          <w:spacing w:val="-4"/>
        </w:rPr>
        <w:t> </w:t>
      </w:r>
      <w:r>
        <w:rPr>
          <w:i/>
        </w:rPr>
        <w:t>Business</w:t>
      </w:r>
      <w:r>
        <w:rPr/>
        <w:t>,</w:t>
      </w:r>
      <w:r>
        <w:rPr>
          <w:spacing w:val="-4"/>
        </w:rPr>
        <w:t> </w:t>
      </w:r>
      <w:r>
        <w:rPr>
          <w:i/>
        </w:rPr>
        <w:t>93</w:t>
      </w:r>
      <w:r>
        <w:rPr/>
        <w:t>, 15–28. https://doi.org/10.1016/j.jeconbus.2017.07.002</w:t>
      </w:r>
    </w:p>
    <w:p>
      <w:pPr>
        <w:pStyle w:val="BodyText"/>
        <w:spacing w:before="201"/>
        <w:ind w:left="1025" w:right="516" w:hanging="720"/>
      </w:pPr>
      <w:r>
        <w:rPr/>
        <w:t>Kim, H.-S., Lee, G.-E., Lee, J.-S., &amp;</w:t>
      </w:r>
      <w:r>
        <w:rPr>
          <w:spacing w:val="-2"/>
        </w:rPr>
        <w:t> </w:t>
      </w:r>
      <w:r>
        <w:rPr/>
        <w:t>Choi, Y.</w:t>
      </w:r>
      <w:r>
        <w:rPr>
          <w:spacing w:val="-1"/>
        </w:rPr>
        <w:t> </w:t>
      </w:r>
      <w:r>
        <w:rPr/>
        <w:t>(2019).</w:t>
      </w:r>
      <w:r>
        <w:rPr>
          <w:spacing w:val="-1"/>
        </w:rPr>
        <w:t> </w:t>
      </w:r>
      <w:r>
        <w:rPr/>
        <w:t>Understanding</w:t>
      </w:r>
      <w:r>
        <w:rPr>
          <w:spacing w:val="-3"/>
        </w:rPr>
        <w:t> </w:t>
      </w:r>
      <w:r>
        <w:rPr/>
        <w:t>the</w:t>
      </w:r>
      <w:r>
        <w:rPr>
          <w:spacing w:val="-1"/>
        </w:rPr>
        <w:t> </w:t>
      </w:r>
      <w:r>
        <w:rPr/>
        <w:t>local impact of urban park plans and park typology on housing price: A case study</w:t>
      </w:r>
      <w:r>
        <w:rPr>
          <w:spacing w:val="-2"/>
        </w:rPr>
        <w:t> </w:t>
      </w:r>
      <w:r>
        <w:rPr/>
        <w:t>of the Busan metropolitan region, Korea. </w:t>
      </w:r>
      <w:r>
        <w:rPr>
          <w:i/>
        </w:rPr>
        <w:t>Landscape and Urban Planning</w:t>
      </w:r>
      <w:r>
        <w:rPr/>
        <w:t>, </w:t>
      </w:r>
      <w:r>
        <w:rPr>
          <w:i/>
        </w:rPr>
        <w:t>184</w:t>
      </w:r>
      <w:r>
        <w:rPr/>
        <w:t>, 1–11. </w:t>
      </w:r>
      <w:r>
        <w:rPr>
          <w:spacing w:val="-2"/>
        </w:rPr>
        <w:t>https://doi.org/10.1016/j.landurbplan.2018.12.007</w:t>
      </w:r>
    </w:p>
    <w:p>
      <w:pPr>
        <w:pStyle w:val="BodyText"/>
        <w:spacing w:line="242" w:lineRule="auto" w:before="200"/>
        <w:ind w:left="1025" w:right="517" w:hanging="720"/>
      </w:pPr>
      <w:r>
        <w:rPr/>
        <w:t>Kim,</w:t>
      </w:r>
      <w:r>
        <w:rPr>
          <w:spacing w:val="-12"/>
        </w:rPr>
        <w:t> </w:t>
      </w:r>
      <w:r>
        <w:rPr/>
        <w:t>S.,</w:t>
      </w:r>
      <w:r>
        <w:rPr>
          <w:spacing w:val="-12"/>
        </w:rPr>
        <w:t> </w:t>
      </w:r>
      <w:r>
        <w:rPr/>
        <w:t>&amp;</w:t>
      </w:r>
      <w:r>
        <w:rPr>
          <w:spacing w:val="-12"/>
        </w:rPr>
        <w:t> </w:t>
      </w:r>
      <w:r>
        <w:rPr/>
        <w:t>Lee,</w:t>
      </w:r>
      <w:r>
        <w:rPr>
          <w:spacing w:val="-11"/>
        </w:rPr>
        <w:t> </w:t>
      </w:r>
      <w:r>
        <w:rPr/>
        <w:t>K.</w:t>
      </w:r>
      <w:r>
        <w:rPr>
          <w:spacing w:val="-13"/>
        </w:rPr>
        <w:t> </w:t>
      </w:r>
      <w:r>
        <w:rPr/>
        <w:t>O.</w:t>
      </w:r>
      <w:r>
        <w:rPr>
          <w:spacing w:val="-11"/>
        </w:rPr>
        <w:t> </w:t>
      </w:r>
      <w:r>
        <w:rPr/>
        <w:t>(2018).</w:t>
      </w:r>
      <w:r>
        <w:rPr>
          <w:spacing w:val="-13"/>
        </w:rPr>
        <w:t> </w:t>
      </w:r>
      <w:r>
        <w:rPr/>
        <w:t>Potential</w:t>
      </w:r>
      <w:r>
        <w:rPr>
          <w:spacing w:val="-12"/>
        </w:rPr>
        <w:t> </w:t>
      </w:r>
      <w:r>
        <w:rPr/>
        <w:t>crime</w:t>
      </w:r>
      <w:r>
        <w:rPr>
          <w:spacing w:val="-12"/>
        </w:rPr>
        <w:t> </w:t>
      </w:r>
      <w:r>
        <w:rPr/>
        <w:t>risk</w:t>
      </w:r>
      <w:r>
        <w:rPr>
          <w:spacing w:val="-12"/>
        </w:rPr>
        <w:t> </w:t>
      </w:r>
      <w:r>
        <w:rPr/>
        <w:t>and</w:t>
      </w:r>
      <w:r>
        <w:rPr>
          <w:spacing w:val="-12"/>
        </w:rPr>
        <w:t> </w:t>
      </w:r>
      <w:r>
        <w:rPr/>
        <w:t>housing</w:t>
      </w:r>
      <w:r>
        <w:rPr>
          <w:spacing w:val="-12"/>
        </w:rPr>
        <w:t> </w:t>
      </w:r>
      <w:r>
        <w:rPr/>
        <w:t>market</w:t>
      </w:r>
      <w:r>
        <w:rPr>
          <w:spacing w:val="-10"/>
        </w:rPr>
        <w:t> </w:t>
      </w:r>
      <w:r>
        <w:rPr/>
        <w:t>responses.</w:t>
      </w:r>
      <w:r>
        <w:rPr>
          <w:spacing w:val="-8"/>
        </w:rPr>
        <w:t> </w:t>
      </w:r>
      <w:r>
        <w:rPr>
          <w:i/>
        </w:rPr>
        <w:t>Journal of Urban Economics</w:t>
      </w:r>
      <w:r>
        <w:rPr/>
        <w:t>, </w:t>
      </w:r>
      <w:r>
        <w:rPr>
          <w:i/>
        </w:rPr>
        <w:t>108</w:t>
      </w:r>
      <w:r>
        <w:rPr/>
        <w:t>, 1–17. https://doi.org/10.1016/j.jue.2018.09.001</w:t>
      </w:r>
    </w:p>
    <w:p>
      <w:pPr>
        <w:spacing w:line="242" w:lineRule="auto" w:before="194"/>
        <w:ind w:left="1025" w:right="516" w:hanging="720"/>
        <w:jc w:val="both"/>
        <w:rPr>
          <w:sz w:val="24"/>
        </w:rPr>
      </w:pPr>
      <w:r>
        <w:rPr>
          <w:sz w:val="24"/>
        </w:rPr>
        <w:t>Kirman, A. (2011). </w:t>
      </w:r>
      <w:r>
        <w:rPr>
          <w:i/>
          <w:sz w:val="24"/>
        </w:rPr>
        <w:t>Market Mechanisms in Real Markets: Why did markets disappear from Economic Analysis? </w:t>
      </w:r>
      <w:r>
        <w:rPr>
          <w:sz w:val="24"/>
        </w:rPr>
        <w:t>93.</w:t>
      </w:r>
    </w:p>
    <w:p>
      <w:pPr>
        <w:spacing w:line="240" w:lineRule="auto" w:before="196"/>
        <w:ind w:left="1025" w:right="515" w:hanging="720"/>
        <w:jc w:val="both"/>
        <w:rPr>
          <w:sz w:val="24"/>
        </w:rPr>
      </w:pPr>
      <w:r>
        <w:rPr>
          <w:sz w:val="24"/>
        </w:rPr>
        <w:t>Kuang, W., &amp; Wang, Q. (2018). Cultural similarities and housing market linkage: Evidence</w:t>
      </w:r>
      <w:r>
        <w:rPr>
          <w:spacing w:val="-5"/>
          <w:sz w:val="24"/>
        </w:rPr>
        <w:t> </w:t>
      </w:r>
      <w:r>
        <w:rPr>
          <w:sz w:val="24"/>
        </w:rPr>
        <w:t>from</w:t>
      </w:r>
      <w:r>
        <w:rPr>
          <w:spacing w:val="-4"/>
          <w:sz w:val="24"/>
        </w:rPr>
        <w:t> </w:t>
      </w:r>
      <w:r>
        <w:rPr>
          <w:sz w:val="24"/>
        </w:rPr>
        <w:t>OECD</w:t>
      </w:r>
      <w:r>
        <w:rPr>
          <w:spacing w:val="-4"/>
          <w:sz w:val="24"/>
        </w:rPr>
        <w:t> </w:t>
      </w:r>
      <w:r>
        <w:rPr>
          <w:sz w:val="24"/>
        </w:rPr>
        <w:t>countries.</w:t>
      </w:r>
      <w:r>
        <w:rPr>
          <w:spacing w:val="-3"/>
          <w:sz w:val="24"/>
        </w:rPr>
        <w:t> </w:t>
      </w:r>
      <w:r>
        <w:rPr>
          <w:i/>
          <w:sz w:val="24"/>
        </w:rPr>
        <w:t>Frontiers</w:t>
      </w:r>
      <w:r>
        <w:rPr>
          <w:i/>
          <w:spacing w:val="-4"/>
          <w:sz w:val="24"/>
        </w:rPr>
        <w:t> </w:t>
      </w:r>
      <w:r>
        <w:rPr>
          <w:i/>
          <w:sz w:val="24"/>
        </w:rPr>
        <w:t>of</w:t>
      </w:r>
      <w:r>
        <w:rPr>
          <w:i/>
          <w:spacing w:val="-4"/>
          <w:sz w:val="24"/>
        </w:rPr>
        <w:t> </w:t>
      </w:r>
      <w:r>
        <w:rPr>
          <w:i/>
          <w:sz w:val="24"/>
        </w:rPr>
        <w:t>Business</w:t>
      </w:r>
      <w:r>
        <w:rPr>
          <w:i/>
          <w:spacing w:val="-4"/>
          <w:sz w:val="24"/>
        </w:rPr>
        <w:t> </w:t>
      </w:r>
      <w:r>
        <w:rPr>
          <w:i/>
          <w:sz w:val="24"/>
        </w:rPr>
        <w:t>Research</w:t>
      </w:r>
      <w:r>
        <w:rPr>
          <w:i/>
          <w:spacing w:val="-4"/>
          <w:sz w:val="24"/>
        </w:rPr>
        <w:t> </w:t>
      </w:r>
      <w:r>
        <w:rPr>
          <w:i/>
          <w:sz w:val="24"/>
        </w:rPr>
        <w:t>in</w:t>
      </w:r>
      <w:r>
        <w:rPr>
          <w:i/>
          <w:spacing w:val="-4"/>
          <w:sz w:val="24"/>
        </w:rPr>
        <w:t> </w:t>
      </w:r>
      <w:r>
        <w:rPr>
          <w:i/>
          <w:sz w:val="24"/>
        </w:rPr>
        <w:t>China</w:t>
      </w:r>
      <w:r>
        <w:rPr>
          <w:sz w:val="24"/>
        </w:rPr>
        <w:t>,</w:t>
      </w:r>
      <w:r>
        <w:rPr>
          <w:spacing w:val="-7"/>
          <w:sz w:val="24"/>
        </w:rPr>
        <w:t> </w:t>
      </w:r>
      <w:r>
        <w:rPr>
          <w:i/>
          <w:sz w:val="24"/>
        </w:rPr>
        <w:t>12</w:t>
      </w:r>
      <w:r>
        <w:rPr>
          <w:sz w:val="24"/>
        </w:rPr>
        <w:t>(1). </w:t>
      </w:r>
      <w:r>
        <w:rPr>
          <w:spacing w:val="-2"/>
          <w:sz w:val="24"/>
        </w:rPr>
        <w:t>https://doi.org/10.1186/s11782-018-0030-1</w:t>
      </w:r>
    </w:p>
    <w:p>
      <w:pPr>
        <w:pStyle w:val="BodyText"/>
        <w:spacing w:before="199"/>
        <w:ind w:left="1025" w:right="513" w:hanging="720"/>
      </w:pPr>
      <w:r>
        <w:rPr/>
        <w:t>Kulish, M., Richards, A., &amp; Gillitzer, C. (2012). Urban structure and housing prices: Some evidence from Australian cities*: Urban structure and housing prices. </w:t>
      </w:r>
      <w:r>
        <w:rPr>
          <w:i/>
        </w:rPr>
        <w:t>Economic Record</w:t>
      </w:r>
      <w:r>
        <w:rPr/>
        <w:t>, </w:t>
      </w:r>
      <w:r>
        <w:rPr>
          <w:i/>
        </w:rPr>
        <w:t>88</w:t>
      </w:r>
      <w:r>
        <w:rPr/>
        <w:t>(282), 303–322. https://doi.org/10.1111/j.1475- </w:t>
      </w:r>
      <w:r>
        <w:rPr>
          <w:spacing w:val="-2"/>
        </w:rPr>
        <w:t>4932.2012.00829.x</w:t>
      </w:r>
    </w:p>
    <w:p>
      <w:pPr>
        <w:tabs>
          <w:tab w:pos="3054" w:val="left" w:leader="none"/>
          <w:tab w:pos="4900" w:val="left" w:leader="none"/>
          <w:tab w:pos="6393" w:val="left" w:leader="none"/>
          <w:tab w:pos="7669" w:val="left" w:leader="none"/>
        </w:tabs>
        <w:spacing w:line="240" w:lineRule="auto" w:before="200"/>
        <w:ind w:left="1025" w:right="512" w:hanging="720"/>
        <w:jc w:val="both"/>
        <w:rPr>
          <w:sz w:val="24"/>
        </w:rPr>
      </w:pPr>
      <w:r>
        <w:rPr>
          <w:sz w:val="24"/>
        </w:rPr>
        <w:t>Kuntz, M., &amp; Helbich, M. (2014). Geostatistical mapping of real estate prices: An empirical comparison of kriging and cokriging. </w:t>
      </w:r>
      <w:r>
        <w:rPr>
          <w:i/>
          <w:sz w:val="24"/>
        </w:rPr>
        <w:t>International Journal of </w:t>
      </w:r>
      <w:r>
        <w:rPr>
          <w:i/>
          <w:spacing w:val="-2"/>
          <w:sz w:val="24"/>
        </w:rPr>
        <w:t>Geographical</w:t>
      </w:r>
      <w:r>
        <w:rPr>
          <w:i/>
          <w:sz w:val="24"/>
        </w:rPr>
        <w:tab/>
      </w:r>
      <w:r>
        <w:rPr>
          <w:i/>
          <w:spacing w:val="-2"/>
          <w:sz w:val="24"/>
        </w:rPr>
        <w:t>Information</w:t>
      </w:r>
      <w:r>
        <w:rPr>
          <w:i/>
          <w:sz w:val="24"/>
        </w:rPr>
        <w:tab/>
      </w:r>
      <w:r>
        <w:rPr>
          <w:i/>
          <w:spacing w:val="-2"/>
          <w:sz w:val="24"/>
        </w:rPr>
        <w:t>Science</w:t>
      </w:r>
      <w:r>
        <w:rPr>
          <w:spacing w:val="-2"/>
          <w:sz w:val="24"/>
        </w:rPr>
        <w:t>,</w:t>
      </w:r>
      <w:r>
        <w:rPr>
          <w:sz w:val="24"/>
        </w:rPr>
        <w:tab/>
      </w:r>
      <w:r>
        <w:rPr>
          <w:i/>
          <w:spacing w:val="-2"/>
          <w:sz w:val="24"/>
        </w:rPr>
        <w:t>28</w:t>
      </w:r>
      <w:r>
        <w:rPr>
          <w:spacing w:val="-2"/>
          <w:sz w:val="24"/>
        </w:rPr>
        <w:t>(9),</w:t>
      </w:r>
      <w:r>
        <w:rPr>
          <w:sz w:val="24"/>
        </w:rPr>
        <w:tab/>
      </w:r>
      <w:r>
        <w:rPr>
          <w:spacing w:val="-2"/>
          <w:sz w:val="24"/>
        </w:rPr>
        <w:t>1904–1921. https://doi.org/10.1080/13658816.2014.906041</w:t>
      </w:r>
    </w:p>
    <w:p>
      <w:pPr>
        <w:spacing w:line="242" w:lineRule="auto" w:before="202"/>
        <w:ind w:left="1025" w:right="513" w:hanging="720"/>
        <w:jc w:val="both"/>
        <w:rPr>
          <w:sz w:val="24"/>
        </w:rPr>
      </w:pPr>
      <w:r>
        <w:rPr>
          <w:sz w:val="24"/>
        </w:rPr>
        <w:t>Lancaster, K. J. (1966). A new approach to consumer theory. </w:t>
      </w:r>
      <w:r>
        <w:rPr>
          <w:i/>
          <w:sz w:val="24"/>
        </w:rPr>
        <w:t>The Journal of Political Economy</w:t>
      </w:r>
      <w:r>
        <w:rPr>
          <w:sz w:val="24"/>
        </w:rPr>
        <w:t>, </w:t>
      </w:r>
      <w:r>
        <w:rPr>
          <w:i/>
          <w:sz w:val="24"/>
        </w:rPr>
        <w:t>74</w:t>
      </w:r>
      <w:r>
        <w:rPr>
          <w:sz w:val="24"/>
        </w:rPr>
        <w:t>(2), 132–157.</w:t>
      </w:r>
    </w:p>
    <w:p>
      <w:pPr>
        <w:pStyle w:val="BodyText"/>
        <w:spacing w:line="242" w:lineRule="auto" w:before="193"/>
        <w:ind w:left="1025" w:right="514" w:hanging="720"/>
      </w:pPr>
      <w:r>
        <w:rPr/>
        <w:t>Latinopoulos, D. (2018). Using a spatial hedonic analysis to evaluate the effect of sea view on hotel prices. </w:t>
      </w:r>
      <w:r>
        <w:rPr>
          <w:i/>
        </w:rPr>
        <w:t>Tourism Management</w:t>
      </w:r>
      <w:r>
        <w:rPr/>
        <w:t>, </w:t>
      </w:r>
      <w:r>
        <w:rPr>
          <w:i/>
        </w:rPr>
        <w:t>65</w:t>
      </w:r>
      <w:r>
        <w:rPr/>
        <w:t>, 87–99. </w:t>
      </w:r>
      <w:r>
        <w:rPr>
          <w:spacing w:val="-2"/>
        </w:rPr>
        <w:t>https://doi.org/10.1016/j.tourman.2017.09.019</w:t>
      </w:r>
    </w:p>
    <w:p>
      <w:pPr>
        <w:pStyle w:val="BodyText"/>
        <w:spacing w:before="192"/>
        <w:ind w:left="1025" w:right="514" w:hanging="720"/>
      </w:pPr>
      <w:r>
        <w:rPr/>
        <w:t>Leffers,</w:t>
      </w:r>
      <w:r>
        <w:rPr>
          <w:spacing w:val="-4"/>
        </w:rPr>
        <w:t> </w:t>
      </w:r>
      <w:r>
        <w:rPr/>
        <w:t>D.,</w:t>
      </w:r>
      <w:r>
        <w:rPr>
          <w:spacing w:val="-2"/>
        </w:rPr>
        <w:t> </w:t>
      </w:r>
      <w:r>
        <w:rPr/>
        <w:t>&amp;</w:t>
      </w:r>
      <w:r>
        <w:rPr>
          <w:spacing w:val="-4"/>
        </w:rPr>
        <w:t> </w:t>
      </w:r>
      <w:r>
        <w:rPr/>
        <w:t>Ballamingie,</w:t>
      </w:r>
      <w:r>
        <w:rPr>
          <w:spacing w:val="-4"/>
        </w:rPr>
        <w:t> </w:t>
      </w:r>
      <w:r>
        <w:rPr/>
        <w:t>P.</w:t>
      </w:r>
      <w:r>
        <w:rPr>
          <w:spacing w:val="-4"/>
        </w:rPr>
        <w:t> </w:t>
      </w:r>
      <w:r>
        <w:rPr/>
        <w:t>(2013).</w:t>
      </w:r>
      <w:r>
        <w:rPr>
          <w:spacing w:val="-4"/>
        </w:rPr>
        <w:t> </w:t>
      </w:r>
      <w:r>
        <w:rPr/>
        <w:t>Governmentality,</w:t>
      </w:r>
      <w:r>
        <w:rPr>
          <w:spacing w:val="-4"/>
        </w:rPr>
        <w:t> </w:t>
      </w:r>
      <w:r>
        <w:rPr/>
        <w:t>environmental subjectivity,</w:t>
      </w:r>
      <w:r>
        <w:rPr>
          <w:spacing w:val="-4"/>
        </w:rPr>
        <w:t> </w:t>
      </w:r>
      <w:r>
        <w:rPr/>
        <w:t>and urban intensification. </w:t>
      </w:r>
      <w:r>
        <w:rPr>
          <w:i/>
        </w:rPr>
        <w:t>Local Environment</w:t>
      </w:r>
      <w:r>
        <w:rPr/>
        <w:t>, </w:t>
      </w:r>
      <w:r>
        <w:rPr>
          <w:i/>
        </w:rPr>
        <w:t>18</w:t>
      </w:r>
      <w:r>
        <w:rPr/>
        <w:t>(2), 134–151. </w:t>
      </w:r>
      <w:r>
        <w:rPr>
          <w:spacing w:val="-2"/>
        </w:rPr>
        <w:t>https://doi.org/10.1080/13549839.2012.719016</w:t>
      </w:r>
    </w:p>
    <w:p>
      <w:pPr>
        <w:pStyle w:val="BodyText"/>
        <w:spacing w:line="242" w:lineRule="auto" w:before="199"/>
        <w:ind w:left="1025" w:right="517" w:hanging="720"/>
      </w:pPr>
      <w:r>
        <w:rPr/>
        <w:t>Leung, C. (2004). Macroeconomics and housing: A review of the literature. </w:t>
      </w:r>
      <w:r>
        <w:rPr>
          <w:i/>
        </w:rPr>
        <w:t>Journal of Housing Economics</w:t>
      </w:r>
      <w:r>
        <w:rPr/>
        <w:t>, </w:t>
      </w:r>
      <w:r>
        <w:rPr>
          <w:i/>
        </w:rPr>
        <w:t>13</w:t>
      </w:r>
      <w:r>
        <w:rPr/>
        <w:t>(4), 249–267. https://doi.org/10.1016/j.jhe.2004.09.002</w:t>
      </w:r>
    </w:p>
    <w:p>
      <w:pPr>
        <w:spacing w:after="0" w:line="242" w:lineRule="auto"/>
        <w:sectPr>
          <w:pgSz w:w="11910" w:h="16840"/>
          <w:pgMar w:header="0" w:footer="1022" w:top="1320" w:bottom="1220" w:left="1680" w:right="900"/>
        </w:sectPr>
      </w:pPr>
    </w:p>
    <w:p>
      <w:pPr>
        <w:pStyle w:val="BodyText"/>
        <w:spacing w:line="242" w:lineRule="auto" w:before="72"/>
        <w:ind w:left="1025" w:right="512" w:hanging="720"/>
      </w:pPr>
      <w:r>
        <w:rPr/>
        <w:t>Li,</w:t>
      </w:r>
      <w:r>
        <w:rPr>
          <w:spacing w:val="-12"/>
        </w:rPr>
        <w:t> </w:t>
      </w:r>
      <w:r>
        <w:rPr/>
        <w:t>H.,</w:t>
      </w:r>
      <w:r>
        <w:rPr>
          <w:spacing w:val="-13"/>
        </w:rPr>
        <w:t> </w:t>
      </w:r>
      <w:r>
        <w:rPr/>
        <w:t>Wei,</w:t>
      </w:r>
      <w:r>
        <w:rPr>
          <w:spacing w:val="-12"/>
        </w:rPr>
        <w:t> </w:t>
      </w:r>
      <w:r>
        <w:rPr/>
        <w:t>Y.</w:t>
      </w:r>
      <w:r>
        <w:rPr>
          <w:spacing w:val="-13"/>
        </w:rPr>
        <w:t> </w:t>
      </w:r>
      <w:r>
        <w:rPr/>
        <w:t>D.,</w:t>
      </w:r>
      <w:r>
        <w:rPr>
          <w:spacing w:val="-13"/>
        </w:rPr>
        <w:t> </w:t>
      </w:r>
      <w:r>
        <w:rPr/>
        <w:t>Wu,</w:t>
      </w:r>
      <w:r>
        <w:rPr>
          <w:spacing w:val="-14"/>
        </w:rPr>
        <w:t> </w:t>
      </w:r>
      <w:r>
        <w:rPr/>
        <w:t>Y.,</w:t>
      </w:r>
      <w:r>
        <w:rPr>
          <w:spacing w:val="-13"/>
        </w:rPr>
        <w:t> </w:t>
      </w:r>
      <w:r>
        <w:rPr/>
        <w:t>&amp;</w:t>
      </w:r>
      <w:r>
        <w:rPr>
          <w:spacing w:val="-14"/>
        </w:rPr>
        <w:t> </w:t>
      </w:r>
      <w:r>
        <w:rPr/>
        <w:t>Tian,</w:t>
      </w:r>
      <w:r>
        <w:rPr>
          <w:spacing w:val="-12"/>
        </w:rPr>
        <w:t> </w:t>
      </w:r>
      <w:r>
        <w:rPr/>
        <w:t>G.</w:t>
      </w:r>
      <w:r>
        <w:rPr>
          <w:spacing w:val="-13"/>
        </w:rPr>
        <w:t> </w:t>
      </w:r>
      <w:r>
        <w:rPr/>
        <w:t>(2018).</w:t>
      </w:r>
      <w:r>
        <w:rPr>
          <w:spacing w:val="-13"/>
        </w:rPr>
        <w:t> </w:t>
      </w:r>
      <w:r>
        <w:rPr/>
        <w:t>Analyzing</w:t>
      </w:r>
      <w:r>
        <w:rPr>
          <w:spacing w:val="-14"/>
        </w:rPr>
        <w:t> </w:t>
      </w:r>
      <w:r>
        <w:rPr/>
        <w:t>housing</w:t>
      </w:r>
      <w:r>
        <w:rPr>
          <w:spacing w:val="-14"/>
        </w:rPr>
        <w:t> </w:t>
      </w:r>
      <w:r>
        <w:rPr/>
        <w:t>prices</w:t>
      </w:r>
      <w:r>
        <w:rPr>
          <w:spacing w:val="-12"/>
        </w:rPr>
        <w:t> </w:t>
      </w:r>
      <w:r>
        <w:rPr/>
        <w:t>in</w:t>
      </w:r>
      <w:r>
        <w:rPr>
          <w:spacing w:val="-12"/>
        </w:rPr>
        <w:t> </w:t>
      </w:r>
      <w:r>
        <w:rPr/>
        <w:t>Shanghai</w:t>
      </w:r>
      <w:r>
        <w:rPr>
          <w:spacing w:val="-12"/>
        </w:rPr>
        <w:t> </w:t>
      </w:r>
      <w:r>
        <w:rPr/>
        <w:t>with open data: Amenity, accessibility and urban structure. </w:t>
      </w:r>
      <w:r>
        <w:rPr>
          <w:i/>
        </w:rPr>
        <w:t>Cities</w:t>
      </w:r>
      <w:r>
        <w:rPr/>
        <w:t>, </w:t>
      </w:r>
      <w:r>
        <w:rPr>
          <w:i/>
        </w:rPr>
        <w:t>xxx</w:t>
      </w:r>
      <w:r>
        <w:rPr/>
        <w:t>(xx), xxx. </w:t>
      </w:r>
      <w:r>
        <w:rPr>
          <w:spacing w:val="-2"/>
        </w:rPr>
        <w:t>https://doi.org/10.1016/j.cities.2018.11.016</w:t>
      </w:r>
    </w:p>
    <w:p>
      <w:pPr>
        <w:pStyle w:val="BodyText"/>
        <w:spacing w:before="191"/>
        <w:ind w:left="1025" w:right="511" w:hanging="720"/>
      </w:pPr>
      <w:r>
        <w:rPr/>
        <w:t>Li, S., Ye, X., Lee, J., Gong, J., &amp; Qin, C. (2017). Spatiotemporal analysis of housing prices in China: A big data perspective. </w:t>
      </w:r>
      <w:r>
        <w:rPr>
          <w:i/>
        </w:rPr>
        <w:t>Applied Spatial Analysis and Policy</w:t>
      </w:r>
      <w:r>
        <w:rPr/>
        <w:t>, </w:t>
      </w:r>
      <w:r>
        <w:rPr>
          <w:i/>
        </w:rPr>
        <w:t>10</w:t>
      </w:r>
      <w:r>
        <w:rPr/>
        <w:t>(3), 421–433. https://doi.org/10.1007/s12061-016-9185-3</w:t>
      </w:r>
    </w:p>
    <w:p>
      <w:pPr>
        <w:pStyle w:val="BodyText"/>
        <w:spacing w:before="199"/>
        <w:ind w:left="1025" w:right="511" w:hanging="720"/>
      </w:pPr>
      <w:r>
        <w:rPr/>
        <w:t>Li, X., &amp;</w:t>
      </w:r>
      <w:r>
        <w:rPr>
          <w:spacing w:val="-1"/>
        </w:rPr>
        <w:t> </w:t>
      </w:r>
      <w:r>
        <w:rPr/>
        <w:t>Tang, Y. (2018). When natives meet immigrants in public and private housing markets. </w:t>
      </w:r>
      <w:r>
        <w:rPr>
          <w:i/>
        </w:rPr>
        <w:t>Journal of Housing Economics</w:t>
      </w:r>
      <w:r>
        <w:rPr/>
        <w:t>, </w:t>
      </w:r>
      <w:r>
        <w:rPr>
          <w:i/>
        </w:rPr>
        <w:t>41</w:t>
      </w:r>
      <w:r>
        <w:rPr/>
        <w:t>, </w:t>
      </w:r>
      <w:r>
        <w:rPr/>
        <w:t>30–44. </w:t>
      </w:r>
      <w:r>
        <w:rPr>
          <w:spacing w:val="-2"/>
        </w:rPr>
        <w:t>https://doi.org/10.1016/j.jhe.2017.08.003</w:t>
      </w:r>
    </w:p>
    <w:p>
      <w:pPr>
        <w:spacing w:line="240" w:lineRule="auto" w:before="202"/>
        <w:ind w:left="1025" w:right="510" w:hanging="720"/>
        <w:jc w:val="both"/>
        <w:rPr>
          <w:sz w:val="24"/>
        </w:rPr>
      </w:pPr>
      <w:r>
        <w:rPr>
          <w:sz w:val="24"/>
        </w:rPr>
        <w:t>Li,</w:t>
      </w:r>
      <w:r>
        <w:rPr>
          <w:spacing w:val="-15"/>
          <w:sz w:val="24"/>
        </w:rPr>
        <w:t> </w:t>
      </w:r>
      <w:r>
        <w:rPr>
          <w:sz w:val="24"/>
        </w:rPr>
        <w:t>Y.,</w:t>
      </w:r>
      <w:r>
        <w:rPr>
          <w:spacing w:val="-15"/>
          <w:sz w:val="24"/>
        </w:rPr>
        <w:t> </w:t>
      </w:r>
      <w:r>
        <w:rPr>
          <w:sz w:val="24"/>
        </w:rPr>
        <w:t>Zhang,</w:t>
      </w:r>
      <w:r>
        <w:rPr>
          <w:spacing w:val="-15"/>
          <w:sz w:val="24"/>
        </w:rPr>
        <w:t> </w:t>
      </w:r>
      <w:r>
        <w:rPr>
          <w:sz w:val="24"/>
        </w:rPr>
        <w:t>H.,</w:t>
      </w:r>
      <w:r>
        <w:rPr>
          <w:spacing w:val="-15"/>
          <w:sz w:val="24"/>
        </w:rPr>
        <w:t> </w:t>
      </w:r>
      <w:r>
        <w:rPr>
          <w:sz w:val="24"/>
        </w:rPr>
        <w:t>Yang,</w:t>
      </w:r>
      <w:r>
        <w:rPr>
          <w:spacing w:val="-13"/>
          <w:sz w:val="24"/>
        </w:rPr>
        <w:t> </w:t>
      </w:r>
      <w:r>
        <w:rPr>
          <w:sz w:val="24"/>
        </w:rPr>
        <w:t>F.,</w:t>
      </w:r>
      <w:r>
        <w:rPr>
          <w:spacing w:val="-15"/>
          <w:sz w:val="24"/>
        </w:rPr>
        <w:t> </w:t>
      </w:r>
      <w:r>
        <w:rPr>
          <w:sz w:val="24"/>
        </w:rPr>
        <w:t>&amp;</w:t>
      </w:r>
      <w:r>
        <w:rPr>
          <w:spacing w:val="-15"/>
          <w:sz w:val="24"/>
        </w:rPr>
        <w:t> </w:t>
      </w:r>
      <w:r>
        <w:rPr>
          <w:sz w:val="24"/>
        </w:rPr>
        <w:t>Wang,</w:t>
      </w:r>
      <w:r>
        <w:rPr>
          <w:spacing w:val="-15"/>
          <w:sz w:val="24"/>
        </w:rPr>
        <w:t> </w:t>
      </w:r>
      <w:r>
        <w:rPr>
          <w:sz w:val="24"/>
        </w:rPr>
        <w:t>Y.</w:t>
      </w:r>
      <w:r>
        <w:rPr>
          <w:spacing w:val="-15"/>
          <w:sz w:val="24"/>
        </w:rPr>
        <w:t> </w:t>
      </w:r>
      <w:r>
        <w:rPr>
          <w:sz w:val="24"/>
        </w:rPr>
        <w:t>(2014).</w:t>
      </w:r>
      <w:r>
        <w:rPr>
          <w:spacing w:val="-15"/>
          <w:sz w:val="24"/>
        </w:rPr>
        <w:t> </w:t>
      </w:r>
      <w:r>
        <w:rPr>
          <w:sz w:val="24"/>
        </w:rPr>
        <w:t>Applications</w:t>
      </w:r>
      <w:r>
        <w:rPr>
          <w:spacing w:val="-14"/>
          <w:sz w:val="24"/>
        </w:rPr>
        <w:t> </w:t>
      </w:r>
      <w:r>
        <w:rPr>
          <w:sz w:val="24"/>
        </w:rPr>
        <w:t>of</w:t>
      </w:r>
      <w:r>
        <w:rPr>
          <w:spacing w:val="-15"/>
          <w:sz w:val="24"/>
        </w:rPr>
        <w:t> </w:t>
      </w:r>
      <w:r>
        <w:rPr>
          <w:sz w:val="24"/>
        </w:rPr>
        <w:t>artificial</w:t>
      </w:r>
      <w:r>
        <w:rPr>
          <w:spacing w:val="-15"/>
          <w:sz w:val="24"/>
        </w:rPr>
        <w:t> </w:t>
      </w:r>
      <w:r>
        <w:rPr>
          <w:sz w:val="24"/>
        </w:rPr>
        <w:t>neural</w:t>
      </w:r>
      <w:r>
        <w:rPr>
          <w:spacing w:val="-15"/>
          <w:sz w:val="24"/>
        </w:rPr>
        <w:t> </w:t>
      </w:r>
      <w:r>
        <w:rPr>
          <w:sz w:val="24"/>
        </w:rPr>
        <w:t>networks in the identification of real estate cycles: Evidence from China. In D Yang &amp; Y. Qian (Eds.), </w:t>
      </w:r>
      <w:r>
        <w:rPr>
          <w:i/>
          <w:sz w:val="24"/>
        </w:rPr>
        <w:t>Proceedings of the 18th International Symposium on Advancement of Construction Management and Real Estate </w:t>
      </w:r>
      <w:r>
        <w:rPr>
          <w:sz w:val="24"/>
        </w:rPr>
        <w:t>(pp. 185–195). </w:t>
      </w:r>
      <w:r>
        <w:rPr>
          <w:spacing w:val="-2"/>
          <w:sz w:val="24"/>
        </w:rPr>
        <w:t>https://doi.org/10.1007/978-3-642-44916-1_19</w:t>
      </w:r>
    </w:p>
    <w:p>
      <w:pPr>
        <w:pStyle w:val="BodyText"/>
        <w:spacing w:before="200"/>
        <w:ind w:left="1025" w:right="521" w:hanging="720"/>
      </w:pPr>
      <w:r>
        <w:rPr/>
        <w:t>Liang, X., Liu, Y., Qiu, T., Jing, Y., &amp;</w:t>
      </w:r>
      <w:r>
        <w:rPr>
          <w:spacing w:val="-1"/>
        </w:rPr>
        <w:t> </w:t>
      </w:r>
      <w:r>
        <w:rPr/>
        <w:t>Fang, F. (2018). The effects of locational factors on the housing prices of residential communities: The case of Ningbo, China. </w:t>
      </w:r>
      <w:r>
        <w:rPr>
          <w:i/>
        </w:rPr>
        <w:t>Habitat International</w:t>
      </w:r>
      <w:r>
        <w:rPr/>
        <w:t>, </w:t>
      </w:r>
      <w:r>
        <w:rPr>
          <w:i/>
        </w:rPr>
        <w:t>81</w:t>
      </w:r>
      <w:r>
        <w:rPr/>
        <w:t>, 1–11. https://doi.org/10.1016/j.habitatint.2018.09.004</w:t>
      </w:r>
    </w:p>
    <w:p>
      <w:pPr>
        <w:pStyle w:val="BodyText"/>
        <w:tabs>
          <w:tab w:pos="2507" w:val="left" w:leader="none"/>
          <w:tab w:pos="3431" w:val="left" w:leader="none"/>
          <w:tab w:pos="4981" w:val="left" w:leader="none"/>
          <w:tab w:pos="6832" w:val="left" w:leader="none"/>
          <w:tab w:pos="8147" w:val="left" w:leader="none"/>
        </w:tabs>
        <w:spacing w:before="199"/>
        <w:ind w:left="1025" w:right="514" w:hanging="720"/>
      </w:pPr>
      <w:r>
        <w:rPr/>
        <w:t>Liao, W.-C., &amp; Wang, X. (2012). Hedonic house prices and spatial quantile regression. </w:t>
      </w:r>
      <w:r>
        <w:rPr>
          <w:i/>
          <w:spacing w:val="-2"/>
        </w:rPr>
        <w:t>Journal</w:t>
      </w:r>
      <w:r>
        <w:rPr>
          <w:i/>
        </w:rPr>
        <w:tab/>
      </w:r>
      <w:r>
        <w:rPr>
          <w:i/>
          <w:spacing w:val="-6"/>
        </w:rPr>
        <w:t>of</w:t>
      </w:r>
      <w:r>
        <w:rPr>
          <w:i/>
        </w:rPr>
        <w:tab/>
      </w:r>
      <w:r>
        <w:rPr>
          <w:i/>
          <w:spacing w:val="-2"/>
        </w:rPr>
        <w:t>Housing</w:t>
      </w:r>
      <w:r>
        <w:rPr>
          <w:i/>
        </w:rPr>
        <w:tab/>
      </w:r>
      <w:r>
        <w:rPr>
          <w:i/>
          <w:spacing w:val="-2"/>
        </w:rPr>
        <w:t>Economics</w:t>
      </w:r>
      <w:r>
        <w:rPr>
          <w:spacing w:val="-2"/>
        </w:rPr>
        <w:t>,</w:t>
      </w:r>
      <w:r>
        <w:rPr/>
        <w:tab/>
      </w:r>
      <w:r>
        <w:rPr>
          <w:i/>
          <w:spacing w:val="-2"/>
        </w:rPr>
        <w:t>21</w:t>
      </w:r>
      <w:r>
        <w:rPr>
          <w:spacing w:val="-2"/>
        </w:rPr>
        <w:t>(1),</w:t>
      </w:r>
      <w:r>
        <w:rPr/>
        <w:tab/>
      </w:r>
      <w:r>
        <w:rPr>
          <w:spacing w:val="-2"/>
        </w:rPr>
        <w:t>16–27. https://doi.org/10.1016/j.jhe.2011.11.001</w:t>
      </w:r>
    </w:p>
    <w:p>
      <w:pPr>
        <w:pStyle w:val="BodyText"/>
        <w:tabs>
          <w:tab w:pos="2901" w:val="left" w:leader="none"/>
          <w:tab w:pos="4713" w:val="left" w:leader="none"/>
          <w:tab w:pos="6400" w:val="left" w:leader="none"/>
          <w:tab w:pos="7912" w:val="left" w:leader="none"/>
        </w:tabs>
        <w:spacing w:before="202"/>
        <w:ind w:left="1025" w:right="511" w:hanging="720"/>
      </w:pPr>
      <w:r>
        <w:rPr/>
        <w:t>Liebelt, V., Bartke, S., &amp; Schwarz, N. (2018). Hedonic pricing analysis of the influence of urban green spaces onto residential prices: The case of Leipzig, Germany. </w:t>
      </w:r>
      <w:r>
        <w:rPr>
          <w:i/>
          <w:spacing w:val="-2"/>
        </w:rPr>
        <w:t>European</w:t>
      </w:r>
      <w:r>
        <w:rPr>
          <w:i/>
        </w:rPr>
        <w:tab/>
      </w:r>
      <w:r>
        <w:rPr>
          <w:i/>
          <w:spacing w:val="-2"/>
        </w:rPr>
        <w:t>Planning</w:t>
      </w:r>
      <w:r>
        <w:rPr>
          <w:i/>
        </w:rPr>
        <w:tab/>
      </w:r>
      <w:r>
        <w:rPr>
          <w:i/>
          <w:spacing w:val="-2"/>
        </w:rPr>
        <w:t>Studies</w:t>
      </w:r>
      <w:r>
        <w:rPr>
          <w:spacing w:val="-2"/>
        </w:rPr>
        <w:t>,</w:t>
      </w:r>
      <w:r>
        <w:rPr/>
        <w:tab/>
      </w:r>
      <w:r>
        <w:rPr>
          <w:i/>
          <w:spacing w:val="-2"/>
        </w:rPr>
        <w:t>26</w:t>
      </w:r>
      <w:r>
        <w:rPr>
          <w:spacing w:val="-2"/>
        </w:rPr>
        <w:t>(1),</w:t>
      </w:r>
      <w:r>
        <w:rPr/>
        <w:tab/>
      </w:r>
      <w:r>
        <w:rPr>
          <w:spacing w:val="-2"/>
        </w:rPr>
        <w:t>133–157. https://doi.org/10.1080/09654313.2017.1376314</w:t>
      </w:r>
    </w:p>
    <w:p>
      <w:pPr>
        <w:pStyle w:val="BodyText"/>
        <w:spacing w:before="200"/>
        <w:ind w:left="1025" w:right="515" w:hanging="720"/>
      </w:pPr>
      <w:r>
        <w:rPr/>
        <w:t>Limsombunc, V., Gan, C., &amp; Lee, M. (2004). House price prediction: Hedonic price model vs. artificial neural network. </w:t>
      </w:r>
      <w:r>
        <w:rPr>
          <w:i/>
        </w:rPr>
        <w:t>American Journal of Applied Sciences</w:t>
      </w:r>
      <w:r>
        <w:rPr/>
        <w:t>, </w:t>
      </w:r>
      <w:r>
        <w:rPr>
          <w:i/>
        </w:rPr>
        <w:t>1</w:t>
      </w:r>
      <w:r>
        <w:rPr/>
        <w:t>(3), 193–201. https://doi.org/10.3844/ajassp.2004.193.201</w:t>
      </w:r>
    </w:p>
    <w:p>
      <w:pPr>
        <w:pStyle w:val="BodyText"/>
        <w:spacing w:before="199"/>
        <w:ind w:left="1025" w:right="511" w:hanging="720"/>
      </w:pPr>
      <w:r>
        <w:rPr/>
        <w:t>Lin,</w:t>
      </w:r>
      <w:r>
        <w:rPr>
          <w:spacing w:val="-2"/>
        </w:rPr>
        <w:t> </w:t>
      </w:r>
      <w:r>
        <w:rPr/>
        <w:t>B.,</w:t>
      </w:r>
      <w:r>
        <w:rPr>
          <w:spacing w:val="-5"/>
        </w:rPr>
        <w:t> </w:t>
      </w:r>
      <w:r>
        <w:rPr/>
        <w:t>Meyers,</w:t>
      </w:r>
      <w:r>
        <w:rPr>
          <w:spacing w:val="-5"/>
        </w:rPr>
        <w:t> </w:t>
      </w:r>
      <w:r>
        <w:rPr/>
        <w:t>J.,</w:t>
      </w:r>
      <w:r>
        <w:rPr>
          <w:spacing w:val="-5"/>
        </w:rPr>
        <w:t> </w:t>
      </w:r>
      <w:r>
        <w:rPr/>
        <w:t>&amp;</w:t>
      </w:r>
      <w:r>
        <w:rPr>
          <w:spacing w:val="-7"/>
        </w:rPr>
        <w:t> </w:t>
      </w:r>
      <w:r>
        <w:rPr/>
        <w:t>Barnett,</w:t>
      </w:r>
      <w:r>
        <w:rPr>
          <w:spacing w:val="-5"/>
        </w:rPr>
        <w:t> </w:t>
      </w:r>
      <w:r>
        <w:rPr/>
        <w:t>G.</w:t>
      </w:r>
      <w:r>
        <w:rPr>
          <w:spacing w:val="-5"/>
        </w:rPr>
        <w:t> </w:t>
      </w:r>
      <w:r>
        <w:rPr/>
        <w:t>(2015).</w:t>
      </w:r>
      <w:r>
        <w:rPr>
          <w:spacing w:val="-2"/>
        </w:rPr>
        <w:t> </w:t>
      </w:r>
      <w:r>
        <w:rPr/>
        <w:t>Understanding</w:t>
      </w:r>
      <w:r>
        <w:rPr>
          <w:spacing w:val="-7"/>
        </w:rPr>
        <w:t> </w:t>
      </w:r>
      <w:r>
        <w:rPr/>
        <w:t>the</w:t>
      </w:r>
      <w:r>
        <w:rPr>
          <w:spacing w:val="-3"/>
        </w:rPr>
        <w:t> </w:t>
      </w:r>
      <w:r>
        <w:rPr/>
        <w:t>potential</w:t>
      </w:r>
      <w:r>
        <w:rPr>
          <w:spacing w:val="-5"/>
        </w:rPr>
        <w:t> </w:t>
      </w:r>
      <w:r>
        <w:rPr/>
        <w:t>loss</w:t>
      </w:r>
      <w:r>
        <w:rPr>
          <w:spacing w:val="-4"/>
        </w:rPr>
        <w:t> </w:t>
      </w:r>
      <w:r>
        <w:rPr/>
        <w:t>and</w:t>
      </w:r>
      <w:r>
        <w:rPr>
          <w:spacing w:val="-5"/>
        </w:rPr>
        <w:t> </w:t>
      </w:r>
      <w:r>
        <w:rPr/>
        <w:t>inequities of green space distribution with urban densification. </w:t>
      </w:r>
      <w:r>
        <w:rPr>
          <w:i/>
        </w:rPr>
        <w:t>Urban Forestry &amp; Urban Greening</w:t>
      </w:r>
      <w:r>
        <w:rPr/>
        <w:t>, </w:t>
      </w:r>
      <w:r>
        <w:rPr>
          <w:i/>
        </w:rPr>
        <w:t>14</w:t>
      </w:r>
      <w:r>
        <w:rPr/>
        <w:t>(4), 952–958. https://doi.org/10.1016/j.ufug.2015.09.003</w:t>
      </w:r>
    </w:p>
    <w:p>
      <w:pPr>
        <w:spacing w:line="240" w:lineRule="auto" w:before="201"/>
        <w:ind w:left="1025" w:right="514" w:hanging="720"/>
        <w:jc w:val="both"/>
        <w:rPr>
          <w:sz w:val="24"/>
        </w:rPr>
      </w:pPr>
      <w:r>
        <w:rPr>
          <w:sz w:val="24"/>
        </w:rPr>
        <w:t>Liu,</w:t>
      </w:r>
      <w:r>
        <w:rPr>
          <w:spacing w:val="-6"/>
          <w:sz w:val="24"/>
        </w:rPr>
        <w:t> </w:t>
      </w:r>
      <w:r>
        <w:rPr>
          <w:sz w:val="24"/>
        </w:rPr>
        <w:t>Y.,</w:t>
      </w:r>
      <w:r>
        <w:rPr>
          <w:spacing w:val="-3"/>
          <w:sz w:val="24"/>
        </w:rPr>
        <w:t> </w:t>
      </w:r>
      <w:r>
        <w:rPr>
          <w:sz w:val="24"/>
        </w:rPr>
        <w:t>&amp;</w:t>
      </w:r>
      <w:r>
        <w:rPr>
          <w:spacing w:val="-6"/>
          <w:sz w:val="24"/>
        </w:rPr>
        <w:t> </w:t>
      </w:r>
      <w:r>
        <w:rPr>
          <w:sz w:val="24"/>
        </w:rPr>
        <w:t>Li,</w:t>
      </w:r>
      <w:r>
        <w:rPr>
          <w:spacing w:val="-4"/>
          <w:sz w:val="24"/>
        </w:rPr>
        <w:t> </w:t>
      </w:r>
      <w:r>
        <w:rPr>
          <w:sz w:val="24"/>
        </w:rPr>
        <w:t>Z.</w:t>
      </w:r>
      <w:r>
        <w:rPr>
          <w:spacing w:val="-5"/>
          <w:sz w:val="24"/>
        </w:rPr>
        <w:t> </w:t>
      </w:r>
      <w:r>
        <w:rPr>
          <w:sz w:val="24"/>
        </w:rPr>
        <w:t>(2018).</w:t>
      </w:r>
      <w:r>
        <w:rPr>
          <w:spacing w:val="-4"/>
          <w:sz w:val="24"/>
        </w:rPr>
        <w:t> </w:t>
      </w:r>
      <w:r>
        <w:rPr>
          <w:sz w:val="24"/>
        </w:rPr>
        <w:t>Determinants</w:t>
      </w:r>
      <w:r>
        <w:rPr>
          <w:spacing w:val="-6"/>
          <w:sz w:val="24"/>
        </w:rPr>
        <w:t> </w:t>
      </w:r>
      <w:r>
        <w:rPr>
          <w:sz w:val="24"/>
        </w:rPr>
        <w:t>of</w:t>
      </w:r>
      <w:r>
        <w:rPr>
          <w:spacing w:val="-3"/>
          <w:sz w:val="24"/>
        </w:rPr>
        <w:t> </w:t>
      </w:r>
      <w:r>
        <w:rPr>
          <w:sz w:val="24"/>
        </w:rPr>
        <w:t>housing</w:t>
      </w:r>
      <w:r>
        <w:rPr>
          <w:spacing w:val="-4"/>
          <w:sz w:val="24"/>
        </w:rPr>
        <w:t> </w:t>
      </w:r>
      <w:r>
        <w:rPr>
          <w:sz w:val="24"/>
        </w:rPr>
        <w:t>purchase</w:t>
      </w:r>
      <w:r>
        <w:rPr>
          <w:spacing w:val="-5"/>
          <w:sz w:val="24"/>
        </w:rPr>
        <w:t> </w:t>
      </w:r>
      <w:r>
        <w:rPr>
          <w:sz w:val="24"/>
        </w:rPr>
        <w:t>decision:</w:t>
      </w:r>
      <w:r>
        <w:rPr>
          <w:spacing w:val="-6"/>
          <w:sz w:val="24"/>
        </w:rPr>
        <w:t> </w:t>
      </w:r>
      <w:r>
        <w:rPr>
          <w:sz w:val="24"/>
        </w:rPr>
        <w:t>An</w:t>
      </w:r>
      <w:r>
        <w:rPr>
          <w:spacing w:val="-7"/>
          <w:sz w:val="24"/>
        </w:rPr>
        <w:t> </w:t>
      </w:r>
      <w:r>
        <w:rPr>
          <w:sz w:val="24"/>
        </w:rPr>
        <w:t>empirical</w:t>
      </w:r>
      <w:r>
        <w:rPr>
          <w:spacing w:val="-6"/>
          <w:sz w:val="24"/>
        </w:rPr>
        <w:t> </w:t>
      </w:r>
      <w:r>
        <w:rPr>
          <w:sz w:val="24"/>
        </w:rPr>
        <w:t>study of the high education cohort in urban China. </w:t>
      </w:r>
      <w:r>
        <w:rPr>
          <w:i/>
          <w:sz w:val="24"/>
        </w:rPr>
        <w:t>Journal of Asian Architecture and Building Engineering</w:t>
      </w:r>
      <w:r>
        <w:rPr>
          <w:sz w:val="24"/>
        </w:rPr>
        <w:t>, </w:t>
      </w:r>
      <w:r>
        <w:rPr>
          <w:i/>
          <w:sz w:val="24"/>
        </w:rPr>
        <w:t>17</w:t>
      </w:r>
      <w:r>
        <w:rPr>
          <w:sz w:val="24"/>
        </w:rPr>
        <w:t>(2), 299–305. https://doi.org/10.3130/jaabe.17.299</w:t>
      </w:r>
    </w:p>
    <w:p>
      <w:pPr>
        <w:pStyle w:val="BodyText"/>
        <w:spacing w:before="200"/>
        <w:ind w:left="1025" w:right="511" w:hanging="720"/>
      </w:pPr>
      <w:r>
        <w:rPr/>
        <w:t>Lockwood, T., Coffee, N. T., Rossini, P., Niyonsenga, T., &amp; McGreal, S. (2018). Does where you</w:t>
      </w:r>
      <w:r>
        <w:rPr>
          <w:spacing w:val="-1"/>
        </w:rPr>
        <w:t> </w:t>
      </w:r>
      <w:r>
        <w:rPr/>
        <w:t>live</w:t>
      </w:r>
      <w:r>
        <w:rPr>
          <w:spacing w:val="-2"/>
        </w:rPr>
        <w:t> </w:t>
      </w:r>
      <w:r>
        <w:rPr/>
        <w:t>influence</w:t>
      </w:r>
      <w:r>
        <w:rPr>
          <w:spacing w:val="-2"/>
        </w:rPr>
        <w:t> </w:t>
      </w:r>
      <w:r>
        <w:rPr/>
        <w:t>your</w:t>
      </w:r>
      <w:r>
        <w:rPr>
          <w:spacing w:val="-1"/>
        </w:rPr>
        <w:t> </w:t>
      </w:r>
      <w:r>
        <w:rPr/>
        <w:t>socio-economic</w:t>
      </w:r>
      <w:r>
        <w:rPr>
          <w:spacing w:val="-3"/>
        </w:rPr>
        <w:t> </w:t>
      </w:r>
      <w:r>
        <w:rPr/>
        <w:t>status?</w:t>
      </w:r>
      <w:r>
        <w:rPr>
          <w:spacing w:val="4"/>
        </w:rPr>
        <w:t> </w:t>
      </w:r>
      <w:r>
        <w:rPr>
          <w:i/>
        </w:rPr>
        <w:t>Land</w:t>
      </w:r>
      <w:r>
        <w:rPr>
          <w:i/>
          <w:spacing w:val="-4"/>
        </w:rPr>
        <w:t> </w:t>
      </w:r>
      <w:r>
        <w:rPr>
          <w:i/>
        </w:rPr>
        <w:t>Use</w:t>
      </w:r>
      <w:r>
        <w:rPr>
          <w:i/>
          <w:spacing w:val="-3"/>
        </w:rPr>
        <w:t> </w:t>
      </w:r>
      <w:r>
        <w:rPr>
          <w:i/>
        </w:rPr>
        <w:t>Policy</w:t>
      </w:r>
      <w:r>
        <w:rPr/>
        <w:t>,</w:t>
      </w:r>
      <w:r>
        <w:rPr>
          <w:spacing w:val="-1"/>
        </w:rPr>
        <w:t> </w:t>
      </w:r>
      <w:r>
        <w:rPr>
          <w:i/>
        </w:rPr>
        <w:t>72</w:t>
      </w:r>
      <w:r>
        <w:rPr/>
        <w:t>,</w:t>
      </w:r>
      <w:r>
        <w:rPr>
          <w:spacing w:val="-1"/>
        </w:rPr>
        <w:t> </w:t>
      </w:r>
      <w:r>
        <w:rPr>
          <w:spacing w:val="-4"/>
        </w:rPr>
        <w:t>152–</w:t>
      </w:r>
    </w:p>
    <w:p>
      <w:pPr>
        <w:pStyle w:val="BodyText"/>
        <w:spacing w:before="3"/>
        <w:ind w:left="1025"/>
        <w:jc w:val="left"/>
      </w:pPr>
      <w:r>
        <w:rPr/>
        <w:t>160. </w:t>
      </w:r>
      <w:r>
        <w:rPr>
          <w:spacing w:val="-2"/>
        </w:rPr>
        <w:t>https://doi.org/10.1016/j.landusepol.2017.12.045</w:t>
      </w:r>
    </w:p>
    <w:p>
      <w:pPr>
        <w:pStyle w:val="BodyText"/>
        <w:spacing w:before="197"/>
        <w:ind w:left="1025" w:right="511" w:hanging="720"/>
      </w:pPr>
      <w:r>
        <w:rPr/>
        <w:t>Lu, J. (2018). The value of a south-facing orientation: A hedonic pricing analysis of the Shanghai housing market. </w:t>
      </w:r>
      <w:r>
        <w:rPr>
          <w:i/>
        </w:rPr>
        <w:t>Habitat International</w:t>
      </w:r>
      <w:r>
        <w:rPr/>
        <w:t>, </w:t>
      </w:r>
      <w:r>
        <w:rPr>
          <w:i/>
        </w:rPr>
        <w:t>81</w:t>
      </w:r>
      <w:r>
        <w:rPr/>
        <w:t>, 24–32. </w:t>
      </w:r>
      <w:r>
        <w:rPr>
          <w:spacing w:val="-2"/>
        </w:rPr>
        <w:t>https://doi.org/10.1016/j.habitatint.2018.09.002</w:t>
      </w:r>
    </w:p>
    <w:p>
      <w:pPr>
        <w:pStyle w:val="BodyText"/>
        <w:spacing w:before="199"/>
        <w:ind w:left="1025" w:right="513" w:hanging="720"/>
        <w:rPr>
          <w:i/>
        </w:rPr>
      </w:pPr>
      <w:r>
        <w:rPr/>
        <w:t>Magliocca, N., Safirova, E., McConnell, V., &amp; Walls, M. (2011). An economic agent- based</w:t>
      </w:r>
      <w:r>
        <w:rPr>
          <w:spacing w:val="56"/>
        </w:rPr>
        <w:t> </w:t>
      </w:r>
      <w:r>
        <w:rPr/>
        <w:t>model</w:t>
      </w:r>
      <w:r>
        <w:rPr>
          <w:spacing w:val="57"/>
        </w:rPr>
        <w:t> </w:t>
      </w:r>
      <w:r>
        <w:rPr/>
        <w:t>of</w:t>
      </w:r>
      <w:r>
        <w:rPr>
          <w:spacing w:val="55"/>
        </w:rPr>
        <w:t> </w:t>
      </w:r>
      <w:r>
        <w:rPr/>
        <w:t>coupled</w:t>
      </w:r>
      <w:r>
        <w:rPr>
          <w:spacing w:val="57"/>
        </w:rPr>
        <w:t> </w:t>
      </w:r>
      <w:r>
        <w:rPr/>
        <w:t>housing</w:t>
      </w:r>
      <w:r>
        <w:rPr>
          <w:spacing w:val="56"/>
        </w:rPr>
        <w:t> </w:t>
      </w:r>
      <w:r>
        <w:rPr/>
        <w:t>and</w:t>
      </w:r>
      <w:r>
        <w:rPr>
          <w:spacing w:val="57"/>
        </w:rPr>
        <w:t> </w:t>
      </w:r>
      <w:r>
        <w:rPr/>
        <w:t>land</w:t>
      </w:r>
      <w:r>
        <w:rPr>
          <w:spacing w:val="58"/>
        </w:rPr>
        <w:t> </w:t>
      </w:r>
      <w:r>
        <w:rPr/>
        <w:t>markets</w:t>
      </w:r>
      <w:r>
        <w:rPr>
          <w:spacing w:val="58"/>
        </w:rPr>
        <w:t> </w:t>
      </w:r>
      <w:r>
        <w:rPr/>
        <w:t>(CHALMS).</w:t>
      </w:r>
      <w:r>
        <w:rPr>
          <w:spacing w:val="62"/>
        </w:rPr>
        <w:t> </w:t>
      </w:r>
      <w:r>
        <w:rPr>
          <w:i/>
          <w:spacing w:val="-2"/>
        </w:rPr>
        <w:t>Computers,</w:t>
      </w:r>
    </w:p>
    <w:p>
      <w:pPr>
        <w:spacing w:after="0"/>
        <w:sectPr>
          <w:pgSz w:w="11910" w:h="16840"/>
          <w:pgMar w:header="0" w:footer="1022" w:top="1320" w:bottom="1220" w:left="1680" w:right="900"/>
        </w:sectPr>
      </w:pPr>
    </w:p>
    <w:p>
      <w:pPr>
        <w:tabs>
          <w:tab w:pos="2915" w:val="left" w:leader="none"/>
          <w:tab w:pos="3928" w:val="left" w:leader="none"/>
          <w:tab w:pos="5207" w:val="left" w:leader="none"/>
          <w:tab w:pos="6681" w:val="left" w:leader="none"/>
          <w:tab w:pos="7912" w:val="left" w:leader="none"/>
        </w:tabs>
        <w:spacing w:line="242" w:lineRule="auto" w:before="72"/>
        <w:ind w:left="1025" w:right="511" w:firstLine="0"/>
        <w:jc w:val="left"/>
        <w:rPr>
          <w:sz w:val="24"/>
        </w:rPr>
      </w:pPr>
      <w:r>
        <w:rPr>
          <w:i/>
          <w:spacing w:val="-2"/>
          <w:sz w:val="24"/>
        </w:rPr>
        <w:t>Environment</w:t>
      </w:r>
      <w:r>
        <w:rPr>
          <w:i/>
          <w:sz w:val="24"/>
        </w:rPr>
        <w:tab/>
      </w:r>
      <w:r>
        <w:rPr>
          <w:i/>
          <w:spacing w:val="-4"/>
          <w:sz w:val="24"/>
        </w:rPr>
        <w:t>and</w:t>
      </w:r>
      <w:r>
        <w:rPr>
          <w:i/>
          <w:sz w:val="24"/>
        </w:rPr>
        <w:tab/>
      </w:r>
      <w:r>
        <w:rPr>
          <w:i/>
          <w:spacing w:val="-2"/>
          <w:sz w:val="24"/>
        </w:rPr>
        <w:t>Urban</w:t>
      </w:r>
      <w:r>
        <w:rPr>
          <w:i/>
          <w:sz w:val="24"/>
        </w:rPr>
        <w:tab/>
      </w:r>
      <w:r>
        <w:rPr>
          <w:i/>
          <w:spacing w:val="-2"/>
          <w:sz w:val="24"/>
        </w:rPr>
        <w:t>Systems</w:t>
      </w:r>
      <w:r>
        <w:rPr>
          <w:spacing w:val="-2"/>
          <w:sz w:val="24"/>
        </w:rPr>
        <w:t>,</w:t>
      </w:r>
      <w:r>
        <w:rPr>
          <w:sz w:val="24"/>
        </w:rPr>
        <w:tab/>
      </w:r>
      <w:r>
        <w:rPr>
          <w:i/>
          <w:spacing w:val="-2"/>
          <w:sz w:val="24"/>
        </w:rPr>
        <w:t>35</w:t>
      </w:r>
      <w:r>
        <w:rPr>
          <w:spacing w:val="-2"/>
          <w:sz w:val="24"/>
        </w:rPr>
        <w:t>(3),</w:t>
      </w:r>
      <w:r>
        <w:rPr>
          <w:sz w:val="24"/>
        </w:rPr>
        <w:tab/>
      </w:r>
      <w:r>
        <w:rPr>
          <w:spacing w:val="-2"/>
          <w:sz w:val="24"/>
        </w:rPr>
        <w:t>183–191. https://doi.org/10.1016/j.compenvurbsys.2011.01.002</w:t>
      </w:r>
    </w:p>
    <w:p>
      <w:pPr>
        <w:spacing w:line="240" w:lineRule="auto" w:before="194"/>
        <w:ind w:left="1025" w:right="516" w:hanging="720"/>
        <w:jc w:val="both"/>
        <w:rPr>
          <w:sz w:val="24"/>
        </w:rPr>
      </w:pPr>
      <w:r>
        <w:rPr>
          <w:sz w:val="24"/>
        </w:rPr>
        <w:t>Mahmud, H. L., &amp; Umaru, E. T. (2018). Impact of gully erosion on landuse/land cover in Bida town Niger State, Nigeria. </w:t>
      </w:r>
      <w:r>
        <w:rPr>
          <w:i/>
          <w:sz w:val="24"/>
        </w:rPr>
        <w:t>International Journal of Geography and Environmental Management 4</w:t>
      </w:r>
      <w:r>
        <w:rPr>
          <w:sz w:val="24"/>
        </w:rPr>
        <w:t>(2), 7-15.</w:t>
      </w:r>
    </w:p>
    <w:p>
      <w:pPr>
        <w:pStyle w:val="BodyText"/>
        <w:spacing w:before="199"/>
        <w:ind w:left="1025" w:right="510" w:hanging="720"/>
      </w:pPr>
      <w:r>
        <w:rPr/>
        <w:t>Malpezzi, S. (2002). Hedonic pricing models: A selective and applied review. In T. O’Sullivan</w:t>
      </w:r>
      <w:r>
        <w:rPr>
          <w:spacing w:val="-9"/>
        </w:rPr>
        <w:t> </w:t>
      </w:r>
      <w:r>
        <w:rPr/>
        <w:t>&amp;</w:t>
      </w:r>
      <w:r>
        <w:rPr>
          <w:spacing w:val="-10"/>
        </w:rPr>
        <w:t> </w:t>
      </w:r>
      <w:r>
        <w:rPr/>
        <w:t>K.</w:t>
      </w:r>
      <w:r>
        <w:rPr>
          <w:spacing w:val="-8"/>
        </w:rPr>
        <w:t> </w:t>
      </w:r>
      <w:r>
        <w:rPr/>
        <w:t>Gibb</w:t>
      </w:r>
      <w:r>
        <w:rPr>
          <w:spacing w:val="-8"/>
        </w:rPr>
        <w:t> </w:t>
      </w:r>
      <w:r>
        <w:rPr/>
        <w:t>(Eds.),</w:t>
      </w:r>
      <w:r>
        <w:rPr>
          <w:spacing w:val="-8"/>
        </w:rPr>
        <w:t> </w:t>
      </w:r>
      <w:r>
        <w:rPr>
          <w:i/>
        </w:rPr>
        <w:t>Housing</w:t>
      </w:r>
      <w:r>
        <w:rPr>
          <w:i/>
          <w:spacing w:val="-8"/>
        </w:rPr>
        <w:t> </w:t>
      </w:r>
      <w:r>
        <w:rPr>
          <w:i/>
        </w:rPr>
        <w:t>Economics</w:t>
      </w:r>
      <w:r>
        <w:rPr>
          <w:i/>
          <w:spacing w:val="-6"/>
        </w:rPr>
        <w:t> </w:t>
      </w:r>
      <w:r>
        <w:rPr>
          <w:i/>
        </w:rPr>
        <w:t>and</w:t>
      </w:r>
      <w:r>
        <w:rPr>
          <w:i/>
          <w:spacing w:val="-8"/>
        </w:rPr>
        <w:t> </w:t>
      </w:r>
      <w:r>
        <w:rPr>
          <w:i/>
        </w:rPr>
        <w:t>Public</w:t>
      </w:r>
      <w:r>
        <w:rPr>
          <w:i/>
          <w:spacing w:val="-9"/>
        </w:rPr>
        <w:t> </w:t>
      </w:r>
      <w:r>
        <w:rPr>
          <w:i/>
        </w:rPr>
        <w:t>Policy</w:t>
      </w:r>
      <w:r>
        <w:rPr>
          <w:i/>
          <w:spacing w:val="-8"/>
        </w:rPr>
        <w:t> </w:t>
      </w:r>
      <w:r>
        <w:rPr/>
        <w:t>(pp.</w:t>
      </w:r>
      <w:r>
        <w:rPr>
          <w:spacing w:val="-9"/>
        </w:rPr>
        <w:t> </w:t>
      </w:r>
      <w:r>
        <w:rPr/>
        <w:t>67–89). </w:t>
      </w:r>
      <w:r>
        <w:rPr>
          <w:spacing w:val="-2"/>
        </w:rPr>
        <w:t>https://doi.org/10.1002/9780470690680.ch5</w:t>
      </w:r>
    </w:p>
    <w:p>
      <w:pPr>
        <w:pStyle w:val="BodyText"/>
        <w:spacing w:line="242" w:lineRule="auto" w:before="202"/>
        <w:ind w:left="1025" w:right="515" w:hanging="720"/>
      </w:pPr>
      <w:r>
        <w:rPr/>
        <w:t>Manganelli, B., &amp; Murgante, B. (2017). The dynamics of urban land rent in Italian regional capital cities. </w:t>
      </w:r>
      <w:r>
        <w:rPr>
          <w:i/>
        </w:rPr>
        <w:t>Land</w:t>
      </w:r>
      <w:r>
        <w:rPr/>
        <w:t>, </w:t>
      </w:r>
      <w:r>
        <w:rPr>
          <w:i/>
        </w:rPr>
        <w:t>6</w:t>
      </w:r>
      <w:r>
        <w:rPr/>
        <w:t>(3), 54. https://doi.org/10.3390/land6030054</w:t>
      </w:r>
    </w:p>
    <w:p>
      <w:pPr>
        <w:spacing w:line="240" w:lineRule="auto" w:before="193"/>
        <w:ind w:left="1025" w:right="514" w:hanging="720"/>
        <w:jc w:val="both"/>
        <w:rPr>
          <w:sz w:val="24"/>
        </w:rPr>
      </w:pPr>
      <w:r>
        <w:rPr>
          <w:sz w:val="24"/>
        </w:rPr>
        <w:t>Manganelli, B., Pontrandolfi, P., Azzato, A., &amp; Murgante, B. (2014). Using geographically weighted regression for housing market segmentation. </w:t>
      </w:r>
      <w:r>
        <w:rPr>
          <w:i/>
          <w:sz w:val="24"/>
        </w:rPr>
        <w:t>International Journal of Business Intelligence and Data Mining 13</w:t>
      </w:r>
      <w:r>
        <w:rPr>
          <w:sz w:val="24"/>
        </w:rPr>
        <w:t>, </w:t>
      </w:r>
      <w:r>
        <w:rPr>
          <w:i/>
          <w:sz w:val="24"/>
        </w:rPr>
        <w:t>9</w:t>
      </w:r>
      <w:r>
        <w:rPr>
          <w:sz w:val="24"/>
        </w:rPr>
        <w:t>(2), 161– </w:t>
      </w:r>
      <w:r>
        <w:rPr>
          <w:spacing w:val="-4"/>
          <w:sz w:val="24"/>
        </w:rPr>
        <w:t>177.</w:t>
      </w:r>
    </w:p>
    <w:p>
      <w:pPr>
        <w:spacing w:line="242" w:lineRule="auto" w:before="200"/>
        <w:ind w:left="1025" w:right="512" w:hanging="720"/>
        <w:jc w:val="both"/>
        <w:rPr>
          <w:sz w:val="24"/>
        </w:rPr>
      </w:pPr>
      <w:r>
        <w:rPr>
          <w:sz w:val="24"/>
        </w:rPr>
        <w:t>MaxLock. (1980). </w:t>
      </w:r>
      <w:r>
        <w:rPr>
          <w:i/>
          <w:sz w:val="24"/>
        </w:rPr>
        <w:t>Bida Master Plan Final Edition</w:t>
      </w:r>
      <w:r>
        <w:rPr>
          <w:sz w:val="24"/>
        </w:rPr>
        <w:t>. Max Lock Group of Company </w:t>
      </w:r>
      <w:r>
        <w:rPr>
          <w:spacing w:val="-2"/>
          <w:sz w:val="24"/>
        </w:rPr>
        <w:t>Limited.</w:t>
      </w:r>
    </w:p>
    <w:p>
      <w:pPr>
        <w:spacing w:line="240" w:lineRule="auto" w:before="196"/>
        <w:ind w:left="1025" w:right="513" w:hanging="720"/>
        <w:jc w:val="both"/>
        <w:rPr>
          <w:sz w:val="24"/>
        </w:rPr>
      </w:pPr>
      <w:r>
        <w:rPr>
          <w:sz w:val="24"/>
        </w:rPr>
        <w:t>McCluskey, W. J., &amp; Borst, R. A. (2011). Detecting and validating residential housing submarkets: A geostatistical approach for use in mass appraisal. </w:t>
      </w:r>
      <w:r>
        <w:rPr>
          <w:i/>
          <w:sz w:val="24"/>
        </w:rPr>
        <w:t>International Journal of Housing Markets and Analysis</w:t>
      </w:r>
      <w:r>
        <w:rPr>
          <w:sz w:val="24"/>
        </w:rPr>
        <w:t>, </w:t>
      </w:r>
      <w:r>
        <w:rPr>
          <w:i/>
          <w:sz w:val="24"/>
        </w:rPr>
        <w:t>4</w:t>
      </w:r>
      <w:r>
        <w:rPr>
          <w:sz w:val="24"/>
        </w:rPr>
        <w:t>(3), </w:t>
      </w:r>
      <w:r>
        <w:rPr>
          <w:sz w:val="24"/>
        </w:rPr>
        <w:t>290–318. </w:t>
      </w:r>
      <w:r>
        <w:rPr>
          <w:spacing w:val="-2"/>
          <w:sz w:val="24"/>
        </w:rPr>
        <w:t>https://doi.org/10.1108/17538271111153040</w:t>
      </w:r>
    </w:p>
    <w:p>
      <w:pPr>
        <w:pStyle w:val="BodyText"/>
        <w:spacing w:line="242" w:lineRule="auto" w:before="200"/>
        <w:ind w:left="1025" w:right="512" w:hanging="720"/>
      </w:pPr>
      <w:r>
        <w:rPr/>
        <w:t>McCluskey,</w:t>
      </w:r>
      <w:r>
        <w:rPr>
          <w:spacing w:val="-1"/>
        </w:rPr>
        <w:t> </w:t>
      </w:r>
      <w:r>
        <w:rPr/>
        <w:t>W.</w:t>
      </w:r>
      <w:r>
        <w:rPr>
          <w:spacing w:val="-3"/>
        </w:rPr>
        <w:t> </w:t>
      </w:r>
      <w:r>
        <w:rPr/>
        <w:t>J.,</w:t>
      </w:r>
      <w:r>
        <w:rPr>
          <w:spacing w:val="-1"/>
        </w:rPr>
        <w:t> </w:t>
      </w:r>
      <w:r>
        <w:rPr/>
        <w:t>Deddis,</w:t>
      </w:r>
      <w:r>
        <w:rPr>
          <w:spacing w:val="-1"/>
        </w:rPr>
        <w:t> </w:t>
      </w:r>
      <w:r>
        <w:rPr/>
        <w:t>W.</w:t>
      </w:r>
      <w:r>
        <w:rPr>
          <w:spacing w:val="-4"/>
        </w:rPr>
        <w:t> </w:t>
      </w:r>
      <w:r>
        <w:rPr/>
        <w:t>G.,</w:t>
      </w:r>
      <w:r>
        <w:rPr>
          <w:spacing w:val="-2"/>
        </w:rPr>
        <w:t> </w:t>
      </w:r>
      <w:r>
        <w:rPr/>
        <w:t>Lamont, I.</w:t>
      </w:r>
      <w:r>
        <w:rPr>
          <w:spacing w:val="-1"/>
        </w:rPr>
        <w:t> </w:t>
      </w:r>
      <w:r>
        <w:rPr/>
        <w:t>G.,</w:t>
      </w:r>
      <w:r>
        <w:rPr>
          <w:spacing w:val="-2"/>
        </w:rPr>
        <w:t> </w:t>
      </w:r>
      <w:r>
        <w:rPr/>
        <w:t>&amp;</w:t>
      </w:r>
      <w:r>
        <w:rPr>
          <w:spacing w:val="-3"/>
        </w:rPr>
        <w:t> </w:t>
      </w:r>
      <w:r>
        <w:rPr/>
        <w:t>Borst,</w:t>
      </w:r>
      <w:r>
        <w:rPr>
          <w:spacing w:val="-1"/>
        </w:rPr>
        <w:t> </w:t>
      </w:r>
      <w:r>
        <w:rPr/>
        <w:t>R.</w:t>
      </w:r>
      <w:r>
        <w:rPr>
          <w:spacing w:val="-1"/>
        </w:rPr>
        <w:t> </w:t>
      </w:r>
      <w:r>
        <w:rPr/>
        <w:t>A.</w:t>
      </w:r>
      <w:r>
        <w:rPr>
          <w:spacing w:val="-2"/>
        </w:rPr>
        <w:t> </w:t>
      </w:r>
      <w:r>
        <w:rPr/>
        <w:t>(2000).</w:t>
      </w:r>
      <w:r>
        <w:rPr>
          <w:spacing w:val="-2"/>
        </w:rPr>
        <w:t> </w:t>
      </w:r>
      <w:r>
        <w:rPr/>
        <w:t>The</w:t>
      </w:r>
      <w:r>
        <w:rPr>
          <w:spacing w:val="-3"/>
        </w:rPr>
        <w:t> </w:t>
      </w:r>
      <w:r>
        <w:rPr/>
        <w:t>application of</w:t>
      </w:r>
      <w:r>
        <w:rPr>
          <w:spacing w:val="-15"/>
        </w:rPr>
        <w:t> </w:t>
      </w:r>
      <w:r>
        <w:rPr/>
        <w:t>surface</w:t>
      </w:r>
      <w:r>
        <w:rPr>
          <w:spacing w:val="-15"/>
        </w:rPr>
        <w:t> </w:t>
      </w:r>
      <w:r>
        <w:rPr/>
        <w:t>generated</w:t>
      </w:r>
      <w:r>
        <w:rPr>
          <w:spacing w:val="-15"/>
        </w:rPr>
        <w:t> </w:t>
      </w:r>
      <w:r>
        <w:rPr/>
        <w:t>interpolation</w:t>
      </w:r>
      <w:r>
        <w:rPr>
          <w:spacing w:val="-15"/>
        </w:rPr>
        <w:t> </w:t>
      </w:r>
      <w:r>
        <w:rPr/>
        <w:t>models</w:t>
      </w:r>
      <w:r>
        <w:rPr>
          <w:spacing w:val="-15"/>
        </w:rPr>
        <w:t> </w:t>
      </w:r>
      <w:r>
        <w:rPr/>
        <w:t>for</w:t>
      </w:r>
      <w:r>
        <w:rPr>
          <w:spacing w:val="-15"/>
        </w:rPr>
        <w:t> </w:t>
      </w:r>
      <w:r>
        <w:rPr/>
        <w:t>the</w:t>
      </w:r>
      <w:r>
        <w:rPr>
          <w:spacing w:val="-15"/>
        </w:rPr>
        <w:t> </w:t>
      </w:r>
      <w:r>
        <w:rPr/>
        <w:t>prediction</w:t>
      </w:r>
      <w:r>
        <w:rPr>
          <w:spacing w:val="-15"/>
        </w:rPr>
        <w:t> </w:t>
      </w:r>
      <w:r>
        <w:rPr/>
        <w:t>of</w:t>
      </w:r>
      <w:r>
        <w:rPr>
          <w:spacing w:val="-15"/>
        </w:rPr>
        <w:t> </w:t>
      </w:r>
      <w:r>
        <w:rPr/>
        <w:t>residential</w:t>
      </w:r>
      <w:r>
        <w:rPr>
          <w:spacing w:val="-15"/>
        </w:rPr>
        <w:t> </w:t>
      </w:r>
      <w:r>
        <w:rPr/>
        <w:t>property values. </w:t>
      </w:r>
      <w:r>
        <w:rPr>
          <w:i/>
        </w:rPr>
        <w:t>Journal of Property Investment &amp; Finance</w:t>
      </w:r>
      <w:r>
        <w:rPr/>
        <w:t>, </w:t>
      </w:r>
      <w:r>
        <w:rPr>
          <w:i/>
        </w:rPr>
        <w:t>18</w:t>
      </w:r>
      <w:r>
        <w:rPr/>
        <w:t>(2), 162–176.</w:t>
      </w:r>
    </w:p>
    <w:p>
      <w:pPr>
        <w:spacing w:line="240" w:lineRule="auto" w:before="191"/>
        <w:ind w:left="1025" w:right="514" w:hanging="720"/>
        <w:jc w:val="both"/>
        <w:rPr>
          <w:sz w:val="24"/>
        </w:rPr>
      </w:pPr>
      <w:r>
        <w:rPr>
          <w:sz w:val="24"/>
        </w:rPr>
        <w:t>Medayese,</w:t>
      </w:r>
      <w:r>
        <w:rPr>
          <w:spacing w:val="-8"/>
          <w:sz w:val="24"/>
        </w:rPr>
        <w:t> </w:t>
      </w:r>
      <w:r>
        <w:rPr>
          <w:sz w:val="24"/>
        </w:rPr>
        <w:t>M.,</w:t>
      </w:r>
      <w:r>
        <w:rPr>
          <w:spacing w:val="-8"/>
          <w:sz w:val="24"/>
        </w:rPr>
        <w:t> </w:t>
      </w:r>
      <w:r>
        <w:rPr>
          <w:sz w:val="24"/>
        </w:rPr>
        <w:t>Martins,</w:t>
      </w:r>
      <w:r>
        <w:rPr>
          <w:spacing w:val="-8"/>
          <w:sz w:val="24"/>
        </w:rPr>
        <w:t> </w:t>
      </w:r>
      <w:r>
        <w:rPr>
          <w:sz w:val="24"/>
        </w:rPr>
        <w:t>V.</w:t>
      </w:r>
      <w:r>
        <w:rPr>
          <w:spacing w:val="-9"/>
          <w:sz w:val="24"/>
        </w:rPr>
        <w:t> </w:t>
      </w:r>
      <w:r>
        <w:rPr>
          <w:sz w:val="24"/>
        </w:rPr>
        <w:t>E.,</w:t>
      </w:r>
      <w:r>
        <w:rPr>
          <w:spacing w:val="-9"/>
          <w:sz w:val="24"/>
        </w:rPr>
        <w:t> </w:t>
      </w:r>
      <w:r>
        <w:rPr>
          <w:sz w:val="24"/>
        </w:rPr>
        <w:t>&amp;</w:t>
      </w:r>
      <w:r>
        <w:rPr>
          <w:spacing w:val="-10"/>
          <w:sz w:val="24"/>
        </w:rPr>
        <w:t> </w:t>
      </w:r>
      <w:r>
        <w:rPr>
          <w:sz w:val="24"/>
        </w:rPr>
        <w:t>Abdrazack,</w:t>
      </w:r>
      <w:r>
        <w:rPr>
          <w:spacing w:val="-8"/>
          <w:sz w:val="24"/>
        </w:rPr>
        <w:t> </w:t>
      </w:r>
      <w:r>
        <w:rPr>
          <w:sz w:val="24"/>
        </w:rPr>
        <w:t>N.</w:t>
      </w:r>
      <w:r>
        <w:rPr>
          <w:spacing w:val="-9"/>
          <w:sz w:val="24"/>
        </w:rPr>
        <w:t> </w:t>
      </w:r>
      <w:r>
        <w:rPr>
          <w:sz w:val="24"/>
        </w:rPr>
        <w:t>T.</w:t>
      </w:r>
      <w:r>
        <w:rPr>
          <w:spacing w:val="-9"/>
          <w:sz w:val="24"/>
        </w:rPr>
        <w:t> </w:t>
      </w:r>
      <w:r>
        <w:rPr>
          <w:sz w:val="24"/>
        </w:rPr>
        <w:t>(2015).</w:t>
      </w:r>
      <w:r>
        <w:rPr>
          <w:spacing w:val="-9"/>
          <w:sz w:val="24"/>
        </w:rPr>
        <w:t> </w:t>
      </w:r>
      <w:r>
        <w:rPr>
          <w:sz w:val="24"/>
        </w:rPr>
        <w:t>Density.</w:t>
      </w:r>
      <w:r>
        <w:rPr>
          <w:spacing w:val="-6"/>
          <w:sz w:val="24"/>
        </w:rPr>
        <w:t> </w:t>
      </w:r>
      <w:r>
        <w:rPr>
          <w:sz w:val="24"/>
        </w:rPr>
        <w:t>In</w:t>
      </w:r>
      <w:r>
        <w:rPr>
          <w:spacing w:val="-6"/>
          <w:sz w:val="24"/>
        </w:rPr>
        <w:t> </w:t>
      </w:r>
      <w:r>
        <w:rPr>
          <w:sz w:val="24"/>
        </w:rPr>
        <w:t>L.</w:t>
      </w:r>
      <w:r>
        <w:rPr>
          <w:spacing w:val="-8"/>
          <w:sz w:val="24"/>
        </w:rPr>
        <w:t> </w:t>
      </w:r>
      <w:r>
        <w:rPr>
          <w:sz w:val="24"/>
        </w:rPr>
        <w:t>Egunjobi</w:t>
      </w:r>
      <w:r>
        <w:rPr>
          <w:spacing w:val="-8"/>
          <w:sz w:val="24"/>
        </w:rPr>
        <w:t> </w:t>
      </w:r>
      <w:r>
        <w:rPr>
          <w:sz w:val="24"/>
        </w:rPr>
        <w:t>(Ed.), </w:t>
      </w:r>
      <w:r>
        <w:rPr>
          <w:i/>
          <w:sz w:val="24"/>
        </w:rPr>
        <w:t>Contemporary Concepts in Physical Planning </w:t>
      </w:r>
      <w:r>
        <w:rPr>
          <w:sz w:val="24"/>
        </w:rPr>
        <w:t>(First Edition, Vol. 1, pp. 263– 290). Ibadan: University of Ibadan.</w:t>
      </w:r>
    </w:p>
    <w:p>
      <w:pPr>
        <w:pStyle w:val="BodyText"/>
        <w:spacing w:before="202"/>
        <w:ind w:left="1025" w:right="514" w:hanging="720"/>
      </w:pPr>
      <w:r>
        <w:rPr/>
        <w:t>Meese, R., &amp; Wallace, N. (1991). Nonparametric estimation of dynamic hedonic price models and the construction of residential housing prices indeces. </w:t>
      </w:r>
      <w:r>
        <w:rPr>
          <w:i/>
        </w:rPr>
        <w:t>Fisher Center Working Papers</w:t>
      </w:r>
      <w:r>
        <w:rPr/>
        <w:t>.</w:t>
      </w:r>
    </w:p>
    <w:p>
      <w:pPr>
        <w:spacing w:line="242" w:lineRule="auto" w:before="199"/>
        <w:ind w:left="1025" w:right="514" w:hanging="720"/>
        <w:jc w:val="both"/>
        <w:rPr>
          <w:sz w:val="24"/>
        </w:rPr>
      </w:pPr>
      <w:r>
        <w:rPr>
          <w:sz w:val="24"/>
        </w:rPr>
        <w:t>Mills, T. C. (Ed.). (2011). </w:t>
      </w:r>
      <w:r>
        <w:rPr>
          <w:i/>
          <w:sz w:val="24"/>
        </w:rPr>
        <w:t>Palgrave handbook of econometrics. Vol. 2: Applied econometrics</w:t>
      </w:r>
      <w:r>
        <w:rPr>
          <w:sz w:val="24"/>
        </w:rPr>
        <w:t>. Basingstoke,: Palgrave Macmillan.</w:t>
      </w:r>
    </w:p>
    <w:p>
      <w:pPr>
        <w:pStyle w:val="BodyText"/>
        <w:spacing w:line="242" w:lineRule="auto" w:before="194"/>
        <w:ind w:left="1025" w:right="510" w:hanging="720"/>
      </w:pPr>
      <w:r>
        <w:rPr/>
        <w:t>Mohammed,</w:t>
      </w:r>
      <w:r>
        <w:rPr>
          <w:spacing w:val="-8"/>
        </w:rPr>
        <w:t> </w:t>
      </w:r>
      <w:r>
        <w:rPr/>
        <w:t>J.</w:t>
      </w:r>
      <w:r>
        <w:rPr>
          <w:spacing w:val="-8"/>
        </w:rPr>
        <w:t> </w:t>
      </w:r>
      <w:r>
        <w:rPr/>
        <w:t>K.,</w:t>
      </w:r>
      <w:r>
        <w:rPr>
          <w:spacing w:val="-11"/>
        </w:rPr>
        <w:t> </w:t>
      </w:r>
      <w:r>
        <w:rPr/>
        <w:t>&amp;</w:t>
      </w:r>
      <w:r>
        <w:rPr>
          <w:spacing w:val="-10"/>
        </w:rPr>
        <w:t> </w:t>
      </w:r>
      <w:r>
        <w:rPr/>
        <w:t>Aremu,</w:t>
      </w:r>
      <w:r>
        <w:rPr>
          <w:spacing w:val="-8"/>
        </w:rPr>
        <w:t> </w:t>
      </w:r>
      <w:r>
        <w:rPr/>
        <w:t>S.</w:t>
      </w:r>
      <w:r>
        <w:rPr>
          <w:spacing w:val="-11"/>
        </w:rPr>
        <w:t> </w:t>
      </w:r>
      <w:r>
        <w:rPr/>
        <w:t>C.</w:t>
      </w:r>
      <w:r>
        <w:rPr>
          <w:spacing w:val="-8"/>
        </w:rPr>
        <w:t> </w:t>
      </w:r>
      <w:r>
        <w:rPr/>
        <w:t>(2017).</w:t>
      </w:r>
      <w:r>
        <w:rPr>
          <w:spacing w:val="-9"/>
        </w:rPr>
        <w:t> </w:t>
      </w:r>
      <w:r>
        <w:rPr/>
        <w:t>Geospatial</w:t>
      </w:r>
      <w:r>
        <w:rPr>
          <w:spacing w:val="-5"/>
        </w:rPr>
        <w:t> </w:t>
      </w:r>
      <w:r>
        <w:rPr/>
        <w:t>relationship</w:t>
      </w:r>
      <w:r>
        <w:rPr>
          <w:spacing w:val="-7"/>
        </w:rPr>
        <w:t> </w:t>
      </w:r>
      <w:r>
        <w:rPr/>
        <w:t>between</w:t>
      </w:r>
      <w:r>
        <w:rPr>
          <w:spacing w:val="-8"/>
        </w:rPr>
        <w:t> </w:t>
      </w:r>
      <w:r>
        <w:rPr/>
        <w:t>conditions</w:t>
      </w:r>
      <w:r>
        <w:rPr>
          <w:spacing w:val="-7"/>
        </w:rPr>
        <w:t> </w:t>
      </w:r>
      <w:r>
        <w:rPr/>
        <w:t>of facilities and users’ satisfaction of residential housing in Bida. </w:t>
      </w:r>
      <w:r>
        <w:rPr>
          <w:i/>
        </w:rPr>
        <w:t>Environmental Watch</w:t>
      </w:r>
      <w:r>
        <w:rPr/>
        <w:t>, </w:t>
      </w:r>
      <w:r>
        <w:rPr>
          <w:i/>
        </w:rPr>
        <w:t>10</w:t>
      </w:r>
      <w:r>
        <w:rPr/>
        <w:t>(2), 26–33.</w:t>
      </w:r>
    </w:p>
    <w:p>
      <w:pPr>
        <w:spacing w:line="240" w:lineRule="auto" w:before="194"/>
        <w:ind w:left="1025" w:right="516" w:hanging="720"/>
        <w:jc w:val="both"/>
        <w:rPr>
          <w:sz w:val="24"/>
        </w:rPr>
      </w:pPr>
      <w:r>
        <w:rPr>
          <w:sz w:val="24"/>
        </w:rPr>
        <w:t>Moral, F. J. (2008). Comparison of different geostatistical approaches to map climate variables: Application to precipitation. </w:t>
      </w:r>
      <w:r>
        <w:rPr>
          <w:i/>
          <w:sz w:val="24"/>
        </w:rPr>
        <w:t>International Journal of Climatology 30</w:t>
      </w:r>
      <w:r>
        <w:rPr>
          <w:sz w:val="24"/>
        </w:rPr>
        <w:t>(4), 620–631.</w:t>
      </w:r>
    </w:p>
    <w:p>
      <w:pPr>
        <w:pStyle w:val="BodyText"/>
        <w:spacing w:before="199"/>
        <w:ind w:right="515"/>
        <w:jc w:val="right"/>
      </w:pPr>
      <w:r>
        <w:rPr/>
        <w:t>Moulton,</w:t>
      </w:r>
      <w:r>
        <w:rPr>
          <w:spacing w:val="8"/>
        </w:rPr>
        <w:t> </w:t>
      </w:r>
      <w:r>
        <w:rPr/>
        <w:t>M.,</w:t>
      </w:r>
      <w:r>
        <w:rPr>
          <w:spacing w:val="10"/>
        </w:rPr>
        <w:t> </w:t>
      </w:r>
      <w:r>
        <w:rPr/>
        <w:t>&amp;</w:t>
      </w:r>
      <w:r>
        <w:rPr>
          <w:spacing w:val="7"/>
        </w:rPr>
        <w:t> </w:t>
      </w:r>
      <w:r>
        <w:rPr/>
        <w:t>Preece,</w:t>
      </w:r>
      <w:r>
        <w:rPr>
          <w:spacing w:val="12"/>
        </w:rPr>
        <w:t> </w:t>
      </w:r>
      <w:r>
        <w:rPr/>
        <w:t>A.</w:t>
      </w:r>
      <w:r>
        <w:rPr>
          <w:spacing w:val="9"/>
        </w:rPr>
        <w:t> </w:t>
      </w:r>
      <w:r>
        <w:rPr/>
        <w:t>(2002).</w:t>
      </w:r>
      <w:r>
        <w:rPr>
          <w:spacing w:val="11"/>
        </w:rPr>
        <w:t> </w:t>
      </w:r>
      <w:r>
        <w:rPr/>
        <w:t>Applications</w:t>
      </w:r>
      <w:r>
        <w:rPr>
          <w:spacing w:val="10"/>
        </w:rPr>
        <w:t> </w:t>
      </w:r>
      <w:r>
        <w:rPr/>
        <w:t>and</w:t>
      </w:r>
      <w:r>
        <w:rPr>
          <w:spacing w:val="12"/>
        </w:rPr>
        <w:t> </w:t>
      </w:r>
      <w:r>
        <w:rPr/>
        <w:t>Innovations</w:t>
      </w:r>
      <w:r>
        <w:rPr>
          <w:spacing w:val="10"/>
        </w:rPr>
        <w:t> </w:t>
      </w:r>
      <w:r>
        <w:rPr/>
        <w:t>in</w:t>
      </w:r>
      <w:r>
        <w:rPr>
          <w:spacing w:val="12"/>
        </w:rPr>
        <w:t> </w:t>
      </w:r>
      <w:r>
        <w:rPr/>
        <w:t>Intelligent</w:t>
      </w:r>
      <w:r>
        <w:rPr>
          <w:spacing w:val="11"/>
        </w:rPr>
        <w:t> </w:t>
      </w:r>
      <w:r>
        <w:rPr>
          <w:spacing w:val="-2"/>
        </w:rPr>
        <w:t>Systems</w:t>
      </w:r>
    </w:p>
    <w:p>
      <w:pPr>
        <w:pStyle w:val="BodyText"/>
        <w:ind w:right="521"/>
        <w:jc w:val="right"/>
      </w:pPr>
      <w:r>
        <w:rPr/>
        <w:t>IX.</w:t>
      </w:r>
      <w:r>
        <w:rPr>
          <w:spacing w:val="59"/>
        </w:rPr>
        <w:t> </w:t>
      </w:r>
      <w:r>
        <w:rPr/>
        <w:t>International</w:t>
      </w:r>
      <w:r>
        <w:rPr>
          <w:spacing w:val="60"/>
        </w:rPr>
        <w:t> </w:t>
      </w:r>
      <w:r>
        <w:rPr/>
        <w:t>Teledemocracy</w:t>
      </w:r>
      <w:r>
        <w:rPr>
          <w:spacing w:val="55"/>
        </w:rPr>
        <w:t> </w:t>
      </w:r>
      <w:r>
        <w:rPr/>
        <w:t>Centre,</w:t>
      </w:r>
      <w:r>
        <w:rPr>
          <w:spacing w:val="59"/>
        </w:rPr>
        <w:t> </w:t>
      </w:r>
      <w:r>
        <w:rPr/>
        <w:t>Napier</w:t>
      </w:r>
      <w:r>
        <w:rPr>
          <w:spacing w:val="61"/>
        </w:rPr>
        <w:t> </w:t>
      </w:r>
      <w:r>
        <w:rPr/>
        <w:t>University,</w:t>
      </w:r>
      <w:r>
        <w:rPr>
          <w:spacing w:val="62"/>
        </w:rPr>
        <w:t> </w:t>
      </w:r>
      <w:r>
        <w:rPr/>
        <w:t>Edinburgh,</w:t>
      </w:r>
      <w:r>
        <w:rPr>
          <w:spacing w:val="62"/>
        </w:rPr>
        <w:t> </w:t>
      </w:r>
      <w:r>
        <w:rPr>
          <w:spacing w:val="-5"/>
        </w:rPr>
        <w:t>UK.</w:t>
      </w:r>
    </w:p>
    <w:p>
      <w:pPr>
        <w:spacing w:before="2"/>
        <w:ind w:left="1025" w:right="0" w:firstLine="0"/>
        <w:jc w:val="left"/>
        <w:rPr>
          <w:sz w:val="24"/>
        </w:rPr>
      </w:pPr>
      <w:r>
        <w:rPr>
          <w:i/>
          <w:sz w:val="24"/>
        </w:rPr>
        <w:t>Proceedings</w:t>
      </w:r>
      <w:r>
        <w:rPr>
          <w:i/>
          <w:spacing w:val="-2"/>
          <w:sz w:val="24"/>
        </w:rPr>
        <w:t> </w:t>
      </w:r>
      <w:r>
        <w:rPr>
          <w:i/>
          <w:sz w:val="24"/>
        </w:rPr>
        <w:t>of</w:t>
      </w:r>
      <w:r>
        <w:rPr>
          <w:i/>
          <w:spacing w:val="-1"/>
          <w:sz w:val="24"/>
        </w:rPr>
        <w:t> </w:t>
      </w:r>
      <w:r>
        <w:rPr>
          <w:i/>
          <w:spacing w:val="-2"/>
          <w:sz w:val="24"/>
        </w:rPr>
        <w:t>ES2001</w:t>
      </w:r>
      <w:r>
        <w:rPr>
          <w:spacing w:val="-2"/>
          <w:sz w:val="24"/>
        </w:rPr>
        <w:t>.</w:t>
      </w:r>
    </w:p>
    <w:p>
      <w:pPr>
        <w:spacing w:after="0"/>
        <w:jc w:val="left"/>
        <w:rPr>
          <w:sz w:val="24"/>
        </w:rPr>
        <w:sectPr>
          <w:pgSz w:w="11910" w:h="16840"/>
          <w:pgMar w:header="0" w:footer="1022" w:top="1320" w:bottom="1220" w:left="1680" w:right="900"/>
        </w:sectPr>
      </w:pPr>
    </w:p>
    <w:p>
      <w:pPr>
        <w:pStyle w:val="BodyText"/>
        <w:spacing w:line="242" w:lineRule="auto" w:before="72"/>
        <w:ind w:left="1025" w:right="514" w:hanging="720"/>
      </w:pPr>
      <w:r>
        <w:rPr/>
        <w:t>Muehlenbachs, L., Spiller, E., &amp; Timmins, C. (2015). The housing market impacts of shale gas development. </w:t>
      </w:r>
      <w:r>
        <w:rPr>
          <w:i/>
        </w:rPr>
        <w:t>The American Economic Review</w:t>
      </w:r>
      <w:r>
        <w:rPr/>
        <w:t>, </w:t>
      </w:r>
      <w:r>
        <w:rPr>
          <w:i/>
        </w:rPr>
        <w:t>105</w:t>
      </w:r>
      <w:r>
        <w:rPr/>
        <w:t>(12), 3633–3659.</w:t>
      </w:r>
    </w:p>
    <w:p>
      <w:pPr>
        <w:spacing w:line="240" w:lineRule="auto" w:before="194"/>
        <w:ind w:left="1025" w:right="513" w:hanging="720"/>
        <w:jc w:val="both"/>
        <w:rPr>
          <w:sz w:val="24"/>
        </w:rPr>
      </w:pPr>
      <w:r>
        <w:rPr>
          <w:sz w:val="24"/>
        </w:rPr>
        <w:t>Musa,</w:t>
      </w:r>
      <w:r>
        <w:rPr>
          <w:spacing w:val="-8"/>
          <w:sz w:val="24"/>
        </w:rPr>
        <w:t> </w:t>
      </w:r>
      <w:r>
        <w:rPr>
          <w:sz w:val="24"/>
        </w:rPr>
        <w:t>U.,</w:t>
      </w:r>
      <w:r>
        <w:rPr>
          <w:spacing w:val="-6"/>
          <w:sz w:val="24"/>
        </w:rPr>
        <w:t> </w:t>
      </w:r>
      <w:r>
        <w:rPr>
          <w:sz w:val="24"/>
        </w:rPr>
        <w:t>&amp;</w:t>
      </w:r>
      <w:r>
        <w:rPr>
          <w:spacing w:val="-7"/>
          <w:sz w:val="24"/>
        </w:rPr>
        <w:t> </w:t>
      </w:r>
      <w:r>
        <w:rPr>
          <w:sz w:val="24"/>
        </w:rPr>
        <w:t>Yusoff,</w:t>
      </w:r>
      <w:r>
        <w:rPr>
          <w:spacing w:val="-6"/>
          <w:sz w:val="24"/>
        </w:rPr>
        <w:t> </w:t>
      </w:r>
      <w:r>
        <w:rPr>
          <w:sz w:val="24"/>
        </w:rPr>
        <w:t>W.</w:t>
      </w:r>
      <w:r>
        <w:rPr>
          <w:spacing w:val="-7"/>
          <w:sz w:val="24"/>
        </w:rPr>
        <w:t> </w:t>
      </w:r>
      <w:r>
        <w:rPr>
          <w:sz w:val="24"/>
        </w:rPr>
        <w:t>Z.</w:t>
      </w:r>
      <w:r>
        <w:rPr>
          <w:spacing w:val="-7"/>
          <w:sz w:val="24"/>
        </w:rPr>
        <w:t> </w:t>
      </w:r>
      <w:r>
        <w:rPr>
          <w:sz w:val="24"/>
        </w:rPr>
        <w:t>W.</w:t>
      </w:r>
      <w:r>
        <w:rPr>
          <w:spacing w:val="-6"/>
          <w:sz w:val="24"/>
        </w:rPr>
        <w:t> </w:t>
      </w:r>
      <w:r>
        <w:rPr>
          <w:sz w:val="24"/>
        </w:rPr>
        <w:t>(2015).</w:t>
      </w:r>
      <w:r>
        <w:rPr>
          <w:spacing w:val="-3"/>
          <w:sz w:val="24"/>
        </w:rPr>
        <w:t> </w:t>
      </w:r>
      <w:r>
        <w:rPr>
          <w:sz w:val="24"/>
        </w:rPr>
        <w:t>Impact</w:t>
      </w:r>
      <w:r>
        <w:rPr>
          <w:spacing w:val="-7"/>
          <w:sz w:val="24"/>
        </w:rPr>
        <w:t> </w:t>
      </w:r>
      <w:r>
        <w:rPr>
          <w:sz w:val="24"/>
        </w:rPr>
        <w:t>of</w:t>
      </w:r>
      <w:r>
        <w:rPr>
          <w:spacing w:val="-6"/>
          <w:sz w:val="24"/>
        </w:rPr>
        <w:t> </w:t>
      </w:r>
      <w:r>
        <w:rPr>
          <w:sz w:val="24"/>
        </w:rPr>
        <w:t>location</w:t>
      </w:r>
      <w:r>
        <w:rPr>
          <w:spacing w:val="-6"/>
          <w:sz w:val="24"/>
        </w:rPr>
        <w:t> </w:t>
      </w:r>
      <w:r>
        <w:rPr>
          <w:sz w:val="24"/>
        </w:rPr>
        <w:t>and</w:t>
      </w:r>
      <w:r>
        <w:rPr>
          <w:spacing w:val="-6"/>
          <w:sz w:val="24"/>
        </w:rPr>
        <w:t> </w:t>
      </w:r>
      <w:r>
        <w:rPr>
          <w:sz w:val="24"/>
        </w:rPr>
        <w:t>dwelling</w:t>
      </w:r>
      <w:r>
        <w:rPr>
          <w:spacing w:val="-10"/>
          <w:sz w:val="24"/>
        </w:rPr>
        <w:t> </w:t>
      </w:r>
      <w:r>
        <w:rPr>
          <w:sz w:val="24"/>
        </w:rPr>
        <w:t>characteristics</w:t>
      </w:r>
      <w:r>
        <w:rPr>
          <w:spacing w:val="-6"/>
          <w:sz w:val="24"/>
        </w:rPr>
        <w:t> </w:t>
      </w:r>
      <w:r>
        <w:rPr>
          <w:sz w:val="24"/>
        </w:rPr>
        <w:t>on residential property prices/values: A critical review of literature. </w:t>
      </w:r>
      <w:r>
        <w:rPr>
          <w:i/>
          <w:sz w:val="24"/>
        </w:rPr>
        <w:t>International Journal of Advances in Management and Economics</w:t>
      </w:r>
      <w:r>
        <w:rPr>
          <w:sz w:val="24"/>
        </w:rPr>
        <w:t>, </w:t>
      </w:r>
      <w:r>
        <w:rPr>
          <w:i/>
          <w:sz w:val="24"/>
        </w:rPr>
        <w:t>4</w:t>
      </w:r>
      <w:r>
        <w:rPr>
          <w:sz w:val="24"/>
        </w:rPr>
        <w:t>(2), 5–11.</w:t>
      </w:r>
    </w:p>
    <w:p>
      <w:pPr>
        <w:pStyle w:val="BodyText"/>
        <w:spacing w:before="199"/>
        <w:ind w:left="1025" w:right="514" w:hanging="720"/>
      </w:pPr>
      <w:r>
        <w:rPr/>
        <w:t>Nanthakumaran, N., Watkins, C., &amp; Orr, A. (2000). Understanding property market dynamics: Insights from modelling the supply-side adjustment mechanism. </w:t>
      </w:r>
      <w:r>
        <w:rPr>
          <w:i/>
        </w:rPr>
        <w:t>Environment and Planning A</w:t>
      </w:r>
      <w:r>
        <w:rPr/>
        <w:t>, </w:t>
      </w:r>
      <w:r>
        <w:rPr>
          <w:i/>
        </w:rPr>
        <w:t>32</w:t>
      </w:r>
      <w:r>
        <w:rPr/>
        <w:t>(4), 655–671. https://doi.org/10.1068/a31176</w:t>
      </w:r>
    </w:p>
    <w:p>
      <w:pPr>
        <w:spacing w:line="240" w:lineRule="auto" w:before="202"/>
        <w:ind w:left="1025" w:right="511" w:hanging="720"/>
        <w:jc w:val="both"/>
        <w:rPr>
          <w:sz w:val="24"/>
        </w:rPr>
      </w:pPr>
      <w:r>
        <w:rPr>
          <w:sz w:val="24"/>
        </w:rPr>
        <w:t>National Population Commission. (2006). </w:t>
      </w:r>
      <w:r>
        <w:rPr>
          <w:i/>
          <w:sz w:val="24"/>
        </w:rPr>
        <w:t>Population and housing census of the federal republic of Nigeria: National and state population and housing priority tables</w:t>
      </w:r>
      <w:r>
        <w:rPr>
          <w:sz w:val="24"/>
        </w:rPr>
        <w:t>. National Population Commission.</w:t>
      </w:r>
    </w:p>
    <w:p>
      <w:pPr>
        <w:spacing w:line="242" w:lineRule="auto" w:before="200"/>
        <w:ind w:left="1025" w:right="512" w:hanging="720"/>
        <w:jc w:val="both"/>
        <w:rPr>
          <w:sz w:val="24"/>
        </w:rPr>
      </w:pPr>
      <w:r>
        <w:rPr>
          <w:sz w:val="24"/>
        </w:rPr>
        <w:t>Ndaguye,</w:t>
      </w:r>
      <w:r>
        <w:rPr>
          <w:spacing w:val="-4"/>
          <w:sz w:val="24"/>
        </w:rPr>
        <w:t> </w:t>
      </w:r>
      <w:r>
        <w:rPr>
          <w:sz w:val="24"/>
        </w:rPr>
        <w:t>M.</w:t>
      </w:r>
      <w:r>
        <w:rPr>
          <w:spacing w:val="-4"/>
          <w:sz w:val="24"/>
        </w:rPr>
        <w:t> </w:t>
      </w:r>
      <w:r>
        <w:rPr>
          <w:sz w:val="24"/>
        </w:rPr>
        <w:t>(1982).</w:t>
      </w:r>
      <w:r>
        <w:rPr>
          <w:spacing w:val="-3"/>
          <w:sz w:val="24"/>
        </w:rPr>
        <w:t> </w:t>
      </w:r>
      <w:r>
        <w:rPr>
          <w:i/>
          <w:sz w:val="24"/>
        </w:rPr>
        <w:t>Forms</w:t>
      </w:r>
      <w:r>
        <w:rPr>
          <w:i/>
          <w:spacing w:val="-4"/>
          <w:sz w:val="24"/>
        </w:rPr>
        <w:t> </w:t>
      </w:r>
      <w:r>
        <w:rPr>
          <w:i/>
          <w:sz w:val="24"/>
        </w:rPr>
        <w:t>and</w:t>
      </w:r>
      <w:r>
        <w:rPr>
          <w:i/>
          <w:spacing w:val="-5"/>
          <w:sz w:val="24"/>
        </w:rPr>
        <w:t> </w:t>
      </w:r>
      <w:r>
        <w:rPr>
          <w:i/>
          <w:sz w:val="24"/>
        </w:rPr>
        <w:t>structures</w:t>
      </w:r>
      <w:r>
        <w:rPr>
          <w:i/>
          <w:spacing w:val="-4"/>
          <w:sz w:val="24"/>
        </w:rPr>
        <w:t> </w:t>
      </w:r>
      <w:r>
        <w:rPr>
          <w:i/>
          <w:sz w:val="24"/>
        </w:rPr>
        <w:t>of</w:t>
      </w:r>
      <w:r>
        <w:rPr>
          <w:i/>
          <w:spacing w:val="-6"/>
          <w:sz w:val="24"/>
        </w:rPr>
        <w:t> </w:t>
      </w:r>
      <w:r>
        <w:rPr>
          <w:i/>
          <w:sz w:val="24"/>
        </w:rPr>
        <w:t>Nupe</w:t>
      </w:r>
      <w:r>
        <w:rPr>
          <w:i/>
          <w:spacing w:val="-5"/>
          <w:sz w:val="24"/>
        </w:rPr>
        <w:t> </w:t>
      </w:r>
      <w:r>
        <w:rPr>
          <w:i/>
          <w:sz w:val="24"/>
        </w:rPr>
        <w:t>settlements</w:t>
      </w:r>
      <w:r>
        <w:rPr>
          <w:i/>
          <w:spacing w:val="-4"/>
          <w:sz w:val="24"/>
        </w:rPr>
        <w:t> </w:t>
      </w:r>
      <w:r>
        <w:rPr>
          <w:sz w:val="24"/>
        </w:rPr>
        <w:t>(M.Sc.</w:t>
      </w:r>
      <w:r>
        <w:rPr>
          <w:spacing w:val="-4"/>
          <w:sz w:val="24"/>
        </w:rPr>
        <w:t> </w:t>
      </w:r>
      <w:r>
        <w:rPr>
          <w:sz w:val="24"/>
        </w:rPr>
        <w:t>Thesis).</w:t>
      </w:r>
      <w:r>
        <w:rPr>
          <w:spacing w:val="-4"/>
          <w:sz w:val="24"/>
        </w:rPr>
        <w:t> </w:t>
      </w:r>
      <w:r>
        <w:rPr>
          <w:sz w:val="24"/>
        </w:rPr>
        <w:t>Ahmadu Bello University, Zaria, Zaria Nigeria.</w:t>
      </w:r>
    </w:p>
    <w:p>
      <w:pPr>
        <w:pStyle w:val="BodyText"/>
        <w:spacing w:before="193"/>
        <w:ind w:left="1025" w:right="511" w:hanging="720"/>
      </w:pPr>
      <w:r>
        <w:rPr/>
        <w:t>Noh, Y. (2019). Does converting abandoned railways to greenways impact neighboring housing prices? </w:t>
      </w:r>
      <w:r>
        <w:rPr>
          <w:i/>
        </w:rPr>
        <w:t>Landscape and Urban Planning</w:t>
      </w:r>
      <w:r>
        <w:rPr/>
        <w:t>, </w:t>
      </w:r>
      <w:r>
        <w:rPr>
          <w:i/>
        </w:rPr>
        <w:t>183</w:t>
      </w:r>
      <w:r>
        <w:rPr/>
        <w:t>, 157–166. </w:t>
      </w:r>
      <w:r>
        <w:rPr>
          <w:spacing w:val="-2"/>
        </w:rPr>
        <w:t>https://doi.org/10.1016/j.landurbplan.2018.11.002</w:t>
      </w:r>
    </w:p>
    <w:p>
      <w:pPr>
        <w:spacing w:line="240" w:lineRule="auto" w:before="202"/>
        <w:ind w:left="1025" w:right="514" w:hanging="720"/>
        <w:jc w:val="both"/>
        <w:rPr>
          <w:sz w:val="24"/>
        </w:rPr>
      </w:pPr>
      <w:r>
        <w:rPr>
          <w:sz w:val="24"/>
        </w:rPr>
        <w:t>Oladunni, T., Sharma, S., &amp; Tiwang, R. (2017). A spatio – temporal hedonic house regression model. </w:t>
      </w:r>
      <w:r>
        <w:rPr>
          <w:i/>
          <w:sz w:val="24"/>
        </w:rPr>
        <w:t>IEEE International Conference on Machine Learning and Applications</w:t>
      </w:r>
      <w:r>
        <w:rPr>
          <w:sz w:val="24"/>
        </w:rPr>
        <w:t>. Presented at the IEEE International Conference on Machine Learning and Applications. https://doi.org/10.1109/ICMLA.2017.00-94</w:t>
      </w:r>
    </w:p>
    <w:p>
      <w:pPr>
        <w:spacing w:line="242" w:lineRule="auto" w:before="199"/>
        <w:ind w:left="1025" w:right="513" w:hanging="720"/>
        <w:jc w:val="both"/>
        <w:rPr>
          <w:sz w:val="24"/>
        </w:rPr>
      </w:pPr>
      <w:r>
        <w:rPr>
          <w:sz w:val="24"/>
        </w:rPr>
        <w:t>Oluwadamilola, I. (2017). Effect of socioeconomic factors on the rental values of accommodation in Lagos metropolis. </w:t>
      </w:r>
      <w:r>
        <w:rPr>
          <w:i/>
          <w:sz w:val="24"/>
        </w:rPr>
        <w:t>Equatorial Journal of Social Sciences and Human Behaviour</w:t>
      </w:r>
      <w:r>
        <w:rPr>
          <w:sz w:val="24"/>
        </w:rPr>
        <w:t>, </w:t>
      </w:r>
      <w:r>
        <w:rPr>
          <w:i/>
          <w:sz w:val="24"/>
        </w:rPr>
        <w:t>2</w:t>
      </w:r>
      <w:r>
        <w:rPr>
          <w:sz w:val="24"/>
        </w:rPr>
        <w:t>(3), 106–120.</w:t>
      </w:r>
    </w:p>
    <w:p>
      <w:pPr>
        <w:spacing w:line="242" w:lineRule="auto" w:before="192"/>
        <w:ind w:left="1025" w:right="508" w:hanging="720"/>
        <w:jc w:val="both"/>
        <w:rPr>
          <w:sz w:val="24"/>
        </w:rPr>
      </w:pPr>
      <w:r>
        <w:rPr>
          <w:sz w:val="24"/>
        </w:rPr>
        <w:t>Ononogbo,</w:t>
      </w:r>
      <w:r>
        <w:rPr>
          <w:spacing w:val="-15"/>
          <w:sz w:val="24"/>
        </w:rPr>
        <w:t> </w:t>
      </w:r>
      <w:r>
        <w:rPr>
          <w:sz w:val="24"/>
        </w:rPr>
        <w:t>K.</w:t>
      </w:r>
      <w:r>
        <w:rPr>
          <w:spacing w:val="-15"/>
          <w:sz w:val="24"/>
        </w:rPr>
        <w:t> </w:t>
      </w:r>
      <w:r>
        <w:rPr>
          <w:sz w:val="24"/>
        </w:rPr>
        <w:t>U.</w:t>
      </w:r>
      <w:r>
        <w:rPr>
          <w:spacing w:val="-15"/>
          <w:sz w:val="24"/>
        </w:rPr>
        <w:t> </w:t>
      </w:r>
      <w:r>
        <w:rPr>
          <w:sz w:val="24"/>
        </w:rPr>
        <w:t>(2014).</w:t>
      </w:r>
      <w:r>
        <w:rPr>
          <w:spacing w:val="-15"/>
          <w:sz w:val="24"/>
        </w:rPr>
        <w:t> </w:t>
      </w:r>
      <w:r>
        <w:rPr>
          <w:i/>
          <w:sz w:val="24"/>
        </w:rPr>
        <w:t>Assessment</w:t>
      </w:r>
      <w:r>
        <w:rPr>
          <w:i/>
          <w:spacing w:val="-15"/>
          <w:sz w:val="24"/>
        </w:rPr>
        <w:t> </w:t>
      </w:r>
      <w:r>
        <w:rPr>
          <w:i/>
          <w:sz w:val="24"/>
        </w:rPr>
        <w:t>of</w:t>
      </w:r>
      <w:r>
        <w:rPr>
          <w:i/>
          <w:spacing w:val="-15"/>
          <w:sz w:val="24"/>
        </w:rPr>
        <w:t> </w:t>
      </w:r>
      <w:r>
        <w:rPr>
          <w:i/>
          <w:sz w:val="24"/>
        </w:rPr>
        <w:t>Residents’</w:t>
      </w:r>
      <w:r>
        <w:rPr>
          <w:i/>
          <w:spacing w:val="-15"/>
          <w:sz w:val="24"/>
        </w:rPr>
        <w:t> </w:t>
      </w:r>
      <w:r>
        <w:rPr>
          <w:i/>
          <w:sz w:val="24"/>
        </w:rPr>
        <w:t>Attitudes</w:t>
      </w:r>
      <w:r>
        <w:rPr>
          <w:i/>
          <w:spacing w:val="-15"/>
          <w:sz w:val="24"/>
        </w:rPr>
        <w:t> </w:t>
      </w:r>
      <w:r>
        <w:rPr>
          <w:i/>
          <w:sz w:val="24"/>
        </w:rPr>
        <w:t>Towards</w:t>
      </w:r>
      <w:r>
        <w:rPr>
          <w:i/>
          <w:spacing w:val="-15"/>
          <w:sz w:val="24"/>
        </w:rPr>
        <w:t> </w:t>
      </w:r>
      <w:r>
        <w:rPr>
          <w:i/>
          <w:sz w:val="24"/>
        </w:rPr>
        <w:t>Recreation</w:t>
      </w:r>
      <w:r>
        <w:rPr>
          <w:i/>
          <w:spacing w:val="-15"/>
          <w:sz w:val="24"/>
        </w:rPr>
        <w:t> </w:t>
      </w:r>
      <w:r>
        <w:rPr>
          <w:i/>
          <w:sz w:val="24"/>
        </w:rPr>
        <w:t>in</w:t>
      </w:r>
      <w:r>
        <w:rPr>
          <w:i/>
          <w:spacing w:val="-15"/>
          <w:sz w:val="24"/>
        </w:rPr>
        <w:t> </w:t>
      </w:r>
      <w:r>
        <w:rPr>
          <w:i/>
          <w:sz w:val="24"/>
        </w:rPr>
        <w:t>Bida- Nigeria </w:t>
      </w:r>
      <w:r>
        <w:rPr>
          <w:sz w:val="24"/>
        </w:rPr>
        <w:t>(M.Sc. Thesis). Ahmadu Bello University, Zaria, Zaria Nigeria.</w:t>
      </w:r>
    </w:p>
    <w:p>
      <w:pPr>
        <w:pStyle w:val="BodyText"/>
        <w:spacing w:before="196"/>
        <w:ind w:left="1025" w:right="511" w:hanging="720"/>
      </w:pPr>
      <w:r>
        <w:rPr/>
        <w:t>Park, J. (2013). The division of spatial housing submarkets: A theory and the case of Seoul. </w:t>
      </w:r>
      <w:r>
        <w:rPr>
          <w:i/>
        </w:rPr>
        <w:t>Environment and Planning A</w:t>
      </w:r>
      <w:r>
        <w:rPr/>
        <w:t>, </w:t>
      </w:r>
      <w:r>
        <w:rPr>
          <w:i/>
        </w:rPr>
        <w:t>45</w:t>
      </w:r>
      <w:r>
        <w:rPr/>
        <w:t>(3), </w:t>
      </w:r>
      <w:r>
        <w:rPr/>
        <w:t>668–690. </w:t>
      </w:r>
      <w:r>
        <w:rPr>
          <w:spacing w:val="-2"/>
        </w:rPr>
        <w:t>https://doi.org/10.1068/a45337</w:t>
      </w:r>
    </w:p>
    <w:p>
      <w:pPr>
        <w:spacing w:line="240" w:lineRule="auto" w:before="199"/>
        <w:ind w:left="1025" w:right="516" w:hanging="720"/>
        <w:jc w:val="both"/>
        <w:rPr>
          <w:sz w:val="24"/>
        </w:rPr>
      </w:pPr>
      <w:r>
        <w:rPr>
          <w:sz w:val="24"/>
        </w:rPr>
        <w:t>Paz,</w:t>
      </w:r>
      <w:r>
        <w:rPr>
          <w:spacing w:val="-5"/>
          <w:sz w:val="24"/>
        </w:rPr>
        <w:t> </w:t>
      </w:r>
      <w:r>
        <w:rPr>
          <w:sz w:val="24"/>
        </w:rPr>
        <w:t>P.</w:t>
      </w:r>
      <w:r>
        <w:rPr>
          <w:spacing w:val="-5"/>
          <w:sz w:val="24"/>
        </w:rPr>
        <w:t> </w:t>
      </w:r>
      <w:r>
        <w:rPr>
          <w:sz w:val="24"/>
        </w:rPr>
        <w:t>T.</w:t>
      </w:r>
      <w:r>
        <w:rPr>
          <w:spacing w:val="-5"/>
          <w:sz w:val="24"/>
        </w:rPr>
        <w:t> </w:t>
      </w:r>
      <w:r>
        <w:rPr>
          <w:sz w:val="24"/>
        </w:rPr>
        <w:t>de</w:t>
      </w:r>
      <w:r>
        <w:rPr>
          <w:spacing w:val="-6"/>
          <w:sz w:val="24"/>
        </w:rPr>
        <w:t> </w:t>
      </w:r>
      <w:r>
        <w:rPr>
          <w:sz w:val="24"/>
        </w:rPr>
        <w:t>la,</w:t>
      </w:r>
      <w:r>
        <w:rPr>
          <w:spacing w:val="-5"/>
          <w:sz w:val="24"/>
        </w:rPr>
        <w:t> </w:t>
      </w:r>
      <w:r>
        <w:rPr>
          <w:sz w:val="24"/>
        </w:rPr>
        <w:t>&amp;</w:t>
      </w:r>
      <w:r>
        <w:rPr>
          <w:spacing w:val="-7"/>
          <w:sz w:val="24"/>
        </w:rPr>
        <w:t> </w:t>
      </w:r>
      <w:r>
        <w:rPr>
          <w:sz w:val="24"/>
        </w:rPr>
        <w:t>McGreal,</w:t>
      </w:r>
      <w:r>
        <w:rPr>
          <w:spacing w:val="-4"/>
          <w:sz w:val="24"/>
        </w:rPr>
        <w:t> </w:t>
      </w:r>
      <w:r>
        <w:rPr>
          <w:sz w:val="24"/>
        </w:rPr>
        <w:t>S.</w:t>
      </w:r>
      <w:r>
        <w:rPr>
          <w:spacing w:val="-5"/>
          <w:sz w:val="24"/>
        </w:rPr>
        <w:t> </w:t>
      </w:r>
      <w:r>
        <w:rPr>
          <w:sz w:val="24"/>
        </w:rPr>
        <w:t>(2018).</w:t>
      </w:r>
      <w:r>
        <w:rPr>
          <w:spacing w:val="-6"/>
          <w:sz w:val="24"/>
        </w:rPr>
        <w:t> </w:t>
      </w:r>
      <w:r>
        <w:rPr>
          <w:sz w:val="24"/>
        </w:rPr>
        <w:t>A</w:t>
      </w:r>
      <w:r>
        <w:rPr>
          <w:spacing w:val="-3"/>
          <w:sz w:val="24"/>
        </w:rPr>
        <w:t> </w:t>
      </w:r>
      <w:r>
        <w:rPr>
          <w:sz w:val="24"/>
        </w:rPr>
        <w:t>re-assessment</w:t>
      </w:r>
      <w:r>
        <w:rPr>
          <w:spacing w:val="-5"/>
          <w:sz w:val="24"/>
        </w:rPr>
        <w:t> </w:t>
      </w:r>
      <w:r>
        <w:rPr>
          <w:sz w:val="24"/>
        </w:rPr>
        <w:t>of</w:t>
      </w:r>
      <w:r>
        <w:rPr>
          <w:spacing w:val="-5"/>
          <w:sz w:val="24"/>
        </w:rPr>
        <w:t> </w:t>
      </w:r>
      <w:r>
        <w:rPr>
          <w:sz w:val="24"/>
        </w:rPr>
        <w:t>house</w:t>
      </w:r>
      <w:r>
        <w:rPr>
          <w:spacing w:val="-6"/>
          <w:sz w:val="24"/>
        </w:rPr>
        <w:t> </w:t>
      </w:r>
      <w:r>
        <w:rPr>
          <w:sz w:val="24"/>
        </w:rPr>
        <w:t>price</w:t>
      </w:r>
      <w:r>
        <w:rPr>
          <w:spacing w:val="-6"/>
          <w:sz w:val="24"/>
        </w:rPr>
        <w:t> </w:t>
      </w:r>
      <w:r>
        <w:rPr>
          <w:sz w:val="24"/>
        </w:rPr>
        <w:t>indices:</w:t>
      </w:r>
      <w:r>
        <w:rPr>
          <w:spacing w:val="-4"/>
          <w:sz w:val="24"/>
        </w:rPr>
        <w:t> </w:t>
      </w:r>
      <w:r>
        <w:rPr>
          <w:sz w:val="24"/>
        </w:rPr>
        <w:t>Evidence from the Spanish market. </w:t>
      </w:r>
      <w:r>
        <w:rPr>
          <w:i/>
          <w:sz w:val="24"/>
        </w:rPr>
        <w:t>International Journal of Strategic Property Management</w:t>
      </w:r>
      <w:r>
        <w:rPr>
          <w:sz w:val="24"/>
        </w:rPr>
        <w:t>, </w:t>
      </w:r>
      <w:r>
        <w:rPr>
          <w:i/>
          <w:sz w:val="24"/>
        </w:rPr>
        <w:t>23</w:t>
      </w:r>
      <w:r>
        <w:rPr>
          <w:sz w:val="24"/>
        </w:rPr>
        <w:t>(1), 23–35. https://doi.org/10.3846/ijspm.2019.6366</w:t>
      </w:r>
    </w:p>
    <w:p>
      <w:pPr>
        <w:spacing w:line="242" w:lineRule="auto" w:before="199"/>
        <w:ind w:left="1025" w:right="515" w:hanging="720"/>
        <w:jc w:val="both"/>
        <w:rPr>
          <w:sz w:val="24"/>
        </w:rPr>
      </w:pPr>
      <w:r>
        <w:rPr>
          <w:sz w:val="24"/>
        </w:rPr>
        <w:t>Pirounakis, N. G. (2013). </w:t>
      </w:r>
      <w:r>
        <w:rPr>
          <w:i/>
          <w:sz w:val="24"/>
        </w:rPr>
        <w:t>Real estate economics: A point to point handbook</w:t>
      </w:r>
      <w:r>
        <w:rPr>
          <w:sz w:val="24"/>
        </w:rPr>
        <w:t>. London</w:t>
      </w:r>
      <w:r>
        <w:rPr>
          <w:spacing w:val="-14"/>
          <w:sz w:val="24"/>
        </w:rPr>
        <w:t> </w:t>
      </w:r>
      <w:r>
        <w:rPr>
          <w:sz w:val="24"/>
        </w:rPr>
        <w:t>; New York: Routledge.</w:t>
      </w:r>
    </w:p>
    <w:p>
      <w:pPr>
        <w:pStyle w:val="BodyText"/>
        <w:spacing w:before="197"/>
        <w:ind w:left="1025" w:right="512" w:hanging="720"/>
      </w:pPr>
      <w:r>
        <w:rPr/>
        <w:t>Razali, M. N., Zulkarnain, S. H., Tarmidi, Z., Maimun, N. H. A., Adnan, Y. Mohd., &amp; Yuzir, M. A. (2018). Property market price response to flood-hazard. </w:t>
      </w:r>
      <w:r>
        <w:rPr>
          <w:i/>
        </w:rPr>
        <w:t>Natural Hazards</w:t>
      </w:r>
      <w:r>
        <w:rPr/>
        <w:t>, 1–16. https://doi.org/10.1007/s11069-018-3495-5</w:t>
      </w:r>
    </w:p>
    <w:p>
      <w:pPr>
        <w:pStyle w:val="BodyText"/>
        <w:spacing w:before="199"/>
        <w:ind w:left="1025" w:right="516" w:hanging="720"/>
      </w:pPr>
      <w:r>
        <w:rPr/>
        <w:t>Renigier-Biłozor, M., Biłozor, A., &amp; Wisniewski, R. (2017). Rating engineering of real estate markets as the condition of urban areas assessment. </w:t>
      </w:r>
      <w:r>
        <w:rPr>
          <w:i/>
        </w:rPr>
        <w:t>Land Use Policy</w:t>
      </w:r>
      <w:r>
        <w:rPr/>
        <w:t>, </w:t>
      </w:r>
      <w:r>
        <w:rPr>
          <w:i/>
        </w:rPr>
        <w:t>61</w:t>
      </w:r>
      <w:r>
        <w:rPr/>
        <w:t>, 511–525. https://doi.org/10.1016/j.landusepol.2016.11.040</w:t>
      </w:r>
    </w:p>
    <w:p>
      <w:pPr>
        <w:spacing w:after="0"/>
        <w:sectPr>
          <w:pgSz w:w="11910" w:h="16840"/>
          <w:pgMar w:header="0" w:footer="1022" w:top="1320" w:bottom="1220" w:left="1680" w:right="900"/>
        </w:sectPr>
      </w:pPr>
    </w:p>
    <w:p>
      <w:pPr>
        <w:pStyle w:val="BodyText"/>
        <w:spacing w:line="242" w:lineRule="auto" w:before="72"/>
        <w:ind w:left="1025" w:right="512" w:hanging="720"/>
      </w:pPr>
      <w:r>
        <w:rPr/>
        <w:t>Royuela,</w:t>
      </w:r>
      <w:r>
        <w:rPr>
          <w:spacing w:val="-2"/>
        </w:rPr>
        <w:t> </w:t>
      </w:r>
      <w:r>
        <w:rPr/>
        <w:t>V.,</w:t>
      </w:r>
      <w:r>
        <w:rPr>
          <w:spacing w:val="-1"/>
        </w:rPr>
        <w:t> </w:t>
      </w:r>
      <w:r>
        <w:rPr/>
        <w:t>&amp;</w:t>
      </w:r>
      <w:r>
        <w:rPr>
          <w:spacing w:val="-4"/>
        </w:rPr>
        <w:t> </w:t>
      </w:r>
      <w:r>
        <w:rPr/>
        <w:t>Vargas,</w:t>
      </w:r>
      <w:r>
        <w:rPr>
          <w:spacing w:val="-2"/>
        </w:rPr>
        <w:t> </w:t>
      </w:r>
      <w:r>
        <w:rPr/>
        <w:t>M.</w:t>
      </w:r>
      <w:r>
        <w:rPr>
          <w:spacing w:val="-2"/>
        </w:rPr>
        <w:t> </w:t>
      </w:r>
      <w:r>
        <w:rPr/>
        <w:t>(2007).</w:t>
      </w:r>
      <w:r>
        <w:rPr>
          <w:spacing w:val="-2"/>
        </w:rPr>
        <w:t> </w:t>
      </w:r>
      <w:r>
        <w:rPr/>
        <w:t>Defining</w:t>
      </w:r>
      <w:r>
        <w:rPr>
          <w:spacing w:val="-5"/>
        </w:rPr>
        <w:t> </w:t>
      </w:r>
      <w:r>
        <w:rPr/>
        <w:t>housing</w:t>
      </w:r>
      <w:r>
        <w:rPr>
          <w:spacing w:val="-4"/>
        </w:rPr>
        <w:t> </w:t>
      </w:r>
      <w:r>
        <w:rPr/>
        <w:t>market</w:t>
      </w:r>
      <w:r>
        <w:rPr>
          <w:spacing w:val="-2"/>
        </w:rPr>
        <w:t> </w:t>
      </w:r>
      <w:r>
        <w:rPr/>
        <w:t>areas</w:t>
      </w:r>
      <w:r>
        <w:rPr>
          <w:spacing w:val="-2"/>
        </w:rPr>
        <w:t> </w:t>
      </w:r>
      <w:r>
        <w:rPr/>
        <w:t>using</w:t>
      </w:r>
      <w:r>
        <w:rPr>
          <w:spacing w:val="-3"/>
        </w:rPr>
        <w:t> </w:t>
      </w:r>
      <w:r>
        <w:rPr/>
        <w:t>commuting</w:t>
      </w:r>
      <w:r>
        <w:rPr>
          <w:spacing w:val="-5"/>
        </w:rPr>
        <w:t> </w:t>
      </w:r>
      <w:r>
        <w:rPr/>
        <w:t>and migration</w:t>
      </w:r>
      <w:r>
        <w:rPr>
          <w:spacing w:val="-2"/>
        </w:rPr>
        <w:t> </w:t>
      </w:r>
      <w:r>
        <w:rPr/>
        <w:t>algorithms.</w:t>
      </w:r>
      <w:r>
        <w:rPr>
          <w:spacing w:val="-4"/>
        </w:rPr>
        <w:t> </w:t>
      </w:r>
      <w:r>
        <w:rPr/>
        <w:t>Catalonia</w:t>
      </w:r>
      <w:r>
        <w:rPr>
          <w:spacing w:val="-4"/>
        </w:rPr>
        <w:t> </w:t>
      </w:r>
      <w:r>
        <w:rPr/>
        <w:t>(Spain)</w:t>
      </w:r>
      <w:r>
        <w:rPr>
          <w:spacing w:val="-4"/>
        </w:rPr>
        <w:t> </w:t>
      </w:r>
      <w:r>
        <w:rPr/>
        <w:t>as</w:t>
      </w:r>
      <w:r>
        <w:rPr>
          <w:spacing w:val="-2"/>
        </w:rPr>
        <w:t> </w:t>
      </w:r>
      <w:r>
        <w:rPr/>
        <w:t>an</w:t>
      </w:r>
      <w:r>
        <w:rPr>
          <w:spacing w:val="-2"/>
        </w:rPr>
        <w:t> </w:t>
      </w:r>
      <w:r>
        <w:rPr/>
        <w:t>applied</w:t>
      </w:r>
      <w:r>
        <w:rPr>
          <w:spacing w:val="-4"/>
        </w:rPr>
        <w:t> </w:t>
      </w:r>
      <w:r>
        <w:rPr/>
        <w:t>case</w:t>
      </w:r>
      <w:r>
        <w:rPr>
          <w:spacing w:val="-5"/>
        </w:rPr>
        <w:t> </w:t>
      </w:r>
      <w:r>
        <w:rPr/>
        <w:t>study. </w:t>
      </w:r>
      <w:r>
        <w:rPr>
          <w:i/>
        </w:rPr>
        <w:t>IREA–Working Papers, 2007, IR07/07</w:t>
      </w:r>
      <w:r>
        <w:rPr/>
        <w:t>.</w:t>
      </w:r>
    </w:p>
    <w:p>
      <w:pPr>
        <w:pStyle w:val="BodyText"/>
        <w:spacing w:before="191"/>
        <w:ind w:left="1025" w:right="514" w:hanging="720"/>
      </w:pPr>
      <w:r>
        <w:rPr/>
        <w:t>Saenko,</w:t>
      </w:r>
      <w:r>
        <w:rPr>
          <w:spacing w:val="-3"/>
        </w:rPr>
        <w:t> </w:t>
      </w:r>
      <w:r>
        <w:rPr/>
        <w:t>I.,</w:t>
      </w:r>
      <w:r>
        <w:rPr>
          <w:spacing w:val="-6"/>
        </w:rPr>
        <w:t> </w:t>
      </w:r>
      <w:r>
        <w:rPr/>
        <w:t>Kushina,</w:t>
      </w:r>
      <w:r>
        <w:rPr>
          <w:spacing w:val="-3"/>
        </w:rPr>
        <w:t> </w:t>
      </w:r>
      <w:r>
        <w:rPr/>
        <w:t>E.,</w:t>
      </w:r>
      <w:r>
        <w:rPr>
          <w:spacing w:val="-3"/>
        </w:rPr>
        <w:t> </w:t>
      </w:r>
      <w:r>
        <w:rPr/>
        <w:t>&amp;</w:t>
      </w:r>
      <w:r>
        <w:rPr>
          <w:spacing w:val="-8"/>
        </w:rPr>
        <w:t> </w:t>
      </w:r>
      <w:r>
        <w:rPr/>
        <w:t>Pukhova,</w:t>
      </w:r>
      <w:r>
        <w:rPr>
          <w:spacing w:val="-6"/>
        </w:rPr>
        <w:t> </w:t>
      </w:r>
      <w:r>
        <w:rPr/>
        <w:t>V.</w:t>
      </w:r>
      <w:r>
        <w:rPr>
          <w:spacing w:val="-3"/>
        </w:rPr>
        <w:t> </w:t>
      </w:r>
      <w:r>
        <w:rPr/>
        <w:t>(2018).</w:t>
      </w:r>
      <w:r>
        <w:rPr>
          <w:spacing w:val="-6"/>
        </w:rPr>
        <w:t> </w:t>
      </w:r>
      <w:r>
        <w:rPr/>
        <w:t>Verification</w:t>
      </w:r>
      <w:r>
        <w:rPr>
          <w:spacing w:val="-6"/>
        </w:rPr>
        <w:t> </w:t>
      </w:r>
      <w:r>
        <w:rPr/>
        <w:t>of</w:t>
      </w:r>
      <w:r>
        <w:rPr>
          <w:spacing w:val="-4"/>
        </w:rPr>
        <w:t> </w:t>
      </w:r>
      <w:r>
        <w:rPr/>
        <w:t>the</w:t>
      </w:r>
      <w:r>
        <w:rPr>
          <w:spacing w:val="-6"/>
        </w:rPr>
        <w:t> </w:t>
      </w:r>
      <w:r>
        <w:rPr/>
        <w:t>dependence</w:t>
      </w:r>
      <w:r>
        <w:rPr>
          <w:spacing w:val="-7"/>
        </w:rPr>
        <w:t> </w:t>
      </w:r>
      <w:r>
        <w:rPr/>
        <w:t>of</w:t>
      </w:r>
      <w:r>
        <w:rPr>
          <w:spacing w:val="-3"/>
        </w:rPr>
        <w:t> </w:t>
      </w:r>
      <w:r>
        <w:rPr/>
        <w:t>factors determining the market value of residential real estate at the stages of the life cycle. </w:t>
      </w:r>
      <w:r>
        <w:rPr>
          <w:i/>
        </w:rPr>
        <w:t>MATEC Web of Conferences</w:t>
      </w:r>
      <w:r>
        <w:rPr/>
        <w:t>, </w:t>
      </w:r>
      <w:r>
        <w:rPr>
          <w:i/>
        </w:rPr>
        <w:t>212</w:t>
      </w:r>
      <w:r>
        <w:rPr/>
        <w:t>, 1–6. </w:t>
      </w:r>
      <w:r>
        <w:rPr>
          <w:spacing w:val="-2"/>
        </w:rPr>
        <w:t>https://doi.org/10.1051/matecconf/201821203002</w:t>
      </w:r>
    </w:p>
    <w:p>
      <w:pPr>
        <w:spacing w:before="199"/>
        <w:ind w:left="305" w:right="0" w:firstLine="0"/>
        <w:jc w:val="left"/>
        <w:rPr>
          <w:i/>
          <w:sz w:val="24"/>
        </w:rPr>
      </w:pPr>
      <w:r>
        <w:rPr>
          <w:sz w:val="24"/>
        </w:rPr>
        <w:t>Saether,</w:t>
      </w:r>
      <w:r>
        <w:rPr>
          <w:spacing w:val="73"/>
          <w:sz w:val="24"/>
        </w:rPr>
        <w:t> </w:t>
      </w:r>
      <w:r>
        <w:rPr>
          <w:sz w:val="24"/>
        </w:rPr>
        <w:t>J.</w:t>
      </w:r>
      <w:r>
        <w:rPr>
          <w:spacing w:val="75"/>
          <w:sz w:val="24"/>
        </w:rPr>
        <w:t> </w:t>
      </w:r>
      <w:r>
        <w:rPr>
          <w:sz w:val="24"/>
        </w:rPr>
        <w:t>P.</w:t>
      </w:r>
      <w:r>
        <w:rPr>
          <w:spacing w:val="75"/>
          <w:sz w:val="24"/>
        </w:rPr>
        <w:t> </w:t>
      </w:r>
      <w:r>
        <w:rPr>
          <w:sz w:val="24"/>
        </w:rPr>
        <w:t>(2008).</w:t>
      </w:r>
      <w:r>
        <w:rPr>
          <w:spacing w:val="51"/>
          <w:w w:val="150"/>
          <w:sz w:val="24"/>
        </w:rPr>
        <w:t> </w:t>
      </w:r>
      <w:r>
        <w:rPr>
          <w:i/>
          <w:sz w:val="24"/>
        </w:rPr>
        <w:t>Fluctuations</w:t>
      </w:r>
      <w:r>
        <w:rPr>
          <w:i/>
          <w:spacing w:val="76"/>
          <w:sz w:val="24"/>
        </w:rPr>
        <w:t> </w:t>
      </w:r>
      <w:r>
        <w:rPr>
          <w:i/>
          <w:sz w:val="24"/>
        </w:rPr>
        <w:t>in</w:t>
      </w:r>
      <w:r>
        <w:rPr>
          <w:i/>
          <w:spacing w:val="76"/>
          <w:sz w:val="24"/>
        </w:rPr>
        <w:t> </w:t>
      </w:r>
      <w:r>
        <w:rPr>
          <w:i/>
          <w:sz w:val="24"/>
        </w:rPr>
        <w:t>housing</w:t>
      </w:r>
      <w:r>
        <w:rPr>
          <w:i/>
          <w:spacing w:val="75"/>
          <w:sz w:val="24"/>
        </w:rPr>
        <w:t> </w:t>
      </w:r>
      <w:r>
        <w:rPr>
          <w:i/>
          <w:sz w:val="24"/>
        </w:rPr>
        <w:t>markets,</w:t>
      </w:r>
      <w:r>
        <w:rPr>
          <w:i/>
          <w:spacing w:val="78"/>
          <w:sz w:val="24"/>
        </w:rPr>
        <w:t> </w:t>
      </w:r>
      <w:r>
        <w:rPr>
          <w:i/>
          <w:sz w:val="24"/>
        </w:rPr>
        <w:t>causes</w:t>
      </w:r>
      <w:r>
        <w:rPr>
          <w:i/>
          <w:spacing w:val="77"/>
          <w:sz w:val="24"/>
        </w:rPr>
        <w:t> </w:t>
      </w:r>
      <w:r>
        <w:rPr>
          <w:i/>
          <w:sz w:val="24"/>
        </w:rPr>
        <w:t>and</w:t>
      </w:r>
      <w:r>
        <w:rPr>
          <w:i/>
          <w:spacing w:val="78"/>
          <w:sz w:val="24"/>
        </w:rPr>
        <w:t> </w:t>
      </w:r>
      <w:r>
        <w:rPr>
          <w:i/>
          <w:spacing w:val="-2"/>
          <w:sz w:val="24"/>
        </w:rPr>
        <w:t>consequences</w:t>
      </w:r>
    </w:p>
    <w:p>
      <w:pPr>
        <w:pStyle w:val="BodyText"/>
        <w:spacing w:before="3"/>
        <w:ind w:left="1025"/>
        <w:jc w:val="left"/>
      </w:pPr>
      <w:r>
        <w:rPr/>
        <w:t>(Master’s</w:t>
      </w:r>
      <w:r>
        <w:rPr>
          <w:spacing w:val="-2"/>
        </w:rPr>
        <w:t> </w:t>
      </w:r>
      <w:r>
        <w:rPr/>
        <w:t>Thesis).</w:t>
      </w:r>
      <w:r>
        <w:rPr>
          <w:spacing w:val="-2"/>
        </w:rPr>
        <w:t> </w:t>
      </w:r>
      <w:r>
        <w:rPr/>
        <w:t>The</w:t>
      </w:r>
      <w:r>
        <w:rPr>
          <w:spacing w:val="-2"/>
        </w:rPr>
        <w:t> </w:t>
      </w:r>
      <w:r>
        <w:rPr/>
        <w:t>University</w:t>
      </w:r>
      <w:r>
        <w:rPr>
          <w:spacing w:val="-5"/>
        </w:rPr>
        <w:t> </w:t>
      </w:r>
      <w:r>
        <w:rPr/>
        <w:t>of </w:t>
      </w:r>
      <w:r>
        <w:rPr>
          <w:spacing w:val="-2"/>
        </w:rPr>
        <w:t>Bergen.</w:t>
      </w:r>
    </w:p>
    <w:p>
      <w:pPr>
        <w:pStyle w:val="BodyText"/>
        <w:spacing w:line="242" w:lineRule="auto" w:before="199"/>
        <w:ind w:left="1025" w:right="513" w:hanging="720"/>
      </w:pPr>
      <w:r>
        <w:rPr/>
        <w:t>Sandmo, A. (2014). The market in economics: Behavioural assumptions and value judgments. </w:t>
      </w:r>
      <w:r>
        <w:rPr>
          <w:i/>
        </w:rPr>
        <w:t>SSRN Electronic Journal</w:t>
      </w:r>
      <w:r>
        <w:rPr/>
        <w:t>. https://doi.org/10.2139/ssrn.2432934</w:t>
      </w:r>
    </w:p>
    <w:p>
      <w:pPr>
        <w:pStyle w:val="BodyText"/>
        <w:spacing w:before="194"/>
        <w:ind w:left="1025" w:right="511" w:hanging="720"/>
      </w:pPr>
      <w:r>
        <w:rPr/>
        <w:t>Saurav, C., Kakoli, D., &amp; Utpal, R. (2015). Concentrated or dispersed urbanization: A critical analysis of newly emerged census towns of west Bengal, India in 2011. </w:t>
      </w:r>
      <w:r>
        <w:rPr>
          <w:i/>
        </w:rPr>
        <w:t>Journal of Geography and Regional Planning</w:t>
      </w:r>
      <w:r>
        <w:rPr/>
        <w:t>, </w:t>
      </w:r>
      <w:r>
        <w:rPr>
          <w:i/>
        </w:rPr>
        <w:t>8</w:t>
      </w:r>
      <w:r>
        <w:rPr/>
        <w:t>(9), 218–227. </w:t>
      </w:r>
      <w:r>
        <w:rPr>
          <w:spacing w:val="-2"/>
        </w:rPr>
        <w:t>https://doi.org/10.5897/JGRP2015.0503</w:t>
      </w:r>
    </w:p>
    <w:p>
      <w:pPr>
        <w:pStyle w:val="BodyText"/>
        <w:spacing w:before="200"/>
        <w:ind w:left="1025" w:right="516" w:hanging="720"/>
      </w:pPr>
      <w:r>
        <w:rPr/>
        <w:t>Schmidt-Thomé, K., Haybatollahi, M., Kyttä, M., &amp; Korpi, J. (2013). The prospects for urban densification: A place-based study. </w:t>
      </w:r>
      <w:r>
        <w:rPr>
          <w:i/>
        </w:rPr>
        <w:t>Environmental Research Letters</w:t>
      </w:r>
      <w:r>
        <w:rPr/>
        <w:t>, </w:t>
      </w:r>
      <w:r>
        <w:rPr>
          <w:i/>
        </w:rPr>
        <w:t>8</w:t>
      </w:r>
      <w:r>
        <w:rPr/>
        <w:t>(2), 025020. https://doi.org/10.1088/1748-9326/8/2/025020</w:t>
      </w:r>
    </w:p>
    <w:p>
      <w:pPr>
        <w:pStyle w:val="BodyText"/>
        <w:spacing w:before="201"/>
        <w:ind w:left="1025" w:right="514" w:hanging="720"/>
      </w:pPr>
      <w:r>
        <w:rPr/>
        <w:t>Selim, H. (2009). Determinants of house prices in Turkey: Hedonic regression versus artificial neural network. </w:t>
      </w:r>
      <w:r>
        <w:rPr>
          <w:i/>
        </w:rPr>
        <w:t>Expert Systems with Applications</w:t>
      </w:r>
      <w:r>
        <w:rPr/>
        <w:t>, </w:t>
      </w:r>
      <w:r>
        <w:rPr>
          <w:i/>
        </w:rPr>
        <w:t>36</w:t>
      </w:r>
      <w:r>
        <w:rPr/>
        <w:t>(2), 2843–2852. </w:t>
      </w:r>
      <w:r>
        <w:rPr>
          <w:spacing w:val="-2"/>
        </w:rPr>
        <w:t>https://doi.org/10.1016/j.eswa.2008.01.044</w:t>
      </w:r>
    </w:p>
    <w:p>
      <w:pPr>
        <w:tabs>
          <w:tab w:pos="4794" w:val="left" w:leader="none"/>
          <w:tab w:pos="8344" w:val="left" w:leader="none"/>
        </w:tabs>
        <w:spacing w:line="240" w:lineRule="auto" w:before="200"/>
        <w:ind w:left="1025" w:right="512" w:hanging="720"/>
        <w:jc w:val="both"/>
        <w:rPr>
          <w:sz w:val="24"/>
        </w:rPr>
      </w:pPr>
      <w:r>
        <w:rPr>
          <w:sz w:val="24"/>
        </w:rPr>
        <w:t>Seo,</w:t>
      </w:r>
      <w:r>
        <w:rPr>
          <w:spacing w:val="-6"/>
          <w:sz w:val="24"/>
        </w:rPr>
        <w:t> </w:t>
      </w:r>
      <w:r>
        <w:rPr>
          <w:sz w:val="24"/>
        </w:rPr>
        <w:t>W.</w:t>
      </w:r>
      <w:r>
        <w:rPr>
          <w:spacing w:val="-6"/>
          <w:sz w:val="24"/>
        </w:rPr>
        <w:t> </w:t>
      </w:r>
      <w:r>
        <w:rPr>
          <w:sz w:val="24"/>
        </w:rPr>
        <w:t>(2008).</w:t>
      </w:r>
      <w:r>
        <w:rPr>
          <w:spacing w:val="-6"/>
          <w:sz w:val="24"/>
        </w:rPr>
        <w:t> </w:t>
      </w:r>
      <w:r>
        <w:rPr>
          <w:i/>
          <w:sz w:val="24"/>
        </w:rPr>
        <w:t>Spatial</w:t>
      </w:r>
      <w:r>
        <w:rPr>
          <w:i/>
          <w:spacing w:val="-5"/>
          <w:sz w:val="24"/>
        </w:rPr>
        <w:t> </w:t>
      </w:r>
      <w:r>
        <w:rPr>
          <w:i/>
          <w:sz w:val="24"/>
        </w:rPr>
        <w:t>impacts</w:t>
      </w:r>
      <w:r>
        <w:rPr>
          <w:i/>
          <w:spacing w:val="-5"/>
          <w:sz w:val="24"/>
        </w:rPr>
        <w:t> </w:t>
      </w:r>
      <w:r>
        <w:rPr>
          <w:i/>
          <w:sz w:val="24"/>
        </w:rPr>
        <w:t>of</w:t>
      </w:r>
      <w:r>
        <w:rPr>
          <w:i/>
          <w:spacing w:val="-5"/>
          <w:sz w:val="24"/>
        </w:rPr>
        <w:t> </w:t>
      </w:r>
      <w:r>
        <w:rPr>
          <w:i/>
          <w:sz w:val="24"/>
        </w:rPr>
        <w:t>micro</w:t>
      </w:r>
      <w:r>
        <w:rPr>
          <w:i/>
          <w:spacing w:val="-5"/>
          <w:sz w:val="24"/>
        </w:rPr>
        <w:t> </w:t>
      </w:r>
      <w:r>
        <w:rPr>
          <w:i/>
          <w:sz w:val="24"/>
        </w:rPr>
        <w:t>neighborhood</w:t>
      </w:r>
      <w:r>
        <w:rPr>
          <w:i/>
          <w:spacing w:val="-6"/>
          <w:sz w:val="24"/>
        </w:rPr>
        <w:t> </w:t>
      </w:r>
      <w:r>
        <w:rPr>
          <w:i/>
          <w:sz w:val="24"/>
        </w:rPr>
        <w:t>environments</w:t>
      </w:r>
      <w:r>
        <w:rPr>
          <w:i/>
          <w:spacing w:val="-5"/>
          <w:sz w:val="24"/>
        </w:rPr>
        <w:t> </w:t>
      </w:r>
      <w:r>
        <w:rPr>
          <w:i/>
          <w:sz w:val="24"/>
        </w:rPr>
        <w:t>on</w:t>
      </w:r>
      <w:r>
        <w:rPr>
          <w:i/>
          <w:spacing w:val="-6"/>
          <w:sz w:val="24"/>
        </w:rPr>
        <w:t> </w:t>
      </w:r>
      <w:r>
        <w:rPr>
          <w:i/>
          <w:sz w:val="24"/>
        </w:rPr>
        <w:t>residential</w:t>
      </w:r>
      <w:r>
        <w:rPr>
          <w:i/>
          <w:spacing w:val="-5"/>
          <w:sz w:val="24"/>
        </w:rPr>
        <w:t> </w:t>
      </w:r>
      <w:r>
        <w:rPr>
          <w:i/>
          <w:sz w:val="24"/>
        </w:rPr>
        <w:t>real estate resale values: The importance of physical disorder </w:t>
      </w:r>
      <w:r>
        <w:rPr>
          <w:sz w:val="24"/>
        </w:rPr>
        <w:t>(The Ohio </w:t>
      </w:r>
      <w:r>
        <w:rPr>
          <w:sz w:val="24"/>
        </w:rPr>
        <w:t>State </w:t>
      </w:r>
      <w:r>
        <w:rPr>
          <w:spacing w:val="-2"/>
          <w:sz w:val="24"/>
        </w:rPr>
        <w:t>University).</w:t>
      </w:r>
      <w:r>
        <w:rPr>
          <w:sz w:val="24"/>
        </w:rPr>
        <w:tab/>
      </w:r>
      <w:r>
        <w:rPr>
          <w:spacing w:val="-2"/>
          <w:sz w:val="24"/>
        </w:rPr>
        <w:t>Retrieved</w:t>
      </w:r>
      <w:r>
        <w:rPr>
          <w:sz w:val="24"/>
        </w:rPr>
        <w:tab/>
      </w:r>
      <w:r>
        <w:rPr>
          <w:spacing w:val="-4"/>
          <w:sz w:val="24"/>
        </w:rPr>
        <w:t>from </w:t>
      </w:r>
      <w:hyperlink r:id="rId48">
        <w:r>
          <w:rPr>
            <w:spacing w:val="-2"/>
            <w:sz w:val="24"/>
          </w:rPr>
          <w:t>http://rave.ohiolink.edu/etdc/view?acc_num=osu1228281862</w:t>
        </w:r>
      </w:hyperlink>
    </w:p>
    <w:p>
      <w:pPr>
        <w:spacing w:line="240" w:lineRule="auto" w:before="199"/>
        <w:ind w:left="1025" w:right="512" w:hanging="720"/>
        <w:jc w:val="both"/>
        <w:rPr>
          <w:sz w:val="24"/>
        </w:rPr>
      </w:pPr>
      <w:r>
        <w:rPr>
          <w:sz w:val="24"/>
        </w:rPr>
        <w:t>Sopranzetti, B. J. (2015). Hedonic regression models. In C. F. Lee &amp; J. Lee (Eds.), </w:t>
      </w:r>
      <w:r>
        <w:rPr>
          <w:i/>
          <w:sz w:val="24"/>
        </w:rPr>
        <w:t>Handbook</w:t>
      </w:r>
      <w:r>
        <w:rPr>
          <w:i/>
          <w:spacing w:val="-11"/>
          <w:sz w:val="24"/>
        </w:rPr>
        <w:t> </w:t>
      </w:r>
      <w:r>
        <w:rPr>
          <w:i/>
          <w:sz w:val="24"/>
        </w:rPr>
        <w:t>of</w:t>
      </w:r>
      <w:r>
        <w:rPr>
          <w:i/>
          <w:spacing w:val="-9"/>
          <w:sz w:val="24"/>
        </w:rPr>
        <w:t> </w:t>
      </w:r>
      <w:r>
        <w:rPr>
          <w:i/>
          <w:sz w:val="24"/>
        </w:rPr>
        <w:t>Financial</w:t>
      </w:r>
      <w:r>
        <w:rPr>
          <w:i/>
          <w:spacing w:val="-6"/>
          <w:sz w:val="24"/>
        </w:rPr>
        <w:t> </w:t>
      </w:r>
      <w:r>
        <w:rPr>
          <w:i/>
          <w:sz w:val="24"/>
        </w:rPr>
        <w:t>Econometrics</w:t>
      </w:r>
      <w:r>
        <w:rPr>
          <w:i/>
          <w:spacing w:val="-9"/>
          <w:sz w:val="24"/>
        </w:rPr>
        <w:t> </w:t>
      </w:r>
      <w:r>
        <w:rPr>
          <w:i/>
          <w:sz w:val="24"/>
        </w:rPr>
        <w:t>and</w:t>
      </w:r>
      <w:r>
        <w:rPr>
          <w:i/>
          <w:spacing w:val="-7"/>
          <w:sz w:val="24"/>
        </w:rPr>
        <w:t> </w:t>
      </w:r>
      <w:r>
        <w:rPr>
          <w:i/>
          <w:sz w:val="24"/>
        </w:rPr>
        <w:t>Statistics</w:t>
      </w:r>
      <w:r>
        <w:rPr>
          <w:i/>
          <w:spacing w:val="-6"/>
          <w:sz w:val="24"/>
        </w:rPr>
        <w:t> </w:t>
      </w:r>
      <w:r>
        <w:rPr>
          <w:sz w:val="24"/>
        </w:rPr>
        <w:t>(pp.</w:t>
      </w:r>
      <w:r>
        <w:rPr>
          <w:spacing w:val="-10"/>
          <w:sz w:val="24"/>
        </w:rPr>
        <w:t> </w:t>
      </w:r>
      <w:r>
        <w:rPr>
          <w:sz w:val="24"/>
        </w:rPr>
        <w:t>2119–2134).</w:t>
      </w:r>
      <w:r>
        <w:rPr>
          <w:spacing w:val="-7"/>
          <w:sz w:val="24"/>
        </w:rPr>
        <w:t> </w:t>
      </w:r>
      <w:r>
        <w:rPr>
          <w:sz w:val="24"/>
        </w:rPr>
        <w:t>New</w:t>
      </w:r>
      <w:r>
        <w:rPr>
          <w:spacing w:val="-7"/>
          <w:sz w:val="24"/>
        </w:rPr>
        <w:t> </w:t>
      </w:r>
      <w:r>
        <w:rPr>
          <w:sz w:val="24"/>
        </w:rPr>
        <w:t>York: Springer Science+Business Media.</w:t>
      </w:r>
    </w:p>
    <w:p>
      <w:pPr>
        <w:spacing w:line="240" w:lineRule="auto" w:before="202"/>
        <w:ind w:left="1025" w:right="512" w:hanging="720"/>
        <w:jc w:val="both"/>
        <w:rPr>
          <w:sz w:val="24"/>
        </w:rPr>
      </w:pPr>
      <w:r>
        <w:rPr>
          <w:sz w:val="24"/>
        </w:rPr>
        <w:t>Ståhle,</w:t>
      </w:r>
      <w:r>
        <w:rPr>
          <w:spacing w:val="-2"/>
          <w:sz w:val="24"/>
        </w:rPr>
        <w:t> </w:t>
      </w:r>
      <w:r>
        <w:rPr>
          <w:sz w:val="24"/>
        </w:rPr>
        <w:t>A.,</w:t>
      </w:r>
      <w:r>
        <w:rPr>
          <w:spacing w:val="-3"/>
          <w:sz w:val="24"/>
        </w:rPr>
        <w:t> </w:t>
      </w:r>
      <w:r>
        <w:rPr>
          <w:sz w:val="24"/>
        </w:rPr>
        <w:t>Kungliga</w:t>
      </w:r>
      <w:r>
        <w:rPr>
          <w:spacing w:val="-3"/>
          <w:sz w:val="24"/>
        </w:rPr>
        <w:t> </w:t>
      </w:r>
      <w:r>
        <w:rPr>
          <w:sz w:val="24"/>
        </w:rPr>
        <w:t>Tekniska</w:t>
      </w:r>
      <w:r>
        <w:rPr>
          <w:spacing w:val="-3"/>
          <w:sz w:val="24"/>
        </w:rPr>
        <w:t> </w:t>
      </w:r>
      <w:r>
        <w:rPr>
          <w:sz w:val="24"/>
        </w:rPr>
        <w:t>högskolan, &amp;</w:t>
      </w:r>
      <w:r>
        <w:rPr>
          <w:spacing w:val="-4"/>
          <w:sz w:val="24"/>
        </w:rPr>
        <w:t> </w:t>
      </w:r>
      <w:r>
        <w:rPr>
          <w:sz w:val="24"/>
        </w:rPr>
        <w:t>Arkitekturskolan.</w:t>
      </w:r>
      <w:r>
        <w:rPr>
          <w:spacing w:val="-3"/>
          <w:sz w:val="24"/>
        </w:rPr>
        <w:t> </w:t>
      </w:r>
      <w:r>
        <w:rPr>
          <w:sz w:val="24"/>
        </w:rPr>
        <w:t>(2008). </w:t>
      </w:r>
      <w:r>
        <w:rPr>
          <w:i/>
          <w:sz w:val="24"/>
        </w:rPr>
        <w:t>Compact</w:t>
      </w:r>
      <w:r>
        <w:rPr>
          <w:i/>
          <w:spacing w:val="-2"/>
          <w:sz w:val="24"/>
        </w:rPr>
        <w:t> </w:t>
      </w:r>
      <w:r>
        <w:rPr>
          <w:i/>
          <w:sz w:val="24"/>
        </w:rPr>
        <w:t>sprawl: Exploring public open space and contradictions in urban density</w:t>
      </w:r>
      <w:r>
        <w:rPr>
          <w:sz w:val="24"/>
        </w:rPr>
        <w:t>. School of Architecture, KTH, Stockholm.</w:t>
      </w:r>
    </w:p>
    <w:p>
      <w:pPr>
        <w:spacing w:before="199"/>
        <w:ind w:left="305" w:right="0" w:firstLine="0"/>
        <w:jc w:val="left"/>
        <w:rPr>
          <w:i/>
          <w:sz w:val="24"/>
        </w:rPr>
      </w:pPr>
      <w:r>
        <w:rPr>
          <w:sz w:val="24"/>
        </w:rPr>
        <w:t>Sulyman,</w:t>
      </w:r>
      <w:r>
        <w:rPr>
          <w:spacing w:val="57"/>
          <w:sz w:val="24"/>
        </w:rPr>
        <w:t> </w:t>
      </w:r>
      <w:r>
        <w:rPr>
          <w:sz w:val="24"/>
        </w:rPr>
        <w:t>A.</w:t>
      </w:r>
      <w:r>
        <w:rPr>
          <w:spacing w:val="58"/>
          <w:sz w:val="24"/>
        </w:rPr>
        <w:t> </w:t>
      </w:r>
      <w:r>
        <w:rPr>
          <w:sz w:val="24"/>
        </w:rPr>
        <w:t>O.</w:t>
      </w:r>
      <w:r>
        <w:rPr>
          <w:spacing w:val="57"/>
          <w:sz w:val="24"/>
        </w:rPr>
        <w:t> </w:t>
      </w:r>
      <w:r>
        <w:rPr>
          <w:sz w:val="24"/>
        </w:rPr>
        <w:t>(2015).</w:t>
      </w:r>
      <w:r>
        <w:rPr>
          <w:spacing w:val="62"/>
          <w:sz w:val="24"/>
        </w:rPr>
        <w:t> </w:t>
      </w:r>
      <w:r>
        <w:rPr>
          <w:i/>
          <w:sz w:val="24"/>
        </w:rPr>
        <w:t>Introduction</w:t>
      </w:r>
      <w:r>
        <w:rPr>
          <w:i/>
          <w:spacing w:val="57"/>
          <w:sz w:val="24"/>
        </w:rPr>
        <w:t> </w:t>
      </w:r>
      <w:r>
        <w:rPr>
          <w:i/>
          <w:sz w:val="24"/>
        </w:rPr>
        <w:t>to</w:t>
      </w:r>
      <w:r>
        <w:rPr>
          <w:i/>
          <w:spacing w:val="60"/>
          <w:sz w:val="24"/>
        </w:rPr>
        <w:t> </w:t>
      </w:r>
      <w:r>
        <w:rPr>
          <w:i/>
          <w:sz w:val="24"/>
        </w:rPr>
        <w:t>housing</w:t>
      </w:r>
      <w:r>
        <w:rPr>
          <w:i/>
          <w:spacing w:val="58"/>
          <w:sz w:val="24"/>
        </w:rPr>
        <w:t> </w:t>
      </w:r>
      <w:r>
        <w:rPr>
          <w:i/>
          <w:sz w:val="24"/>
        </w:rPr>
        <w:t>(Basic</w:t>
      </w:r>
      <w:r>
        <w:rPr>
          <w:i/>
          <w:spacing w:val="61"/>
          <w:sz w:val="24"/>
        </w:rPr>
        <w:t> </w:t>
      </w:r>
      <w:r>
        <w:rPr>
          <w:i/>
          <w:sz w:val="24"/>
        </w:rPr>
        <w:t>concepts</w:t>
      </w:r>
      <w:r>
        <w:rPr>
          <w:i/>
          <w:spacing w:val="59"/>
          <w:sz w:val="24"/>
        </w:rPr>
        <w:t> </w:t>
      </w:r>
      <w:r>
        <w:rPr>
          <w:i/>
          <w:sz w:val="24"/>
        </w:rPr>
        <w:t>and</w:t>
      </w:r>
      <w:r>
        <w:rPr>
          <w:i/>
          <w:spacing w:val="59"/>
          <w:sz w:val="24"/>
        </w:rPr>
        <w:t> </w:t>
      </w:r>
      <w:r>
        <w:rPr>
          <w:i/>
          <w:spacing w:val="-2"/>
          <w:sz w:val="24"/>
        </w:rPr>
        <w:t>applications)</w:t>
      </w:r>
    </w:p>
    <w:p>
      <w:pPr>
        <w:pStyle w:val="BodyText"/>
        <w:spacing w:before="3"/>
        <w:ind w:left="1025"/>
        <w:jc w:val="left"/>
      </w:pPr>
      <w:r>
        <w:rPr/>
        <w:t>(Revised</w:t>
      </w:r>
      <w:r>
        <w:rPr>
          <w:spacing w:val="-1"/>
        </w:rPr>
        <w:t> </w:t>
      </w:r>
      <w:r>
        <w:rPr/>
        <w:t>Edition). Minna: King</w:t>
      </w:r>
      <w:r>
        <w:rPr>
          <w:spacing w:val="-2"/>
        </w:rPr>
        <w:t> </w:t>
      </w:r>
      <w:r>
        <w:rPr/>
        <w:t>James Publishing</w:t>
      </w:r>
      <w:r>
        <w:rPr>
          <w:spacing w:val="-3"/>
        </w:rPr>
        <w:t> </w:t>
      </w:r>
      <w:r>
        <w:rPr>
          <w:spacing w:val="-2"/>
        </w:rPr>
        <w:t>House.</w:t>
      </w:r>
    </w:p>
    <w:p>
      <w:pPr>
        <w:pStyle w:val="BodyText"/>
        <w:spacing w:before="197"/>
        <w:ind w:left="1025" w:right="510" w:hanging="720"/>
      </w:pPr>
      <w:r>
        <w:rPr/>
        <w:t>Than-Thi, H., Dong, M. C., &amp; Chen, C. W. S. (2019). Bayesian modelling structural changes on housing price dynamics. In V. Kreinovich &amp; S. Sriboonchitta (Eds.), </w:t>
      </w:r>
      <w:r>
        <w:rPr>
          <w:i/>
        </w:rPr>
        <w:t>Structural Changes and their Econometric Modeling </w:t>
      </w:r>
      <w:r>
        <w:rPr/>
        <w:t>(Vol. 808, pp. 83–104). </w:t>
      </w:r>
      <w:r>
        <w:rPr>
          <w:spacing w:val="-2"/>
        </w:rPr>
        <w:t>https://doi.org/10.1007/978-3-030-04263-9_6</w:t>
      </w:r>
    </w:p>
    <w:p>
      <w:pPr>
        <w:pStyle w:val="BodyText"/>
        <w:spacing w:before="199"/>
        <w:ind w:left="1025" w:right="513" w:hanging="720"/>
      </w:pPr>
      <w:r>
        <w:rPr/>
        <w:t>Treija, S., Bratuškins, U., &amp; Koroļova, A. (2018). Urban densification of large housing estates in the context of privatisation of public open space: The case of Imanta, Riga. </w:t>
      </w:r>
      <w:r>
        <w:rPr>
          <w:i/>
        </w:rPr>
        <w:t>Architecture and Urban Planning</w:t>
      </w:r>
      <w:r>
        <w:rPr/>
        <w:t>, </w:t>
      </w:r>
      <w:r>
        <w:rPr>
          <w:i/>
        </w:rPr>
        <w:t>14</w:t>
      </w:r>
      <w:r>
        <w:rPr/>
        <w:t>(1), 105–110. </w:t>
      </w:r>
      <w:r>
        <w:rPr>
          <w:spacing w:val="-2"/>
        </w:rPr>
        <w:t>https://doi.org/10.2478/aup-2018-0014</w:t>
      </w:r>
    </w:p>
    <w:p>
      <w:pPr>
        <w:spacing w:after="0"/>
        <w:sectPr>
          <w:pgSz w:w="11910" w:h="16840"/>
          <w:pgMar w:header="0" w:footer="1022" w:top="1320" w:bottom="1220" w:left="1680" w:right="900"/>
        </w:sectPr>
      </w:pPr>
    </w:p>
    <w:p>
      <w:pPr>
        <w:pStyle w:val="BodyText"/>
        <w:spacing w:before="72"/>
        <w:ind w:left="305"/>
        <w:jc w:val="left"/>
      </w:pPr>
      <w:r>
        <w:rPr/>
        <w:t>Troy,</w:t>
      </w:r>
      <w:r>
        <w:rPr>
          <w:spacing w:val="-2"/>
        </w:rPr>
        <w:t> </w:t>
      </w:r>
      <w:r>
        <w:rPr/>
        <w:t>L. (2018).</w:t>
      </w:r>
      <w:r>
        <w:rPr>
          <w:spacing w:val="-1"/>
        </w:rPr>
        <w:t> </w:t>
      </w:r>
      <w:r>
        <w:rPr/>
        <w:t>The</w:t>
      </w:r>
      <w:r>
        <w:rPr>
          <w:spacing w:val="-3"/>
        </w:rPr>
        <w:t> </w:t>
      </w:r>
      <w:r>
        <w:rPr/>
        <w:t>politics</w:t>
      </w:r>
      <w:r>
        <w:rPr>
          <w:spacing w:val="-2"/>
        </w:rPr>
        <w:t> </w:t>
      </w:r>
      <w:r>
        <w:rPr/>
        <w:t>of</w:t>
      </w:r>
      <w:r>
        <w:rPr>
          <w:spacing w:val="-2"/>
        </w:rPr>
        <w:t> </w:t>
      </w:r>
      <w:r>
        <w:rPr/>
        <w:t>urban</w:t>
      </w:r>
      <w:r>
        <w:rPr>
          <w:spacing w:val="-2"/>
        </w:rPr>
        <w:t> </w:t>
      </w:r>
      <w:r>
        <w:rPr/>
        <w:t>renewal</w:t>
      </w:r>
      <w:r>
        <w:rPr>
          <w:spacing w:val="-1"/>
        </w:rPr>
        <w:t> </w:t>
      </w:r>
      <w:r>
        <w:rPr/>
        <w:t>in</w:t>
      </w:r>
      <w:r>
        <w:rPr>
          <w:spacing w:val="-2"/>
        </w:rPr>
        <w:t> </w:t>
      </w:r>
      <w:r>
        <w:rPr/>
        <w:t>Sydney’s residential</w:t>
      </w:r>
      <w:r>
        <w:rPr>
          <w:spacing w:val="-2"/>
        </w:rPr>
        <w:t> </w:t>
      </w:r>
      <w:r>
        <w:rPr/>
        <w:t>apartment</w:t>
      </w:r>
      <w:r>
        <w:rPr>
          <w:spacing w:val="-1"/>
        </w:rPr>
        <w:t> </w:t>
      </w:r>
      <w:r>
        <w:rPr>
          <w:spacing w:val="-2"/>
        </w:rPr>
        <w:t>market.</w:t>
      </w:r>
    </w:p>
    <w:p>
      <w:pPr>
        <w:spacing w:before="2"/>
        <w:ind w:left="1025" w:right="0" w:firstLine="0"/>
        <w:jc w:val="left"/>
        <w:rPr>
          <w:sz w:val="24"/>
        </w:rPr>
      </w:pPr>
      <w:r>
        <w:rPr>
          <w:i/>
          <w:sz w:val="24"/>
        </w:rPr>
        <w:t>Urban Studies</w:t>
      </w:r>
      <w:r>
        <w:rPr>
          <w:sz w:val="24"/>
        </w:rPr>
        <w:t>, </w:t>
      </w:r>
      <w:r>
        <w:rPr>
          <w:i/>
          <w:sz w:val="24"/>
        </w:rPr>
        <w:t>55</w:t>
      </w:r>
      <w:r>
        <w:rPr>
          <w:sz w:val="24"/>
        </w:rPr>
        <w:t>(6), 1329–1345. </w:t>
      </w:r>
      <w:r>
        <w:rPr>
          <w:spacing w:val="-2"/>
          <w:sz w:val="24"/>
        </w:rPr>
        <w:t>https://doi.org/10.1177/0042098017695459</w:t>
      </w:r>
    </w:p>
    <w:p>
      <w:pPr>
        <w:spacing w:before="197"/>
        <w:ind w:left="1025" w:right="511" w:hanging="720"/>
        <w:jc w:val="both"/>
        <w:rPr>
          <w:sz w:val="24"/>
        </w:rPr>
      </w:pPr>
      <w:r>
        <w:rPr>
          <w:sz w:val="24"/>
        </w:rPr>
        <w:t>Tu, Y., Sun, H., &amp; Yu, S.-M. (2007). Spatial autocorrelations and urban housing market segmentation.</w:t>
      </w:r>
      <w:r>
        <w:rPr>
          <w:spacing w:val="16"/>
          <w:sz w:val="24"/>
        </w:rPr>
        <w:t> </w:t>
      </w:r>
      <w:r>
        <w:rPr>
          <w:i/>
          <w:sz w:val="24"/>
        </w:rPr>
        <w:t>The</w:t>
      </w:r>
      <w:r>
        <w:rPr>
          <w:i/>
          <w:spacing w:val="18"/>
          <w:sz w:val="24"/>
        </w:rPr>
        <w:t> </w:t>
      </w:r>
      <w:r>
        <w:rPr>
          <w:i/>
          <w:sz w:val="24"/>
        </w:rPr>
        <w:t>Journal</w:t>
      </w:r>
      <w:r>
        <w:rPr>
          <w:i/>
          <w:spacing w:val="18"/>
          <w:sz w:val="24"/>
        </w:rPr>
        <w:t> </w:t>
      </w:r>
      <w:r>
        <w:rPr>
          <w:i/>
          <w:sz w:val="24"/>
        </w:rPr>
        <w:t>of</w:t>
      </w:r>
      <w:r>
        <w:rPr>
          <w:i/>
          <w:spacing w:val="19"/>
          <w:sz w:val="24"/>
        </w:rPr>
        <w:t> </w:t>
      </w:r>
      <w:r>
        <w:rPr>
          <w:i/>
          <w:sz w:val="24"/>
        </w:rPr>
        <w:t>Real</w:t>
      </w:r>
      <w:r>
        <w:rPr>
          <w:i/>
          <w:spacing w:val="19"/>
          <w:sz w:val="24"/>
        </w:rPr>
        <w:t> </w:t>
      </w:r>
      <w:r>
        <w:rPr>
          <w:i/>
          <w:sz w:val="24"/>
        </w:rPr>
        <w:t>Estate</w:t>
      </w:r>
      <w:r>
        <w:rPr>
          <w:i/>
          <w:spacing w:val="17"/>
          <w:sz w:val="24"/>
        </w:rPr>
        <w:t> </w:t>
      </w:r>
      <w:r>
        <w:rPr>
          <w:i/>
          <w:sz w:val="24"/>
        </w:rPr>
        <w:t>Finance</w:t>
      </w:r>
      <w:r>
        <w:rPr>
          <w:i/>
          <w:spacing w:val="18"/>
          <w:sz w:val="24"/>
        </w:rPr>
        <w:t> </w:t>
      </w:r>
      <w:r>
        <w:rPr>
          <w:i/>
          <w:sz w:val="24"/>
        </w:rPr>
        <w:t>and</w:t>
      </w:r>
      <w:r>
        <w:rPr>
          <w:i/>
          <w:spacing w:val="17"/>
          <w:sz w:val="24"/>
        </w:rPr>
        <w:t> </w:t>
      </w:r>
      <w:r>
        <w:rPr>
          <w:i/>
          <w:sz w:val="24"/>
        </w:rPr>
        <w:t>Economics</w:t>
      </w:r>
      <w:r>
        <w:rPr>
          <w:sz w:val="24"/>
        </w:rPr>
        <w:t>,</w:t>
      </w:r>
      <w:r>
        <w:rPr>
          <w:spacing w:val="19"/>
          <w:sz w:val="24"/>
        </w:rPr>
        <w:t> </w:t>
      </w:r>
      <w:r>
        <w:rPr>
          <w:i/>
          <w:sz w:val="24"/>
        </w:rPr>
        <w:t>34</w:t>
      </w:r>
      <w:r>
        <w:rPr>
          <w:sz w:val="24"/>
        </w:rPr>
        <w:t>(3),</w:t>
      </w:r>
      <w:r>
        <w:rPr>
          <w:spacing w:val="21"/>
          <w:sz w:val="24"/>
        </w:rPr>
        <w:t> </w:t>
      </w:r>
      <w:r>
        <w:rPr>
          <w:spacing w:val="-4"/>
          <w:sz w:val="24"/>
        </w:rPr>
        <w:t>385–</w:t>
      </w:r>
    </w:p>
    <w:p>
      <w:pPr>
        <w:pStyle w:val="BodyText"/>
        <w:spacing w:before="3"/>
        <w:ind w:left="1025"/>
      </w:pPr>
      <w:r>
        <w:rPr/>
        <w:t>406.</w:t>
      </w:r>
      <w:r>
        <w:rPr>
          <w:spacing w:val="-7"/>
        </w:rPr>
        <w:t> </w:t>
      </w:r>
      <w:r>
        <w:rPr/>
        <w:t>https://doi.org/10.1007/s11146-007-9015-</w:t>
      </w:r>
      <w:r>
        <w:rPr>
          <w:spacing w:val="-10"/>
        </w:rPr>
        <w:t>0</w:t>
      </w:r>
    </w:p>
    <w:p>
      <w:pPr>
        <w:pStyle w:val="BodyText"/>
        <w:spacing w:before="197"/>
        <w:ind w:left="1025" w:right="511" w:hanging="720"/>
      </w:pPr>
      <w:r>
        <w:rPr/>
        <w:t>Tupenaite, L., Kanapeckiene, L., &amp; Naimaviciene, J. (2017). Determinants of housing market fluctuations: Case study</w:t>
      </w:r>
      <w:r>
        <w:rPr>
          <w:spacing w:val="-1"/>
        </w:rPr>
        <w:t> </w:t>
      </w:r>
      <w:r>
        <w:rPr/>
        <w:t>of Lithuania. </w:t>
      </w:r>
      <w:r>
        <w:rPr>
          <w:i/>
        </w:rPr>
        <w:t>Procedia Engineering</w:t>
      </w:r>
      <w:r>
        <w:rPr/>
        <w:t>, </w:t>
      </w:r>
      <w:r>
        <w:rPr>
          <w:i/>
        </w:rPr>
        <w:t>172</w:t>
      </w:r>
      <w:r>
        <w:rPr/>
        <w:t>, 1169– 1175. https://doi.org/10.1016/j.proeng.2017.02.136</w:t>
      </w:r>
    </w:p>
    <w:p>
      <w:pPr>
        <w:spacing w:line="242" w:lineRule="auto" w:before="201"/>
        <w:ind w:left="1025" w:right="515" w:hanging="720"/>
        <w:jc w:val="both"/>
        <w:rPr>
          <w:sz w:val="24"/>
        </w:rPr>
      </w:pPr>
      <w:r>
        <w:rPr>
          <w:sz w:val="24"/>
        </w:rPr>
        <w:t>UN-Habitat. (2010). </w:t>
      </w:r>
      <w:r>
        <w:rPr>
          <w:i/>
          <w:sz w:val="24"/>
        </w:rPr>
        <w:t>Governance, Inequality and Urban Land Markets</w:t>
      </w:r>
      <w:r>
        <w:rPr>
          <w:sz w:val="24"/>
        </w:rPr>
        <w:t>. Nairobi: UNON/Publishing Services Section.</w:t>
      </w:r>
    </w:p>
    <w:p>
      <w:pPr>
        <w:spacing w:line="242" w:lineRule="auto" w:before="194"/>
        <w:ind w:left="1025" w:right="515" w:hanging="720"/>
        <w:jc w:val="both"/>
        <w:rPr>
          <w:sz w:val="24"/>
        </w:rPr>
      </w:pPr>
      <w:r>
        <w:rPr>
          <w:sz w:val="24"/>
        </w:rPr>
        <w:t>UN-Habitat. (2011). </w:t>
      </w:r>
      <w:r>
        <w:rPr>
          <w:i/>
          <w:sz w:val="24"/>
        </w:rPr>
        <w:t>Affordable Land and Housing in Africa</w:t>
      </w:r>
      <w:r>
        <w:rPr>
          <w:sz w:val="24"/>
        </w:rPr>
        <w:t>. Retrieved from United Nations Human Settlements Programme website: </w:t>
      </w:r>
      <w:hyperlink r:id="rId49">
        <w:r>
          <w:rPr>
            <w:sz w:val="24"/>
          </w:rPr>
          <w:t>www.unhabitat.org</w:t>
        </w:r>
      </w:hyperlink>
    </w:p>
    <w:p>
      <w:pPr>
        <w:spacing w:line="242" w:lineRule="auto" w:before="194"/>
        <w:ind w:left="1025" w:right="517" w:hanging="720"/>
        <w:jc w:val="both"/>
        <w:rPr>
          <w:sz w:val="24"/>
        </w:rPr>
      </w:pPr>
      <w:r>
        <w:rPr>
          <w:sz w:val="24"/>
        </w:rPr>
        <w:t>UN-Habitat (Ed.). (2013). </w:t>
      </w:r>
      <w:r>
        <w:rPr>
          <w:i/>
          <w:sz w:val="24"/>
        </w:rPr>
        <w:t>Planning and design for sustainable urban mobility: Global report on human settlements 2013</w:t>
      </w:r>
      <w:r>
        <w:rPr>
          <w:sz w:val="24"/>
        </w:rPr>
        <w:t>. Abingdon, Oxon: Routledge.</w:t>
      </w:r>
    </w:p>
    <w:p>
      <w:pPr>
        <w:spacing w:line="242" w:lineRule="auto" w:before="196"/>
        <w:ind w:left="1025" w:right="513" w:hanging="720"/>
        <w:jc w:val="both"/>
        <w:rPr>
          <w:sz w:val="24"/>
        </w:rPr>
      </w:pPr>
      <w:r>
        <w:rPr>
          <w:sz w:val="24"/>
        </w:rPr>
        <w:t>UN-Habitat. (2015). </w:t>
      </w:r>
      <w:r>
        <w:rPr>
          <w:i/>
          <w:sz w:val="24"/>
        </w:rPr>
        <w:t>Housing at the Centre of the New Urban Agenda</w:t>
      </w:r>
      <w:r>
        <w:rPr>
          <w:sz w:val="24"/>
        </w:rPr>
        <w:t>. Nairobi: UN- </w:t>
      </w:r>
      <w:r>
        <w:rPr>
          <w:spacing w:val="-2"/>
          <w:sz w:val="24"/>
        </w:rPr>
        <w:t>Habitat.</w:t>
      </w:r>
    </w:p>
    <w:p>
      <w:pPr>
        <w:pStyle w:val="BodyText"/>
        <w:spacing w:before="194"/>
        <w:ind w:left="1025" w:right="541" w:hanging="720"/>
        <w:jc w:val="left"/>
      </w:pPr>
      <w:r>
        <w:rPr/>
        <w:t>United Nations. (2009). </w:t>
      </w:r>
      <w:r>
        <w:rPr>
          <w:i/>
        </w:rPr>
        <w:t>Challenges to Sustainable</w:t>
      </w:r>
      <w:r>
        <w:rPr>
          <w:i/>
          <w:spacing w:val="-1"/>
        </w:rPr>
        <w:t> </w:t>
      </w:r>
      <w:r>
        <w:rPr>
          <w:i/>
        </w:rPr>
        <w:t>Development</w:t>
      </w:r>
      <w:r>
        <w:rPr/>
        <w:t>. Retrieved from United Nations,</w:t>
      </w:r>
      <w:r>
        <w:rPr>
          <w:spacing w:val="40"/>
        </w:rPr>
        <w:t> </w:t>
      </w:r>
      <w:r>
        <w:rPr/>
        <w:t>Department</w:t>
      </w:r>
      <w:r>
        <w:rPr>
          <w:spacing w:val="40"/>
        </w:rPr>
        <w:t> </w:t>
      </w:r>
      <w:r>
        <w:rPr/>
        <w:t>of</w:t>
      </w:r>
      <w:r>
        <w:rPr>
          <w:spacing w:val="40"/>
        </w:rPr>
        <w:t> </w:t>
      </w:r>
      <w:r>
        <w:rPr/>
        <w:t>Economic</w:t>
      </w:r>
      <w:r>
        <w:rPr>
          <w:spacing w:val="40"/>
        </w:rPr>
        <w:t> </w:t>
      </w:r>
      <w:r>
        <w:rPr/>
        <w:t>and</w:t>
      </w:r>
      <w:r>
        <w:rPr>
          <w:spacing w:val="40"/>
        </w:rPr>
        <w:t> </w:t>
      </w:r>
      <w:r>
        <w:rPr/>
        <w:t>Social</w:t>
      </w:r>
      <w:r>
        <w:rPr>
          <w:spacing w:val="40"/>
        </w:rPr>
        <w:t> </w:t>
      </w:r>
      <w:r>
        <w:rPr/>
        <w:t>Affairs,</w:t>
      </w:r>
      <w:r>
        <w:rPr>
          <w:spacing w:val="40"/>
        </w:rPr>
        <w:t> </w:t>
      </w:r>
      <w:r>
        <w:rPr/>
        <w:t>Population</w:t>
      </w:r>
      <w:r>
        <w:rPr>
          <w:spacing w:val="40"/>
        </w:rPr>
        <w:t> </w:t>
      </w:r>
      <w:r>
        <w:rPr/>
        <w:t>Division</w:t>
      </w:r>
      <w:r>
        <w:rPr>
          <w:spacing w:val="80"/>
          <w:w w:val="150"/>
        </w:rPr>
        <w:t> </w:t>
      </w:r>
      <w:r>
        <w:rPr>
          <w:spacing w:val="-2"/>
        </w:rPr>
        <w:t>website:</w:t>
      </w:r>
      <w:r>
        <w:rPr>
          <w:spacing w:val="40"/>
        </w:rPr>
        <w:t>  </w:t>
      </w:r>
      <w:hyperlink r:id="rId50">
        <w:r>
          <w:rPr>
            <w:spacing w:val="-2"/>
          </w:rPr>
          <w:t>http://www.un.org/en/development/desa/financialcrisis/challenges.shtml.</w:t>
        </w:r>
      </w:hyperlink>
    </w:p>
    <w:p>
      <w:pPr>
        <w:spacing w:line="242" w:lineRule="auto" w:before="199"/>
        <w:ind w:left="1025" w:right="0" w:hanging="720"/>
        <w:jc w:val="left"/>
        <w:rPr>
          <w:sz w:val="24"/>
        </w:rPr>
      </w:pPr>
      <w:r>
        <w:rPr>
          <w:sz w:val="24"/>
        </w:rPr>
        <w:t>United</w:t>
      </w:r>
      <w:r>
        <w:rPr>
          <w:spacing w:val="40"/>
          <w:sz w:val="24"/>
        </w:rPr>
        <w:t> </w:t>
      </w:r>
      <w:r>
        <w:rPr>
          <w:sz w:val="24"/>
        </w:rPr>
        <w:t>Nations.</w:t>
      </w:r>
      <w:r>
        <w:rPr>
          <w:spacing w:val="40"/>
          <w:sz w:val="24"/>
        </w:rPr>
        <w:t> </w:t>
      </w:r>
      <w:r>
        <w:rPr>
          <w:sz w:val="24"/>
        </w:rPr>
        <w:t>(2014).</w:t>
      </w:r>
      <w:r>
        <w:rPr>
          <w:spacing w:val="40"/>
          <w:sz w:val="24"/>
        </w:rPr>
        <w:t> </w:t>
      </w:r>
      <w:r>
        <w:rPr>
          <w:i/>
          <w:sz w:val="24"/>
        </w:rPr>
        <w:t>World</w:t>
      </w:r>
      <w:r>
        <w:rPr>
          <w:i/>
          <w:spacing w:val="40"/>
          <w:sz w:val="24"/>
        </w:rPr>
        <w:t> </w:t>
      </w:r>
      <w:r>
        <w:rPr>
          <w:i/>
          <w:sz w:val="24"/>
        </w:rPr>
        <w:t>Urbanization</w:t>
      </w:r>
      <w:r>
        <w:rPr>
          <w:i/>
          <w:spacing w:val="40"/>
          <w:sz w:val="24"/>
        </w:rPr>
        <w:t> </w:t>
      </w:r>
      <w:r>
        <w:rPr>
          <w:i/>
          <w:sz w:val="24"/>
        </w:rPr>
        <w:t>Prospects:</w:t>
      </w:r>
      <w:r>
        <w:rPr>
          <w:i/>
          <w:spacing w:val="40"/>
          <w:sz w:val="24"/>
        </w:rPr>
        <w:t> </w:t>
      </w:r>
      <w:r>
        <w:rPr>
          <w:i/>
          <w:sz w:val="24"/>
        </w:rPr>
        <w:t>The</w:t>
      </w:r>
      <w:r>
        <w:rPr>
          <w:i/>
          <w:spacing w:val="40"/>
          <w:sz w:val="24"/>
        </w:rPr>
        <w:t> </w:t>
      </w:r>
      <w:r>
        <w:rPr>
          <w:i/>
          <w:sz w:val="24"/>
        </w:rPr>
        <w:t>2014</w:t>
      </w:r>
      <w:r>
        <w:rPr>
          <w:i/>
          <w:spacing w:val="40"/>
          <w:sz w:val="24"/>
        </w:rPr>
        <w:t> </w:t>
      </w:r>
      <w:r>
        <w:rPr>
          <w:i/>
          <w:sz w:val="24"/>
        </w:rPr>
        <w:t>Revision</w:t>
      </w:r>
      <w:r>
        <w:rPr>
          <w:sz w:val="24"/>
        </w:rPr>
        <w:t>.</w:t>
      </w:r>
      <w:r>
        <w:rPr>
          <w:spacing w:val="40"/>
          <w:sz w:val="24"/>
        </w:rPr>
        <w:t> </w:t>
      </w:r>
      <w:r>
        <w:rPr>
          <w:sz w:val="24"/>
        </w:rPr>
        <w:t>United Nations, Department of Economic and Social Affairs, Population Division.</w:t>
      </w:r>
    </w:p>
    <w:p>
      <w:pPr>
        <w:pStyle w:val="BodyText"/>
        <w:spacing w:before="197"/>
        <w:ind w:left="1025" w:right="515" w:hanging="720"/>
      </w:pPr>
      <w:r>
        <w:rPr/>
        <w:t>Vergnes, A., Pellissier, V., Lemperiere, G., Rollard, C., &amp; Clergeau, P. (2014). Urban densification causes the decline</w:t>
      </w:r>
      <w:r>
        <w:rPr>
          <w:spacing w:val="-1"/>
        </w:rPr>
        <w:t> </w:t>
      </w:r>
      <w:r>
        <w:rPr/>
        <w:t>of ground-dwelling arthropods. </w:t>
      </w:r>
      <w:r>
        <w:rPr>
          <w:i/>
        </w:rPr>
        <w:t>Biodiversity and Conservation</w:t>
      </w:r>
      <w:r>
        <w:rPr/>
        <w:t>, </w:t>
      </w:r>
      <w:r>
        <w:rPr>
          <w:i/>
        </w:rPr>
        <w:t>23</w:t>
      </w:r>
      <w:r>
        <w:rPr/>
        <w:t>(8), 1859–1877. https://doi.org/10.1007/s10531-014-0689-3</w:t>
      </w:r>
    </w:p>
    <w:p>
      <w:pPr>
        <w:pStyle w:val="BodyText"/>
        <w:spacing w:before="199"/>
        <w:ind w:left="1025" w:right="514" w:hanging="720"/>
      </w:pPr>
      <w:r>
        <w:rPr/>
        <w:t>Vuckovic, Loibl, Tötzer, &amp; Stollnberger. (2019). Potential of urban densification to mitigate the effects of heat island in Vienna, Austria. </w:t>
      </w:r>
      <w:r>
        <w:rPr>
          <w:i/>
        </w:rPr>
        <w:t>Environments</w:t>
      </w:r>
      <w:r>
        <w:rPr/>
        <w:t>, </w:t>
      </w:r>
      <w:r>
        <w:rPr>
          <w:i/>
        </w:rPr>
        <w:t>6</w:t>
      </w:r>
      <w:r>
        <w:rPr/>
        <w:t>(7), 82. </w:t>
      </w:r>
      <w:r>
        <w:rPr>
          <w:spacing w:val="-2"/>
        </w:rPr>
        <w:t>https://doi.org/10.3390/environments6070082</w:t>
      </w:r>
    </w:p>
    <w:p>
      <w:pPr>
        <w:pStyle w:val="BodyText"/>
        <w:spacing w:before="199"/>
        <w:ind w:left="1025" w:right="511" w:hanging="720"/>
      </w:pPr>
      <w:r>
        <w:rPr/>
        <w:t>Waddell, P. (2000). A behavioral simulation model for metropolitan policy</w:t>
      </w:r>
      <w:r>
        <w:rPr>
          <w:spacing w:val="-1"/>
        </w:rPr>
        <w:t> </w:t>
      </w:r>
      <w:r>
        <w:rPr/>
        <w:t>analysis and planning: Residential location and housing market components of Urbansim. </w:t>
      </w:r>
      <w:r>
        <w:rPr>
          <w:i/>
        </w:rPr>
        <w:t>Environment and Planning B: Planning and Design</w:t>
      </w:r>
      <w:r>
        <w:rPr/>
        <w:t>, </w:t>
      </w:r>
      <w:r>
        <w:rPr>
          <w:i/>
        </w:rPr>
        <w:t>27</w:t>
      </w:r>
      <w:r>
        <w:rPr/>
        <w:t>(2), 247–263. </w:t>
      </w:r>
      <w:r>
        <w:rPr>
          <w:spacing w:val="-2"/>
        </w:rPr>
        <w:t>https://doi.org/10.1068/b2627</w:t>
      </w:r>
    </w:p>
    <w:p>
      <w:pPr>
        <w:pStyle w:val="BodyText"/>
        <w:spacing w:before="203"/>
        <w:ind w:left="1025" w:right="516" w:hanging="720"/>
      </w:pPr>
      <w:r>
        <w:rPr/>
        <w:t>Wang, F., &amp; Wu, Y. (2018). Spatial-temporal effects of housing price caused by metro construction:</w:t>
      </w:r>
      <w:r>
        <w:rPr>
          <w:spacing w:val="9"/>
        </w:rPr>
        <w:t> </w:t>
      </w:r>
      <w:r>
        <w:rPr/>
        <w:t>A</w:t>
      </w:r>
      <w:r>
        <w:rPr>
          <w:spacing w:val="10"/>
        </w:rPr>
        <w:t> </w:t>
      </w:r>
      <w:r>
        <w:rPr/>
        <w:t>perspective</w:t>
      </w:r>
      <w:r>
        <w:rPr>
          <w:spacing w:val="11"/>
        </w:rPr>
        <w:t> </w:t>
      </w:r>
      <w:r>
        <w:rPr/>
        <w:t>of</w:t>
      </w:r>
      <w:r>
        <w:rPr>
          <w:spacing w:val="10"/>
        </w:rPr>
        <w:t> </w:t>
      </w:r>
      <w:r>
        <w:rPr/>
        <w:t>price-to-rent</w:t>
      </w:r>
      <w:r>
        <w:rPr>
          <w:spacing w:val="13"/>
        </w:rPr>
        <w:t> </w:t>
      </w:r>
      <w:r>
        <w:rPr/>
        <w:t>ratio.</w:t>
      </w:r>
      <w:r>
        <w:rPr>
          <w:spacing w:val="13"/>
        </w:rPr>
        <w:t> </w:t>
      </w:r>
      <w:r>
        <w:rPr/>
        <w:t>In</w:t>
      </w:r>
      <w:r>
        <w:rPr>
          <w:spacing w:val="11"/>
        </w:rPr>
        <w:t> </w:t>
      </w:r>
      <w:r>
        <w:rPr/>
        <w:t>K.</w:t>
      </w:r>
      <w:r>
        <w:rPr>
          <w:spacing w:val="11"/>
        </w:rPr>
        <w:t> </w:t>
      </w:r>
      <w:r>
        <w:rPr/>
        <w:t>W.</w:t>
      </w:r>
      <w:r>
        <w:rPr>
          <w:spacing w:val="10"/>
        </w:rPr>
        <w:t> </w:t>
      </w:r>
      <w:r>
        <w:rPr/>
        <w:t>Chau,</w:t>
      </w:r>
      <w:r>
        <w:rPr>
          <w:spacing w:val="14"/>
        </w:rPr>
        <w:t> </w:t>
      </w:r>
      <w:r>
        <w:rPr/>
        <w:t>I.</w:t>
      </w:r>
      <w:r>
        <w:rPr>
          <w:spacing w:val="11"/>
        </w:rPr>
        <w:t> </w:t>
      </w:r>
      <w:r>
        <w:rPr/>
        <w:t>Y.</w:t>
      </w:r>
      <w:r>
        <w:rPr>
          <w:spacing w:val="11"/>
        </w:rPr>
        <w:t> </w:t>
      </w:r>
      <w:r>
        <w:rPr/>
        <w:t>S.</w:t>
      </w:r>
      <w:r>
        <w:rPr>
          <w:spacing w:val="11"/>
        </w:rPr>
        <w:t> </w:t>
      </w:r>
      <w:r>
        <w:rPr>
          <w:spacing w:val="-2"/>
        </w:rPr>
        <w:t>Chan,</w:t>
      </w:r>
    </w:p>
    <w:p>
      <w:pPr>
        <w:spacing w:line="240" w:lineRule="auto" w:before="0"/>
        <w:ind w:left="1025" w:right="513" w:firstLine="0"/>
        <w:jc w:val="both"/>
        <w:rPr>
          <w:sz w:val="24"/>
        </w:rPr>
      </w:pPr>
      <w:r>
        <w:rPr>
          <w:sz w:val="24"/>
        </w:rPr>
        <w:t>W.</w:t>
      </w:r>
      <w:r>
        <w:rPr>
          <w:spacing w:val="-8"/>
          <w:sz w:val="24"/>
        </w:rPr>
        <w:t> </w:t>
      </w:r>
      <w:r>
        <w:rPr>
          <w:sz w:val="24"/>
        </w:rPr>
        <w:t>Lu,</w:t>
      </w:r>
      <w:r>
        <w:rPr>
          <w:spacing w:val="-8"/>
          <w:sz w:val="24"/>
        </w:rPr>
        <w:t> </w:t>
      </w:r>
      <w:r>
        <w:rPr>
          <w:sz w:val="24"/>
        </w:rPr>
        <w:t>&amp;</w:t>
      </w:r>
      <w:r>
        <w:rPr>
          <w:spacing w:val="-10"/>
          <w:sz w:val="24"/>
        </w:rPr>
        <w:t> </w:t>
      </w:r>
      <w:r>
        <w:rPr>
          <w:sz w:val="24"/>
        </w:rPr>
        <w:t>C.</w:t>
      </w:r>
      <w:r>
        <w:rPr>
          <w:spacing w:val="-11"/>
          <w:sz w:val="24"/>
        </w:rPr>
        <w:t> </w:t>
      </w:r>
      <w:r>
        <w:rPr>
          <w:sz w:val="24"/>
        </w:rPr>
        <w:t>Webster</w:t>
      </w:r>
      <w:r>
        <w:rPr>
          <w:spacing w:val="-9"/>
          <w:sz w:val="24"/>
        </w:rPr>
        <w:t> </w:t>
      </w:r>
      <w:r>
        <w:rPr>
          <w:sz w:val="24"/>
        </w:rPr>
        <w:t>(Eds.),</w:t>
      </w:r>
      <w:r>
        <w:rPr>
          <w:spacing w:val="-9"/>
          <w:sz w:val="24"/>
        </w:rPr>
        <w:t> </w:t>
      </w:r>
      <w:r>
        <w:rPr>
          <w:i/>
          <w:sz w:val="24"/>
        </w:rPr>
        <w:t>Proceedings</w:t>
      </w:r>
      <w:r>
        <w:rPr>
          <w:i/>
          <w:spacing w:val="-10"/>
          <w:sz w:val="24"/>
        </w:rPr>
        <w:t> </w:t>
      </w:r>
      <w:r>
        <w:rPr>
          <w:i/>
          <w:sz w:val="24"/>
        </w:rPr>
        <w:t>of</w:t>
      </w:r>
      <w:r>
        <w:rPr>
          <w:i/>
          <w:spacing w:val="-10"/>
          <w:sz w:val="24"/>
        </w:rPr>
        <w:t> </w:t>
      </w:r>
      <w:r>
        <w:rPr>
          <w:i/>
          <w:sz w:val="24"/>
        </w:rPr>
        <w:t>the</w:t>
      </w:r>
      <w:r>
        <w:rPr>
          <w:i/>
          <w:spacing w:val="-9"/>
          <w:sz w:val="24"/>
        </w:rPr>
        <w:t> </w:t>
      </w:r>
      <w:r>
        <w:rPr>
          <w:i/>
          <w:sz w:val="24"/>
        </w:rPr>
        <w:t>21st</w:t>
      </w:r>
      <w:r>
        <w:rPr>
          <w:i/>
          <w:spacing w:val="-10"/>
          <w:sz w:val="24"/>
        </w:rPr>
        <w:t> </w:t>
      </w:r>
      <w:r>
        <w:rPr>
          <w:i/>
          <w:sz w:val="24"/>
        </w:rPr>
        <w:t>International</w:t>
      </w:r>
      <w:r>
        <w:rPr>
          <w:i/>
          <w:spacing w:val="-10"/>
          <w:sz w:val="24"/>
        </w:rPr>
        <w:t> </w:t>
      </w:r>
      <w:r>
        <w:rPr>
          <w:i/>
          <w:sz w:val="24"/>
        </w:rPr>
        <w:t>Symposium</w:t>
      </w:r>
      <w:r>
        <w:rPr>
          <w:i/>
          <w:spacing w:val="-11"/>
          <w:sz w:val="24"/>
        </w:rPr>
        <w:t> </w:t>
      </w:r>
      <w:r>
        <w:rPr>
          <w:i/>
          <w:sz w:val="24"/>
        </w:rPr>
        <w:t>on Advancement of Construction Management and Real Estate </w:t>
      </w:r>
      <w:r>
        <w:rPr>
          <w:sz w:val="24"/>
        </w:rPr>
        <w:t>(pp. 1317–1333). </w:t>
      </w:r>
      <w:r>
        <w:rPr>
          <w:spacing w:val="-2"/>
          <w:sz w:val="24"/>
        </w:rPr>
        <w:t>https://doi.org/10.1007/978-981-10-6190-5_116</w:t>
      </w:r>
    </w:p>
    <w:p>
      <w:pPr>
        <w:pStyle w:val="BodyText"/>
        <w:tabs>
          <w:tab w:pos="2886" w:val="left" w:leader="none"/>
          <w:tab w:pos="4213" w:val="left" w:leader="none"/>
          <w:tab w:pos="5573" w:val="left" w:leader="none"/>
          <w:tab w:pos="6901" w:val="left" w:leader="none"/>
          <w:tab w:pos="8269" w:val="left" w:leader="none"/>
        </w:tabs>
        <w:spacing w:before="199"/>
        <w:ind w:left="1025" w:right="514" w:hanging="720"/>
      </w:pPr>
      <w:r>
        <w:rPr/>
        <w:t>Wang, L., Omrani, H., Zhao, Z., Francomano, D., Li, K., &amp; Pijanowski, B. (2019). Analysis on urban densification dynamics and future modes in southeastern </w:t>
      </w:r>
      <w:r>
        <w:rPr>
          <w:spacing w:val="-2"/>
        </w:rPr>
        <w:t>Wisconsin,</w:t>
      </w:r>
      <w:r>
        <w:rPr/>
        <w:tab/>
      </w:r>
      <w:r>
        <w:rPr>
          <w:spacing w:val="-4"/>
        </w:rPr>
        <w:t>USA.</w:t>
      </w:r>
      <w:r>
        <w:rPr/>
        <w:tab/>
      </w:r>
      <w:r>
        <w:rPr>
          <w:i/>
          <w:spacing w:val="-4"/>
        </w:rPr>
        <w:t>PLOS</w:t>
      </w:r>
      <w:r>
        <w:rPr>
          <w:i/>
        </w:rPr>
        <w:tab/>
      </w:r>
      <w:r>
        <w:rPr>
          <w:i/>
          <w:spacing w:val="-4"/>
        </w:rPr>
        <w:t>ONE</w:t>
      </w:r>
      <w:r>
        <w:rPr>
          <w:spacing w:val="-4"/>
        </w:rPr>
        <w:t>,</w:t>
      </w:r>
      <w:r>
        <w:rPr/>
        <w:tab/>
      </w:r>
      <w:r>
        <w:rPr>
          <w:i/>
          <w:spacing w:val="-2"/>
        </w:rPr>
        <w:t>14</w:t>
      </w:r>
      <w:r>
        <w:rPr>
          <w:spacing w:val="-2"/>
        </w:rPr>
        <w:t>(3),</w:t>
      </w:r>
      <w:r>
        <w:rPr/>
        <w:tab/>
      </w:r>
      <w:r>
        <w:rPr>
          <w:spacing w:val="-2"/>
        </w:rPr>
        <w:t>1–22.</w:t>
      </w:r>
    </w:p>
    <w:p>
      <w:pPr>
        <w:pStyle w:val="BodyText"/>
        <w:spacing w:before="2"/>
        <w:ind w:left="1025"/>
        <w:jc w:val="left"/>
      </w:pPr>
      <w:r>
        <w:rPr>
          <w:spacing w:val="-2"/>
        </w:rPr>
        <w:t>https://doi.org/10.1371/journal.pone.0211964</w:t>
      </w:r>
    </w:p>
    <w:p>
      <w:pPr>
        <w:spacing w:after="0"/>
        <w:jc w:val="left"/>
        <w:sectPr>
          <w:pgSz w:w="11910" w:h="16840"/>
          <w:pgMar w:header="0" w:footer="1022" w:top="1320" w:bottom="1220" w:left="1680" w:right="900"/>
        </w:sectPr>
      </w:pPr>
    </w:p>
    <w:p>
      <w:pPr>
        <w:pStyle w:val="BodyText"/>
        <w:spacing w:before="72"/>
        <w:ind w:left="1025" w:right="513" w:hanging="720"/>
      </w:pPr>
      <w:r>
        <w:rPr/>
        <w:t>Wang,</w:t>
      </w:r>
      <w:r>
        <w:rPr>
          <w:spacing w:val="-15"/>
        </w:rPr>
        <w:t> </w:t>
      </w:r>
      <w:r>
        <w:rPr/>
        <w:t>S.,</w:t>
      </w:r>
      <w:r>
        <w:rPr>
          <w:spacing w:val="-15"/>
        </w:rPr>
        <w:t> </w:t>
      </w:r>
      <w:r>
        <w:rPr/>
        <w:t>Wang,</w:t>
      </w:r>
      <w:r>
        <w:rPr>
          <w:spacing w:val="-15"/>
        </w:rPr>
        <w:t> </w:t>
      </w:r>
      <w:r>
        <w:rPr/>
        <w:t>J.,</w:t>
      </w:r>
      <w:r>
        <w:rPr>
          <w:spacing w:val="-15"/>
        </w:rPr>
        <w:t> </w:t>
      </w:r>
      <w:r>
        <w:rPr/>
        <w:t>&amp;</w:t>
      </w:r>
      <w:r>
        <w:rPr>
          <w:spacing w:val="-15"/>
        </w:rPr>
        <w:t> </w:t>
      </w:r>
      <w:r>
        <w:rPr/>
        <w:t>Wang,</w:t>
      </w:r>
      <w:r>
        <w:rPr>
          <w:spacing w:val="-15"/>
        </w:rPr>
        <w:t> </w:t>
      </w:r>
      <w:r>
        <w:rPr/>
        <w:t>Y.</w:t>
      </w:r>
      <w:r>
        <w:rPr>
          <w:spacing w:val="-13"/>
        </w:rPr>
        <w:t> </w:t>
      </w:r>
      <w:r>
        <w:rPr/>
        <w:t>(2018).</w:t>
      </w:r>
      <w:r>
        <w:rPr>
          <w:spacing w:val="-15"/>
        </w:rPr>
        <w:t> </w:t>
      </w:r>
      <w:r>
        <w:rPr/>
        <w:t>Effect</w:t>
      </w:r>
      <w:r>
        <w:rPr>
          <w:spacing w:val="-15"/>
        </w:rPr>
        <w:t> </w:t>
      </w:r>
      <w:r>
        <w:rPr/>
        <w:t>of</w:t>
      </w:r>
      <w:r>
        <w:rPr>
          <w:spacing w:val="-15"/>
        </w:rPr>
        <w:t> </w:t>
      </w:r>
      <w:r>
        <w:rPr/>
        <w:t>land</w:t>
      </w:r>
      <w:r>
        <w:rPr>
          <w:spacing w:val="-14"/>
        </w:rPr>
        <w:t> </w:t>
      </w:r>
      <w:r>
        <w:rPr/>
        <w:t>prices</w:t>
      </w:r>
      <w:r>
        <w:rPr>
          <w:spacing w:val="-15"/>
        </w:rPr>
        <w:t> </w:t>
      </w:r>
      <w:r>
        <w:rPr/>
        <w:t>on</w:t>
      </w:r>
      <w:r>
        <w:rPr>
          <w:spacing w:val="-15"/>
        </w:rPr>
        <w:t> </w:t>
      </w:r>
      <w:r>
        <w:rPr/>
        <w:t>the</w:t>
      </w:r>
      <w:r>
        <w:rPr>
          <w:spacing w:val="-15"/>
        </w:rPr>
        <w:t> </w:t>
      </w:r>
      <w:r>
        <w:rPr/>
        <w:t>spatial</w:t>
      </w:r>
      <w:r>
        <w:rPr>
          <w:spacing w:val="-15"/>
        </w:rPr>
        <w:t> </w:t>
      </w:r>
      <w:r>
        <w:rPr/>
        <w:t>differentiation of housing prices: Evidence from cross-county analyses in China. </w:t>
      </w:r>
      <w:r>
        <w:rPr>
          <w:i/>
        </w:rPr>
        <w:t>Journal of Geographical</w:t>
      </w:r>
      <w:r>
        <w:rPr>
          <w:i/>
          <w:spacing w:val="58"/>
          <w:w w:val="150"/>
        </w:rPr>
        <w:t> </w:t>
      </w:r>
      <w:r>
        <w:rPr>
          <w:i/>
        </w:rPr>
        <w:t>Sciences</w:t>
      </w:r>
      <w:r>
        <w:rPr/>
        <w:t>,</w:t>
      </w:r>
      <w:r>
        <w:rPr>
          <w:spacing w:val="61"/>
          <w:w w:val="150"/>
        </w:rPr>
        <w:t> </w:t>
      </w:r>
      <w:r>
        <w:rPr>
          <w:i/>
        </w:rPr>
        <w:t>28</w:t>
      </w:r>
      <w:r>
        <w:rPr/>
        <w:t>(6),</w:t>
      </w:r>
      <w:r>
        <w:rPr>
          <w:spacing w:val="58"/>
          <w:w w:val="150"/>
        </w:rPr>
        <w:t> </w:t>
      </w:r>
      <w:r>
        <w:rPr/>
        <w:t>725–740.</w:t>
      </w:r>
      <w:r>
        <w:rPr>
          <w:spacing w:val="58"/>
          <w:w w:val="150"/>
        </w:rPr>
        <w:t> </w:t>
      </w:r>
      <w:r>
        <w:rPr/>
        <w:t>https://doi.org/10.1007/s11442-</w:t>
      </w:r>
      <w:r>
        <w:rPr>
          <w:spacing w:val="-4"/>
        </w:rPr>
        <w:t>018-</w:t>
      </w:r>
    </w:p>
    <w:p>
      <w:pPr>
        <w:pStyle w:val="BodyText"/>
        <w:spacing w:before="3"/>
        <w:ind w:left="1025"/>
        <w:jc w:val="left"/>
      </w:pPr>
      <w:r>
        <w:rPr>
          <w:spacing w:val="-2"/>
        </w:rPr>
        <w:t>1501-</w:t>
      </w:r>
      <w:r>
        <w:rPr>
          <w:spacing w:val="-10"/>
        </w:rPr>
        <w:t>1</w:t>
      </w:r>
    </w:p>
    <w:p>
      <w:pPr>
        <w:pStyle w:val="BodyText"/>
        <w:spacing w:before="196"/>
        <w:ind w:left="1025" w:right="511" w:hanging="720"/>
      </w:pPr>
      <w:r>
        <w:rPr/>
        <w:t>Wang, Y.,</w:t>
      </w:r>
      <w:r>
        <w:rPr>
          <w:spacing w:val="-1"/>
        </w:rPr>
        <w:t> </w:t>
      </w:r>
      <w:r>
        <w:rPr/>
        <w:t>Wang, S., Li, G.,</w:t>
      </w:r>
      <w:r>
        <w:rPr>
          <w:spacing w:val="-1"/>
        </w:rPr>
        <w:t> </w:t>
      </w:r>
      <w:r>
        <w:rPr/>
        <w:t>Zhang, H., Jin, L., Su, Y.,</w:t>
      </w:r>
      <w:r>
        <w:rPr>
          <w:spacing w:val="-1"/>
        </w:rPr>
        <w:t> </w:t>
      </w:r>
      <w:r>
        <w:rPr/>
        <w:t>&amp;</w:t>
      </w:r>
      <w:r>
        <w:rPr>
          <w:spacing w:val="-2"/>
        </w:rPr>
        <w:t> </w:t>
      </w:r>
      <w:r>
        <w:rPr/>
        <w:t>Wu, K.</w:t>
      </w:r>
      <w:r>
        <w:rPr>
          <w:spacing w:val="-1"/>
        </w:rPr>
        <w:t> </w:t>
      </w:r>
      <w:r>
        <w:rPr/>
        <w:t>(2017). Identifying</w:t>
      </w:r>
      <w:r>
        <w:rPr>
          <w:spacing w:val="-3"/>
        </w:rPr>
        <w:t> </w:t>
      </w:r>
      <w:r>
        <w:rPr/>
        <w:t>the determinants of housing prices in China using spatial regression and the geographical detector technique. </w:t>
      </w:r>
      <w:r>
        <w:rPr>
          <w:i/>
        </w:rPr>
        <w:t>Applied Geography</w:t>
      </w:r>
      <w:r>
        <w:rPr/>
        <w:t>, </w:t>
      </w:r>
      <w:r>
        <w:rPr>
          <w:i/>
        </w:rPr>
        <w:t>79</w:t>
      </w:r>
      <w:r>
        <w:rPr/>
        <w:t>, 26–36. </w:t>
      </w:r>
      <w:r>
        <w:rPr>
          <w:spacing w:val="-2"/>
        </w:rPr>
        <w:t>https://doi.org/10.1016/j.apgeog.2016.12.003</w:t>
      </w:r>
    </w:p>
    <w:p>
      <w:pPr>
        <w:spacing w:line="242" w:lineRule="auto" w:before="200"/>
        <w:ind w:left="1025" w:right="512" w:hanging="720"/>
        <w:jc w:val="both"/>
        <w:rPr>
          <w:sz w:val="24"/>
        </w:rPr>
      </w:pPr>
      <w:r>
        <w:rPr>
          <w:sz w:val="24"/>
        </w:rPr>
        <w:t>Waugh, F. V. (1928). Quality factors influencing vegetable prices. </w:t>
      </w:r>
      <w:r>
        <w:rPr>
          <w:i/>
          <w:sz w:val="24"/>
        </w:rPr>
        <w:t>Journal of Farm Economics</w:t>
      </w:r>
      <w:r>
        <w:rPr>
          <w:sz w:val="24"/>
        </w:rPr>
        <w:t>, </w:t>
      </w:r>
      <w:r>
        <w:rPr>
          <w:i/>
          <w:sz w:val="24"/>
        </w:rPr>
        <w:t>10</w:t>
      </w:r>
      <w:r>
        <w:rPr>
          <w:sz w:val="24"/>
        </w:rPr>
        <w:t>, 185–196.</w:t>
      </w:r>
    </w:p>
    <w:p>
      <w:pPr>
        <w:spacing w:line="242" w:lineRule="auto" w:before="196"/>
        <w:ind w:left="1025" w:right="511" w:hanging="720"/>
        <w:jc w:val="both"/>
        <w:rPr>
          <w:sz w:val="24"/>
        </w:rPr>
      </w:pPr>
      <w:r>
        <w:rPr>
          <w:sz w:val="24"/>
        </w:rPr>
        <w:t>White, M., &amp; Papastamos, D. (2018). An analysis of regional house prices in Greece. </w:t>
      </w:r>
      <w:r>
        <w:rPr>
          <w:i/>
          <w:sz w:val="24"/>
        </w:rPr>
        <w:t>Journal of European Real Estate Research</w:t>
      </w:r>
      <w:r>
        <w:rPr>
          <w:sz w:val="24"/>
        </w:rPr>
        <w:t>, </w:t>
      </w:r>
      <w:r>
        <w:rPr>
          <w:i/>
          <w:sz w:val="24"/>
        </w:rPr>
        <w:t>11</w:t>
      </w:r>
      <w:r>
        <w:rPr>
          <w:sz w:val="24"/>
        </w:rPr>
        <w:t>(3), 335–352. </w:t>
      </w:r>
      <w:r>
        <w:rPr>
          <w:spacing w:val="-2"/>
          <w:sz w:val="24"/>
        </w:rPr>
        <w:t>https://doi.org/10.1108/JERER-07-2018-0033</w:t>
      </w:r>
    </w:p>
    <w:p>
      <w:pPr>
        <w:pStyle w:val="BodyText"/>
        <w:spacing w:before="191"/>
        <w:ind w:left="1025" w:right="514" w:hanging="720"/>
      </w:pPr>
      <w:r>
        <w:rPr/>
        <w:t>Wickramaarachchi, N. (2016). Determinants of rental value for residential properties: A land owner’s perspective for boarding homes. </w:t>
      </w:r>
      <w:r>
        <w:rPr>
          <w:i/>
        </w:rPr>
        <w:t>Built-Environment Sri Lanka</w:t>
      </w:r>
      <w:r>
        <w:rPr/>
        <w:t>, </w:t>
      </w:r>
      <w:r>
        <w:rPr>
          <w:i/>
        </w:rPr>
        <w:t>12</w:t>
      </w:r>
      <w:r>
        <w:rPr/>
        <w:t>(1), 10–22. https://doi.org/10.4038/besl.v12i1.7612</w:t>
      </w:r>
    </w:p>
    <w:p>
      <w:pPr>
        <w:pStyle w:val="BodyText"/>
        <w:tabs>
          <w:tab w:pos="2904" w:val="left" w:leader="none"/>
          <w:tab w:pos="4497" w:val="left" w:leader="none"/>
          <w:tab w:pos="6486" w:val="left" w:leader="none"/>
          <w:tab w:pos="7912" w:val="left" w:leader="none"/>
        </w:tabs>
        <w:spacing w:before="200"/>
        <w:ind w:left="1025" w:right="511" w:hanging="720"/>
      </w:pPr>
      <w:r>
        <w:rPr/>
        <w:t>Wu, C., &amp; Sharma, R. (2012). Housing submarket classification: The role of spatial </w:t>
      </w:r>
      <w:r>
        <w:rPr>
          <w:spacing w:val="-2"/>
        </w:rPr>
        <w:t>contiguity.</w:t>
      </w:r>
      <w:r>
        <w:rPr/>
        <w:tab/>
      </w:r>
      <w:r>
        <w:rPr>
          <w:i/>
          <w:spacing w:val="-2"/>
        </w:rPr>
        <w:t>Applied</w:t>
      </w:r>
      <w:r>
        <w:rPr>
          <w:i/>
        </w:rPr>
        <w:tab/>
      </w:r>
      <w:r>
        <w:rPr>
          <w:i/>
          <w:spacing w:val="-2"/>
        </w:rPr>
        <w:t>Geography</w:t>
      </w:r>
      <w:r>
        <w:rPr>
          <w:spacing w:val="-2"/>
        </w:rPr>
        <w:t>,</w:t>
      </w:r>
      <w:r>
        <w:rPr/>
        <w:tab/>
      </w:r>
      <w:r>
        <w:rPr>
          <w:i/>
          <w:spacing w:val="-2"/>
        </w:rPr>
        <w:t>32</w:t>
      </w:r>
      <w:r>
        <w:rPr>
          <w:spacing w:val="-2"/>
        </w:rPr>
        <w:t>(2),</w:t>
      </w:r>
      <w:r>
        <w:rPr/>
        <w:tab/>
      </w:r>
      <w:r>
        <w:rPr>
          <w:spacing w:val="-2"/>
        </w:rPr>
        <w:t>746–756. https://doi.org/10.1016/j.apgeog.2011.08.011</w:t>
      </w:r>
    </w:p>
    <w:p>
      <w:pPr>
        <w:pStyle w:val="BodyText"/>
        <w:spacing w:before="201"/>
        <w:ind w:left="1025" w:right="514" w:hanging="720"/>
      </w:pPr>
      <w:r>
        <w:rPr/>
        <w:t>Wu, C., Ye, X., Du, Q., &amp; Luo, P. (2017). Spatial effects of accessibility to parks on housing prices in Shenzhen, China. </w:t>
      </w:r>
      <w:r>
        <w:rPr>
          <w:i/>
        </w:rPr>
        <w:t>Habitat International</w:t>
      </w:r>
      <w:r>
        <w:rPr/>
        <w:t>, </w:t>
      </w:r>
      <w:r>
        <w:rPr>
          <w:i/>
        </w:rPr>
        <w:t>63</w:t>
      </w:r>
      <w:r>
        <w:rPr/>
        <w:t>, 45–54. </w:t>
      </w:r>
      <w:r>
        <w:rPr>
          <w:spacing w:val="-2"/>
        </w:rPr>
        <w:t>https://doi.org/10.1016/j.habitatint.2017.03.010</w:t>
      </w:r>
    </w:p>
    <w:p>
      <w:pPr>
        <w:pStyle w:val="BodyText"/>
        <w:spacing w:before="200"/>
        <w:ind w:left="1025" w:right="511" w:hanging="720"/>
      </w:pPr>
      <w:r>
        <w:rPr/>
        <w:t>Wu, Chao, Ye, X., Ren, F., &amp; Du, Q. (2018). Check-in behaviour and spatio-temporal vibrancy: An exploratory analysis in Shenzhen, China. </w:t>
      </w:r>
      <w:r>
        <w:rPr>
          <w:i/>
        </w:rPr>
        <w:t>Cities</w:t>
      </w:r>
      <w:r>
        <w:rPr/>
        <w:t>, </w:t>
      </w:r>
      <w:r>
        <w:rPr>
          <w:i/>
        </w:rPr>
        <w:t>77</w:t>
      </w:r>
      <w:r>
        <w:rPr/>
        <w:t>, 104–116. </w:t>
      </w:r>
      <w:r>
        <w:rPr>
          <w:spacing w:val="-2"/>
        </w:rPr>
        <w:t>https://doi.org/10.1016/j.cities.2018.01.017</w:t>
      </w:r>
    </w:p>
    <w:p>
      <w:pPr>
        <w:spacing w:line="240" w:lineRule="auto" w:before="199"/>
        <w:ind w:left="1025" w:right="516" w:hanging="720"/>
        <w:jc w:val="both"/>
        <w:rPr>
          <w:sz w:val="24"/>
        </w:rPr>
      </w:pPr>
      <w:r>
        <w:rPr>
          <w:sz w:val="24"/>
        </w:rPr>
        <w:t>Wu, J., Deng, Y., &amp; Liu, H. (2014a). House price index construction in the nascent housing market: The case of China. </w:t>
      </w:r>
      <w:r>
        <w:rPr>
          <w:i/>
          <w:sz w:val="24"/>
        </w:rPr>
        <w:t>The Journal of Real Estate Finance and Economics</w:t>
      </w:r>
      <w:r>
        <w:rPr>
          <w:sz w:val="24"/>
        </w:rPr>
        <w:t>, </w:t>
      </w:r>
      <w:r>
        <w:rPr>
          <w:i/>
          <w:sz w:val="24"/>
        </w:rPr>
        <w:t>48</w:t>
      </w:r>
      <w:r>
        <w:rPr>
          <w:sz w:val="24"/>
        </w:rPr>
        <w:t>(3), 522–545.</w:t>
      </w:r>
    </w:p>
    <w:p>
      <w:pPr>
        <w:spacing w:line="240" w:lineRule="auto" w:before="202"/>
        <w:ind w:left="1025" w:right="516" w:hanging="720"/>
        <w:jc w:val="both"/>
        <w:rPr>
          <w:sz w:val="24"/>
        </w:rPr>
      </w:pPr>
      <w:r>
        <w:rPr>
          <w:sz w:val="24"/>
        </w:rPr>
        <w:t>Wu, J., Deng, Y., &amp; Liu, H. (2014b). House price index construction in the nascent housing market: The case of China. </w:t>
      </w:r>
      <w:r>
        <w:rPr>
          <w:i/>
          <w:sz w:val="24"/>
        </w:rPr>
        <w:t>The Journal of Real Estate Finance and Economics</w:t>
      </w:r>
      <w:r>
        <w:rPr>
          <w:sz w:val="24"/>
        </w:rPr>
        <w:t>, </w:t>
      </w:r>
      <w:r>
        <w:rPr>
          <w:i/>
          <w:sz w:val="24"/>
        </w:rPr>
        <w:t>48</w:t>
      </w:r>
      <w:r>
        <w:rPr>
          <w:sz w:val="24"/>
        </w:rPr>
        <w:t>(3), 522–545.</w:t>
      </w:r>
    </w:p>
    <w:p>
      <w:pPr>
        <w:spacing w:line="242" w:lineRule="auto" w:before="199"/>
        <w:ind w:left="1025" w:right="514" w:hanging="720"/>
        <w:jc w:val="both"/>
        <w:rPr>
          <w:sz w:val="24"/>
        </w:rPr>
      </w:pPr>
      <w:r>
        <w:rPr>
          <w:sz w:val="24"/>
        </w:rPr>
        <w:t>Xiao, Y. (2012). </w:t>
      </w:r>
      <w:r>
        <w:rPr>
          <w:i/>
          <w:sz w:val="24"/>
        </w:rPr>
        <w:t>Urban morphology and housing market </w:t>
      </w:r>
      <w:r>
        <w:rPr>
          <w:sz w:val="24"/>
        </w:rPr>
        <w:t>(PhD Thesis). Cardiff </w:t>
      </w:r>
      <w:r>
        <w:rPr>
          <w:spacing w:val="-2"/>
          <w:sz w:val="24"/>
        </w:rPr>
        <w:t>University.</w:t>
      </w:r>
    </w:p>
    <w:p>
      <w:pPr>
        <w:spacing w:line="242" w:lineRule="auto" w:before="194"/>
        <w:ind w:left="1025" w:right="514" w:hanging="720"/>
        <w:jc w:val="both"/>
        <w:rPr>
          <w:sz w:val="24"/>
        </w:rPr>
      </w:pPr>
      <w:r>
        <w:rPr>
          <w:sz w:val="24"/>
        </w:rPr>
        <w:t>Xiao, Y. (2017a). Hedonic housing price theory review. In Y. Xiao, </w:t>
      </w:r>
      <w:r>
        <w:rPr>
          <w:i/>
          <w:sz w:val="24"/>
        </w:rPr>
        <w:t>Urban Morphology and Housing Market </w:t>
      </w:r>
      <w:r>
        <w:rPr>
          <w:sz w:val="24"/>
        </w:rPr>
        <w:t>(pp. 11–40). https://doi.org/10.1007/978-981-10-2762-8_2</w:t>
      </w:r>
    </w:p>
    <w:p>
      <w:pPr>
        <w:spacing w:line="242" w:lineRule="auto" w:before="194"/>
        <w:ind w:left="1025" w:right="513" w:hanging="720"/>
        <w:jc w:val="both"/>
        <w:rPr>
          <w:sz w:val="24"/>
        </w:rPr>
      </w:pPr>
      <w:r>
        <w:rPr>
          <w:sz w:val="24"/>
        </w:rPr>
        <w:t>Xiao,</w:t>
      </w:r>
      <w:r>
        <w:rPr>
          <w:spacing w:val="-5"/>
          <w:sz w:val="24"/>
        </w:rPr>
        <w:t> </w:t>
      </w:r>
      <w:r>
        <w:rPr>
          <w:sz w:val="24"/>
        </w:rPr>
        <w:t>Y.</w:t>
      </w:r>
      <w:r>
        <w:rPr>
          <w:spacing w:val="-5"/>
          <w:sz w:val="24"/>
        </w:rPr>
        <w:t> </w:t>
      </w:r>
      <w:r>
        <w:rPr>
          <w:sz w:val="24"/>
        </w:rPr>
        <w:t>(2017b).</w:t>
      </w:r>
      <w:r>
        <w:rPr>
          <w:spacing w:val="-5"/>
          <w:sz w:val="24"/>
        </w:rPr>
        <w:t> </w:t>
      </w:r>
      <w:r>
        <w:rPr>
          <w:i/>
          <w:sz w:val="24"/>
        </w:rPr>
        <w:t>Urban</w:t>
      </w:r>
      <w:r>
        <w:rPr>
          <w:i/>
          <w:spacing w:val="-4"/>
          <w:sz w:val="24"/>
        </w:rPr>
        <w:t> </w:t>
      </w:r>
      <w:r>
        <w:rPr>
          <w:i/>
          <w:sz w:val="24"/>
        </w:rPr>
        <w:t>Morphology</w:t>
      </w:r>
      <w:r>
        <w:rPr>
          <w:i/>
          <w:spacing w:val="-6"/>
          <w:sz w:val="24"/>
        </w:rPr>
        <w:t> </w:t>
      </w:r>
      <w:r>
        <w:rPr>
          <w:i/>
          <w:sz w:val="24"/>
        </w:rPr>
        <w:t>and</w:t>
      </w:r>
      <w:r>
        <w:rPr>
          <w:i/>
          <w:spacing w:val="-5"/>
          <w:sz w:val="24"/>
        </w:rPr>
        <w:t> </w:t>
      </w:r>
      <w:r>
        <w:rPr>
          <w:i/>
          <w:sz w:val="24"/>
        </w:rPr>
        <w:t>Housing</w:t>
      </w:r>
      <w:r>
        <w:rPr>
          <w:i/>
          <w:spacing w:val="-5"/>
          <w:sz w:val="24"/>
        </w:rPr>
        <w:t> </w:t>
      </w:r>
      <w:r>
        <w:rPr>
          <w:i/>
          <w:sz w:val="24"/>
        </w:rPr>
        <w:t>Market</w:t>
      </w:r>
      <w:r>
        <w:rPr>
          <w:sz w:val="24"/>
        </w:rPr>
        <w:t>.</w:t>
      </w:r>
      <w:r>
        <w:rPr>
          <w:spacing w:val="-5"/>
          <w:sz w:val="24"/>
        </w:rPr>
        <w:t> </w:t>
      </w:r>
      <w:r>
        <w:rPr>
          <w:sz w:val="24"/>
        </w:rPr>
        <w:t>https://doi.org/10.1007/978- </w:t>
      </w:r>
      <w:r>
        <w:rPr>
          <w:spacing w:val="-2"/>
          <w:sz w:val="24"/>
        </w:rPr>
        <w:t>981-10-2762-8</w:t>
      </w:r>
    </w:p>
    <w:p>
      <w:pPr>
        <w:pStyle w:val="BodyText"/>
        <w:spacing w:before="196"/>
        <w:ind w:left="1025" w:right="514" w:hanging="720"/>
      </w:pPr>
      <w:r>
        <w:rPr/>
        <w:t>Xiao, Y., Li, Z., &amp; Webster, C. (2016). Estimating the mediating effect of privately- supplied green space on the relationship between urban public green space and property value: Evidence from Shanghai, China. </w:t>
      </w:r>
      <w:r>
        <w:rPr>
          <w:i/>
        </w:rPr>
        <w:t>Land Use Policy</w:t>
      </w:r>
      <w:r>
        <w:rPr/>
        <w:t>, </w:t>
      </w:r>
      <w:r>
        <w:rPr>
          <w:i/>
        </w:rPr>
        <w:t>54</w:t>
      </w:r>
      <w:r>
        <w:rPr/>
        <w:t>, 439–447. </w:t>
      </w:r>
      <w:r>
        <w:rPr>
          <w:spacing w:val="-2"/>
        </w:rPr>
        <w:t>https://doi.org/10.1016/j.landusepol.2016.03.001</w:t>
      </w:r>
    </w:p>
    <w:p>
      <w:pPr>
        <w:spacing w:after="0"/>
        <w:sectPr>
          <w:pgSz w:w="11910" w:h="16840"/>
          <w:pgMar w:header="0" w:footer="1022" w:top="1320" w:bottom="1220" w:left="1680" w:right="900"/>
        </w:sectPr>
      </w:pPr>
    </w:p>
    <w:p>
      <w:pPr>
        <w:spacing w:line="242" w:lineRule="auto" w:before="72"/>
        <w:ind w:left="1025" w:right="514" w:hanging="720"/>
        <w:jc w:val="both"/>
        <w:rPr>
          <w:sz w:val="24"/>
        </w:rPr>
      </w:pPr>
      <w:r>
        <w:rPr>
          <w:sz w:val="24"/>
        </w:rPr>
        <w:t>Xiao, Y., Orford, S., &amp; Webster, C. J. (2016). Urban configuration, accessibility and property prices: A case study of Cardiff, Wales. </w:t>
      </w:r>
      <w:r>
        <w:rPr>
          <w:i/>
          <w:sz w:val="24"/>
        </w:rPr>
        <w:t>Environment and Planning B: Planning and Design</w:t>
      </w:r>
      <w:r>
        <w:rPr>
          <w:sz w:val="24"/>
        </w:rPr>
        <w:t>, </w:t>
      </w:r>
      <w:r>
        <w:rPr>
          <w:i/>
          <w:sz w:val="24"/>
        </w:rPr>
        <w:t>43</w:t>
      </w:r>
      <w:r>
        <w:rPr>
          <w:sz w:val="24"/>
        </w:rPr>
        <w:t>(1), 108–129.</w:t>
      </w:r>
    </w:p>
    <w:p>
      <w:pPr>
        <w:pStyle w:val="BodyText"/>
        <w:spacing w:before="191"/>
        <w:ind w:left="1025" w:right="514" w:hanging="720"/>
      </w:pPr>
      <w:r>
        <w:rPr/>
        <w:t>Xiao,</w:t>
      </w:r>
      <w:r>
        <w:rPr>
          <w:spacing w:val="-15"/>
        </w:rPr>
        <w:t> </w:t>
      </w:r>
      <w:r>
        <w:rPr/>
        <w:t>Y.,</w:t>
      </w:r>
      <w:r>
        <w:rPr>
          <w:spacing w:val="-15"/>
        </w:rPr>
        <w:t> </w:t>
      </w:r>
      <w:r>
        <w:rPr/>
        <w:t>Webster,</w:t>
      </w:r>
      <w:r>
        <w:rPr>
          <w:spacing w:val="-15"/>
        </w:rPr>
        <w:t> </w:t>
      </w:r>
      <w:r>
        <w:rPr/>
        <w:t>C.,</w:t>
      </w:r>
      <w:r>
        <w:rPr>
          <w:spacing w:val="-15"/>
        </w:rPr>
        <w:t> </w:t>
      </w:r>
      <w:r>
        <w:rPr/>
        <w:t>&amp;</w:t>
      </w:r>
      <w:r>
        <w:rPr>
          <w:spacing w:val="-15"/>
        </w:rPr>
        <w:t> </w:t>
      </w:r>
      <w:r>
        <w:rPr/>
        <w:t>Orford,</w:t>
      </w:r>
      <w:r>
        <w:rPr>
          <w:spacing w:val="-15"/>
        </w:rPr>
        <w:t> </w:t>
      </w:r>
      <w:r>
        <w:rPr/>
        <w:t>S.</w:t>
      </w:r>
      <w:r>
        <w:rPr>
          <w:spacing w:val="-15"/>
        </w:rPr>
        <w:t> </w:t>
      </w:r>
      <w:r>
        <w:rPr/>
        <w:t>(2016a).</w:t>
      </w:r>
      <w:r>
        <w:rPr>
          <w:spacing w:val="-15"/>
        </w:rPr>
        <w:t> </w:t>
      </w:r>
      <w:r>
        <w:rPr/>
        <w:t>Can</w:t>
      </w:r>
      <w:r>
        <w:rPr>
          <w:spacing w:val="-15"/>
        </w:rPr>
        <w:t> </w:t>
      </w:r>
      <w:r>
        <w:rPr/>
        <w:t>street</w:t>
      </w:r>
      <w:r>
        <w:rPr>
          <w:spacing w:val="-15"/>
        </w:rPr>
        <w:t> </w:t>
      </w:r>
      <w:r>
        <w:rPr/>
        <w:t>segments</w:t>
      </w:r>
      <w:r>
        <w:rPr>
          <w:spacing w:val="-15"/>
        </w:rPr>
        <w:t> </w:t>
      </w:r>
      <w:r>
        <w:rPr/>
        <w:t>indexed</w:t>
      </w:r>
      <w:r>
        <w:rPr>
          <w:spacing w:val="-15"/>
        </w:rPr>
        <w:t> </w:t>
      </w:r>
      <w:r>
        <w:rPr/>
        <w:t>for</w:t>
      </w:r>
      <w:r>
        <w:rPr>
          <w:spacing w:val="-15"/>
        </w:rPr>
        <w:t> </w:t>
      </w:r>
      <w:r>
        <w:rPr/>
        <w:t>accessibility form the basis for housing submarket delineation? </w:t>
      </w:r>
      <w:r>
        <w:rPr>
          <w:i/>
        </w:rPr>
        <w:t>Housing Studies</w:t>
      </w:r>
      <w:r>
        <w:rPr/>
        <w:t>, </w:t>
      </w:r>
      <w:r>
        <w:rPr>
          <w:i/>
        </w:rPr>
        <w:t>31</w:t>
      </w:r>
      <w:r>
        <w:rPr/>
        <w:t>(7), 829– 851. https://doi.org/10.1080/02673037.2016.1150433</w:t>
      </w:r>
    </w:p>
    <w:p>
      <w:pPr>
        <w:pStyle w:val="BodyText"/>
        <w:spacing w:before="199"/>
        <w:ind w:left="1025" w:right="513" w:hanging="720"/>
      </w:pPr>
      <w:r>
        <w:rPr/>
        <w:t>Xiao, Y., Webster, C., &amp; Orford, S. (2016b). Identifying house price effects of changes in urban street configuration: An empirical study in Nanjing, China. </w:t>
      </w:r>
      <w:r>
        <w:rPr>
          <w:i/>
        </w:rPr>
        <w:t>Urban Studies</w:t>
      </w:r>
      <w:r>
        <w:rPr/>
        <w:t>, </w:t>
      </w:r>
      <w:r>
        <w:rPr>
          <w:i/>
        </w:rPr>
        <w:t>53</w:t>
      </w:r>
      <w:r>
        <w:rPr/>
        <w:t>(1), 112–131. https://doi.org/10.1177/0042098014560500</w:t>
      </w:r>
    </w:p>
    <w:p>
      <w:pPr>
        <w:spacing w:line="240" w:lineRule="auto" w:before="202"/>
        <w:ind w:left="1025" w:right="512" w:hanging="720"/>
        <w:jc w:val="both"/>
        <w:rPr>
          <w:sz w:val="24"/>
        </w:rPr>
      </w:pPr>
      <w:r>
        <w:rPr>
          <w:sz w:val="24"/>
        </w:rPr>
        <w:t>Yahaya,</w:t>
      </w:r>
      <w:r>
        <w:rPr>
          <w:spacing w:val="-13"/>
          <w:sz w:val="24"/>
        </w:rPr>
        <w:t> </w:t>
      </w:r>
      <w:r>
        <w:rPr>
          <w:sz w:val="24"/>
        </w:rPr>
        <w:t>M.</w:t>
      </w:r>
      <w:r>
        <w:rPr>
          <w:spacing w:val="-13"/>
          <w:sz w:val="24"/>
        </w:rPr>
        <w:t> </w:t>
      </w:r>
      <w:r>
        <w:rPr>
          <w:sz w:val="24"/>
        </w:rPr>
        <w:t>K.</w:t>
      </w:r>
      <w:r>
        <w:rPr>
          <w:spacing w:val="-14"/>
          <w:sz w:val="24"/>
        </w:rPr>
        <w:t> </w:t>
      </w:r>
      <w:r>
        <w:rPr>
          <w:sz w:val="24"/>
        </w:rPr>
        <w:t>(2002).</w:t>
      </w:r>
      <w:r>
        <w:rPr>
          <w:spacing w:val="-14"/>
          <w:sz w:val="24"/>
        </w:rPr>
        <w:t> </w:t>
      </w:r>
      <w:r>
        <w:rPr>
          <w:sz w:val="24"/>
        </w:rPr>
        <w:t>Analysis</w:t>
      </w:r>
      <w:r>
        <w:rPr>
          <w:spacing w:val="-12"/>
          <w:sz w:val="24"/>
        </w:rPr>
        <w:t> </w:t>
      </w:r>
      <w:r>
        <w:rPr>
          <w:sz w:val="24"/>
        </w:rPr>
        <w:t>of</w:t>
      </w:r>
      <w:r>
        <w:rPr>
          <w:spacing w:val="-12"/>
          <w:sz w:val="24"/>
        </w:rPr>
        <w:t> </w:t>
      </w:r>
      <w:r>
        <w:rPr>
          <w:sz w:val="24"/>
        </w:rPr>
        <w:t>women’s</w:t>
      </w:r>
      <w:r>
        <w:rPr>
          <w:spacing w:val="-14"/>
          <w:sz w:val="24"/>
        </w:rPr>
        <w:t> </w:t>
      </w:r>
      <w:r>
        <w:rPr>
          <w:sz w:val="24"/>
        </w:rPr>
        <w:t>reproductive</w:t>
      </w:r>
      <w:r>
        <w:rPr>
          <w:spacing w:val="-14"/>
          <w:sz w:val="24"/>
        </w:rPr>
        <w:t> </w:t>
      </w:r>
      <w:r>
        <w:rPr>
          <w:sz w:val="24"/>
        </w:rPr>
        <w:t>health</w:t>
      </w:r>
      <w:r>
        <w:rPr>
          <w:spacing w:val="-13"/>
          <w:sz w:val="24"/>
        </w:rPr>
        <w:t> </w:t>
      </w:r>
      <w:r>
        <w:rPr>
          <w:sz w:val="24"/>
        </w:rPr>
        <w:t>situation</w:t>
      </w:r>
      <w:r>
        <w:rPr>
          <w:spacing w:val="-11"/>
          <w:sz w:val="24"/>
        </w:rPr>
        <w:t> </w:t>
      </w:r>
      <w:r>
        <w:rPr>
          <w:sz w:val="24"/>
        </w:rPr>
        <w:t>in</w:t>
      </w:r>
      <w:r>
        <w:rPr>
          <w:spacing w:val="-15"/>
          <w:sz w:val="24"/>
        </w:rPr>
        <w:t> </w:t>
      </w:r>
      <w:r>
        <w:rPr>
          <w:sz w:val="24"/>
        </w:rPr>
        <w:t>Bida</w:t>
      </w:r>
      <w:r>
        <w:rPr>
          <w:spacing w:val="-13"/>
          <w:sz w:val="24"/>
        </w:rPr>
        <w:t> </w:t>
      </w:r>
      <w:r>
        <w:rPr>
          <w:sz w:val="24"/>
        </w:rPr>
        <w:t>emirate of Niger State, Nigeria. </w:t>
      </w:r>
      <w:r>
        <w:rPr>
          <w:i/>
          <w:sz w:val="24"/>
        </w:rPr>
        <w:t>African Journal of Reproductive Health</w:t>
      </w:r>
      <w:r>
        <w:rPr>
          <w:sz w:val="24"/>
        </w:rPr>
        <w:t>, </w:t>
      </w:r>
      <w:r>
        <w:rPr>
          <w:i/>
          <w:sz w:val="24"/>
        </w:rPr>
        <w:t>6</w:t>
      </w:r>
      <w:r>
        <w:rPr>
          <w:sz w:val="24"/>
        </w:rPr>
        <w:t>(1), 50. </w:t>
      </w:r>
      <w:r>
        <w:rPr>
          <w:spacing w:val="-2"/>
          <w:sz w:val="24"/>
        </w:rPr>
        <w:t>https://doi.org/10.2307/3583146</w:t>
      </w:r>
    </w:p>
    <w:p>
      <w:pPr>
        <w:pStyle w:val="BodyText"/>
        <w:spacing w:before="200"/>
        <w:ind w:left="1025" w:right="511" w:hanging="720"/>
      </w:pPr>
      <w:r>
        <w:rPr/>
        <w:t>Yang, S., Hu, S., Li, W., Zhang, C., &amp; Torres, J. (2017). Spatiotemporal effects of main impact factors on residential land price in major cities of China. </w:t>
      </w:r>
      <w:r>
        <w:rPr>
          <w:i/>
        </w:rPr>
        <w:t>Sustainability</w:t>
      </w:r>
      <w:r>
        <w:rPr/>
        <w:t>, </w:t>
      </w:r>
      <w:r>
        <w:rPr>
          <w:i/>
        </w:rPr>
        <w:t>9</w:t>
      </w:r>
      <w:r>
        <w:rPr/>
        <w:t>(11), 2050. https://doi.org/10.3390/su9112050</w:t>
      </w:r>
    </w:p>
    <w:p>
      <w:pPr>
        <w:pStyle w:val="BodyText"/>
        <w:tabs>
          <w:tab w:pos="2746" w:val="left" w:leader="none"/>
          <w:tab w:pos="4516" w:val="left" w:leader="none"/>
          <w:tab w:pos="6361" w:val="left" w:leader="none"/>
          <w:tab w:pos="7669" w:val="left" w:leader="none"/>
        </w:tabs>
        <w:spacing w:before="199"/>
        <w:ind w:left="1025" w:right="511" w:hanging="720"/>
      </w:pPr>
      <w:r>
        <w:rPr/>
        <w:t>Yusuf, A. A., &amp; Resosudarmo, B. P. (2009). Does clean air matter in developing countries’ megacities? A hedonic price analysis of the Jakarta housing market, </w:t>
      </w:r>
      <w:r>
        <w:rPr>
          <w:spacing w:val="-2"/>
        </w:rPr>
        <w:t>Indonesia.</w:t>
      </w:r>
      <w:r>
        <w:rPr/>
        <w:tab/>
      </w:r>
      <w:r>
        <w:rPr>
          <w:i/>
          <w:spacing w:val="-2"/>
        </w:rPr>
        <w:t>Ecological</w:t>
      </w:r>
      <w:r>
        <w:rPr>
          <w:i/>
        </w:rPr>
        <w:tab/>
      </w:r>
      <w:r>
        <w:rPr>
          <w:i/>
          <w:spacing w:val="-2"/>
        </w:rPr>
        <w:t>Economics</w:t>
      </w:r>
      <w:r>
        <w:rPr>
          <w:spacing w:val="-2"/>
        </w:rPr>
        <w:t>,</w:t>
      </w:r>
      <w:r>
        <w:rPr/>
        <w:tab/>
      </w:r>
      <w:r>
        <w:rPr>
          <w:i/>
          <w:spacing w:val="-2"/>
        </w:rPr>
        <w:t>68</w:t>
      </w:r>
      <w:r>
        <w:rPr>
          <w:spacing w:val="-2"/>
        </w:rPr>
        <w:t>(5),</w:t>
      </w:r>
      <w:r>
        <w:rPr/>
        <w:tab/>
      </w:r>
      <w:r>
        <w:rPr>
          <w:spacing w:val="-2"/>
        </w:rPr>
        <w:t>1398–1407. https://doi.org/10.1016/j.ecolecon.2008.09.011</w:t>
      </w:r>
    </w:p>
    <w:p>
      <w:pPr>
        <w:pStyle w:val="BodyText"/>
        <w:spacing w:before="202"/>
        <w:ind w:left="1025" w:right="514" w:hanging="720"/>
      </w:pPr>
      <w:r>
        <w:rPr/>
        <w:t>Zhang, M., &amp; Zhao, P. (2018). The determinants of informal housing price in Beijing: Village power, informal institutions, and property security. </w:t>
      </w:r>
      <w:r>
        <w:rPr>
          <w:i/>
        </w:rPr>
        <w:t>Cities</w:t>
      </w:r>
      <w:r>
        <w:rPr/>
        <w:t>, </w:t>
      </w:r>
      <w:r>
        <w:rPr>
          <w:i/>
        </w:rPr>
        <w:t>77</w:t>
      </w:r>
      <w:r>
        <w:rPr/>
        <w:t>, 117–129. </w:t>
      </w:r>
      <w:r>
        <w:rPr>
          <w:spacing w:val="-2"/>
        </w:rPr>
        <w:t>https://doi.org/10.1016/j.cities.2018.01.018</w:t>
      </w:r>
    </w:p>
    <w:p>
      <w:pPr>
        <w:spacing w:line="240" w:lineRule="auto" w:before="199"/>
        <w:ind w:left="1025" w:right="514" w:hanging="720"/>
        <w:jc w:val="both"/>
        <w:rPr>
          <w:sz w:val="24"/>
        </w:rPr>
      </w:pPr>
      <w:r>
        <w:rPr>
          <w:sz w:val="24"/>
        </w:rPr>
        <w:t>Zhang,</w:t>
      </w:r>
      <w:r>
        <w:rPr>
          <w:spacing w:val="-6"/>
          <w:sz w:val="24"/>
        </w:rPr>
        <w:t> </w:t>
      </w:r>
      <w:r>
        <w:rPr>
          <w:sz w:val="24"/>
        </w:rPr>
        <w:t>Y.,</w:t>
      </w:r>
      <w:r>
        <w:rPr>
          <w:spacing w:val="-9"/>
          <w:sz w:val="24"/>
        </w:rPr>
        <w:t> </w:t>
      </w:r>
      <w:r>
        <w:rPr>
          <w:sz w:val="24"/>
        </w:rPr>
        <w:t>Sun,</w:t>
      </w:r>
      <w:r>
        <w:rPr>
          <w:spacing w:val="-8"/>
          <w:sz w:val="24"/>
        </w:rPr>
        <w:t> </w:t>
      </w:r>
      <w:r>
        <w:rPr>
          <w:sz w:val="24"/>
        </w:rPr>
        <w:t>Y.,</w:t>
      </w:r>
      <w:r>
        <w:rPr>
          <w:spacing w:val="-9"/>
          <w:sz w:val="24"/>
        </w:rPr>
        <w:t> </w:t>
      </w:r>
      <w:r>
        <w:rPr>
          <w:sz w:val="24"/>
        </w:rPr>
        <w:t>&amp;</w:t>
      </w:r>
      <w:r>
        <w:rPr>
          <w:spacing w:val="-10"/>
          <w:sz w:val="24"/>
        </w:rPr>
        <w:t> </w:t>
      </w:r>
      <w:r>
        <w:rPr>
          <w:sz w:val="24"/>
        </w:rPr>
        <w:t>Stengos,</w:t>
      </w:r>
      <w:r>
        <w:rPr>
          <w:spacing w:val="-8"/>
          <w:sz w:val="24"/>
        </w:rPr>
        <w:t> </w:t>
      </w:r>
      <w:r>
        <w:rPr>
          <w:sz w:val="24"/>
        </w:rPr>
        <w:t>T.</w:t>
      </w:r>
      <w:r>
        <w:rPr>
          <w:spacing w:val="-9"/>
          <w:sz w:val="24"/>
        </w:rPr>
        <w:t> </w:t>
      </w:r>
      <w:r>
        <w:rPr>
          <w:sz w:val="24"/>
        </w:rPr>
        <w:t>(2018).</w:t>
      </w:r>
      <w:r>
        <w:rPr>
          <w:spacing w:val="-9"/>
          <w:sz w:val="24"/>
        </w:rPr>
        <w:t> </w:t>
      </w:r>
      <w:r>
        <w:rPr>
          <w:sz w:val="24"/>
        </w:rPr>
        <w:t>Spatial</w:t>
      </w:r>
      <w:r>
        <w:rPr>
          <w:spacing w:val="-5"/>
          <w:sz w:val="24"/>
        </w:rPr>
        <w:t> </w:t>
      </w:r>
      <w:r>
        <w:rPr>
          <w:sz w:val="24"/>
        </w:rPr>
        <w:t>dependence</w:t>
      </w:r>
      <w:r>
        <w:rPr>
          <w:spacing w:val="-8"/>
          <w:sz w:val="24"/>
        </w:rPr>
        <w:t> </w:t>
      </w:r>
      <w:r>
        <w:rPr>
          <w:sz w:val="24"/>
        </w:rPr>
        <w:t>in</w:t>
      </w:r>
      <w:r>
        <w:rPr>
          <w:spacing w:val="-8"/>
          <w:sz w:val="24"/>
        </w:rPr>
        <w:t> </w:t>
      </w:r>
      <w:r>
        <w:rPr>
          <w:sz w:val="24"/>
        </w:rPr>
        <w:t>the</w:t>
      </w:r>
      <w:r>
        <w:rPr>
          <w:spacing w:val="-9"/>
          <w:sz w:val="24"/>
        </w:rPr>
        <w:t> </w:t>
      </w:r>
      <w:r>
        <w:rPr>
          <w:sz w:val="24"/>
        </w:rPr>
        <w:t>residential</w:t>
      </w:r>
      <w:r>
        <w:rPr>
          <w:spacing w:val="-7"/>
          <w:sz w:val="24"/>
        </w:rPr>
        <w:t> </w:t>
      </w:r>
      <w:r>
        <w:rPr>
          <w:sz w:val="24"/>
        </w:rPr>
        <w:t>Canadian housing market. </w:t>
      </w:r>
      <w:r>
        <w:rPr>
          <w:i/>
          <w:sz w:val="24"/>
        </w:rPr>
        <w:t>The Journal of Real Estate Finance and Economics</w:t>
      </w:r>
      <w:r>
        <w:rPr>
          <w:sz w:val="24"/>
        </w:rPr>
        <w:t>. </w:t>
      </w:r>
      <w:r>
        <w:rPr>
          <w:spacing w:val="-2"/>
          <w:sz w:val="24"/>
        </w:rPr>
        <w:t>https://doi.org/10.1007/s11146-017-9623-2</w:t>
      </w:r>
    </w:p>
    <w:p>
      <w:pPr>
        <w:pStyle w:val="BodyText"/>
        <w:spacing w:before="200"/>
        <w:ind w:left="1025" w:right="511" w:hanging="720"/>
      </w:pPr>
      <w:r>
        <w:rPr/>
        <w:t>Zhang,</w:t>
      </w:r>
      <w:r>
        <w:rPr>
          <w:spacing w:val="-5"/>
        </w:rPr>
        <w:t> </w:t>
      </w:r>
      <w:r>
        <w:rPr/>
        <w:t>Z.,</w:t>
      </w:r>
      <w:r>
        <w:rPr>
          <w:spacing w:val="-8"/>
        </w:rPr>
        <w:t> </w:t>
      </w:r>
      <w:r>
        <w:rPr/>
        <w:t>&amp;</w:t>
      </w:r>
      <w:r>
        <w:rPr>
          <w:spacing w:val="-9"/>
        </w:rPr>
        <w:t> </w:t>
      </w:r>
      <w:r>
        <w:rPr/>
        <w:t>Tang,</w:t>
      </w:r>
      <w:r>
        <w:rPr>
          <w:spacing w:val="-7"/>
        </w:rPr>
        <w:t> </w:t>
      </w:r>
      <w:r>
        <w:rPr/>
        <w:t>W.</w:t>
      </w:r>
      <w:r>
        <w:rPr>
          <w:spacing w:val="-7"/>
        </w:rPr>
        <w:t> </w:t>
      </w:r>
      <w:r>
        <w:rPr/>
        <w:t>(2016).</w:t>
      </w:r>
      <w:r>
        <w:rPr>
          <w:spacing w:val="-8"/>
        </w:rPr>
        <w:t> </w:t>
      </w:r>
      <w:r>
        <w:rPr/>
        <w:t>Analysis</w:t>
      </w:r>
      <w:r>
        <w:rPr>
          <w:spacing w:val="-7"/>
        </w:rPr>
        <w:t> </w:t>
      </w:r>
      <w:r>
        <w:rPr/>
        <w:t>of</w:t>
      </w:r>
      <w:r>
        <w:rPr>
          <w:spacing w:val="-8"/>
        </w:rPr>
        <w:t> </w:t>
      </w:r>
      <w:r>
        <w:rPr/>
        <w:t>spatial</w:t>
      </w:r>
      <w:r>
        <w:rPr>
          <w:spacing w:val="-4"/>
        </w:rPr>
        <w:t> </w:t>
      </w:r>
      <w:r>
        <w:rPr/>
        <w:t>patterns</w:t>
      </w:r>
      <w:r>
        <w:rPr>
          <w:spacing w:val="-8"/>
        </w:rPr>
        <w:t> </w:t>
      </w:r>
      <w:r>
        <w:rPr/>
        <w:t>of</w:t>
      </w:r>
      <w:r>
        <w:rPr>
          <w:spacing w:val="-8"/>
        </w:rPr>
        <w:t> </w:t>
      </w:r>
      <w:r>
        <w:rPr/>
        <w:t>public</w:t>
      </w:r>
      <w:r>
        <w:rPr>
          <w:spacing w:val="-8"/>
        </w:rPr>
        <w:t> </w:t>
      </w:r>
      <w:r>
        <w:rPr/>
        <w:t>attention</w:t>
      </w:r>
      <w:r>
        <w:rPr>
          <w:spacing w:val="-7"/>
        </w:rPr>
        <w:t> </w:t>
      </w:r>
      <w:r>
        <w:rPr/>
        <w:t>on</w:t>
      </w:r>
      <w:r>
        <w:rPr>
          <w:spacing w:val="-7"/>
        </w:rPr>
        <w:t> </w:t>
      </w:r>
      <w:r>
        <w:rPr/>
        <w:t>housing prices in Chinese cities: A web search engine approach. </w:t>
      </w:r>
      <w:r>
        <w:rPr>
          <w:i/>
        </w:rPr>
        <w:t>Applied Geography</w:t>
      </w:r>
      <w:r>
        <w:rPr/>
        <w:t>, </w:t>
      </w:r>
      <w:r>
        <w:rPr>
          <w:i/>
        </w:rPr>
        <w:t>70</w:t>
      </w:r>
      <w:r>
        <w:rPr/>
        <w:t>, 68–81. https://doi.org/10.1016/j.apgeog.2016.03.004</w:t>
      </w:r>
    </w:p>
    <w:p>
      <w:pPr>
        <w:spacing w:line="240" w:lineRule="auto" w:before="201"/>
        <w:ind w:left="1025" w:right="512" w:hanging="720"/>
        <w:jc w:val="both"/>
        <w:rPr>
          <w:sz w:val="24"/>
        </w:rPr>
      </w:pPr>
      <w:r>
        <w:rPr>
          <w:sz w:val="24"/>
        </w:rPr>
        <w:t>Zhao,</w:t>
      </w:r>
      <w:r>
        <w:rPr>
          <w:spacing w:val="-8"/>
          <w:sz w:val="24"/>
        </w:rPr>
        <w:t> </w:t>
      </w:r>
      <w:r>
        <w:rPr>
          <w:sz w:val="24"/>
        </w:rPr>
        <w:t>X.</w:t>
      </w:r>
      <w:r>
        <w:rPr>
          <w:spacing w:val="-11"/>
          <w:sz w:val="24"/>
        </w:rPr>
        <w:t> </w:t>
      </w:r>
      <w:r>
        <w:rPr>
          <w:sz w:val="24"/>
        </w:rPr>
        <w:t>(2018).</w:t>
      </w:r>
      <w:r>
        <w:rPr>
          <w:spacing w:val="-9"/>
          <w:sz w:val="24"/>
        </w:rPr>
        <w:t> </w:t>
      </w:r>
      <w:r>
        <w:rPr>
          <w:sz w:val="24"/>
        </w:rPr>
        <w:t>A</w:t>
      </w:r>
      <w:r>
        <w:rPr>
          <w:spacing w:val="-11"/>
          <w:sz w:val="24"/>
        </w:rPr>
        <w:t> </w:t>
      </w:r>
      <w:r>
        <w:rPr>
          <w:sz w:val="24"/>
        </w:rPr>
        <w:t>study</w:t>
      </w:r>
      <w:r>
        <w:rPr>
          <w:spacing w:val="-13"/>
          <w:sz w:val="24"/>
        </w:rPr>
        <w:t> </w:t>
      </w:r>
      <w:r>
        <w:rPr>
          <w:sz w:val="24"/>
        </w:rPr>
        <w:t>of</w:t>
      </w:r>
      <w:r>
        <w:rPr>
          <w:spacing w:val="-11"/>
          <w:sz w:val="24"/>
        </w:rPr>
        <w:t> </w:t>
      </w:r>
      <w:r>
        <w:rPr>
          <w:sz w:val="24"/>
        </w:rPr>
        <w:t>the</w:t>
      </w:r>
      <w:r>
        <w:rPr>
          <w:spacing w:val="-11"/>
          <w:sz w:val="24"/>
        </w:rPr>
        <w:t> </w:t>
      </w:r>
      <w:r>
        <w:rPr>
          <w:sz w:val="24"/>
        </w:rPr>
        <w:t>spatio-temporal</w:t>
      </w:r>
      <w:r>
        <w:rPr>
          <w:spacing w:val="-10"/>
          <w:sz w:val="24"/>
        </w:rPr>
        <w:t> </w:t>
      </w:r>
      <w:r>
        <w:rPr>
          <w:sz w:val="24"/>
        </w:rPr>
        <w:t>correlation</w:t>
      </w:r>
      <w:r>
        <w:rPr>
          <w:spacing w:val="-9"/>
          <w:sz w:val="24"/>
        </w:rPr>
        <w:t> </w:t>
      </w:r>
      <w:r>
        <w:rPr>
          <w:sz w:val="24"/>
        </w:rPr>
        <w:t>of</w:t>
      </w:r>
      <w:r>
        <w:rPr>
          <w:spacing w:val="-11"/>
          <w:sz w:val="24"/>
        </w:rPr>
        <w:t> </w:t>
      </w:r>
      <w:r>
        <w:rPr>
          <w:sz w:val="24"/>
        </w:rPr>
        <w:t>housing</w:t>
      </w:r>
      <w:r>
        <w:rPr>
          <w:spacing w:val="-13"/>
          <w:sz w:val="24"/>
        </w:rPr>
        <w:t> </w:t>
      </w:r>
      <w:r>
        <w:rPr>
          <w:sz w:val="24"/>
        </w:rPr>
        <w:t>prices</w:t>
      </w:r>
      <w:r>
        <w:rPr>
          <w:spacing w:val="-9"/>
          <w:sz w:val="24"/>
        </w:rPr>
        <w:t> </w:t>
      </w:r>
      <w:r>
        <w:rPr>
          <w:sz w:val="24"/>
        </w:rPr>
        <w:t>and</w:t>
      </w:r>
      <w:r>
        <w:rPr>
          <w:spacing w:val="-10"/>
          <w:sz w:val="24"/>
        </w:rPr>
        <w:t> </w:t>
      </w:r>
      <w:r>
        <w:rPr>
          <w:sz w:val="24"/>
        </w:rPr>
        <w:t>fertility rate in China. </w:t>
      </w:r>
      <w:r>
        <w:rPr>
          <w:i/>
          <w:sz w:val="24"/>
        </w:rPr>
        <w:t>Proceedings of the 2018 2nd International Conference on Management, Education and Social Science (ICMESS 2018)</w:t>
      </w:r>
      <w:r>
        <w:rPr>
          <w:sz w:val="24"/>
        </w:rPr>
        <w:t>. Presented at the 2018 2nd International Conference on Management, Education and Social Science (ICMESS 2018), Qingdao, China. https://doi.org/10.2991/icmess- </w:t>
      </w:r>
      <w:r>
        <w:rPr>
          <w:spacing w:val="-2"/>
          <w:sz w:val="24"/>
        </w:rPr>
        <w:t>18.2018.173</w:t>
      </w:r>
    </w:p>
    <w:p>
      <w:pPr>
        <w:pStyle w:val="BodyText"/>
        <w:tabs>
          <w:tab w:pos="2539" w:val="left" w:leader="none"/>
          <w:tab w:pos="4225" w:val="left" w:leader="none"/>
          <w:tab w:pos="6221" w:val="left" w:leader="none"/>
          <w:tab w:pos="8057" w:val="left" w:leader="none"/>
        </w:tabs>
        <w:spacing w:before="200"/>
        <w:ind w:left="1025" w:right="513" w:hanging="720"/>
      </w:pPr>
      <w:r>
        <w:rPr/>
        <w:t>Zhou, Z. (2018). Housing market sentiment and intervention effectiveness: Evidence </w:t>
      </w:r>
      <w:r>
        <w:rPr>
          <w:spacing w:val="-4"/>
        </w:rPr>
        <w:t>from</w:t>
      </w:r>
      <w:r>
        <w:rPr/>
        <w:tab/>
      </w:r>
      <w:r>
        <w:rPr>
          <w:spacing w:val="-2"/>
        </w:rPr>
        <w:t>China.</w:t>
      </w:r>
      <w:r>
        <w:rPr/>
        <w:tab/>
      </w:r>
      <w:r>
        <w:rPr>
          <w:i/>
          <w:spacing w:val="-2"/>
        </w:rPr>
        <w:t>Emerging</w:t>
      </w:r>
      <w:r>
        <w:rPr>
          <w:i/>
        </w:rPr>
        <w:tab/>
      </w:r>
      <w:r>
        <w:rPr>
          <w:i/>
          <w:spacing w:val="-2"/>
        </w:rPr>
        <w:t>Markets</w:t>
      </w:r>
      <w:r>
        <w:rPr>
          <w:i/>
        </w:rPr>
        <w:tab/>
      </w:r>
      <w:r>
        <w:rPr>
          <w:i/>
          <w:spacing w:val="-2"/>
        </w:rPr>
        <w:t>Review</w:t>
      </w:r>
      <w:r>
        <w:rPr>
          <w:spacing w:val="-2"/>
        </w:rPr>
        <w:t>. https://doi.org/10.1016/j.ememar.2017.12.005</w:t>
      </w:r>
    </w:p>
    <w:p>
      <w:pPr>
        <w:pStyle w:val="BodyText"/>
        <w:spacing w:before="200"/>
        <w:ind w:left="1025" w:right="514" w:hanging="720"/>
      </w:pPr>
      <w:r>
        <w:rPr/>
        <w:t>Zmölnig,</w:t>
      </w:r>
      <w:r>
        <w:rPr>
          <w:spacing w:val="-8"/>
        </w:rPr>
        <w:t> </w:t>
      </w:r>
      <w:r>
        <w:rPr/>
        <w:t>J.,</w:t>
      </w:r>
      <w:r>
        <w:rPr>
          <w:spacing w:val="-10"/>
        </w:rPr>
        <w:t> </w:t>
      </w:r>
      <w:r>
        <w:rPr/>
        <w:t>Tomintz,</w:t>
      </w:r>
      <w:r>
        <w:rPr>
          <w:spacing w:val="-10"/>
        </w:rPr>
        <w:t> </w:t>
      </w:r>
      <w:r>
        <w:rPr/>
        <w:t>M.</w:t>
      </w:r>
      <w:r>
        <w:rPr>
          <w:spacing w:val="-12"/>
        </w:rPr>
        <w:t> </w:t>
      </w:r>
      <w:r>
        <w:rPr/>
        <w:t>N.,</w:t>
      </w:r>
      <w:r>
        <w:rPr>
          <w:spacing w:val="-8"/>
        </w:rPr>
        <w:t> </w:t>
      </w:r>
      <w:r>
        <w:rPr/>
        <w:t>&amp;</w:t>
      </w:r>
      <w:r>
        <w:rPr>
          <w:spacing w:val="-9"/>
        </w:rPr>
        <w:t> </w:t>
      </w:r>
      <w:r>
        <w:rPr/>
        <w:t>Fotheringham,</w:t>
      </w:r>
      <w:r>
        <w:rPr>
          <w:spacing w:val="-7"/>
        </w:rPr>
        <w:t> </w:t>
      </w:r>
      <w:r>
        <w:rPr/>
        <w:t>S.</w:t>
      </w:r>
      <w:r>
        <w:rPr>
          <w:spacing w:val="-7"/>
        </w:rPr>
        <w:t> </w:t>
      </w:r>
      <w:r>
        <w:rPr/>
        <w:t>A.</w:t>
      </w:r>
      <w:r>
        <w:rPr>
          <w:spacing w:val="-10"/>
        </w:rPr>
        <w:t> </w:t>
      </w:r>
      <w:r>
        <w:rPr/>
        <w:t>(2014).</w:t>
      </w:r>
      <w:r>
        <w:rPr>
          <w:spacing w:val="-8"/>
        </w:rPr>
        <w:t> </w:t>
      </w:r>
      <w:r>
        <w:rPr/>
        <w:t>A</w:t>
      </w:r>
      <w:r>
        <w:rPr>
          <w:spacing w:val="-10"/>
        </w:rPr>
        <w:t> </w:t>
      </w:r>
      <w:r>
        <w:rPr/>
        <w:t>Spatial</w:t>
      </w:r>
      <w:r>
        <w:rPr>
          <w:spacing w:val="-9"/>
        </w:rPr>
        <w:t> </w:t>
      </w:r>
      <w:r>
        <w:rPr/>
        <w:t>Analysis</w:t>
      </w:r>
      <w:r>
        <w:rPr>
          <w:spacing w:val="-9"/>
        </w:rPr>
        <w:t> </w:t>
      </w:r>
      <w:r>
        <w:rPr/>
        <w:t>of</w:t>
      </w:r>
      <w:r>
        <w:rPr>
          <w:spacing w:val="-8"/>
        </w:rPr>
        <w:t> </w:t>
      </w:r>
      <w:r>
        <w:rPr/>
        <w:t>House Prices in the Kingdom of Fife, Scotland. In R. Vogler, A. Car, J. Strobl, &amp; G. Griesebner (Eds.), </w:t>
      </w:r>
      <w:r>
        <w:rPr>
          <w:i/>
        </w:rPr>
        <w:t>Geospatial Innovation for Society </w:t>
      </w:r>
      <w:r>
        <w:rPr/>
        <w:t>(pp. 125–134). Austrian Academy of Sciences Press. https://doi.org/10.1553/giscience2014s125</w:t>
      </w:r>
    </w:p>
    <w:p>
      <w:pPr>
        <w:spacing w:after="0"/>
        <w:sectPr>
          <w:pgSz w:w="11910" w:h="16840"/>
          <w:pgMar w:header="0" w:footer="1022" w:top="1320" w:bottom="1220" w:left="1680" w:right="900"/>
        </w:sectPr>
      </w:pPr>
    </w:p>
    <w:p>
      <w:pPr>
        <w:pStyle w:val="BodyText"/>
        <w:spacing w:before="4"/>
        <w:jc w:val="left"/>
        <w:rPr>
          <w:sz w:val="17"/>
        </w:rPr>
      </w:pPr>
    </w:p>
    <w:p>
      <w:pPr>
        <w:spacing w:after="0"/>
        <w:jc w:val="left"/>
        <w:rPr>
          <w:sz w:val="17"/>
        </w:rPr>
        <w:sectPr>
          <w:pgSz w:w="11910" w:h="16840"/>
          <w:pgMar w:header="0" w:footer="1022" w:top="1920" w:bottom="1220" w:left="1680" w:right="900"/>
        </w:sectPr>
      </w:pPr>
    </w:p>
    <w:p>
      <w:pPr>
        <w:spacing w:before="76"/>
        <w:ind w:left="5" w:right="214" w:firstLine="0"/>
        <w:jc w:val="center"/>
        <w:rPr>
          <w:b/>
          <w:sz w:val="24"/>
        </w:rPr>
      </w:pPr>
      <w:r>
        <w:rPr>
          <w:b/>
          <w:spacing w:val="-2"/>
          <w:sz w:val="24"/>
        </w:rPr>
        <w:t>APPENDICES</w:t>
      </w:r>
    </w:p>
    <w:p>
      <w:pPr>
        <w:pStyle w:val="BodyText"/>
        <w:spacing w:before="241"/>
        <w:jc w:val="left"/>
        <w:rPr>
          <w:b/>
        </w:rPr>
      </w:pPr>
    </w:p>
    <w:p>
      <w:pPr>
        <w:spacing w:before="0"/>
        <w:ind w:left="5" w:right="214" w:firstLine="0"/>
        <w:jc w:val="center"/>
        <w:rPr>
          <w:b/>
          <w:sz w:val="24"/>
        </w:rPr>
      </w:pPr>
      <w:r>
        <w:rPr>
          <w:b/>
          <w:sz w:val="24"/>
        </w:rPr>
        <w:t>Appendix </w:t>
      </w:r>
      <w:r>
        <w:rPr>
          <w:b/>
          <w:spacing w:val="-10"/>
          <w:sz w:val="24"/>
        </w:rPr>
        <w:t>A</w:t>
      </w:r>
    </w:p>
    <w:p>
      <w:pPr>
        <w:pStyle w:val="BodyText"/>
        <w:jc w:val="left"/>
        <w:rPr>
          <w:b/>
        </w:rPr>
      </w:pPr>
    </w:p>
    <w:p>
      <w:pPr>
        <w:pStyle w:val="BodyText"/>
        <w:spacing w:before="204"/>
        <w:jc w:val="left"/>
        <w:rPr>
          <w:b/>
        </w:rPr>
      </w:pPr>
    </w:p>
    <w:p>
      <w:pPr>
        <w:spacing w:before="0" w:after="4"/>
        <w:ind w:left="292" w:right="505" w:firstLine="0"/>
        <w:jc w:val="center"/>
        <w:rPr>
          <w:b/>
          <w:sz w:val="24"/>
        </w:rPr>
      </w:pPr>
      <w:r>
        <w:rPr>
          <w:b/>
          <w:sz w:val="24"/>
        </w:rPr>
        <w:t>ANN</w:t>
      </w:r>
      <w:r>
        <w:rPr>
          <w:b/>
          <w:spacing w:val="-1"/>
          <w:sz w:val="24"/>
        </w:rPr>
        <w:t> </w:t>
      </w:r>
      <w:r>
        <w:rPr>
          <w:b/>
          <w:sz w:val="24"/>
        </w:rPr>
        <w:t>Projected</w:t>
      </w:r>
      <w:r>
        <w:rPr>
          <w:b/>
          <w:spacing w:val="-2"/>
          <w:sz w:val="24"/>
        </w:rPr>
        <w:t> </w:t>
      </w:r>
      <w:r>
        <w:rPr>
          <w:b/>
          <w:sz w:val="24"/>
        </w:rPr>
        <w:t>Data</w:t>
      </w:r>
      <w:r>
        <w:rPr>
          <w:b/>
          <w:spacing w:val="-2"/>
          <w:sz w:val="24"/>
        </w:rPr>
        <w:t> </w:t>
      </w:r>
      <w:r>
        <w:rPr>
          <w:b/>
          <w:sz w:val="24"/>
        </w:rPr>
        <w:t>for</w:t>
      </w:r>
      <w:r>
        <w:rPr>
          <w:b/>
          <w:spacing w:val="-2"/>
          <w:sz w:val="24"/>
        </w:rPr>
        <w:t> Density</w:t>
      </w:r>
    </w:p>
    <w:tbl>
      <w:tblPr>
        <w:tblW w:w="0" w:type="auto"/>
        <w:jc w:val="left"/>
        <w:tblInd w:w="1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57"/>
        <w:gridCol w:w="970"/>
        <w:gridCol w:w="960"/>
        <w:gridCol w:w="960"/>
        <w:gridCol w:w="960"/>
        <w:gridCol w:w="960"/>
        <w:gridCol w:w="961"/>
      </w:tblGrid>
      <w:tr>
        <w:trPr>
          <w:trHeight w:val="599" w:hRule="atLeast"/>
        </w:trPr>
        <w:tc>
          <w:tcPr>
            <w:tcW w:w="957" w:type="dxa"/>
            <w:tcBorders>
              <w:top w:val="single" w:sz="8" w:space="0" w:color="000000"/>
              <w:bottom w:val="single" w:sz="8" w:space="0" w:color="000000"/>
            </w:tcBorders>
          </w:tcPr>
          <w:p>
            <w:pPr>
              <w:pStyle w:val="TableParagraph"/>
              <w:spacing w:line="272" w:lineRule="exact"/>
              <w:ind w:left="18"/>
              <w:rPr>
                <w:b/>
                <w:sz w:val="24"/>
              </w:rPr>
            </w:pPr>
            <w:r>
              <w:rPr>
                <w:b/>
                <w:spacing w:val="-2"/>
                <w:sz w:val="24"/>
              </w:rPr>
              <w:t>Value</w:t>
            </w:r>
          </w:p>
        </w:tc>
        <w:tc>
          <w:tcPr>
            <w:tcW w:w="970" w:type="dxa"/>
            <w:tcBorders>
              <w:top w:val="single" w:sz="8" w:space="0" w:color="000000"/>
              <w:bottom w:val="single" w:sz="8" w:space="0" w:color="000000"/>
            </w:tcBorders>
          </w:tcPr>
          <w:p>
            <w:pPr>
              <w:pStyle w:val="TableParagraph"/>
              <w:spacing w:line="272" w:lineRule="exact"/>
              <w:ind w:left="250"/>
              <w:jc w:val="left"/>
              <w:rPr>
                <w:b/>
                <w:sz w:val="24"/>
              </w:rPr>
            </w:pPr>
            <w:r>
              <w:rPr>
                <w:b/>
                <w:spacing w:val="-4"/>
                <w:sz w:val="24"/>
              </w:rPr>
              <w:t>2008</w:t>
            </w:r>
          </w:p>
          <w:p>
            <w:pPr>
              <w:pStyle w:val="TableParagraph"/>
              <w:spacing w:line="240" w:lineRule="auto"/>
              <w:ind w:left="16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2" w:lineRule="exact"/>
              <w:ind w:left="240"/>
              <w:jc w:val="left"/>
              <w:rPr>
                <w:b/>
                <w:sz w:val="24"/>
              </w:rPr>
            </w:pPr>
            <w:r>
              <w:rPr>
                <w:b/>
                <w:spacing w:val="-4"/>
                <w:sz w:val="24"/>
              </w:rPr>
              <w:t>2013</w:t>
            </w:r>
          </w:p>
          <w:p>
            <w:pPr>
              <w:pStyle w:val="TableParagraph"/>
              <w:spacing w:line="240" w:lineRule="auto"/>
              <w:ind w:left="15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2" w:lineRule="exact"/>
              <w:ind w:left="241"/>
              <w:jc w:val="left"/>
              <w:rPr>
                <w:b/>
                <w:sz w:val="24"/>
              </w:rPr>
            </w:pPr>
            <w:r>
              <w:rPr>
                <w:b/>
                <w:spacing w:val="-4"/>
                <w:sz w:val="24"/>
              </w:rPr>
              <w:t>2018</w:t>
            </w:r>
          </w:p>
          <w:p>
            <w:pPr>
              <w:pStyle w:val="TableParagraph"/>
              <w:spacing w:line="240" w:lineRule="auto"/>
              <w:ind w:left="15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2" w:lineRule="exact"/>
              <w:ind w:left="241"/>
              <w:jc w:val="left"/>
              <w:rPr>
                <w:b/>
                <w:sz w:val="24"/>
              </w:rPr>
            </w:pPr>
            <w:r>
              <w:rPr>
                <w:b/>
                <w:spacing w:val="-4"/>
                <w:sz w:val="24"/>
              </w:rPr>
              <w:t>2023</w:t>
            </w:r>
          </w:p>
          <w:p>
            <w:pPr>
              <w:pStyle w:val="TableParagraph"/>
              <w:spacing w:line="240" w:lineRule="auto"/>
              <w:ind w:left="15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2" w:lineRule="exact"/>
              <w:ind w:left="241"/>
              <w:jc w:val="left"/>
              <w:rPr>
                <w:b/>
                <w:sz w:val="24"/>
              </w:rPr>
            </w:pPr>
            <w:r>
              <w:rPr>
                <w:b/>
                <w:spacing w:val="-4"/>
                <w:sz w:val="24"/>
              </w:rPr>
              <w:t>2028</w:t>
            </w:r>
          </w:p>
          <w:p>
            <w:pPr>
              <w:pStyle w:val="TableParagraph"/>
              <w:spacing w:line="240" w:lineRule="auto"/>
              <w:ind w:left="160"/>
              <w:jc w:val="left"/>
              <w:rPr>
                <w:b/>
                <w:sz w:val="24"/>
              </w:rPr>
            </w:pPr>
            <w:r>
              <w:rPr>
                <w:b/>
                <w:spacing w:val="-2"/>
                <w:sz w:val="24"/>
              </w:rPr>
              <w:t>Count</w:t>
            </w:r>
          </w:p>
        </w:tc>
        <w:tc>
          <w:tcPr>
            <w:tcW w:w="961" w:type="dxa"/>
            <w:tcBorders>
              <w:top w:val="single" w:sz="8" w:space="0" w:color="000000"/>
              <w:bottom w:val="single" w:sz="8" w:space="0" w:color="000000"/>
            </w:tcBorders>
          </w:tcPr>
          <w:p>
            <w:pPr>
              <w:pStyle w:val="TableParagraph"/>
              <w:spacing w:line="272" w:lineRule="exact"/>
              <w:ind w:left="241"/>
              <w:jc w:val="left"/>
              <w:rPr>
                <w:b/>
                <w:sz w:val="24"/>
              </w:rPr>
            </w:pPr>
            <w:r>
              <w:rPr>
                <w:b/>
                <w:spacing w:val="-4"/>
                <w:sz w:val="24"/>
              </w:rPr>
              <w:t>2033</w:t>
            </w:r>
          </w:p>
          <w:p>
            <w:pPr>
              <w:pStyle w:val="TableParagraph"/>
              <w:spacing w:line="240" w:lineRule="auto"/>
              <w:ind w:left="160"/>
              <w:jc w:val="left"/>
              <w:rPr>
                <w:b/>
                <w:sz w:val="24"/>
              </w:rPr>
            </w:pPr>
            <w:r>
              <w:rPr>
                <w:b/>
                <w:spacing w:val="-2"/>
                <w:sz w:val="24"/>
              </w:rPr>
              <w:t>Count</w:t>
            </w:r>
          </w:p>
        </w:tc>
      </w:tr>
      <w:tr>
        <w:trPr>
          <w:trHeight w:val="284" w:hRule="atLeast"/>
        </w:trPr>
        <w:tc>
          <w:tcPr>
            <w:tcW w:w="957" w:type="dxa"/>
            <w:tcBorders>
              <w:top w:val="single" w:sz="8" w:space="0" w:color="000000"/>
            </w:tcBorders>
          </w:tcPr>
          <w:p>
            <w:pPr>
              <w:pStyle w:val="TableParagraph"/>
              <w:spacing w:line="265" w:lineRule="exact"/>
              <w:ind w:left="18"/>
              <w:rPr>
                <w:sz w:val="24"/>
              </w:rPr>
            </w:pPr>
            <w:r>
              <w:rPr>
                <w:spacing w:val="-10"/>
                <w:sz w:val="24"/>
              </w:rPr>
              <w:t>1</w:t>
            </w:r>
          </w:p>
        </w:tc>
        <w:tc>
          <w:tcPr>
            <w:tcW w:w="970" w:type="dxa"/>
            <w:tcBorders>
              <w:top w:val="single" w:sz="8" w:space="0" w:color="000000"/>
            </w:tcBorders>
          </w:tcPr>
          <w:p>
            <w:pPr>
              <w:pStyle w:val="TableParagraph"/>
              <w:spacing w:line="265" w:lineRule="exact"/>
              <w:ind w:left="11"/>
              <w:rPr>
                <w:sz w:val="24"/>
              </w:rPr>
            </w:pPr>
            <w:r>
              <w:rPr>
                <w:spacing w:val="-2"/>
                <w:sz w:val="24"/>
              </w:rPr>
              <w:t>28993</w:t>
            </w:r>
          </w:p>
        </w:tc>
        <w:tc>
          <w:tcPr>
            <w:tcW w:w="960" w:type="dxa"/>
            <w:tcBorders>
              <w:top w:val="single" w:sz="8" w:space="0" w:color="000000"/>
            </w:tcBorders>
          </w:tcPr>
          <w:p>
            <w:pPr>
              <w:pStyle w:val="TableParagraph"/>
              <w:spacing w:line="265" w:lineRule="exact"/>
              <w:ind w:left="3" w:right="2"/>
              <w:rPr>
                <w:sz w:val="24"/>
              </w:rPr>
            </w:pPr>
            <w:r>
              <w:rPr>
                <w:spacing w:val="-2"/>
                <w:sz w:val="24"/>
              </w:rPr>
              <w:t>25086</w:t>
            </w:r>
          </w:p>
        </w:tc>
        <w:tc>
          <w:tcPr>
            <w:tcW w:w="960" w:type="dxa"/>
            <w:tcBorders>
              <w:top w:val="single" w:sz="8" w:space="0" w:color="000000"/>
            </w:tcBorders>
          </w:tcPr>
          <w:p>
            <w:pPr>
              <w:pStyle w:val="TableParagraph"/>
              <w:spacing w:line="265" w:lineRule="exact"/>
              <w:ind w:left="3" w:right="1"/>
              <w:rPr>
                <w:sz w:val="24"/>
              </w:rPr>
            </w:pPr>
            <w:r>
              <w:rPr>
                <w:spacing w:val="-2"/>
                <w:sz w:val="24"/>
              </w:rPr>
              <w:t>20490</w:t>
            </w:r>
          </w:p>
        </w:tc>
        <w:tc>
          <w:tcPr>
            <w:tcW w:w="960" w:type="dxa"/>
            <w:tcBorders>
              <w:top w:val="single" w:sz="8" w:space="0" w:color="000000"/>
            </w:tcBorders>
          </w:tcPr>
          <w:p>
            <w:pPr>
              <w:pStyle w:val="TableParagraph"/>
              <w:spacing w:line="265" w:lineRule="exact"/>
              <w:ind w:left="3" w:right="1"/>
              <w:rPr>
                <w:sz w:val="24"/>
              </w:rPr>
            </w:pPr>
            <w:r>
              <w:rPr>
                <w:spacing w:val="-2"/>
                <w:sz w:val="24"/>
              </w:rPr>
              <w:t>14020</w:t>
            </w:r>
          </w:p>
        </w:tc>
        <w:tc>
          <w:tcPr>
            <w:tcW w:w="960" w:type="dxa"/>
            <w:tcBorders>
              <w:top w:val="single" w:sz="8" w:space="0" w:color="000000"/>
            </w:tcBorders>
          </w:tcPr>
          <w:p>
            <w:pPr>
              <w:pStyle w:val="TableParagraph"/>
              <w:spacing w:line="265" w:lineRule="exact"/>
              <w:ind w:left="3"/>
              <w:rPr>
                <w:sz w:val="24"/>
              </w:rPr>
            </w:pPr>
            <w:r>
              <w:rPr>
                <w:spacing w:val="-4"/>
                <w:sz w:val="24"/>
              </w:rPr>
              <w:t>8942</w:t>
            </w:r>
          </w:p>
        </w:tc>
        <w:tc>
          <w:tcPr>
            <w:tcW w:w="961" w:type="dxa"/>
            <w:tcBorders>
              <w:top w:val="single" w:sz="8" w:space="0" w:color="000000"/>
            </w:tcBorders>
          </w:tcPr>
          <w:p>
            <w:pPr>
              <w:pStyle w:val="TableParagraph"/>
              <w:spacing w:line="265" w:lineRule="exact"/>
              <w:ind w:left="3" w:right="1"/>
              <w:rPr>
                <w:sz w:val="24"/>
              </w:rPr>
            </w:pPr>
            <w:r>
              <w:rPr>
                <w:spacing w:val="-4"/>
                <w:sz w:val="24"/>
              </w:rPr>
              <w:t>5098</w:t>
            </w:r>
          </w:p>
        </w:tc>
      </w:tr>
      <w:tr>
        <w:trPr>
          <w:trHeight w:val="300" w:hRule="atLeast"/>
        </w:trPr>
        <w:tc>
          <w:tcPr>
            <w:tcW w:w="957" w:type="dxa"/>
          </w:tcPr>
          <w:p>
            <w:pPr>
              <w:pStyle w:val="TableParagraph"/>
              <w:spacing w:line="273" w:lineRule="exact" w:before="7"/>
              <w:ind w:left="18"/>
              <w:rPr>
                <w:sz w:val="24"/>
              </w:rPr>
            </w:pPr>
            <w:r>
              <w:rPr>
                <w:spacing w:val="-10"/>
                <w:sz w:val="24"/>
              </w:rPr>
              <w:t>2</w:t>
            </w:r>
          </w:p>
        </w:tc>
        <w:tc>
          <w:tcPr>
            <w:tcW w:w="970" w:type="dxa"/>
          </w:tcPr>
          <w:p>
            <w:pPr>
              <w:pStyle w:val="TableParagraph"/>
              <w:spacing w:line="273" w:lineRule="exact" w:before="7"/>
              <w:ind w:left="11"/>
              <w:rPr>
                <w:sz w:val="24"/>
              </w:rPr>
            </w:pPr>
            <w:r>
              <w:rPr>
                <w:spacing w:val="-4"/>
                <w:sz w:val="24"/>
              </w:rPr>
              <w:t>6872</w:t>
            </w:r>
          </w:p>
        </w:tc>
        <w:tc>
          <w:tcPr>
            <w:tcW w:w="960" w:type="dxa"/>
          </w:tcPr>
          <w:p>
            <w:pPr>
              <w:pStyle w:val="TableParagraph"/>
              <w:spacing w:line="273" w:lineRule="exact" w:before="7"/>
              <w:ind w:left="3" w:right="2"/>
              <w:rPr>
                <w:sz w:val="24"/>
              </w:rPr>
            </w:pPr>
            <w:r>
              <w:rPr>
                <w:spacing w:val="-4"/>
                <w:sz w:val="24"/>
              </w:rPr>
              <w:t>8200</w:t>
            </w:r>
          </w:p>
        </w:tc>
        <w:tc>
          <w:tcPr>
            <w:tcW w:w="960" w:type="dxa"/>
          </w:tcPr>
          <w:p>
            <w:pPr>
              <w:pStyle w:val="TableParagraph"/>
              <w:spacing w:line="273" w:lineRule="exact" w:before="7"/>
              <w:ind w:left="3" w:right="1"/>
              <w:rPr>
                <w:sz w:val="24"/>
              </w:rPr>
            </w:pPr>
            <w:r>
              <w:rPr>
                <w:spacing w:val="-4"/>
                <w:sz w:val="24"/>
              </w:rPr>
              <w:t>8131</w:t>
            </w:r>
          </w:p>
        </w:tc>
        <w:tc>
          <w:tcPr>
            <w:tcW w:w="960" w:type="dxa"/>
          </w:tcPr>
          <w:p>
            <w:pPr>
              <w:pStyle w:val="TableParagraph"/>
              <w:spacing w:line="273" w:lineRule="exact" w:before="7"/>
              <w:ind w:left="3" w:right="1"/>
              <w:rPr>
                <w:sz w:val="24"/>
              </w:rPr>
            </w:pPr>
            <w:r>
              <w:rPr>
                <w:spacing w:val="-4"/>
                <w:sz w:val="24"/>
              </w:rPr>
              <w:t>8502</w:t>
            </w:r>
          </w:p>
        </w:tc>
        <w:tc>
          <w:tcPr>
            <w:tcW w:w="960" w:type="dxa"/>
          </w:tcPr>
          <w:p>
            <w:pPr>
              <w:pStyle w:val="TableParagraph"/>
              <w:spacing w:line="273" w:lineRule="exact" w:before="7"/>
              <w:ind w:left="3"/>
              <w:rPr>
                <w:sz w:val="24"/>
              </w:rPr>
            </w:pPr>
            <w:r>
              <w:rPr>
                <w:spacing w:val="-4"/>
                <w:sz w:val="24"/>
              </w:rPr>
              <w:t>8411</w:t>
            </w:r>
          </w:p>
        </w:tc>
        <w:tc>
          <w:tcPr>
            <w:tcW w:w="961" w:type="dxa"/>
          </w:tcPr>
          <w:p>
            <w:pPr>
              <w:pStyle w:val="TableParagraph"/>
              <w:spacing w:line="273" w:lineRule="exact" w:before="7"/>
              <w:ind w:left="3" w:right="1"/>
              <w:rPr>
                <w:sz w:val="24"/>
              </w:rPr>
            </w:pPr>
            <w:r>
              <w:rPr>
                <w:spacing w:val="-4"/>
                <w:sz w:val="24"/>
              </w:rPr>
              <w:t>8504</w:t>
            </w:r>
          </w:p>
        </w:tc>
      </w:tr>
      <w:tr>
        <w:trPr>
          <w:trHeight w:val="300" w:hRule="atLeast"/>
        </w:trPr>
        <w:tc>
          <w:tcPr>
            <w:tcW w:w="957" w:type="dxa"/>
          </w:tcPr>
          <w:p>
            <w:pPr>
              <w:pStyle w:val="TableParagraph"/>
              <w:spacing w:line="273" w:lineRule="exact" w:before="7"/>
              <w:ind w:left="18"/>
              <w:rPr>
                <w:sz w:val="24"/>
              </w:rPr>
            </w:pPr>
            <w:r>
              <w:rPr>
                <w:spacing w:val="-10"/>
                <w:sz w:val="24"/>
              </w:rPr>
              <w:t>3</w:t>
            </w:r>
          </w:p>
        </w:tc>
        <w:tc>
          <w:tcPr>
            <w:tcW w:w="970" w:type="dxa"/>
          </w:tcPr>
          <w:p>
            <w:pPr>
              <w:pStyle w:val="TableParagraph"/>
              <w:spacing w:line="273" w:lineRule="exact" w:before="7"/>
              <w:ind w:left="11"/>
              <w:rPr>
                <w:sz w:val="24"/>
              </w:rPr>
            </w:pPr>
            <w:r>
              <w:rPr>
                <w:spacing w:val="-4"/>
                <w:sz w:val="24"/>
              </w:rPr>
              <w:t>3058</w:t>
            </w:r>
          </w:p>
        </w:tc>
        <w:tc>
          <w:tcPr>
            <w:tcW w:w="960" w:type="dxa"/>
          </w:tcPr>
          <w:p>
            <w:pPr>
              <w:pStyle w:val="TableParagraph"/>
              <w:spacing w:line="273" w:lineRule="exact" w:before="7"/>
              <w:ind w:left="3" w:right="2"/>
              <w:rPr>
                <w:sz w:val="24"/>
              </w:rPr>
            </w:pPr>
            <w:r>
              <w:rPr>
                <w:spacing w:val="-4"/>
                <w:sz w:val="24"/>
              </w:rPr>
              <w:t>4475</w:t>
            </w:r>
          </w:p>
        </w:tc>
        <w:tc>
          <w:tcPr>
            <w:tcW w:w="960" w:type="dxa"/>
          </w:tcPr>
          <w:p>
            <w:pPr>
              <w:pStyle w:val="TableParagraph"/>
              <w:spacing w:line="273" w:lineRule="exact" w:before="7"/>
              <w:ind w:left="3" w:right="1"/>
              <w:rPr>
                <w:sz w:val="24"/>
              </w:rPr>
            </w:pPr>
            <w:r>
              <w:rPr>
                <w:spacing w:val="-4"/>
                <w:sz w:val="24"/>
              </w:rPr>
              <w:t>6788</w:t>
            </w:r>
          </w:p>
        </w:tc>
        <w:tc>
          <w:tcPr>
            <w:tcW w:w="960" w:type="dxa"/>
          </w:tcPr>
          <w:p>
            <w:pPr>
              <w:pStyle w:val="TableParagraph"/>
              <w:spacing w:line="273" w:lineRule="exact" w:before="7"/>
              <w:ind w:left="3" w:right="1"/>
              <w:rPr>
                <w:sz w:val="24"/>
              </w:rPr>
            </w:pPr>
            <w:r>
              <w:rPr>
                <w:spacing w:val="-4"/>
                <w:sz w:val="24"/>
              </w:rPr>
              <w:t>9101</w:t>
            </w:r>
          </w:p>
        </w:tc>
        <w:tc>
          <w:tcPr>
            <w:tcW w:w="960" w:type="dxa"/>
          </w:tcPr>
          <w:p>
            <w:pPr>
              <w:pStyle w:val="TableParagraph"/>
              <w:spacing w:line="273" w:lineRule="exact" w:before="7"/>
              <w:ind w:left="3"/>
              <w:rPr>
                <w:sz w:val="24"/>
              </w:rPr>
            </w:pPr>
            <w:r>
              <w:rPr>
                <w:spacing w:val="-2"/>
                <w:sz w:val="24"/>
              </w:rPr>
              <w:t>11068</w:t>
            </w:r>
          </w:p>
        </w:tc>
        <w:tc>
          <w:tcPr>
            <w:tcW w:w="961" w:type="dxa"/>
          </w:tcPr>
          <w:p>
            <w:pPr>
              <w:pStyle w:val="TableParagraph"/>
              <w:spacing w:line="273" w:lineRule="exact" w:before="7"/>
              <w:ind w:left="3" w:right="1"/>
              <w:rPr>
                <w:sz w:val="24"/>
              </w:rPr>
            </w:pPr>
            <w:r>
              <w:rPr>
                <w:spacing w:val="-2"/>
                <w:sz w:val="24"/>
              </w:rPr>
              <w:t>12550</w:t>
            </w:r>
          </w:p>
        </w:tc>
      </w:tr>
      <w:tr>
        <w:trPr>
          <w:trHeight w:val="300" w:hRule="atLeast"/>
        </w:trPr>
        <w:tc>
          <w:tcPr>
            <w:tcW w:w="957" w:type="dxa"/>
          </w:tcPr>
          <w:p>
            <w:pPr>
              <w:pStyle w:val="TableParagraph"/>
              <w:spacing w:line="273" w:lineRule="exact" w:before="7"/>
              <w:ind w:left="18"/>
              <w:rPr>
                <w:sz w:val="24"/>
              </w:rPr>
            </w:pPr>
            <w:r>
              <w:rPr>
                <w:spacing w:val="-10"/>
                <w:sz w:val="24"/>
              </w:rPr>
              <w:t>4</w:t>
            </w:r>
          </w:p>
        </w:tc>
        <w:tc>
          <w:tcPr>
            <w:tcW w:w="970" w:type="dxa"/>
          </w:tcPr>
          <w:p>
            <w:pPr>
              <w:pStyle w:val="TableParagraph"/>
              <w:spacing w:line="273" w:lineRule="exact" w:before="7"/>
              <w:ind w:left="11"/>
              <w:rPr>
                <w:sz w:val="24"/>
              </w:rPr>
            </w:pPr>
            <w:r>
              <w:rPr>
                <w:spacing w:val="-4"/>
                <w:sz w:val="24"/>
              </w:rPr>
              <w:t>1790</w:t>
            </w:r>
          </w:p>
        </w:tc>
        <w:tc>
          <w:tcPr>
            <w:tcW w:w="960" w:type="dxa"/>
          </w:tcPr>
          <w:p>
            <w:pPr>
              <w:pStyle w:val="TableParagraph"/>
              <w:spacing w:line="273" w:lineRule="exact" w:before="7"/>
              <w:ind w:left="3" w:right="2"/>
              <w:rPr>
                <w:sz w:val="24"/>
              </w:rPr>
            </w:pPr>
            <w:r>
              <w:rPr>
                <w:spacing w:val="-4"/>
                <w:sz w:val="24"/>
              </w:rPr>
              <w:t>2327</w:t>
            </w:r>
          </w:p>
        </w:tc>
        <w:tc>
          <w:tcPr>
            <w:tcW w:w="960" w:type="dxa"/>
          </w:tcPr>
          <w:p>
            <w:pPr>
              <w:pStyle w:val="TableParagraph"/>
              <w:spacing w:line="273" w:lineRule="exact" w:before="7"/>
              <w:ind w:left="3" w:right="1"/>
              <w:rPr>
                <w:sz w:val="24"/>
              </w:rPr>
            </w:pPr>
            <w:r>
              <w:rPr>
                <w:spacing w:val="-4"/>
                <w:sz w:val="24"/>
              </w:rPr>
              <w:t>3486</w:t>
            </w:r>
          </w:p>
        </w:tc>
        <w:tc>
          <w:tcPr>
            <w:tcW w:w="960" w:type="dxa"/>
          </w:tcPr>
          <w:p>
            <w:pPr>
              <w:pStyle w:val="TableParagraph"/>
              <w:spacing w:line="273" w:lineRule="exact" w:before="7"/>
              <w:ind w:left="3" w:right="1"/>
              <w:rPr>
                <w:sz w:val="24"/>
              </w:rPr>
            </w:pPr>
            <w:r>
              <w:rPr>
                <w:spacing w:val="-4"/>
                <w:sz w:val="24"/>
              </w:rPr>
              <w:t>5574</w:t>
            </w:r>
          </w:p>
        </w:tc>
        <w:tc>
          <w:tcPr>
            <w:tcW w:w="960" w:type="dxa"/>
          </w:tcPr>
          <w:p>
            <w:pPr>
              <w:pStyle w:val="TableParagraph"/>
              <w:spacing w:line="273" w:lineRule="exact" w:before="7"/>
              <w:ind w:left="3"/>
              <w:rPr>
                <w:sz w:val="24"/>
              </w:rPr>
            </w:pPr>
            <w:r>
              <w:rPr>
                <w:spacing w:val="-4"/>
                <w:sz w:val="24"/>
              </w:rPr>
              <w:t>7120</w:t>
            </w:r>
          </w:p>
        </w:tc>
        <w:tc>
          <w:tcPr>
            <w:tcW w:w="961" w:type="dxa"/>
          </w:tcPr>
          <w:p>
            <w:pPr>
              <w:pStyle w:val="TableParagraph"/>
              <w:spacing w:line="273" w:lineRule="exact" w:before="7"/>
              <w:ind w:left="3" w:right="1"/>
              <w:rPr>
                <w:sz w:val="24"/>
              </w:rPr>
            </w:pPr>
            <w:r>
              <w:rPr>
                <w:spacing w:val="-4"/>
                <w:sz w:val="24"/>
              </w:rPr>
              <w:t>7901</w:t>
            </w:r>
          </w:p>
        </w:tc>
      </w:tr>
      <w:tr>
        <w:trPr>
          <w:trHeight w:val="300" w:hRule="atLeast"/>
        </w:trPr>
        <w:tc>
          <w:tcPr>
            <w:tcW w:w="957" w:type="dxa"/>
          </w:tcPr>
          <w:p>
            <w:pPr>
              <w:pStyle w:val="TableParagraph"/>
              <w:spacing w:line="273" w:lineRule="exact" w:before="7"/>
              <w:ind w:left="18"/>
              <w:rPr>
                <w:sz w:val="24"/>
              </w:rPr>
            </w:pPr>
            <w:r>
              <w:rPr>
                <w:spacing w:val="-10"/>
                <w:sz w:val="24"/>
              </w:rPr>
              <w:t>5</w:t>
            </w:r>
          </w:p>
        </w:tc>
        <w:tc>
          <w:tcPr>
            <w:tcW w:w="970" w:type="dxa"/>
          </w:tcPr>
          <w:p>
            <w:pPr>
              <w:pStyle w:val="TableParagraph"/>
              <w:spacing w:line="273" w:lineRule="exact" w:before="7"/>
              <w:ind w:left="11"/>
              <w:rPr>
                <w:sz w:val="24"/>
              </w:rPr>
            </w:pPr>
            <w:r>
              <w:rPr>
                <w:spacing w:val="-4"/>
                <w:sz w:val="24"/>
              </w:rPr>
              <w:t>1380</w:t>
            </w:r>
          </w:p>
        </w:tc>
        <w:tc>
          <w:tcPr>
            <w:tcW w:w="960" w:type="dxa"/>
          </w:tcPr>
          <w:p>
            <w:pPr>
              <w:pStyle w:val="TableParagraph"/>
              <w:spacing w:line="273" w:lineRule="exact" w:before="7"/>
              <w:ind w:left="3" w:right="2"/>
              <w:rPr>
                <w:sz w:val="24"/>
              </w:rPr>
            </w:pPr>
            <w:r>
              <w:rPr>
                <w:spacing w:val="-4"/>
                <w:sz w:val="24"/>
              </w:rPr>
              <w:t>1761</w:t>
            </w:r>
          </w:p>
        </w:tc>
        <w:tc>
          <w:tcPr>
            <w:tcW w:w="960" w:type="dxa"/>
          </w:tcPr>
          <w:p>
            <w:pPr>
              <w:pStyle w:val="TableParagraph"/>
              <w:spacing w:line="273" w:lineRule="exact" w:before="7"/>
              <w:ind w:left="3" w:right="1"/>
              <w:rPr>
                <w:sz w:val="24"/>
              </w:rPr>
            </w:pPr>
            <w:r>
              <w:rPr>
                <w:spacing w:val="-4"/>
                <w:sz w:val="24"/>
              </w:rPr>
              <w:t>2316</w:t>
            </w:r>
          </w:p>
        </w:tc>
        <w:tc>
          <w:tcPr>
            <w:tcW w:w="960" w:type="dxa"/>
          </w:tcPr>
          <w:p>
            <w:pPr>
              <w:pStyle w:val="TableParagraph"/>
              <w:spacing w:line="273" w:lineRule="exact" w:before="7"/>
              <w:ind w:left="3" w:right="1"/>
              <w:rPr>
                <w:sz w:val="24"/>
              </w:rPr>
            </w:pPr>
            <w:r>
              <w:rPr>
                <w:spacing w:val="-4"/>
                <w:sz w:val="24"/>
              </w:rPr>
              <w:t>2831</w:t>
            </w:r>
          </w:p>
        </w:tc>
        <w:tc>
          <w:tcPr>
            <w:tcW w:w="960" w:type="dxa"/>
          </w:tcPr>
          <w:p>
            <w:pPr>
              <w:pStyle w:val="TableParagraph"/>
              <w:spacing w:line="273" w:lineRule="exact" w:before="7"/>
              <w:ind w:left="3"/>
              <w:rPr>
                <w:sz w:val="24"/>
              </w:rPr>
            </w:pPr>
            <w:r>
              <w:rPr>
                <w:spacing w:val="-4"/>
                <w:sz w:val="24"/>
              </w:rPr>
              <w:t>3107</w:t>
            </w:r>
          </w:p>
        </w:tc>
        <w:tc>
          <w:tcPr>
            <w:tcW w:w="961" w:type="dxa"/>
          </w:tcPr>
          <w:p>
            <w:pPr>
              <w:pStyle w:val="TableParagraph"/>
              <w:spacing w:line="273" w:lineRule="exact" w:before="7"/>
              <w:ind w:left="3" w:right="1"/>
              <w:rPr>
                <w:sz w:val="24"/>
              </w:rPr>
            </w:pPr>
            <w:r>
              <w:rPr>
                <w:spacing w:val="-4"/>
                <w:sz w:val="24"/>
              </w:rPr>
              <w:t>3697</w:t>
            </w:r>
          </w:p>
        </w:tc>
      </w:tr>
      <w:tr>
        <w:trPr>
          <w:trHeight w:val="300" w:hRule="atLeast"/>
        </w:trPr>
        <w:tc>
          <w:tcPr>
            <w:tcW w:w="957" w:type="dxa"/>
          </w:tcPr>
          <w:p>
            <w:pPr>
              <w:pStyle w:val="TableParagraph"/>
              <w:spacing w:line="273" w:lineRule="exact" w:before="7"/>
              <w:ind w:left="18"/>
              <w:rPr>
                <w:sz w:val="24"/>
              </w:rPr>
            </w:pPr>
            <w:r>
              <w:rPr>
                <w:spacing w:val="-10"/>
                <w:sz w:val="24"/>
              </w:rPr>
              <w:t>6</w:t>
            </w:r>
          </w:p>
        </w:tc>
        <w:tc>
          <w:tcPr>
            <w:tcW w:w="970" w:type="dxa"/>
          </w:tcPr>
          <w:p>
            <w:pPr>
              <w:pStyle w:val="TableParagraph"/>
              <w:spacing w:line="273" w:lineRule="exact" w:before="7"/>
              <w:ind w:left="11"/>
              <w:rPr>
                <w:sz w:val="24"/>
              </w:rPr>
            </w:pPr>
            <w:r>
              <w:rPr>
                <w:spacing w:val="-4"/>
                <w:sz w:val="24"/>
              </w:rPr>
              <w:t>1259</w:t>
            </w:r>
          </w:p>
        </w:tc>
        <w:tc>
          <w:tcPr>
            <w:tcW w:w="960" w:type="dxa"/>
          </w:tcPr>
          <w:p>
            <w:pPr>
              <w:pStyle w:val="TableParagraph"/>
              <w:spacing w:line="273" w:lineRule="exact" w:before="7"/>
              <w:ind w:left="3" w:right="2"/>
              <w:rPr>
                <w:sz w:val="24"/>
              </w:rPr>
            </w:pPr>
            <w:r>
              <w:rPr>
                <w:spacing w:val="-4"/>
                <w:sz w:val="24"/>
              </w:rPr>
              <w:t>1541</w:t>
            </w:r>
          </w:p>
        </w:tc>
        <w:tc>
          <w:tcPr>
            <w:tcW w:w="960" w:type="dxa"/>
          </w:tcPr>
          <w:p>
            <w:pPr>
              <w:pStyle w:val="TableParagraph"/>
              <w:spacing w:line="273" w:lineRule="exact" w:before="7"/>
              <w:ind w:left="3" w:right="1"/>
              <w:rPr>
                <w:sz w:val="24"/>
              </w:rPr>
            </w:pPr>
            <w:r>
              <w:rPr>
                <w:spacing w:val="-4"/>
                <w:sz w:val="24"/>
              </w:rPr>
              <w:t>1732</w:t>
            </w:r>
          </w:p>
        </w:tc>
        <w:tc>
          <w:tcPr>
            <w:tcW w:w="960" w:type="dxa"/>
          </w:tcPr>
          <w:p>
            <w:pPr>
              <w:pStyle w:val="TableParagraph"/>
              <w:spacing w:line="273" w:lineRule="exact" w:before="7"/>
              <w:ind w:left="3" w:right="1"/>
              <w:rPr>
                <w:sz w:val="24"/>
              </w:rPr>
            </w:pPr>
            <w:r>
              <w:rPr>
                <w:spacing w:val="-4"/>
                <w:sz w:val="24"/>
              </w:rPr>
              <w:t>2123</w:t>
            </w:r>
          </w:p>
        </w:tc>
        <w:tc>
          <w:tcPr>
            <w:tcW w:w="960" w:type="dxa"/>
          </w:tcPr>
          <w:p>
            <w:pPr>
              <w:pStyle w:val="TableParagraph"/>
              <w:spacing w:line="273" w:lineRule="exact" w:before="7"/>
              <w:ind w:left="3"/>
              <w:rPr>
                <w:sz w:val="24"/>
              </w:rPr>
            </w:pPr>
            <w:r>
              <w:rPr>
                <w:spacing w:val="-4"/>
                <w:sz w:val="24"/>
              </w:rPr>
              <w:t>2715</w:t>
            </w:r>
          </w:p>
        </w:tc>
        <w:tc>
          <w:tcPr>
            <w:tcW w:w="961" w:type="dxa"/>
          </w:tcPr>
          <w:p>
            <w:pPr>
              <w:pStyle w:val="TableParagraph"/>
              <w:spacing w:line="273" w:lineRule="exact" w:before="7"/>
              <w:ind w:left="3" w:right="1"/>
              <w:rPr>
                <w:sz w:val="24"/>
              </w:rPr>
            </w:pPr>
            <w:r>
              <w:rPr>
                <w:spacing w:val="-4"/>
                <w:sz w:val="24"/>
              </w:rPr>
              <w:t>3114</w:t>
            </w:r>
          </w:p>
        </w:tc>
      </w:tr>
      <w:tr>
        <w:trPr>
          <w:trHeight w:val="300" w:hRule="atLeast"/>
        </w:trPr>
        <w:tc>
          <w:tcPr>
            <w:tcW w:w="957" w:type="dxa"/>
          </w:tcPr>
          <w:p>
            <w:pPr>
              <w:pStyle w:val="TableParagraph"/>
              <w:spacing w:line="273" w:lineRule="exact" w:before="7"/>
              <w:ind w:left="18"/>
              <w:rPr>
                <w:sz w:val="24"/>
              </w:rPr>
            </w:pPr>
            <w:r>
              <w:rPr>
                <w:spacing w:val="-10"/>
                <w:sz w:val="24"/>
              </w:rPr>
              <w:t>7</w:t>
            </w:r>
          </w:p>
        </w:tc>
        <w:tc>
          <w:tcPr>
            <w:tcW w:w="970" w:type="dxa"/>
          </w:tcPr>
          <w:p>
            <w:pPr>
              <w:pStyle w:val="TableParagraph"/>
              <w:spacing w:line="273" w:lineRule="exact" w:before="7"/>
              <w:ind w:left="11"/>
              <w:rPr>
                <w:sz w:val="24"/>
              </w:rPr>
            </w:pPr>
            <w:r>
              <w:rPr>
                <w:spacing w:val="-4"/>
                <w:sz w:val="24"/>
              </w:rPr>
              <w:t>1000</w:t>
            </w:r>
          </w:p>
        </w:tc>
        <w:tc>
          <w:tcPr>
            <w:tcW w:w="960" w:type="dxa"/>
          </w:tcPr>
          <w:p>
            <w:pPr>
              <w:pStyle w:val="TableParagraph"/>
              <w:spacing w:line="273" w:lineRule="exact" w:before="7"/>
              <w:ind w:left="3" w:right="2"/>
              <w:rPr>
                <w:sz w:val="24"/>
              </w:rPr>
            </w:pPr>
            <w:r>
              <w:rPr>
                <w:spacing w:val="-5"/>
                <w:sz w:val="24"/>
              </w:rPr>
              <w:t>989</w:t>
            </w:r>
          </w:p>
        </w:tc>
        <w:tc>
          <w:tcPr>
            <w:tcW w:w="960" w:type="dxa"/>
          </w:tcPr>
          <w:p>
            <w:pPr>
              <w:pStyle w:val="TableParagraph"/>
              <w:spacing w:line="273" w:lineRule="exact" w:before="7"/>
              <w:ind w:left="3" w:right="1"/>
              <w:rPr>
                <w:sz w:val="24"/>
              </w:rPr>
            </w:pPr>
            <w:r>
              <w:rPr>
                <w:spacing w:val="-4"/>
                <w:sz w:val="24"/>
              </w:rPr>
              <w:t>1310</w:t>
            </w:r>
          </w:p>
        </w:tc>
        <w:tc>
          <w:tcPr>
            <w:tcW w:w="960" w:type="dxa"/>
          </w:tcPr>
          <w:p>
            <w:pPr>
              <w:pStyle w:val="TableParagraph"/>
              <w:spacing w:line="273" w:lineRule="exact" w:before="7"/>
              <w:ind w:left="3" w:right="1"/>
              <w:rPr>
                <w:sz w:val="24"/>
              </w:rPr>
            </w:pPr>
            <w:r>
              <w:rPr>
                <w:spacing w:val="-4"/>
                <w:sz w:val="24"/>
              </w:rPr>
              <w:t>1517</w:t>
            </w:r>
          </w:p>
        </w:tc>
        <w:tc>
          <w:tcPr>
            <w:tcW w:w="960" w:type="dxa"/>
          </w:tcPr>
          <w:p>
            <w:pPr>
              <w:pStyle w:val="TableParagraph"/>
              <w:spacing w:line="273" w:lineRule="exact" w:before="7"/>
              <w:ind w:left="3"/>
              <w:rPr>
                <w:sz w:val="24"/>
              </w:rPr>
            </w:pPr>
            <w:r>
              <w:rPr>
                <w:spacing w:val="-4"/>
                <w:sz w:val="24"/>
              </w:rPr>
              <w:t>1921</w:t>
            </w:r>
          </w:p>
        </w:tc>
        <w:tc>
          <w:tcPr>
            <w:tcW w:w="961" w:type="dxa"/>
          </w:tcPr>
          <w:p>
            <w:pPr>
              <w:pStyle w:val="TableParagraph"/>
              <w:spacing w:line="273" w:lineRule="exact" w:before="7"/>
              <w:ind w:left="3" w:right="1"/>
              <w:rPr>
                <w:sz w:val="24"/>
              </w:rPr>
            </w:pPr>
            <w:r>
              <w:rPr>
                <w:spacing w:val="-4"/>
                <w:sz w:val="24"/>
              </w:rPr>
              <w:t>2322</w:t>
            </w:r>
          </w:p>
        </w:tc>
      </w:tr>
      <w:tr>
        <w:trPr>
          <w:trHeight w:val="300" w:hRule="atLeast"/>
        </w:trPr>
        <w:tc>
          <w:tcPr>
            <w:tcW w:w="957" w:type="dxa"/>
          </w:tcPr>
          <w:p>
            <w:pPr>
              <w:pStyle w:val="TableParagraph"/>
              <w:spacing w:line="273" w:lineRule="exact" w:before="7"/>
              <w:ind w:left="18"/>
              <w:rPr>
                <w:sz w:val="24"/>
              </w:rPr>
            </w:pPr>
            <w:r>
              <w:rPr>
                <w:spacing w:val="-10"/>
                <w:sz w:val="24"/>
              </w:rPr>
              <w:t>8</w:t>
            </w:r>
          </w:p>
        </w:tc>
        <w:tc>
          <w:tcPr>
            <w:tcW w:w="970" w:type="dxa"/>
          </w:tcPr>
          <w:p>
            <w:pPr>
              <w:pStyle w:val="TableParagraph"/>
              <w:spacing w:line="273" w:lineRule="exact" w:before="7"/>
              <w:ind w:left="11"/>
              <w:rPr>
                <w:sz w:val="24"/>
              </w:rPr>
            </w:pPr>
            <w:r>
              <w:rPr>
                <w:spacing w:val="-5"/>
                <w:sz w:val="24"/>
              </w:rPr>
              <w:t>825</w:t>
            </w:r>
          </w:p>
        </w:tc>
        <w:tc>
          <w:tcPr>
            <w:tcW w:w="960" w:type="dxa"/>
          </w:tcPr>
          <w:p>
            <w:pPr>
              <w:pStyle w:val="TableParagraph"/>
              <w:spacing w:line="273" w:lineRule="exact" w:before="7"/>
              <w:ind w:left="3" w:right="2"/>
              <w:rPr>
                <w:sz w:val="24"/>
              </w:rPr>
            </w:pPr>
            <w:r>
              <w:rPr>
                <w:spacing w:val="-5"/>
                <w:sz w:val="24"/>
              </w:rPr>
              <w:t>965</w:t>
            </w:r>
          </w:p>
        </w:tc>
        <w:tc>
          <w:tcPr>
            <w:tcW w:w="960" w:type="dxa"/>
          </w:tcPr>
          <w:p>
            <w:pPr>
              <w:pStyle w:val="TableParagraph"/>
              <w:spacing w:line="273" w:lineRule="exact" w:before="7"/>
              <w:ind w:left="3" w:right="1"/>
              <w:rPr>
                <w:sz w:val="24"/>
              </w:rPr>
            </w:pPr>
            <w:r>
              <w:rPr>
                <w:spacing w:val="-4"/>
                <w:sz w:val="24"/>
              </w:rPr>
              <w:t>1091</w:t>
            </w:r>
          </w:p>
        </w:tc>
        <w:tc>
          <w:tcPr>
            <w:tcW w:w="960" w:type="dxa"/>
          </w:tcPr>
          <w:p>
            <w:pPr>
              <w:pStyle w:val="TableParagraph"/>
              <w:spacing w:line="273" w:lineRule="exact" w:before="7"/>
              <w:ind w:left="3" w:right="1"/>
              <w:rPr>
                <w:sz w:val="24"/>
              </w:rPr>
            </w:pPr>
            <w:r>
              <w:rPr>
                <w:spacing w:val="-4"/>
                <w:sz w:val="24"/>
              </w:rPr>
              <w:t>1215</w:t>
            </w:r>
          </w:p>
        </w:tc>
        <w:tc>
          <w:tcPr>
            <w:tcW w:w="960" w:type="dxa"/>
          </w:tcPr>
          <w:p>
            <w:pPr>
              <w:pStyle w:val="TableParagraph"/>
              <w:spacing w:line="273" w:lineRule="exact" w:before="7"/>
              <w:ind w:left="3"/>
              <w:rPr>
                <w:sz w:val="24"/>
              </w:rPr>
            </w:pPr>
            <w:r>
              <w:rPr>
                <w:spacing w:val="-4"/>
                <w:sz w:val="24"/>
              </w:rPr>
              <w:t>1303</w:t>
            </w:r>
          </w:p>
        </w:tc>
        <w:tc>
          <w:tcPr>
            <w:tcW w:w="961" w:type="dxa"/>
          </w:tcPr>
          <w:p>
            <w:pPr>
              <w:pStyle w:val="TableParagraph"/>
              <w:spacing w:line="273" w:lineRule="exact" w:before="7"/>
              <w:ind w:left="3" w:right="1"/>
              <w:rPr>
                <w:sz w:val="24"/>
              </w:rPr>
            </w:pPr>
            <w:r>
              <w:rPr>
                <w:spacing w:val="-4"/>
                <w:sz w:val="24"/>
              </w:rPr>
              <w:t>1401</w:t>
            </w:r>
          </w:p>
        </w:tc>
      </w:tr>
      <w:tr>
        <w:trPr>
          <w:trHeight w:val="316" w:hRule="atLeast"/>
        </w:trPr>
        <w:tc>
          <w:tcPr>
            <w:tcW w:w="957" w:type="dxa"/>
            <w:tcBorders>
              <w:bottom w:val="single" w:sz="8" w:space="0" w:color="000000"/>
            </w:tcBorders>
          </w:tcPr>
          <w:p>
            <w:pPr>
              <w:pStyle w:val="TableParagraph"/>
              <w:spacing w:line="240" w:lineRule="auto" w:before="7"/>
              <w:ind w:left="18"/>
              <w:rPr>
                <w:sz w:val="24"/>
              </w:rPr>
            </w:pPr>
            <w:r>
              <w:rPr>
                <w:spacing w:val="-10"/>
                <w:sz w:val="24"/>
              </w:rPr>
              <w:t>9</w:t>
            </w:r>
          </w:p>
        </w:tc>
        <w:tc>
          <w:tcPr>
            <w:tcW w:w="970" w:type="dxa"/>
            <w:tcBorders>
              <w:bottom w:val="single" w:sz="8" w:space="0" w:color="000000"/>
            </w:tcBorders>
          </w:tcPr>
          <w:p>
            <w:pPr>
              <w:pStyle w:val="TableParagraph"/>
              <w:spacing w:line="240" w:lineRule="auto" w:before="7"/>
              <w:ind w:left="11"/>
              <w:rPr>
                <w:sz w:val="24"/>
              </w:rPr>
            </w:pPr>
            <w:r>
              <w:rPr>
                <w:spacing w:val="-5"/>
                <w:sz w:val="24"/>
              </w:rPr>
              <w:t>524</w:t>
            </w:r>
          </w:p>
        </w:tc>
        <w:tc>
          <w:tcPr>
            <w:tcW w:w="960" w:type="dxa"/>
            <w:tcBorders>
              <w:bottom w:val="single" w:sz="8" w:space="0" w:color="000000"/>
            </w:tcBorders>
          </w:tcPr>
          <w:p>
            <w:pPr>
              <w:pStyle w:val="TableParagraph"/>
              <w:spacing w:line="240" w:lineRule="auto" w:before="7"/>
              <w:ind w:left="3" w:right="2"/>
              <w:rPr>
                <w:sz w:val="24"/>
              </w:rPr>
            </w:pPr>
            <w:r>
              <w:rPr>
                <w:spacing w:val="-5"/>
                <w:sz w:val="24"/>
              </w:rPr>
              <w:t>357</w:t>
            </w:r>
          </w:p>
        </w:tc>
        <w:tc>
          <w:tcPr>
            <w:tcW w:w="960" w:type="dxa"/>
            <w:tcBorders>
              <w:bottom w:val="single" w:sz="8" w:space="0" w:color="000000"/>
            </w:tcBorders>
          </w:tcPr>
          <w:p>
            <w:pPr>
              <w:pStyle w:val="TableParagraph"/>
              <w:spacing w:line="240" w:lineRule="auto" w:before="7"/>
              <w:ind w:left="3" w:right="1"/>
              <w:rPr>
                <w:sz w:val="24"/>
              </w:rPr>
            </w:pPr>
            <w:r>
              <w:rPr>
                <w:spacing w:val="-5"/>
                <w:sz w:val="24"/>
              </w:rPr>
              <w:t>357</w:t>
            </w:r>
          </w:p>
        </w:tc>
        <w:tc>
          <w:tcPr>
            <w:tcW w:w="960" w:type="dxa"/>
            <w:tcBorders>
              <w:bottom w:val="single" w:sz="8" w:space="0" w:color="000000"/>
            </w:tcBorders>
          </w:tcPr>
          <w:p>
            <w:pPr>
              <w:pStyle w:val="TableParagraph"/>
              <w:spacing w:line="240" w:lineRule="auto" w:before="7"/>
              <w:ind w:left="3" w:right="1"/>
              <w:rPr>
                <w:sz w:val="24"/>
              </w:rPr>
            </w:pPr>
            <w:r>
              <w:rPr>
                <w:spacing w:val="-5"/>
                <w:sz w:val="24"/>
              </w:rPr>
              <w:t>818</w:t>
            </w:r>
          </w:p>
        </w:tc>
        <w:tc>
          <w:tcPr>
            <w:tcW w:w="960" w:type="dxa"/>
            <w:tcBorders>
              <w:bottom w:val="single" w:sz="8" w:space="0" w:color="000000"/>
            </w:tcBorders>
          </w:tcPr>
          <w:p>
            <w:pPr>
              <w:pStyle w:val="TableParagraph"/>
              <w:spacing w:line="240" w:lineRule="auto" w:before="7"/>
              <w:ind w:left="3"/>
              <w:rPr>
                <w:sz w:val="24"/>
              </w:rPr>
            </w:pPr>
            <w:r>
              <w:rPr>
                <w:spacing w:val="-4"/>
                <w:sz w:val="24"/>
              </w:rPr>
              <w:t>1114</w:t>
            </w:r>
          </w:p>
        </w:tc>
        <w:tc>
          <w:tcPr>
            <w:tcW w:w="961" w:type="dxa"/>
            <w:tcBorders>
              <w:bottom w:val="single" w:sz="8" w:space="0" w:color="000000"/>
            </w:tcBorders>
          </w:tcPr>
          <w:p>
            <w:pPr>
              <w:pStyle w:val="TableParagraph"/>
              <w:spacing w:line="240" w:lineRule="auto" w:before="7"/>
              <w:ind w:left="3" w:right="1"/>
              <w:rPr>
                <w:sz w:val="24"/>
              </w:rPr>
            </w:pPr>
            <w:r>
              <w:rPr>
                <w:spacing w:val="-4"/>
                <w:sz w:val="24"/>
              </w:rPr>
              <w:t>1114</w:t>
            </w:r>
          </w:p>
        </w:tc>
      </w:tr>
    </w:tbl>
    <w:p>
      <w:pPr>
        <w:pStyle w:val="BodyText"/>
        <w:spacing w:before="274"/>
        <w:jc w:val="left"/>
        <w:rPr>
          <w:b/>
        </w:rPr>
      </w:pPr>
    </w:p>
    <w:p>
      <w:pPr>
        <w:spacing w:before="0" w:after="4"/>
        <w:ind w:left="292" w:right="508" w:firstLine="0"/>
        <w:jc w:val="center"/>
        <w:rPr>
          <w:b/>
          <w:sz w:val="24"/>
        </w:rPr>
      </w:pPr>
      <w:r>
        <w:rPr>
          <w:b/>
          <w:sz w:val="24"/>
        </w:rPr>
        <w:t>ANN</w:t>
      </w:r>
      <w:r>
        <w:rPr>
          <w:b/>
          <w:spacing w:val="-1"/>
          <w:sz w:val="24"/>
        </w:rPr>
        <w:t> </w:t>
      </w:r>
      <w:r>
        <w:rPr>
          <w:b/>
          <w:sz w:val="24"/>
        </w:rPr>
        <w:t>Projected</w:t>
      </w:r>
      <w:r>
        <w:rPr>
          <w:b/>
          <w:spacing w:val="-2"/>
          <w:sz w:val="24"/>
        </w:rPr>
        <w:t> </w:t>
      </w:r>
      <w:r>
        <w:rPr>
          <w:b/>
          <w:sz w:val="24"/>
        </w:rPr>
        <w:t>Data</w:t>
      </w:r>
      <w:r>
        <w:rPr>
          <w:b/>
          <w:spacing w:val="-1"/>
          <w:sz w:val="24"/>
        </w:rPr>
        <w:t> </w:t>
      </w:r>
      <w:r>
        <w:rPr>
          <w:b/>
          <w:sz w:val="24"/>
        </w:rPr>
        <w:t>One</w:t>
      </w:r>
      <w:r>
        <w:rPr>
          <w:b/>
          <w:spacing w:val="-2"/>
          <w:sz w:val="24"/>
        </w:rPr>
        <w:t> </w:t>
      </w:r>
      <w:r>
        <w:rPr>
          <w:b/>
          <w:sz w:val="24"/>
        </w:rPr>
        <w:t>Bedroom</w:t>
      </w:r>
      <w:r>
        <w:rPr>
          <w:b/>
          <w:spacing w:val="-3"/>
          <w:sz w:val="24"/>
        </w:rPr>
        <w:t> </w:t>
      </w:r>
      <w:r>
        <w:rPr>
          <w:b/>
          <w:sz w:val="24"/>
        </w:rPr>
        <w:t>Rental </w:t>
      </w:r>
      <w:r>
        <w:rPr>
          <w:b/>
          <w:spacing w:val="-2"/>
          <w:sz w:val="24"/>
        </w:rPr>
        <w:t>Prices</w:t>
      </w:r>
    </w:p>
    <w:tbl>
      <w:tblPr>
        <w:tblW w:w="0" w:type="auto"/>
        <w:jc w:val="left"/>
        <w:tblInd w:w="1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58"/>
        <w:gridCol w:w="969"/>
        <w:gridCol w:w="961"/>
        <w:gridCol w:w="961"/>
        <w:gridCol w:w="961"/>
        <w:gridCol w:w="961"/>
        <w:gridCol w:w="962"/>
      </w:tblGrid>
      <w:tr>
        <w:trPr>
          <w:trHeight w:val="599" w:hRule="atLeast"/>
        </w:trPr>
        <w:tc>
          <w:tcPr>
            <w:tcW w:w="958" w:type="dxa"/>
            <w:tcBorders>
              <w:top w:val="single" w:sz="8" w:space="0" w:color="000000"/>
              <w:bottom w:val="single" w:sz="8" w:space="0" w:color="000000"/>
            </w:tcBorders>
          </w:tcPr>
          <w:p>
            <w:pPr>
              <w:pStyle w:val="TableParagraph"/>
              <w:spacing w:line="251" w:lineRule="exact"/>
              <w:ind w:left="17" w:right="1"/>
              <w:rPr>
                <w:b/>
                <w:sz w:val="22"/>
              </w:rPr>
            </w:pPr>
            <w:r>
              <w:rPr>
                <w:b/>
                <w:spacing w:val="-2"/>
                <w:sz w:val="22"/>
              </w:rPr>
              <w:t>Value</w:t>
            </w:r>
          </w:p>
        </w:tc>
        <w:tc>
          <w:tcPr>
            <w:tcW w:w="969" w:type="dxa"/>
            <w:tcBorders>
              <w:top w:val="single" w:sz="8" w:space="0" w:color="000000"/>
              <w:bottom w:val="single" w:sz="8" w:space="0" w:color="000000"/>
            </w:tcBorders>
          </w:tcPr>
          <w:p>
            <w:pPr>
              <w:pStyle w:val="TableParagraph"/>
              <w:spacing w:line="251" w:lineRule="exact"/>
              <w:ind w:left="268"/>
              <w:jc w:val="left"/>
              <w:rPr>
                <w:b/>
                <w:sz w:val="22"/>
              </w:rPr>
            </w:pPr>
            <w:r>
              <w:rPr>
                <w:b/>
                <w:spacing w:val="-4"/>
                <w:sz w:val="22"/>
              </w:rPr>
              <w:t>2008</w:t>
            </w:r>
          </w:p>
          <w:p>
            <w:pPr>
              <w:pStyle w:val="TableParagraph"/>
              <w:spacing w:line="252" w:lineRule="exact"/>
              <w:ind w:left="194"/>
              <w:jc w:val="left"/>
              <w:rPr>
                <w:b/>
                <w:sz w:val="22"/>
              </w:rPr>
            </w:pPr>
            <w:r>
              <w:rPr>
                <w:b/>
                <w:spacing w:val="-2"/>
                <w:sz w:val="22"/>
              </w:rPr>
              <w:t>Count</w:t>
            </w:r>
          </w:p>
        </w:tc>
        <w:tc>
          <w:tcPr>
            <w:tcW w:w="961" w:type="dxa"/>
            <w:tcBorders>
              <w:top w:val="single" w:sz="8" w:space="0" w:color="000000"/>
              <w:bottom w:val="single" w:sz="8" w:space="0" w:color="000000"/>
            </w:tcBorders>
          </w:tcPr>
          <w:p>
            <w:pPr>
              <w:pStyle w:val="TableParagraph"/>
              <w:spacing w:line="251" w:lineRule="exact"/>
              <w:ind w:left="259"/>
              <w:jc w:val="left"/>
              <w:rPr>
                <w:b/>
                <w:sz w:val="22"/>
              </w:rPr>
            </w:pPr>
            <w:r>
              <w:rPr>
                <w:b/>
                <w:spacing w:val="-4"/>
                <w:sz w:val="22"/>
              </w:rPr>
              <w:t>2013</w:t>
            </w:r>
          </w:p>
          <w:p>
            <w:pPr>
              <w:pStyle w:val="TableParagraph"/>
              <w:spacing w:line="252" w:lineRule="exact"/>
              <w:ind w:left="185"/>
              <w:jc w:val="left"/>
              <w:rPr>
                <w:b/>
                <w:sz w:val="22"/>
              </w:rPr>
            </w:pPr>
            <w:r>
              <w:rPr>
                <w:b/>
                <w:spacing w:val="-2"/>
                <w:sz w:val="22"/>
              </w:rPr>
              <w:t>Count</w:t>
            </w:r>
          </w:p>
        </w:tc>
        <w:tc>
          <w:tcPr>
            <w:tcW w:w="961" w:type="dxa"/>
            <w:tcBorders>
              <w:top w:val="single" w:sz="8" w:space="0" w:color="000000"/>
              <w:bottom w:val="single" w:sz="8" w:space="0" w:color="000000"/>
            </w:tcBorders>
          </w:tcPr>
          <w:p>
            <w:pPr>
              <w:pStyle w:val="TableParagraph"/>
              <w:spacing w:line="251" w:lineRule="exact"/>
              <w:ind w:left="259"/>
              <w:jc w:val="left"/>
              <w:rPr>
                <w:b/>
                <w:sz w:val="22"/>
              </w:rPr>
            </w:pPr>
            <w:r>
              <w:rPr>
                <w:b/>
                <w:spacing w:val="-4"/>
                <w:sz w:val="22"/>
              </w:rPr>
              <w:t>2018</w:t>
            </w:r>
          </w:p>
          <w:p>
            <w:pPr>
              <w:pStyle w:val="TableParagraph"/>
              <w:spacing w:line="252" w:lineRule="exact"/>
              <w:ind w:left="184"/>
              <w:jc w:val="left"/>
              <w:rPr>
                <w:b/>
                <w:sz w:val="22"/>
              </w:rPr>
            </w:pPr>
            <w:r>
              <w:rPr>
                <w:b/>
                <w:spacing w:val="-2"/>
                <w:sz w:val="22"/>
              </w:rPr>
              <w:t>Count</w:t>
            </w:r>
          </w:p>
        </w:tc>
        <w:tc>
          <w:tcPr>
            <w:tcW w:w="961" w:type="dxa"/>
            <w:tcBorders>
              <w:top w:val="single" w:sz="8" w:space="0" w:color="000000"/>
              <w:bottom w:val="single" w:sz="8" w:space="0" w:color="000000"/>
            </w:tcBorders>
          </w:tcPr>
          <w:p>
            <w:pPr>
              <w:pStyle w:val="TableParagraph"/>
              <w:spacing w:line="251" w:lineRule="exact"/>
              <w:ind w:left="258"/>
              <w:jc w:val="left"/>
              <w:rPr>
                <w:b/>
                <w:sz w:val="22"/>
              </w:rPr>
            </w:pPr>
            <w:r>
              <w:rPr>
                <w:b/>
                <w:spacing w:val="-4"/>
                <w:sz w:val="22"/>
              </w:rPr>
              <w:t>2023</w:t>
            </w:r>
          </w:p>
          <w:p>
            <w:pPr>
              <w:pStyle w:val="TableParagraph"/>
              <w:spacing w:line="252" w:lineRule="exact"/>
              <w:ind w:left="183"/>
              <w:jc w:val="left"/>
              <w:rPr>
                <w:b/>
                <w:sz w:val="22"/>
              </w:rPr>
            </w:pPr>
            <w:r>
              <w:rPr>
                <w:b/>
                <w:spacing w:val="-2"/>
                <w:sz w:val="22"/>
              </w:rPr>
              <w:t>Count</w:t>
            </w:r>
          </w:p>
        </w:tc>
        <w:tc>
          <w:tcPr>
            <w:tcW w:w="961" w:type="dxa"/>
            <w:tcBorders>
              <w:top w:val="single" w:sz="8" w:space="0" w:color="000000"/>
              <w:bottom w:val="single" w:sz="8" w:space="0" w:color="000000"/>
            </w:tcBorders>
          </w:tcPr>
          <w:p>
            <w:pPr>
              <w:pStyle w:val="TableParagraph"/>
              <w:spacing w:line="251" w:lineRule="exact"/>
              <w:ind w:left="257"/>
              <w:jc w:val="left"/>
              <w:rPr>
                <w:b/>
                <w:sz w:val="22"/>
              </w:rPr>
            </w:pPr>
            <w:r>
              <w:rPr>
                <w:b/>
                <w:spacing w:val="-4"/>
                <w:sz w:val="22"/>
              </w:rPr>
              <w:t>2028</w:t>
            </w:r>
          </w:p>
          <w:p>
            <w:pPr>
              <w:pStyle w:val="TableParagraph"/>
              <w:spacing w:line="252" w:lineRule="exact"/>
              <w:ind w:left="183"/>
              <w:jc w:val="left"/>
              <w:rPr>
                <w:b/>
                <w:sz w:val="22"/>
              </w:rPr>
            </w:pPr>
            <w:r>
              <w:rPr>
                <w:b/>
                <w:spacing w:val="-2"/>
                <w:sz w:val="22"/>
              </w:rPr>
              <w:t>Count</w:t>
            </w:r>
          </w:p>
        </w:tc>
        <w:tc>
          <w:tcPr>
            <w:tcW w:w="962" w:type="dxa"/>
            <w:tcBorders>
              <w:top w:val="single" w:sz="8" w:space="0" w:color="000000"/>
              <w:bottom w:val="single" w:sz="8" w:space="0" w:color="000000"/>
            </w:tcBorders>
          </w:tcPr>
          <w:p>
            <w:pPr>
              <w:pStyle w:val="TableParagraph"/>
              <w:spacing w:line="251" w:lineRule="exact"/>
              <w:ind w:left="256"/>
              <w:jc w:val="left"/>
              <w:rPr>
                <w:b/>
                <w:sz w:val="22"/>
              </w:rPr>
            </w:pPr>
            <w:r>
              <w:rPr>
                <w:b/>
                <w:spacing w:val="-4"/>
                <w:sz w:val="22"/>
              </w:rPr>
              <w:t>2033</w:t>
            </w:r>
          </w:p>
          <w:p>
            <w:pPr>
              <w:pStyle w:val="TableParagraph"/>
              <w:spacing w:line="252" w:lineRule="exact"/>
              <w:ind w:left="182"/>
              <w:jc w:val="left"/>
              <w:rPr>
                <w:b/>
                <w:sz w:val="22"/>
              </w:rPr>
            </w:pPr>
            <w:r>
              <w:rPr>
                <w:b/>
                <w:spacing w:val="-2"/>
                <w:sz w:val="22"/>
              </w:rPr>
              <w:t>Count</w:t>
            </w:r>
          </w:p>
        </w:tc>
      </w:tr>
      <w:tr>
        <w:trPr>
          <w:trHeight w:val="274" w:hRule="atLeast"/>
        </w:trPr>
        <w:tc>
          <w:tcPr>
            <w:tcW w:w="958" w:type="dxa"/>
            <w:tcBorders>
              <w:top w:val="single" w:sz="8" w:space="0" w:color="000000"/>
            </w:tcBorders>
          </w:tcPr>
          <w:p>
            <w:pPr>
              <w:pStyle w:val="TableParagraph"/>
              <w:spacing w:line="246" w:lineRule="exact"/>
              <w:ind w:left="17"/>
              <w:rPr>
                <w:sz w:val="22"/>
              </w:rPr>
            </w:pPr>
            <w:r>
              <w:rPr>
                <w:spacing w:val="-10"/>
                <w:sz w:val="22"/>
              </w:rPr>
              <w:t>1</w:t>
            </w:r>
          </w:p>
        </w:tc>
        <w:tc>
          <w:tcPr>
            <w:tcW w:w="969" w:type="dxa"/>
            <w:tcBorders>
              <w:top w:val="single" w:sz="8" w:space="0" w:color="000000"/>
            </w:tcBorders>
          </w:tcPr>
          <w:p>
            <w:pPr>
              <w:pStyle w:val="TableParagraph"/>
              <w:spacing w:line="246" w:lineRule="exact"/>
              <w:rPr>
                <w:sz w:val="22"/>
              </w:rPr>
            </w:pPr>
            <w:r>
              <w:rPr>
                <w:spacing w:val="-5"/>
                <w:sz w:val="22"/>
              </w:rPr>
              <w:t>867</w:t>
            </w:r>
          </w:p>
        </w:tc>
        <w:tc>
          <w:tcPr>
            <w:tcW w:w="961" w:type="dxa"/>
            <w:tcBorders>
              <w:top w:val="single" w:sz="8" w:space="0" w:color="000000"/>
            </w:tcBorders>
          </w:tcPr>
          <w:p>
            <w:pPr>
              <w:pStyle w:val="TableParagraph"/>
              <w:spacing w:line="246" w:lineRule="exact"/>
              <w:ind w:left="2" w:right="2"/>
              <w:rPr>
                <w:sz w:val="22"/>
              </w:rPr>
            </w:pPr>
            <w:r>
              <w:rPr>
                <w:spacing w:val="-4"/>
                <w:sz w:val="22"/>
              </w:rPr>
              <w:t>1097</w:t>
            </w:r>
          </w:p>
        </w:tc>
        <w:tc>
          <w:tcPr>
            <w:tcW w:w="961" w:type="dxa"/>
            <w:tcBorders>
              <w:top w:val="single" w:sz="8" w:space="0" w:color="000000"/>
            </w:tcBorders>
          </w:tcPr>
          <w:p>
            <w:pPr>
              <w:pStyle w:val="TableParagraph"/>
              <w:spacing w:line="246" w:lineRule="exact"/>
              <w:ind w:left="2" w:right="2"/>
              <w:rPr>
                <w:sz w:val="22"/>
              </w:rPr>
            </w:pPr>
            <w:r>
              <w:rPr>
                <w:spacing w:val="-5"/>
                <w:sz w:val="22"/>
              </w:rPr>
              <w:t>91</w:t>
            </w:r>
          </w:p>
        </w:tc>
        <w:tc>
          <w:tcPr>
            <w:tcW w:w="961" w:type="dxa"/>
            <w:tcBorders>
              <w:top w:val="single" w:sz="8" w:space="0" w:color="000000"/>
            </w:tcBorders>
          </w:tcPr>
          <w:p>
            <w:pPr>
              <w:pStyle w:val="TableParagraph"/>
              <w:spacing w:line="246" w:lineRule="exact"/>
              <w:ind w:left="2" w:right="2"/>
              <w:rPr>
                <w:sz w:val="22"/>
              </w:rPr>
            </w:pPr>
            <w:r>
              <w:rPr>
                <w:spacing w:val="-5"/>
                <w:sz w:val="22"/>
              </w:rPr>
              <w:t>102</w:t>
            </w:r>
          </w:p>
        </w:tc>
        <w:tc>
          <w:tcPr>
            <w:tcW w:w="961" w:type="dxa"/>
            <w:tcBorders>
              <w:top w:val="single" w:sz="8" w:space="0" w:color="000000"/>
            </w:tcBorders>
          </w:tcPr>
          <w:p>
            <w:pPr>
              <w:pStyle w:val="TableParagraph"/>
              <w:spacing w:line="246" w:lineRule="exact"/>
              <w:ind w:left="2" w:right="3"/>
              <w:rPr>
                <w:sz w:val="22"/>
              </w:rPr>
            </w:pPr>
            <w:r>
              <w:rPr>
                <w:spacing w:val="-4"/>
                <w:sz w:val="22"/>
              </w:rPr>
              <w:t>1004</w:t>
            </w:r>
          </w:p>
        </w:tc>
        <w:tc>
          <w:tcPr>
            <w:tcW w:w="962" w:type="dxa"/>
            <w:tcBorders>
              <w:top w:val="single" w:sz="8" w:space="0" w:color="000000"/>
            </w:tcBorders>
          </w:tcPr>
          <w:p>
            <w:pPr>
              <w:pStyle w:val="TableParagraph"/>
              <w:spacing w:line="246" w:lineRule="exact"/>
              <w:ind w:left="0" w:right="4"/>
              <w:rPr>
                <w:sz w:val="22"/>
              </w:rPr>
            </w:pPr>
            <w:r>
              <w:rPr>
                <w:spacing w:val="-5"/>
                <w:sz w:val="22"/>
              </w:rPr>
              <w:t>902</w:t>
            </w:r>
          </w:p>
        </w:tc>
      </w:tr>
      <w:tr>
        <w:trPr>
          <w:trHeight w:val="300" w:hRule="atLeast"/>
        </w:trPr>
        <w:tc>
          <w:tcPr>
            <w:tcW w:w="958" w:type="dxa"/>
          </w:tcPr>
          <w:p>
            <w:pPr>
              <w:pStyle w:val="TableParagraph"/>
              <w:spacing w:line="240" w:lineRule="auto" w:before="19"/>
              <w:ind w:left="17"/>
              <w:rPr>
                <w:sz w:val="22"/>
              </w:rPr>
            </w:pPr>
            <w:r>
              <w:rPr>
                <w:spacing w:val="-10"/>
                <w:sz w:val="22"/>
              </w:rPr>
              <w:t>2</w:t>
            </w:r>
          </w:p>
        </w:tc>
        <w:tc>
          <w:tcPr>
            <w:tcW w:w="969" w:type="dxa"/>
          </w:tcPr>
          <w:p>
            <w:pPr>
              <w:pStyle w:val="TableParagraph"/>
              <w:spacing w:line="240" w:lineRule="auto" w:before="19"/>
              <w:rPr>
                <w:sz w:val="22"/>
              </w:rPr>
            </w:pPr>
            <w:r>
              <w:rPr>
                <w:spacing w:val="-5"/>
                <w:sz w:val="22"/>
              </w:rPr>
              <w:t>769</w:t>
            </w:r>
          </w:p>
        </w:tc>
        <w:tc>
          <w:tcPr>
            <w:tcW w:w="961" w:type="dxa"/>
          </w:tcPr>
          <w:p>
            <w:pPr>
              <w:pStyle w:val="TableParagraph"/>
              <w:spacing w:line="240" w:lineRule="auto" w:before="19"/>
              <w:ind w:left="2" w:right="2"/>
              <w:rPr>
                <w:sz w:val="22"/>
              </w:rPr>
            </w:pPr>
            <w:r>
              <w:rPr>
                <w:spacing w:val="-4"/>
                <w:sz w:val="22"/>
              </w:rPr>
              <w:t>1046</w:t>
            </w:r>
          </w:p>
        </w:tc>
        <w:tc>
          <w:tcPr>
            <w:tcW w:w="961" w:type="dxa"/>
          </w:tcPr>
          <w:p>
            <w:pPr>
              <w:pStyle w:val="TableParagraph"/>
              <w:spacing w:line="240" w:lineRule="auto" w:before="19"/>
              <w:ind w:left="2" w:right="2"/>
              <w:rPr>
                <w:sz w:val="22"/>
              </w:rPr>
            </w:pPr>
            <w:r>
              <w:rPr>
                <w:spacing w:val="-5"/>
                <w:sz w:val="22"/>
              </w:rPr>
              <w:t>245</w:t>
            </w:r>
          </w:p>
        </w:tc>
        <w:tc>
          <w:tcPr>
            <w:tcW w:w="961" w:type="dxa"/>
          </w:tcPr>
          <w:p>
            <w:pPr>
              <w:pStyle w:val="TableParagraph"/>
              <w:spacing w:line="240" w:lineRule="auto" w:before="19"/>
              <w:ind w:left="2" w:right="2"/>
              <w:rPr>
                <w:sz w:val="22"/>
              </w:rPr>
            </w:pPr>
            <w:r>
              <w:rPr>
                <w:spacing w:val="-5"/>
                <w:sz w:val="22"/>
              </w:rPr>
              <w:t>411</w:t>
            </w:r>
          </w:p>
        </w:tc>
        <w:tc>
          <w:tcPr>
            <w:tcW w:w="961" w:type="dxa"/>
          </w:tcPr>
          <w:p>
            <w:pPr>
              <w:pStyle w:val="TableParagraph"/>
              <w:spacing w:line="240" w:lineRule="auto" w:before="19"/>
              <w:ind w:left="2" w:right="3"/>
              <w:rPr>
                <w:sz w:val="22"/>
              </w:rPr>
            </w:pPr>
            <w:r>
              <w:rPr>
                <w:spacing w:val="-5"/>
                <w:sz w:val="22"/>
              </w:rPr>
              <w:t>721</w:t>
            </w:r>
          </w:p>
        </w:tc>
        <w:tc>
          <w:tcPr>
            <w:tcW w:w="962" w:type="dxa"/>
          </w:tcPr>
          <w:p>
            <w:pPr>
              <w:pStyle w:val="TableParagraph"/>
              <w:spacing w:line="240" w:lineRule="auto" w:before="19"/>
              <w:ind w:left="0" w:right="4"/>
              <w:rPr>
                <w:sz w:val="22"/>
              </w:rPr>
            </w:pPr>
            <w:r>
              <w:rPr>
                <w:spacing w:val="-4"/>
                <w:sz w:val="22"/>
              </w:rPr>
              <w:t>1121</w:t>
            </w:r>
          </w:p>
        </w:tc>
      </w:tr>
      <w:tr>
        <w:trPr>
          <w:trHeight w:val="300" w:hRule="atLeast"/>
        </w:trPr>
        <w:tc>
          <w:tcPr>
            <w:tcW w:w="958" w:type="dxa"/>
          </w:tcPr>
          <w:p>
            <w:pPr>
              <w:pStyle w:val="TableParagraph"/>
              <w:spacing w:line="240" w:lineRule="auto" w:before="19"/>
              <w:ind w:left="17"/>
              <w:rPr>
                <w:sz w:val="22"/>
              </w:rPr>
            </w:pPr>
            <w:r>
              <w:rPr>
                <w:spacing w:val="-10"/>
                <w:sz w:val="22"/>
              </w:rPr>
              <w:t>3</w:t>
            </w:r>
          </w:p>
        </w:tc>
        <w:tc>
          <w:tcPr>
            <w:tcW w:w="969" w:type="dxa"/>
          </w:tcPr>
          <w:p>
            <w:pPr>
              <w:pStyle w:val="TableParagraph"/>
              <w:spacing w:line="240" w:lineRule="auto" w:before="19"/>
              <w:rPr>
                <w:sz w:val="22"/>
              </w:rPr>
            </w:pPr>
            <w:r>
              <w:rPr>
                <w:spacing w:val="-4"/>
                <w:sz w:val="22"/>
              </w:rPr>
              <w:t>1148</w:t>
            </w:r>
          </w:p>
        </w:tc>
        <w:tc>
          <w:tcPr>
            <w:tcW w:w="961" w:type="dxa"/>
          </w:tcPr>
          <w:p>
            <w:pPr>
              <w:pStyle w:val="TableParagraph"/>
              <w:spacing w:line="240" w:lineRule="auto" w:before="19"/>
              <w:ind w:left="2" w:right="2"/>
              <w:rPr>
                <w:sz w:val="22"/>
              </w:rPr>
            </w:pPr>
            <w:r>
              <w:rPr>
                <w:spacing w:val="-4"/>
                <w:sz w:val="22"/>
              </w:rPr>
              <w:t>1225</w:t>
            </w:r>
          </w:p>
        </w:tc>
        <w:tc>
          <w:tcPr>
            <w:tcW w:w="961" w:type="dxa"/>
          </w:tcPr>
          <w:p>
            <w:pPr>
              <w:pStyle w:val="TableParagraph"/>
              <w:spacing w:line="240" w:lineRule="auto" w:before="19"/>
              <w:ind w:left="2" w:right="2"/>
              <w:rPr>
                <w:sz w:val="22"/>
              </w:rPr>
            </w:pPr>
            <w:r>
              <w:rPr>
                <w:spacing w:val="-4"/>
                <w:sz w:val="22"/>
              </w:rPr>
              <w:t>2325</w:t>
            </w:r>
          </w:p>
        </w:tc>
        <w:tc>
          <w:tcPr>
            <w:tcW w:w="961" w:type="dxa"/>
          </w:tcPr>
          <w:p>
            <w:pPr>
              <w:pStyle w:val="TableParagraph"/>
              <w:spacing w:line="240" w:lineRule="auto" w:before="19"/>
              <w:ind w:left="2" w:right="2"/>
              <w:rPr>
                <w:sz w:val="22"/>
              </w:rPr>
            </w:pPr>
            <w:r>
              <w:rPr>
                <w:spacing w:val="-4"/>
                <w:sz w:val="22"/>
              </w:rPr>
              <w:t>2409</w:t>
            </w:r>
          </w:p>
        </w:tc>
        <w:tc>
          <w:tcPr>
            <w:tcW w:w="961" w:type="dxa"/>
          </w:tcPr>
          <w:p>
            <w:pPr>
              <w:pStyle w:val="TableParagraph"/>
              <w:spacing w:line="240" w:lineRule="auto" w:before="19"/>
              <w:ind w:left="2" w:right="3"/>
              <w:rPr>
                <w:sz w:val="22"/>
              </w:rPr>
            </w:pPr>
            <w:r>
              <w:rPr>
                <w:spacing w:val="-4"/>
                <w:sz w:val="22"/>
              </w:rPr>
              <w:t>2731</w:t>
            </w:r>
          </w:p>
        </w:tc>
        <w:tc>
          <w:tcPr>
            <w:tcW w:w="962" w:type="dxa"/>
          </w:tcPr>
          <w:p>
            <w:pPr>
              <w:pStyle w:val="TableParagraph"/>
              <w:spacing w:line="240" w:lineRule="auto" w:before="19"/>
              <w:ind w:left="0" w:right="4"/>
              <w:rPr>
                <w:sz w:val="22"/>
              </w:rPr>
            </w:pPr>
            <w:r>
              <w:rPr>
                <w:spacing w:val="-4"/>
                <w:sz w:val="22"/>
              </w:rPr>
              <w:t>3011</w:t>
            </w:r>
          </w:p>
        </w:tc>
      </w:tr>
      <w:tr>
        <w:trPr>
          <w:trHeight w:val="300" w:hRule="atLeast"/>
        </w:trPr>
        <w:tc>
          <w:tcPr>
            <w:tcW w:w="958" w:type="dxa"/>
          </w:tcPr>
          <w:p>
            <w:pPr>
              <w:pStyle w:val="TableParagraph"/>
              <w:spacing w:line="240" w:lineRule="auto" w:before="19"/>
              <w:ind w:left="17"/>
              <w:rPr>
                <w:sz w:val="22"/>
              </w:rPr>
            </w:pPr>
            <w:r>
              <w:rPr>
                <w:spacing w:val="-10"/>
                <w:sz w:val="22"/>
              </w:rPr>
              <w:t>4</w:t>
            </w:r>
          </w:p>
        </w:tc>
        <w:tc>
          <w:tcPr>
            <w:tcW w:w="969" w:type="dxa"/>
          </w:tcPr>
          <w:p>
            <w:pPr>
              <w:pStyle w:val="TableParagraph"/>
              <w:spacing w:line="240" w:lineRule="auto" w:before="19"/>
              <w:rPr>
                <w:sz w:val="22"/>
              </w:rPr>
            </w:pPr>
            <w:r>
              <w:rPr>
                <w:spacing w:val="-4"/>
                <w:sz w:val="22"/>
              </w:rPr>
              <w:t>2383</w:t>
            </w:r>
          </w:p>
        </w:tc>
        <w:tc>
          <w:tcPr>
            <w:tcW w:w="961" w:type="dxa"/>
          </w:tcPr>
          <w:p>
            <w:pPr>
              <w:pStyle w:val="TableParagraph"/>
              <w:spacing w:line="240" w:lineRule="auto" w:before="19"/>
              <w:ind w:left="2" w:right="2"/>
              <w:rPr>
                <w:sz w:val="22"/>
              </w:rPr>
            </w:pPr>
            <w:r>
              <w:rPr>
                <w:spacing w:val="-4"/>
                <w:sz w:val="22"/>
              </w:rPr>
              <w:t>1637</w:t>
            </w:r>
          </w:p>
        </w:tc>
        <w:tc>
          <w:tcPr>
            <w:tcW w:w="961" w:type="dxa"/>
          </w:tcPr>
          <w:p>
            <w:pPr>
              <w:pStyle w:val="TableParagraph"/>
              <w:spacing w:line="240" w:lineRule="auto" w:before="19"/>
              <w:ind w:left="2" w:right="2"/>
              <w:rPr>
                <w:sz w:val="22"/>
              </w:rPr>
            </w:pPr>
            <w:r>
              <w:rPr>
                <w:spacing w:val="-4"/>
                <w:sz w:val="22"/>
              </w:rPr>
              <w:t>1414</w:t>
            </w:r>
          </w:p>
        </w:tc>
        <w:tc>
          <w:tcPr>
            <w:tcW w:w="961" w:type="dxa"/>
          </w:tcPr>
          <w:p>
            <w:pPr>
              <w:pStyle w:val="TableParagraph"/>
              <w:spacing w:line="240" w:lineRule="auto" w:before="19"/>
              <w:ind w:left="2" w:right="2"/>
              <w:rPr>
                <w:sz w:val="22"/>
              </w:rPr>
            </w:pPr>
            <w:r>
              <w:rPr>
                <w:spacing w:val="-4"/>
                <w:sz w:val="22"/>
              </w:rPr>
              <w:t>1135</w:t>
            </w:r>
          </w:p>
        </w:tc>
        <w:tc>
          <w:tcPr>
            <w:tcW w:w="961" w:type="dxa"/>
          </w:tcPr>
          <w:p>
            <w:pPr>
              <w:pStyle w:val="TableParagraph"/>
              <w:spacing w:line="240" w:lineRule="auto" w:before="19"/>
              <w:ind w:left="2" w:right="3"/>
              <w:rPr>
                <w:sz w:val="22"/>
              </w:rPr>
            </w:pPr>
            <w:r>
              <w:rPr>
                <w:spacing w:val="-4"/>
                <w:sz w:val="22"/>
              </w:rPr>
              <w:t>1412</w:t>
            </w:r>
          </w:p>
        </w:tc>
        <w:tc>
          <w:tcPr>
            <w:tcW w:w="962" w:type="dxa"/>
          </w:tcPr>
          <w:p>
            <w:pPr>
              <w:pStyle w:val="TableParagraph"/>
              <w:spacing w:line="240" w:lineRule="auto" w:before="19"/>
              <w:ind w:left="0" w:right="4"/>
              <w:rPr>
                <w:sz w:val="22"/>
              </w:rPr>
            </w:pPr>
            <w:r>
              <w:rPr>
                <w:spacing w:val="-4"/>
                <w:sz w:val="22"/>
              </w:rPr>
              <w:t>1747</w:t>
            </w:r>
          </w:p>
        </w:tc>
      </w:tr>
      <w:tr>
        <w:trPr>
          <w:trHeight w:val="300" w:hRule="atLeast"/>
        </w:trPr>
        <w:tc>
          <w:tcPr>
            <w:tcW w:w="958" w:type="dxa"/>
          </w:tcPr>
          <w:p>
            <w:pPr>
              <w:pStyle w:val="TableParagraph"/>
              <w:spacing w:line="240" w:lineRule="auto" w:before="19"/>
              <w:ind w:left="17"/>
              <w:rPr>
                <w:sz w:val="22"/>
              </w:rPr>
            </w:pPr>
            <w:r>
              <w:rPr>
                <w:spacing w:val="-10"/>
                <w:sz w:val="22"/>
              </w:rPr>
              <w:t>5</w:t>
            </w:r>
          </w:p>
        </w:tc>
        <w:tc>
          <w:tcPr>
            <w:tcW w:w="969" w:type="dxa"/>
          </w:tcPr>
          <w:p>
            <w:pPr>
              <w:pStyle w:val="TableParagraph"/>
              <w:spacing w:line="240" w:lineRule="auto" w:before="19"/>
              <w:rPr>
                <w:sz w:val="22"/>
              </w:rPr>
            </w:pPr>
            <w:r>
              <w:rPr>
                <w:spacing w:val="-4"/>
                <w:sz w:val="22"/>
              </w:rPr>
              <w:t>2471</w:t>
            </w:r>
          </w:p>
        </w:tc>
        <w:tc>
          <w:tcPr>
            <w:tcW w:w="961" w:type="dxa"/>
          </w:tcPr>
          <w:p>
            <w:pPr>
              <w:pStyle w:val="TableParagraph"/>
              <w:spacing w:line="240" w:lineRule="auto" w:before="19"/>
              <w:ind w:left="2" w:right="2"/>
              <w:rPr>
                <w:sz w:val="22"/>
              </w:rPr>
            </w:pPr>
            <w:r>
              <w:rPr>
                <w:spacing w:val="-4"/>
                <w:sz w:val="22"/>
              </w:rPr>
              <w:t>2010</w:t>
            </w:r>
          </w:p>
        </w:tc>
        <w:tc>
          <w:tcPr>
            <w:tcW w:w="961" w:type="dxa"/>
          </w:tcPr>
          <w:p>
            <w:pPr>
              <w:pStyle w:val="TableParagraph"/>
              <w:spacing w:line="240" w:lineRule="auto" w:before="19"/>
              <w:ind w:left="2" w:right="2"/>
              <w:rPr>
                <w:sz w:val="22"/>
              </w:rPr>
            </w:pPr>
            <w:r>
              <w:rPr>
                <w:spacing w:val="-4"/>
                <w:sz w:val="22"/>
              </w:rPr>
              <w:t>1967</w:t>
            </w:r>
          </w:p>
        </w:tc>
        <w:tc>
          <w:tcPr>
            <w:tcW w:w="961" w:type="dxa"/>
          </w:tcPr>
          <w:p>
            <w:pPr>
              <w:pStyle w:val="TableParagraph"/>
              <w:spacing w:line="240" w:lineRule="auto" w:before="19"/>
              <w:ind w:left="2" w:right="2"/>
              <w:rPr>
                <w:sz w:val="22"/>
              </w:rPr>
            </w:pPr>
            <w:r>
              <w:rPr>
                <w:spacing w:val="-4"/>
                <w:sz w:val="22"/>
              </w:rPr>
              <w:t>1711</w:t>
            </w:r>
          </w:p>
        </w:tc>
        <w:tc>
          <w:tcPr>
            <w:tcW w:w="961" w:type="dxa"/>
          </w:tcPr>
          <w:p>
            <w:pPr>
              <w:pStyle w:val="TableParagraph"/>
              <w:spacing w:line="240" w:lineRule="auto" w:before="19"/>
              <w:ind w:left="2" w:right="3"/>
              <w:rPr>
                <w:sz w:val="22"/>
              </w:rPr>
            </w:pPr>
            <w:r>
              <w:rPr>
                <w:spacing w:val="-4"/>
                <w:sz w:val="22"/>
              </w:rPr>
              <w:t>1412</w:t>
            </w:r>
          </w:p>
        </w:tc>
        <w:tc>
          <w:tcPr>
            <w:tcW w:w="962" w:type="dxa"/>
          </w:tcPr>
          <w:p>
            <w:pPr>
              <w:pStyle w:val="TableParagraph"/>
              <w:spacing w:line="240" w:lineRule="auto" w:before="19"/>
              <w:ind w:left="0" w:right="4"/>
              <w:rPr>
                <w:sz w:val="22"/>
              </w:rPr>
            </w:pPr>
            <w:r>
              <w:rPr>
                <w:spacing w:val="-4"/>
                <w:sz w:val="22"/>
              </w:rPr>
              <w:t>1182</w:t>
            </w:r>
          </w:p>
        </w:tc>
      </w:tr>
      <w:tr>
        <w:trPr>
          <w:trHeight w:val="300" w:hRule="atLeast"/>
        </w:trPr>
        <w:tc>
          <w:tcPr>
            <w:tcW w:w="958" w:type="dxa"/>
          </w:tcPr>
          <w:p>
            <w:pPr>
              <w:pStyle w:val="TableParagraph"/>
              <w:spacing w:line="240" w:lineRule="auto" w:before="19"/>
              <w:ind w:left="17"/>
              <w:rPr>
                <w:sz w:val="22"/>
              </w:rPr>
            </w:pPr>
            <w:r>
              <w:rPr>
                <w:spacing w:val="-10"/>
                <w:sz w:val="22"/>
              </w:rPr>
              <w:t>6</w:t>
            </w:r>
          </w:p>
        </w:tc>
        <w:tc>
          <w:tcPr>
            <w:tcW w:w="969" w:type="dxa"/>
          </w:tcPr>
          <w:p>
            <w:pPr>
              <w:pStyle w:val="TableParagraph"/>
              <w:spacing w:line="240" w:lineRule="auto" w:before="19"/>
              <w:rPr>
                <w:sz w:val="22"/>
              </w:rPr>
            </w:pPr>
            <w:r>
              <w:rPr>
                <w:spacing w:val="-4"/>
                <w:sz w:val="22"/>
              </w:rPr>
              <w:t>4244</w:t>
            </w:r>
          </w:p>
        </w:tc>
        <w:tc>
          <w:tcPr>
            <w:tcW w:w="961" w:type="dxa"/>
          </w:tcPr>
          <w:p>
            <w:pPr>
              <w:pStyle w:val="TableParagraph"/>
              <w:spacing w:line="240" w:lineRule="auto" w:before="19"/>
              <w:ind w:left="2" w:right="2"/>
              <w:rPr>
                <w:sz w:val="22"/>
              </w:rPr>
            </w:pPr>
            <w:r>
              <w:rPr>
                <w:spacing w:val="-4"/>
                <w:sz w:val="22"/>
              </w:rPr>
              <w:t>4419</w:t>
            </w:r>
          </w:p>
        </w:tc>
        <w:tc>
          <w:tcPr>
            <w:tcW w:w="961" w:type="dxa"/>
          </w:tcPr>
          <w:p>
            <w:pPr>
              <w:pStyle w:val="TableParagraph"/>
              <w:spacing w:line="240" w:lineRule="auto" w:before="19"/>
              <w:ind w:left="2" w:right="2"/>
              <w:rPr>
                <w:sz w:val="22"/>
              </w:rPr>
            </w:pPr>
            <w:r>
              <w:rPr>
                <w:spacing w:val="-4"/>
                <w:sz w:val="22"/>
              </w:rPr>
              <w:t>2889</w:t>
            </w:r>
          </w:p>
        </w:tc>
        <w:tc>
          <w:tcPr>
            <w:tcW w:w="961" w:type="dxa"/>
          </w:tcPr>
          <w:p>
            <w:pPr>
              <w:pStyle w:val="TableParagraph"/>
              <w:spacing w:line="240" w:lineRule="auto" w:before="19"/>
              <w:ind w:left="2" w:right="2"/>
              <w:rPr>
                <w:sz w:val="22"/>
              </w:rPr>
            </w:pPr>
            <w:r>
              <w:rPr>
                <w:spacing w:val="-4"/>
                <w:sz w:val="22"/>
              </w:rPr>
              <w:t>3294</w:t>
            </w:r>
          </w:p>
        </w:tc>
        <w:tc>
          <w:tcPr>
            <w:tcW w:w="961" w:type="dxa"/>
          </w:tcPr>
          <w:p>
            <w:pPr>
              <w:pStyle w:val="TableParagraph"/>
              <w:spacing w:line="240" w:lineRule="auto" w:before="19"/>
              <w:ind w:left="2" w:right="3"/>
              <w:rPr>
                <w:sz w:val="22"/>
              </w:rPr>
            </w:pPr>
            <w:r>
              <w:rPr>
                <w:spacing w:val="-4"/>
                <w:sz w:val="22"/>
              </w:rPr>
              <w:t>3901</w:t>
            </w:r>
          </w:p>
        </w:tc>
        <w:tc>
          <w:tcPr>
            <w:tcW w:w="962" w:type="dxa"/>
          </w:tcPr>
          <w:p>
            <w:pPr>
              <w:pStyle w:val="TableParagraph"/>
              <w:spacing w:line="240" w:lineRule="auto" w:before="19"/>
              <w:ind w:left="0" w:right="4"/>
              <w:rPr>
                <w:sz w:val="22"/>
              </w:rPr>
            </w:pPr>
            <w:r>
              <w:rPr>
                <w:spacing w:val="-4"/>
                <w:sz w:val="22"/>
              </w:rPr>
              <w:t>3371</w:t>
            </w:r>
          </w:p>
        </w:tc>
      </w:tr>
      <w:tr>
        <w:trPr>
          <w:trHeight w:val="300" w:hRule="atLeast"/>
        </w:trPr>
        <w:tc>
          <w:tcPr>
            <w:tcW w:w="958" w:type="dxa"/>
          </w:tcPr>
          <w:p>
            <w:pPr>
              <w:pStyle w:val="TableParagraph"/>
              <w:spacing w:line="240" w:lineRule="auto" w:before="19"/>
              <w:ind w:left="17"/>
              <w:rPr>
                <w:sz w:val="22"/>
              </w:rPr>
            </w:pPr>
            <w:r>
              <w:rPr>
                <w:spacing w:val="-10"/>
                <w:sz w:val="22"/>
              </w:rPr>
              <w:t>7</w:t>
            </w:r>
          </w:p>
        </w:tc>
        <w:tc>
          <w:tcPr>
            <w:tcW w:w="969" w:type="dxa"/>
          </w:tcPr>
          <w:p>
            <w:pPr>
              <w:pStyle w:val="TableParagraph"/>
              <w:spacing w:line="240" w:lineRule="auto" w:before="19"/>
              <w:rPr>
                <w:sz w:val="22"/>
              </w:rPr>
            </w:pPr>
            <w:r>
              <w:rPr>
                <w:spacing w:val="-4"/>
                <w:sz w:val="22"/>
              </w:rPr>
              <w:t>6843</w:t>
            </w:r>
          </w:p>
        </w:tc>
        <w:tc>
          <w:tcPr>
            <w:tcW w:w="961" w:type="dxa"/>
          </w:tcPr>
          <w:p>
            <w:pPr>
              <w:pStyle w:val="TableParagraph"/>
              <w:spacing w:line="240" w:lineRule="auto" w:before="19"/>
              <w:ind w:left="2" w:right="2"/>
              <w:rPr>
                <w:sz w:val="22"/>
              </w:rPr>
            </w:pPr>
            <w:r>
              <w:rPr>
                <w:spacing w:val="-4"/>
                <w:sz w:val="22"/>
              </w:rPr>
              <w:t>4438</w:t>
            </w:r>
          </w:p>
        </w:tc>
        <w:tc>
          <w:tcPr>
            <w:tcW w:w="961" w:type="dxa"/>
          </w:tcPr>
          <w:p>
            <w:pPr>
              <w:pStyle w:val="TableParagraph"/>
              <w:spacing w:line="240" w:lineRule="auto" w:before="19"/>
              <w:ind w:left="2" w:right="2"/>
              <w:rPr>
                <w:sz w:val="22"/>
              </w:rPr>
            </w:pPr>
            <w:r>
              <w:rPr>
                <w:spacing w:val="-4"/>
                <w:sz w:val="22"/>
              </w:rPr>
              <w:t>6488</w:t>
            </w:r>
          </w:p>
        </w:tc>
        <w:tc>
          <w:tcPr>
            <w:tcW w:w="961" w:type="dxa"/>
          </w:tcPr>
          <w:p>
            <w:pPr>
              <w:pStyle w:val="TableParagraph"/>
              <w:spacing w:line="240" w:lineRule="auto" w:before="19"/>
              <w:ind w:left="2" w:right="2"/>
              <w:rPr>
                <w:sz w:val="22"/>
              </w:rPr>
            </w:pPr>
            <w:r>
              <w:rPr>
                <w:spacing w:val="-4"/>
                <w:sz w:val="22"/>
              </w:rPr>
              <w:t>5201</w:t>
            </w:r>
          </w:p>
        </w:tc>
        <w:tc>
          <w:tcPr>
            <w:tcW w:w="961" w:type="dxa"/>
          </w:tcPr>
          <w:p>
            <w:pPr>
              <w:pStyle w:val="TableParagraph"/>
              <w:spacing w:line="240" w:lineRule="auto" w:before="19"/>
              <w:ind w:left="2" w:right="3"/>
              <w:rPr>
                <w:sz w:val="22"/>
              </w:rPr>
            </w:pPr>
            <w:r>
              <w:rPr>
                <w:spacing w:val="-4"/>
                <w:sz w:val="22"/>
              </w:rPr>
              <w:t>4801</w:t>
            </w:r>
          </w:p>
        </w:tc>
        <w:tc>
          <w:tcPr>
            <w:tcW w:w="962" w:type="dxa"/>
          </w:tcPr>
          <w:p>
            <w:pPr>
              <w:pStyle w:val="TableParagraph"/>
              <w:spacing w:line="240" w:lineRule="auto" w:before="19"/>
              <w:ind w:left="0" w:right="4"/>
              <w:rPr>
                <w:sz w:val="22"/>
              </w:rPr>
            </w:pPr>
            <w:r>
              <w:rPr>
                <w:spacing w:val="-4"/>
                <w:sz w:val="22"/>
              </w:rPr>
              <w:t>5124</w:t>
            </w:r>
          </w:p>
        </w:tc>
      </w:tr>
      <w:tr>
        <w:trPr>
          <w:trHeight w:val="300" w:hRule="atLeast"/>
        </w:trPr>
        <w:tc>
          <w:tcPr>
            <w:tcW w:w="958" w:type="dxa"/>
          </w:tcPr>
          <w:p>
            <w:pPr>
              <w:pStyle w:val="TableParagraph"/>
              <w:spacing w:line="240" w:lineRule="auto" w:before="19"/>
              <w:ind w:left="17"/>
              <w:rPr>
                <w:sz w:val="22"/>
              </w:rPr>
            </w:pPr>
            <w:r>
              <w:rPr>
                <w:spacing w:val="-10"/>
                <w:sz w:val="22"/>
              </w:rPr>
              <w:t>8</w:t>
            </w:r>
          </w:p>
        </w:tc>
        <w:tc>
          <w:tcPr>
            <w:tcW w:w="969" w:type="dxa"/>
          </w:tcPr>
          <w:p>
            <w:pPr>
              <w:pStyle w:val="TableParagraph"/>
              <w:spacing w:line="240" w:lineRule="auto" w:before="19"/>
              <w:rPr>
                <w:sz w:val="22"/>
              </w:rPr>
            </w:pPr>
            <w:r>
              <w:rPr>
                <w:spacing w:val="-4"/>
                <w:sz w:val="22"/>
              </w:rPr>
              <w:t>5735</w:t>
            </w:r>
          </w:p>
        </w:tc>
        <w:tc>
          <w:tcPr>
            <w:tcW w:w="961" w:type="dxa"/>
          </w:tcPr>
          <w:p>
            <w:pPr>
              <w:pStyle w:val="TableParagraph"/>
              <w:spacing w:line="240" w:lineRule="auto" w:before="19"/>
              <w:ind w:left="2" w:right="2"/>
              <w:rPr>
                <w:sz w:val="22"/>
              </w:rPr>
            </w:pPr>
            <w:r>
              <w:rPr>
                <w:spacing w:val="-4"/>
                <w:sz w:val="22"/>
              </w:rPr>
              <w:t>5358</w:t>
            </w:r>
          </w:p>
        </w:tc>
        <w:tc>
          <w:tcPr>
            <w:tcW w:w="961" w:type="dxa"/>
          </w:tcPr>
          <w:p>
            <w:pPr>
              <w:pStyle w:val="TableParagraph"/>
              <w:spacing w:line="240" w:lineRule="auto" w:before="19"/>
              <w:ind w:left="2" w:right="2"/>
              <w:rPr>
                <w:sz w:val="22"/>
              </w:rPr>
            </w:pPr>
            <w:r>
              <w:rPr>
                <w:spacing w:val="-4"/>
                <w:sz w:val="22"/>
              </w:rPr>
              <w:t>8072</w:t>
            </w:r>
          </w:p>
        </w:tc>
        <w:tc>
          <w:tcPr>
            <w:tcW w:w="961" w:type="dxa"/>
          </w:tcPr>
          <w:p>
            <w:pPr>
              <w:pStyle w:val="TableParagraph"/>
              <w:spacing w:line="240" w:lineRule="auto" w:before="19"/>
              <w:ind w:left="2" w:right="2"/>
              <w:rPr>
                <w:sz w:val="22"/>
              </w:rPr>
            </w:pPr>
            <w:r>
              <w:rPr>
                <w:spacing w:val="-4"/>
                <w:sz w:val="22"/>
              </w:rPr>
              <w:t>8104</w:t>
            </w:r>
          </w:p>
        </w:tc>
        <w:tc>
          <w:tcPr>
            <w:tcW w:w="961" w:type="dxa"/>
          </w:tcPr>
          <w:p>
            <w:pPr>
              <w:pStyle w:val="TableParagraph"/>
              <w:spacing w:line="240" w:lineRule="auto" w:before="19"/>
              <w:ind w:left="2" w:right="3"/>
              <w:rPr>
                <w:sz w:val="22"/>
              </w:rPr>
            </w:pPr>
            <w:r>
              <w:rPr>
                <w:spacing w:val="-4"/>
                <w:sz w:val="22"/>
              </w:rPr>
              <w:t>5828</w:t>
            </w:r>
          </w:p>
        </w:tc>
        <w:tc>
          <w:tcPr>
            <w:tcW w:w="962" w:type="dxa"/>
          </w:tcPr>
          <w:p>
            <w:pPr>
              <w:pStyle w:val="TableParagraph"/>
              <w:spacing w:line="240" w:lineRule="auto" w:before="19"/>
              <w:ind w:left="0" w:right="4"/>
              <w:rPr>
                <w:sz w:val="22"/>
              </w:rPr>
            </w:pPr>
            <w:r>
              <w:rPr>
                <w:spacing w:val="-4"/>
                <w:sz w:val="22"/>
              </w:rPr>
              <w:t>6152</w:t>
            </w:r>
          </w:p>
        </w:tc>
      </w:tr>
      <w:tr>
        <w:trPr>
          <w:trHeight w:val="300" w:hRule="atLeast"/>
        </w:trPr>
        <w:tc>
          <w:tcPr>
            <w:tcW w:w="958" w:type="dxa"/>
          </w:tcPr>
          <w:p>
            <w:pPr>
              <w:pStyle w:val="TableParagraph"/>
              <w:spacing w:line="240" w:lineRule="auto" w:before="19"/>
              <w:ind w:left="17"/>
              <w:rPr>
                <w:sz w:val="22"/>
              </w:rPr>
            </w:pPr>
            <w:r>
              <w:rPr>
                <w:spacing w:val="-10"/>
                <w:sz w:val="22"/>
              </w:rPr>
              <w:t>9</w:t>
            </w:r>
          </w:p>
        </w:tc>
        <w:tc>
          <w:tcPr>
            <w:tcW w:w="969" w:type="dxa"/>
          </w:tcPr>
          <w:p>
            <w:pPr>
              <w:pStyle w:val="TableParagraph"/>
              <w:spacing w:line="240" w:lineRule="auto" w:before="19"/>
              <w:rPr>
                <w:sz w:val="22"/>
              </w:rPr>
            </w:pPr>
            <w:r>
              <w:rPr>
                <w:spacing w:val="-4"/>
                <w:sz w:val="22"/>
              </w:rPr>
              <w:t>2812</w:t>
            </w:r>
          </w:p>
        </w:tc>
        <w:tc>
          <w:tcPr>
            <w:tcW w:w="961" w:type="dxa"/>
          </w:tcPr>
          <w:p>
            <w:pPr>
              <w:pStyle w:val="TableParagraph"/>
              <w:spacing w:line="240" w:lineRule="auto" w:before="19"/>
              <w:ind w:left="2" w:right="2"/>
              <w:rPr>
                <w:sz w:val="22"/>
              </w:rPr>
            </w:pPr>
            <w:r>
              <w:rPr>
                <w:spacing w:val="-4"/>
                <w:sz w:val="22"/>
              </w:rPr>
              <w:t>4214</w:t>
            </w:r>
          </w:p>
        </w:tc>
        <w:tc>
          <w:tcPr>
            <w:tcW w:w="961" w:type="dxa"/>
          </w:tcPr>
          <w:p>
            <w:pPr>
              <w:pStyle w:val="TableParagraph"/>
              <w:spacing w:line="240" w:lineRule="auto" w:before="19"/>
              <w:ind w:left="2" w:right="2"/>
              <w:rPr>
                <w:sz w:val="22"/>
              </w:rPr>
            </w:pPr>
            <w:r>
              <w:rPr>
                <w:spacing w:val="-4"/>
                <w:sz w:val="22"/>
              </w:rPr>
              <w:t>3358</w:t>
            </w:r>
          </w:p>
        </w:tc>
        <w:tc>
          <w:tcPr>
            <w:tcW w:w="961" w:type="dxa"/>
          </w:tcPr>
          <w:p>
            <w:pPr>
              <w:pStyle w:val="TableParagraph"/>
              <w:spacing w:line="240" w:lineRule="auto" w:before="19"/>
              <w:ind w:left="2" w:right="2"/>
              <w:rPr>
                <w:sz w:val="22"/>
              </w:rPr>
            </w:pPr>
            <w:r>
              <w:rPr>
                <w:spacing w:val="-4"/>
                <w:sz w:val="22"/>
              </w:rPr>
              <w:t>3931</w:t>
            </w:r>
          </w:p>
        </w:tc>
        <w:tc>
          <w:tcPr>
            <w:tcW w:w="961" w:type="dxa"/>
          </w:tcPr>
          <w:p>
            <w:pPr>
              <w:pStyle w:val="TableParagraph"/>
              <w:spacing w:line="240" w:lineRule="auto" w:before="19"/>
              <w:ind w:left="2" w:right="3"/>
              <w:rPr>
                <w:sz w:val="22"/>
              </w:rPr>
            </w:pPr>
            <w:r>
              <w:rPr>
                <w:spacing w:val="-4"/>
                <w:sz w:val="22"/>
              </w:rPr>
              <w:t>4312</w:t>
            </w:r>
          </w:p>
        </w:tc>
        <w:tc>
          <w:tcPr>
            <w:tcW w:w="962" w:type="dxa"/>
          </w:tcPr>
          <w:p>
            <w:pPr>
              <w:pStyle w:val="TableParagraph"/>
              <w:spacing w:line="240" w:lineRule="auto" w:before="19"/>
              <w:ind w:left="0" w:right="4"/>
              <w:rPr>
                <w:sz w:val="22"/>
              </w:rPr>
            </w:pPr>
            <w:r>
              <w:rPr>
                <w:spacing w:val="-4"/>
                <w:sz w:val="22"/>
              </w:rPr>
              <w:t>4001</w:t>
            </w:r>
          </w:p>
        </w:tc>
      </w:tr>
      <w:tr>
        <w:trPr>
          <w:trHeight w:val="327" w:hRule="atLeast"/>
        </w:trPr>
        <w:tc>
          <w:tcPr>
            <w:tcW w:w="958" w:type="dxa"/>
            <w:tcBorders>
              <w:bottom w:val="single" w:sz="8" w:space="0" w:color="000000"/>
            </w:tcBorders>
          </w:tcPr>
          <w:p>
            <w:pPr>
              <w:pStyle w:val="TableParagraph"/>
              <w:spacing w:line="240" w:lineRule="auto" w:before="19"/>
              <w:ind w:left="17"/>
              <w:rPr>
                <w:sz w:val="22"/>
              </w:rPr>
            </w:pPr>
            <w:r>
              <w:rPr>
                <w:spacing w:val="-5"/>
                <w:sz w:val="22"/>
              </w:rPr>
              <w:t>10</w:t>
            </w:r>
          </w:p>
        </w:tc>
        <w:tc>
          <w:tcPr>
            <w:tcW w:w="969" w:type="dxa"/>
            <w:tcBorders>
              <w:bottom w:val="single" w:sz="8" w:space="0" w:color="000000"/>
            </w:tcBorders>
          </w:tcPr>
          <w:p>
            <w:pPr>
              <w:pStyle w:val="TableParagraph"/>
              <w:spacing w:line="240" w:lineRule="auto" w:before="19"/>
              <w:rPr>
                <w:sz w:val="22"/>
              </w:rPr>
            </w:pPr>
            <w:r>
              <w:rPr>
                <w:spacing w:val="-4"/>
                <w:sz w:val="22"/>
              </w:rPr>
              <w:t>1050</w:t>
            </w:r>
          </w:p>
        </w:tc>
        <w:tc>
          <w:tcPr>
            <w:tcW w:w="961" w:type="dxa"/>
            <w:tcBorders>
              <w:bottom w:val="single" w:sz="8" w:space="0" w:color="000000"/>
            </w:tcBorders>
          </w:tcPr>
          <w:p>
            <w:pPr>
              <w:pStyle w:val="TableParagraph"/>
              <w:spacing w:line="240" w:lineRule="auto" w:before="19"/>
              <w:ind w:left="2" w:right="2"/>
              <w:rPr>
                <w:sz w:val="22"/>
              </w:rPr>
            </w:pPr>
            <w:r>
              <w:rPr>
                <w:spacing w:val="-4"/>
                <w:sz w:val="22"/>
              </w:rPr>
              <w:t>3088</w:t>
            </w:r>
          </w:p>
        </w:tc>
        <w:tc>
          <w:tcPr>
            <w:tcW w:w="961" w:type="dxa"/>
            <w:tcBorders>
              <w:bottom w:val="single" w:sz="8" w:space="0" w:color="000000"/>
            </w:tcBorders>
          </w:tcPr>
          <w:p>
            <w:pPr>
              <w:pStyle w:val="TableParagraph"/>
              <w:spacing w:line="240" w:lineRule="auto" w:before="19"/>
              <w:ind w:left="2" w:right="2"/>
              <w:rPr>
                <w:sz w:val="22"/>
              </w:rPr>
            </w:pPr>
            <w:r>
              <w:rPr>
                <w:spacing w:val="-4"/>
                <w:sz w:val="22"/>
              </w:rPr>
              <w:t>1473</w:t>
            </w:r>
          </w:p>
        </w:tc>
        <w:tc>
          <w:tcPr>
            <w:tcW w:w="961" w:type="dxa"/>
            <w:tcBorders>
              <w:bottom w:val="single" w:sz="8" w:space="0" w:color="000000"/>
            </w:tcBorders>
          </w:tcPr>
          <w:p>
            <w:pPr>
              <w:pStyle w:val="TableParagraph"/>
              <w:spacing w:line="240" w:lineRule="auto" w:before="19"/>
              <w:ind w:left="2" w:right="2"/>
              <w:rPr>
                <w:sz w:val="22"/>
              </w:rPr>
            </w:pPr>
            <w:r>
              <w:rPr>
                <w:spacing w:val="-4"/>
                <w:sz w:val="22"/>
              </w:rPr>
              <w:t>2024</w:t>
            </w:r>
          </w:p>
        </w:tc>
        <w:tc>
          <w:tcPr>
            <w:tcW w:w="961" w:type="dxa"/>
            <w:tcBorders>
              <w:bottom w:val="single" w:sz="8" w:space="0" w:color="000000"/>
            </w:tcBorders>
          </w:tcPr>
          <w:p>
            <w:pPr>
              <w:pStyle w:val="TableParagraph"/>
              <w:spacing w:line="240" w:lineRule="auto" w:before="19"/>
              <w:ind w:left="2" w:right="3"/>
              <w:rPr>
                <w:sz w:val="22"/>
              </w:rPr>
            </w:pPr>
            <w:r>
              <w:rPr>
                <w:spacing w:val="-4"/>
                <w:sz w:val="22"/>
              </w:rPr>
              <w:t>2200</w:t>
            </w:r>
          </w:p>
        </w:tc>
        <w:tc>
          <w:tcPr>
            <w:tcW w:w="962" w:type="dxa"/>
            <w:tcBorders>
              <w:bottom w:val="single" w:sz="8" w:space="0" w:color="000000"/>
            </w:tcBorders>
          </w:tcPr>
          <w:p>
            <w:pPr>
              <w:pStyle w:val="TableParagraph"/>
              <w:spacing w:line="240" w:lineRule="auto" w:before="19"/>
              <w:ind w:left="0" w:right="4"/>
              <w:rPr>
                <w:sz w:val="22"/>
              </w:rPr>
            </w:pPr>
            <w:r>
              <w:rPr>
                <w:spacing w:val="-4"/>
                <w:sz w:val="22"/>
              </w:rPr>
              <w:t>1711</w:t>
            </w:r>
          </w:p>
        </w:tc>
      </w:tr>
    </w:tbl>
    <w:p>
      <w:pPr>
        <w:spacing w:after="0" w:line="240" w:lineRule="auto"/>
        <w:rPr>
          <w:sz w:val="22"/>
        </w:rPr>
        <w:sectPr>
          <w:pgSz w:w="11910" w:h="16840"/>
          <w:pgMar w:header="0" w:footer="1022" w:top="1320" w:bottom="1220" w:left="1680" w:right="900"/>
        </w:sectPr>
      </w:pPr>
    </w:p>
    <w:p>
      <w:pPr>
        <w:spacing w:before="76" w:after="4"/>
        <w:ind w:left="292" w:right="505" w:firstLine="0"/>
        <w:jc w:val="center"/>
        <w:rPr>
          <w:b/>
          <w:sz w:val="24"/>
        </w:rPr>
      </w:pPr>
      <w:r>
        <w:rPr>
          <w:b/>
          <w:sz w:val="24"/>
        </w:rPr>
        <w:t>ANN</w:t>
      </w:r>
      <w:r>
        <w:rPr>
          <w:b/>
          <w:spacing w:val="-1"/>
          <w:sz w:val="24"/>
        </w:rPr>
        <w:t> </w:t>
      </w:r>
      <w:r>
        <w:rPr>
          <w:b/>
          <w:sz w:val="24"/>
        </w:rPr>
        <w:t>Projected</w:t>
      </w:r>
      <w:r>
        <w:rPr>
          <w:b/>
          <w:spacing w:val="-2"/>
          <w:sz w:val="24"/>
        </w:rPr>
        <w:t> </w:t>
      </w:r>
      <w:r>
        <w:rPr>
          <w:b/>
          <w:sz w:val="24"/>
        </w:rPr>
        <w:t>Data Two</w:t>
      </w:r>
      <w:r>
        <w:rPr>
          <w:b/>
          <w:spacing w:val="-2"/>
          <w:sz w:val="24"/>
        </w:rPr>
        <w:t> </w:t>
      </w:r>
      <w:r>
        <w:rPr>
          <w:b/>
          <w:sz w:val="24"/>
        </w:rPr>
        <w:t>Bedroom</w:t>
      </w:r>
      <w:r>
        <w:rPr>
          <w:b/>
          <w:spacing w:val="-5"/>
          <w:sz w:val="24"/>
        </w:rPr>
        <w:t> </w:t>
      </w:r>
      <w:r>
        <w:rPr>
          <w:b/>
          <w:sz w:val="24"/>
        </w:rPr>
        <w:t>Rental </w:t>
      </w:r>
      <w:r>
        <w:rPr>
          <w:b/>
          <w:spacing w:val="-2"/>
          <w:sz w:val="24"/>
        </w:rPr>
        <w:t>Prices</w:t>
      </w:r>
    </w:p>
    <w:tbl>
      <w:tblPr>
        <w:tblW w:w="0" w:type="auto"/>
        <w:jc w:val="left"/>
        <w:tblInd w:w="1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57"/>
        <w:gridCol w:w="970"/>
        <w:gridCol w:w="960"/>
        <w:gridCol w:w="960"/>
        <w:gridCol w:w="960"/>
        <w:gridCol w:w="960"/>
        <w:gridCol w:w="961"/>
      </w:tblGrid>
      <w:tr>
        <w:trPr>
          <w:trHeight w:val="599" w:hRule="atLeast"/>
        </w:trPr>
        <w:tc>
          <w:tcPr>
            <w:tcW w:w="957" w:type="dxa"/>
            <w:tcBorders>
              <w:top w:val="single" w:sz="8" w:space="0" w:color="000000"/>
              <w:bottom w:val="single" w:sz="8" w:space="0" w:color="000000"/>
            </w:tcBorders>
          </w:tcPr>
          <w:p>
            <w:pPr>
              <w:pStyle w:val="TableParagraph"/>
              <w:spacing w:line="273" w:lineRule="exact"/>
              <w:ind w:left="18"/>
              <w:rPr>
                <w:b/>
                <w:sz w:val="24"/>
              </w:rPr>
            </w:pPr>
            <w:r>
              <w:rPr>
                <w:b/>
                <w:spacing w:val="-2"/>
                <w:sz w:val="24"/>
              </w:rPr>
              <w:t>Value</w:t>
            </w:r>
          </w:p>
        </w:tc>
        <w:tc>
          <w:tcPr>
            <w:tcW w:w="970" w:type="dxa"/>
            <w:tcBorders>
              <w:top w:val="single" w:sz="8" w:space="0" w:color="000000"/>
              <w:bottom w:val="single" w:sz="8" w:space="0" w:color="000000"/>
            </w:tcBorders>
          </w:tcPr>
          <w:p>
            <w:pPr>
              <w:pStyle w:val="TableParagraph"/>
              <w:spacing w:line="273" w:lineRule="exact"/>
              <w:ind w:left="250"/>
              <w:jc w:val="left"/>
              <w:rPr>
                <w:b/>
                <w:sz w:val="24"/>
              </w:rPr>
            </w:pPr>
            <w:r>
              <w:rPr>
                <w:b/>
                <w:spacing w:val="-4"/>
                <w:sz w:val="24"/>
              </w:rPr>
              <w:t>2008</w:t>
            </w:r>
          </w:p>
          <w:p>
            <w:pPr>
              <w:pStyle w:val="TableParagraph"/>
              <w:spacing w:line="240" w:lineRule="auto"/>
              <w:ind w:left="16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3" w:lineRule="exact"/>
              <w:ind w:left="240"/>
              <w:jc w:val="left"/>
              <w:rPr>
                <w:b/>
                <w:sz w:val="24"/>
              </w:rPr>
            </w:pPr>
            <w:r>
              <w:rPr>
                <w:b/>
                <w:spacing w:val="-4"/>
                <w:sz w:val="24"/>
              </w:rPr>
              <w:t>2013</w:t>
            </w:r>
          </w:p>
          <w:p>
            <w:pPr>
              <w:pStyle w:val="TableParagraph"/>
              <w:spacing w:line="240" w:lineRule="auto"/>
              <w:ind w:left="15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3" w:lineRule="exact"/>
              <w:ind w:left="241"/>
              <w:jc w:val="left"/>
              <w:rPr>
                <w:b/>
                <w:sz w:val="24"/>
              </w:rPr>
            </w:pPr>
            <w:r>
              <w:rPr>
                <w:b/>
                <w:spacing w:val="-4"/>
                <w:sz w:val="24"/>
              </w:rPr>
              <w:t>2018</w:t>
            </w:r>
          </w:p>
          <w:p>
            <w:pPr>
              <w:pStyle w:val="TableParagraph"/>
              <w:spacing w:line="240" w:lineRule="auto"/>
              <w:ind w:left="15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3" w:lineRule="exact"/>
              <w:ind w:left="241"/>
              <w:jc w:val="left"/>
              <w:rPr>
                <w:b/>
                <w:sz w:val="24"/>
              </w:rPr>
            </w:pPr>
            <w:r>
              <w:rPr>
                <w:b/>
                <w:spacing w:val="-4"/>
                <w:sz w:val="24"/>
              </w:rPr>
              <w:t>2023</w:t>
            </w:r>
          </w:p>
          <w:p>
            <w:pPr>
              <w:pStyle w:val="TableParagraph"/>
              <w:spacing w:line="240" w:lineRule="auto"/>
              <w:ind w:left="15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3" w:lineRule="exact"/>
              <w:ind w:left="241"/>
              <w:jc w:val="left"/>
              <w:rPr>
                <w:b/>
                <w:sz w:val="24"/>
              </w:rPr>
            </w:pPr>
            <w:r>
              <w:rPr>
                <w:b/>
                <w:spacing w:val="-4"/>
                <w:sz w:val="24"/>
              </w:rPr>
              <w:t>2028</w:t>
            </w:r>
          </w:p>
          <w:p>
            <w:pPr>
              <w:pStyle w:val="TableParagraph"/>
              <w:spacing w:line="240" w:lineRule="auto"/>
              <w:ind w:left="160"/>
              <w:jc w:val="left"/>
              <w:rPr>
                <w:b/>
                <w:sz w:val="24"/>
              </w:rPr>
            </w:pPr>
            <w:r>
              <w:rPr>
                <w:b/>
                <w:spacing w:val="-2"/>
                <w:sz w:val="24"/>
              </w:rPr>
              <w:t>Count</w:t>
            </w:r>
          </w:p>
        </w:tc>
        <w:tc>
          <w:tcPr>
            <w:tcW w:w="961" w:type="dxa"/>
            <w:tcBorders>
              <w:top w:val="single" w:sz="8" w:space="0" w:color="000000"/>
              <w:bottom w:val="single" w:sz="8" w:space="0" w:color="000000"/>
            </w:tcBorders>
          </w:tcPr>
          <w:p>
            <w:pPr>
              <w:pStyle w:val="TableParagraph"/>
              <w:spacing w:line="273" w:lineRule="exact"/>
              <w:ind w:left="241"/>
              <w:jc w:val="left"/>
              <w:rPr>
                <w:b/>
                <w:sz w:val="24"/>
              </w:rPr>
            </w:pPr>
            <w:r>
              <w:rPr>
                <w:b/>
                <w:spacing w:val="-4"/>
                <w:sz w:val="24"/>
              </w:rPr>
              <w:t>2033</w:t>
            </w:r>
          </w:p>
          <w:p>
            <w:pPr>
              <w:pStyle w:val="TableParagraph"/>
              <w:spacing w:line="240" w:lineRule="auto"/>
              <w:ind w:left="160"/>
              <w:jc w:val="left"/>
              <w:rPr>
                <w:b/>
                <w:sz w:val="24"/>
              </w:rPr>
            </w:pPr>
            <w:r>
              <w:rPr>
                <w:b/>
                <w:spacing w:val="-2"/>
                <w:sz w:val="24"/>
              </w:rPr>
              <w:t>Count</w:t>
            </w:r>
          </w:p>
        </w:tc>
      </w:tr>
      <w:tr>
        <w:trPr>
          <w:trHeight w:val="284" w:hRule="atLeast"/>
        </w:trPr>
        <w:tc>
          <w:tcPr>
            <w:tcW w:w="957" w:type="dxa"/>
            <w:tcBorders>
              <w:top w:val="single" w:sz="8" w:space="0" w:color="000000"/>
            </w:tcBorders>
          </w:tcPr>
          <w:p>
            <w:pPr>
              <w:pStyle w:val="TableParagraph"/>
              <w:spacing w:line="265" w:lineRule="exact"/>
              <w:ind w:left="18"/>
              <w:rPr>
                <w:sz w:val="24"/>
              </w:rPr>
            </w:pPr>
            <w:r>
              <w:rPr>
                <w:spacing w:val="-10"/>
                <w:sz w:val="24"/>
              </w:rPr>
              <w:t>1</w:t>
            </w:r>
          </w:p>
        </w:tc>
        <w:tc>
          <w:tcPr>
            <w:tcW w:w="970" w:type="dxa"/>
            <w:tcBorders>
              <w:top w:val="single" w:sz="8" w:space="0" w:color="000000"/>
            </w:tcBorders>
          </w:tcPr>
          <w:p>
            <w:pPr>
              <w:pStyle w:val="TableParagraph"/>
              <w:spacing w:line="265" w:lineRule="exact"/>
              <w:ind w:left="11"/>
              <w:rPr>
                <w:sz w:val="24"/>
              </w:rPr>
            </w:pPr>
            <w:r>
              <w:rPr>
                <w:spacing w:val="-4"/>
                <w:sz w:val="24"/>
              </w:rPr>
              <w:t>2019</w:t>
            </w:r>
          </w:p>
        </w:tc>
        <w:tc>
          <w:tcPr>
            <w:tcW w:w="960" w:type="dxa"/>
            <w:tcBorders>
              <w:top w:val="single" w:sz="8" w:space="0" w:color="000000"/>
            </w:tcBorders>
          </w:tcPr>
          <w:p>
            <w:pPr>
              <w:pStyle w:val="TableParagraph"/>
              <w:spacing w:line="265" w:lineRule="exact"/>
              <w:ind w:left="3" w:right="2"/>
              <w:rPr>
                <w:sz w:val="24"/>
              </w:rPr>
            </w:pPr>
            <w:r>
              <w:rPr>
                <w:spacing w:val="-4"/>
                <w:sz w:val="24"/>
              </w:rPr>
              <w:t>2046</w:t>
            </w:r>
          </w:p>
        </w:tc>
        <w:tc>
          <w:tcPr>
            <w:tcW w:w="960" w:type="dxa"/>
            <w:tcBorders>
              <w:top w:val="single" w:sz="8" w:space="0" w:color="000000"/>
            </w:tcBorders>
          </w:tcPr>
          <w:p>
            <w:pPr>
              <w:pStyle w:val="TableParagraph"/>
              <w:spacing w:line="265" w:lineRule="exact"/>
              <w:ind w:left="3" w:right="1"/>
              <w:rPr>
                <w:sz w:val="24"/>
              </w:rPr>
            </w:pPr>
            <w:r>
              <w:rPr>
                <w:spacing w:val="-4"/>
                <w:sz w:val="24"/>
              </w:rPr>
              <w:t>1887</w:t>
            </w:r>
          </w:p>
        </w:tc>
        <w:tc>
          <w:tcPr>
            <w:tcW w:w="960" w:type="dxa"/>
            <w:tcBorders>
              <w:top w:val="single" w:sz="8" w:space="0" w:color="000000"/>
            </w:tcBorders>
          </w:tcPr>
          <w:p>
            <w:pPr>
              <w:pStyle w:val="TableParagraph"/>
              <w:spacing w:line="265" w:lineRule="exact"/>
              <w:ind w:left="3" w:right="1"/>
              <w:rPr>
                <w:sz w:val="24"/>
              </w:rPr>
            </w:pPr>
            <w:r>
              <w:rPr>
                <w:spacing w:val="-4"/>
                <w:sz w:val="24"/>
              </w:rPr>
              <w:t>1880</w:t>
            </w:r>
          </w:p>
        </w:tc>
        <w:tc>
          <w:tcPr>
            <w:tcW w:w="960" w:type="dxa"/>
            <w:tcBorders>
              <w:top w:val="single" w:sz="8" w:space="0" w:color="000000"/>
            </w:tcBorders>
          </w:tcPr>
          <w:p>
            <w:pPr>
              <w:pStyle w:val="TableParagraph"/>
              <w:spacing w:line="265" w:lineRule="exact"/>
              <w:ind w:left="3"/>
              <w:rPr>
                <w:sz w:val="24"/>
              </w:rPr>
            </w:pPr>
            <w:r>
              <w:rPr>
                <w:spacing w:val="-4"/>
                <w:sz w:val="24"/>
              </w:rPr>
              <w:t>2054</w:t>
            </w:r>
          </w:p>
        </w:tc>
        <w:tc>
          <w:tcPr>
            <w:tcW w:w="961" w:type="dxa"/>
            <w:tcBorders>
              <w:top w:val="single" w:sz="8" w:space="0" w:color="000000"/>
            </w:tcBorders>
          </w:tcPr>
          <w:p>
            <w:pPr>
              <w:pStyle w:val="TableParagraph"/>
              <w:spacing w:line="265" w:lineRule="exact"/>
              <w:ind w:left="3" w:right="1"/>
              <w:rPr>
                <w:sz w:val="24"/>
              </w:rPr>
            </w:pPr>
            <w:r>
              <w:rPr>
                <w:spacing w:val="-4"/>
                <w:sz w:val="24"/>
              </w:rPr>
              <w:t>2011</w:t>
            </w:r>
          </w:p>
        </w:tc>
      </w:tr>
      <w:tr>
        <w:trPr>
          <w:trHeight w:val="300" w:hRule="atLeast"/>
        </w:trPr>
        <w:tc>
          <w:tcPr>
            <w:tcW w:w="957" w:type="dxa"/>
          </w:tcPr>
          <w:p>
            <w:pPr>
              <w:pStyle w:val="TableParagraph"/>
              <w:spacing w:line="273" w:lineRule="exact" w:before="7"/>
              <w:ind w:left="18"/>
              <w:rPr>
                <w:sz w:val="24"/>
              </w:rPr>
            </w:pPr>
            <w:r>
              <w:rPr>
                <w:spacing w:val="-10"/>
                <w:sz w:val="24"/>
              </w:rPr>
              <w:t>2</w:t>
            </w:r>
          </w:p>
        </w:tc>
        <w:tc>
          <w:tcPr>
            <w:tcW w:w="970" w:type="dxa"/>
          </w:tcPr>
          <w:p>
            <w:pPr>
              <w:pStyle w:val="TableParagraph"/>
              <w:spacing w:line="273" w:lineRule="exact" w:before="7"/>
              <w:ind w:left="11"/>
              <w:rPr>
                <w:sz w:val="24"/>
              </w:rPr>
            </w:pPr>
            <w:r>
              <w:rPr>
                <w:spacing w:val="-4"/>
                <w:sz w:val="24"/>
              </w:rPr>
              <w:t>1549</w:t>
            </w:r>
          </w:p>
        </w:tc>
        <w:tc>
          <w:tcPr>
            <w:tcW w:w="960" w:type="dxa"/>
          </w:tcPr>
          <w:p>
            <w:pPr>
              <w:pStyle w:val="TableParagraph"/>
              <w:spacing w:line="273" w:lineRule="exact" w:before="7"/>
              <w:ind w:left="3" w:right="2"/>
              <w:rPr>
                <w:sz w:val="24"/>
              </w:rPr>
            </w:pPr>
            <w:r>
              <w:rPr>
                <w:spacing w:val="-4"/>
                <w:sz w:val="24"/>
              </w:rPr>
              <w:t>1569</w:t>
            </w:r>
          </w:p>
        </w:tc>
        <w:tc>
          <w:tcPr>
            <w:tcW w:w="960" w:type="dxa"/>
          </w:tcPr>
          <w:p>
            <w:pPr>
              <w:pStyle w:val="TableParagraph"/>
              <w:spacing w:line="273" w:lineRule="exact" w:before="7"/>
              <w:ind w:left="3" w:right="1"/>
              <w:rPr>
                <w:sz w:val="24"/>
              </w:rPr>
            </w:pPr>
            <w:r>
              <w:rPr>
                <w:spacing w:val="-4"/>
                <w:sz w:val="24"/>
              </w:rPr>
              <w:t>1649</w:t>
            </w:r>
          </w:p>
        </w:tc>
        <w:tc>
          <w:tcPr>
            <w:tcW w:w="960" w:type="dxa"/>
          </w:tcPr>
          <w:p>
            <w:pPr>
              <w:pStyle w:val="TableParagraph"/>
              <w:spacing w:line="273" w:lineRule="exact" w:before="7"/>
              <w:ind w:left="3" w:right="1"/>
              <w:rPr>
                <w:sz w:val="24"/>
              </w:rPr>
            </w:pPr>
            <w:r>
              <w:rPr>
                <w:spacing w:val="-4"/>
                <w:sz w:val="24"/>
              </w:rPr>
              <w:t>1662</w:t>
            </w:r>
          </w:p>
        </w:tc>
        <w:tc>
          <w:tcPr>
            <w:tcW w:w="960" w:type="dxa"/>
          </w:tcPr>
          <w:p>
            <w:pPr>
              <w:pStyle w:val="TableParagraph"/>
              <w:spacing w:line="273" w:lineRule="exact" w:before="7"/>
              <w:ind w:left="3"/>
              <w:rPr>
                <w:sz w:val="24"/>
              </w:rPr>
            </w:pPr>
            <w:r>
              <w:rPr>
                <w:spacing w:val="-4"/>
                <w:sz w:val="24"/>
              </w:rPr>
              <w:t>1770</w:t>
            </w:r>
          </w:p>
        </w:tc>
        <w:tc>
          <w:tcPr>
            <w:tcW w:w="961" w:type="dxa"/>
          </w:tcPr>
          <w:p>
            <w:pPr>
              <w:pStyle w:val="TableParagraph"/>
              <w:spacing w:line="273" w:lineRule="exact" w:before="7"/>
              <w:ind w:left="3" w:right="1"/>
              <w:rPr>
                <w:sz w:val="24"/>
              </w:rPr>
            </w:pPr>
            <w:r>
              <w:rPr>
                <w:spacing w:val="-4"/>
                <w:sz w:val="24"/>
              </w:rPr>
              <w:t>1400</w:t>
            </w:r>
          </w:p>
        </w:tc>
      </w:tr>
      <w:tr>
        <w:trPr>
          <w:trHeight w:val="300" w:hRule="atLeast"/>
        </w:trPr>
        <w:tc>
          <w:tcPr>
            <w:tcW w:w="957" w:type="dxa"/>
          </w:tcPr>
          <w:p>
            <w:pPr>
              <w:pStyle w:val="TableParagraph"/>
              <w:spacing w:line="273" w:lineRule="exact" w:before="7"/>
              <w:ind w:left="18"/>
              <w:rPr>
                <w:sz w:val="24"/>
              </w:rPr>
            </w:pPr>
            <w:r>
              <w:rPr>
                <w:spacing w:val="-10"/>
                <w:sz w:val="24"/>
              </w:rPr>
              <w:t>3</w:t>
            </w:r>
          </w:p>
        </w:tc>
        <w:tc>
          <w:tcPr>
            <w:tcW w:w="970" w:type="dxa"/>
          </w:tcPr>
          <w:p>
            <w:pPr>
              <w:pStyle w:val="TableParagraph"/>
              <w:spacing w:line="273" w:lineRule="exact" w:before="7"/>
              <w:ind w:left="11"/>
              <w:rPr>
                <w:sz w:val="24"/>
              </w:rPr>
            </w:pPr>
            <w:r>
              <w:rPr>
                <w:spacing w:val="-4"/>
                <w:sz w:val="24"/>
              </w:rPr>
              <w:t>1744</w:t>
            </w:r>
          </w:p>
        </w:tc>
        <w:tc>
          <w:tcPr>
            <w:tcW w:w="960" w:type="dxa"/>
          </w:tcPr>
          <w:p>
            <w:pPr>
              <w:pStyle w:val="TableParagraph"/>
              <w:spacing w:line="273" w:lineRule="exact" w:before="7"/>
              <w:ind w:left="3" w:right="2"/>
              <w:rPr>
                <w:sz w:val="24"/>
              </w:rPr>
            </w:pPr>
            <w:r>
              <w:rPr>
                <w:spacing w:val="-4"/>
                <w:sz w:val="24"/>
              </w:rPr>
              <w:t>1707</w:t>
            </w:r>
          </w:p>
        </w:tc>
        <w:tc>
          <w:tcPr>
            <w:tcW w:w="960" w:type="dxa"/>
          </w:tcPr>
          <w:p>
            <w:pPr>
              <w:pStyle w:val="TableParagraph"/>
              <w:spacing w:line="273" w:lineRule="exact" w:before="7"/>
              <w:ind w:left="3" w:right="1"/>
              <w:rPr>
                <w:sz w:val="24"/>
              </w:rPr>
            </w:pPr>
            <w:r>
              <w:rPr>
                <w:spacing w:val="-4"/>
                <w:sz w:val="24"/>
              </w:rPr>
              <w:t>1623</w:t>
            </w:r>
          </w:p>
        </w:tc>
        <w:tc>
          <w:tcPr>
            <w:tcW w:w="960" w:type="dxa"/>
          </w:tcPr>
          <w:p>
            <w:pPr>
              <w:pStyle w:val="TableParagraph"/>
              <w:spacing w:line="273" w:lineRule="exact" w:before="7"/>
              <w:ind w:left="3" w:right="1"/>
              <w:rPr>
                <w:sz w:val="24"/>
              </w:rPr>
            </w:pPr>
            <w:r>
              <w:rPr>
                <w:spacing w:val="-4"/>
                <w:sz w:val="24"/>
              </w:rPr>
              <w:t>1510</w:t>
            </w:r>
          </w:p>
        </w:tc>
        <w:tc>
          <w:tcPr>
            <w:tcW w:w="960" w:type="dxa"/>
          </w:tcPr>
          <w:p>
            <w:pPr>
              <w:pStyle w:val="TableParagraph"/>
              <w:spacing w:line="273" w:lineRule="exact" w:before="7"/>
              <w:ind w:left="3"/>
              <w:rPr>
                <w:sz w:val="24"/>
              </w:rPr>
            </w:pPr>
            <w:r>
              <w:rPr>
                <w:spacing w:val="-4"/>
                <w:sz w:val="24"/>
              </w:rPr>
              <w:t>1624</w:t>
            </w:r>
          </w:p>
        </w:tc>
        <w:tc>
          <w:tcPr>
            <w:tcW w:w="961" w:type="dxa"/>
          </w:tcPr>
          <w:p>
            <w:pPr>
              <w:pStyle w:val="TableParagraph"/>
              <w:spacing w:line="273" w:lineRule="exact" w:before="7"/>
              <w:ind w:left="3" w:right="1"/>
              <w:rPr>
                <w:sz w:val="24"/>
              </w:rPr>
            </w:pPr>
            <w:r>
              <w:rPr>
                <w:spacing w:val="-4"/>
                <w:sz w:val="24"/>
              </w:rPr>
              <w:t>1699</w:t>
            </w:r>
          </w:p>
        </w:tc>
      </w:tr>
      <w:tr>
        <w:trPr>
          <w:trHeight w:val="300" w:hRule="atLeast"/>
        </w:trPr>
        <w:tc>
          <w:tcPr>
            <w:tcW w:w="957" w:type="dxa"/>
          </w:tcPr>
          <w:p>
            <w:pPr>
              <w:pStyle w:val="TableParagraph"/>
              <w:spacing w:line="273" w:lineRule="exact" w:before="7"/>
              <w:ind w:left="18"/>
              <w:rPr>
                <w:sz w:val="24"/>
              </w:rPr>
            </w:pPr>
            <w:r>
              <w:rPr>
                <w:spacing w:val="-10"/>
                <w:sz w:val="24"/>
              </w:rPr>
              <w:t>4</w:t>
            </w:r>
          </w:p>
        </w:tc>
        <w:tc>
          <w:tcPr>
            <w:tcW w:w="970" w:type="dxa"/>
          </w:tcPr>
          <w:p>
            <w:pPr>
              <w:pStyle w:val="TableParagraph"/>
              <w:spacing w:line="273" w:lineRule="exact" w:before="7"/>
              <w:ind w:left="11"/>
              <w:rPr>
                <w:sz w:val="24"/>
              </w:rPr>
            </w:pPr>
            <w:r>
              <w:rPr>
                <w:spacing w:val="-4"/>
                <w:sz w:val="24"/>
              </w:rPr>
              <w:t>2270</w:t>
            </w:r>
          </w:p>
        </w:tc>
        <w:tc>
          <w:tcPr>
            <w:tcW w:w="960" w:type="dxa"/>
          </w:tcPr>
          <w:p>
            <w:pPr>
              <w:pStyle w:val="TableParagraph"/>
              <w:spacing w:line="273" w:lineRule="exact" w:before="7"/>
              <w:ind w:left="3" w:right="2"/>
              <w:rPr>
                <w:sz w:val="24"/>
              </w:rPr>
            </w:pPr>
            <w:r>
              <w:rPr>
                <w:spacing w:val="-4"/>
                <w:sz w:val="24"/>
              </w:rPr>
              <w:t>2310</w:t>
            </w:r>
          </w:p>
        </w:tc>
        <w:tc>
          <w:tcPr>
            <w:tcW w:w="960" w:type="dxa"/>
          </w:tcPr>
          <w:p>
            <w:pPr>
              <w:pStyle w:val="TableParagraph"/>
              <w:spacing w:line="273" w:lineRule="exact" w:before="7"/>
              <w:ind w:left="3" w:right="1"/>
              <w:rPr>
                <w:sz w:val="24"/>
              </w:rPr>
            </w:pPr>
            <w:r>
              <w:rPr>
                <w:spacing w:val="-4"/>
                <w:sz w:val="24"/>
              </w:rPr>
              <w:t>1971</w:t>
            </w:r>
          </w:p>
        </w:tc>
        <w:tc>
          <w:tcPr>
            <w:tcW w:w="960" w:type="dxa"/>
          </w:tcPr>
          <w:p>
            <w:pPr>
              <w:pStyle w:val="TableParagraph"/>
              <w:spacing w:line="273" w:lineRule="exact" w:before="7"/>
              <w:ind w:left="3" w:right="1"/>
              <w:rPr>
                <w:sz w:val="24"/>
              </w:rPr>
            </w:pPr>
            <w:r>
              <w:rPr>
                <w:spacing w:val="-4"/>
                <w:sz w:val="24"/>
              </w:rPr>
              <w:t>1961</w:t>
            </w:r>
          </w:p>
        </w:tc>
        <w:tc>
          <w:tcPr>
            <w:tcW w:w="960" w:type="dxa"/>
          </w:tcPr>
          <w:p>
            <w:pPr>
              <w:pStyle w:val="TableParagraph"/>
              <w:spacing w:line="273" w:lineRule="exact" w:before="7"/>
              <w:ind w:left="3"/>
              <w:rPr>
                <w:sz w:val="24"/>
              </w:rPr>
            </w:pPr>
            <w:r>
              <w:rPr>
                <w:spacing w:val="-4"/>
                <w:sz w:val="24"/>
              </w:rPr>
              <w:t>1410</w:t>
            </w:r>
          </w:p>
        </w:tc>
        <w:tc>
          <w:tcPr>
            <w:tcW w:w="961" w:type="dxa"/>
          </w:tcPr>
          <w:p>
            <w:pPr>
              <w:pStyle w:val="TableParagraph"/>
              <w:spacing w:line="273" w:lineRule="exact" w:before="7"/>
              <w:ind w:left="3" w:right="1"/>
              <w:rPr>
                <w:sz w:val="24"/>
              </w:rPr>
            </w:pPr>
            <w:r>
              <w:rPr>
                <w:spacing w:val="-4"/>
                <w:sz w:val="24"/>
              </w:rPr>
              <w:t>1212</w:t>
            </w:r>
          </w:p>
        </w:tc>
      </w:tr>
      <w:tr>
        <w:trPr>
          <w:trHeight w:val="300" w:hRule="atLeast"/>
        </w:trPr>
        <w:tc>
          <w:tcPr>
            <w:tcW w:w="957" w:type="dxa"/>
          </w:tcPr>
          <w:p>
            <w:pPr>
              <w:pStyle w:val="TableParagraph"/>
              <w:spacing w:line="273" w:lineRule="exact" w:before="7"/>
              <w:ind w:left="18"/>
              <w:rPr>
                <w:sz w:val="24"/>
              </w:rPr>
            </w:pPr>
            <w:r>
              <w:rPr>
                <w:spacing w:val="-10"/>
                <w:sz w:val="24"/>
              </w:rPr>
              <w:t>5</w:t>
            </w:r>
          </w:p>
        </w:tc>
        <w:tc>
          <w:tcPr>
            <w:tcW w:w="970" w:type="dxa"/>
          </w:tcPr>
          <w:p>
            <w:pPr>
              <w:pStyle w:val="TableParagraph"/>
              <w:spacing w:line="273" w:lineRule="exact" w:before="7"/>
              <w:ind w:left="11"/>
              <w:rPr>
                <w:sz w:val="24"/>
              </w:rPr>
            </w:pPr>
            <w:r>
              <w:rPr>
                <w:spacing w:val="-4"/>
                <w:sz w:val="24"/>
              </w:rPr>
              <w:t>4879</w:t>
            </w:r>
          </w:p>
        </w:tc>
        <w:tc>
          <w:tcPr>
            <w:tcW w:w="960" w:type="dxa"/>
          </w:tcPr>
          <w:p>
            <w:pPr>
              <w:pStyle w:val="TableParagraph"/>
              <w:spacing w:line="273" w:lineRule="exact" w:before="7"/>
              <w:ind w:left="3" w:right="2"/>
              <w:rPr>
                <w:sz w:val="24"/>
              </w:rPr>
            </w:pPr>
            <w:r>
              <w:rPr>
                <w:spacing w:val="-4"/>
                <w:sz w:val="24"/>
              </w:rPr>
              <w:t>2992</w:t>
            </w:r>
          </w:p>
        </w:tc>
        <w:tc>
          <w:tcPr>
            <w:tcW w:w="960" w:type="dxa"/>
          </w:tcPr>
          <w:p>
            <w:pPr>
              <w:pStyle w:val="TableParagraph"/>
              <w:spacing w:line="273" w:lineRule="exact" w:before="7"/>
              <w:ind w:left="3" w:right="1"/>
              <w:rPr>
                <w:sz w:val="24"/>
              </w:rPr>
            </w:pPr>
            <w:r>
              <w:rPr>
                <w:spacing w:val="-4"/>
                <w:sz w:val="24"/>
              </w:rPr>
              <w:t>4230</w:t>
            </w:r>
          </w:p>
        </w:tc>
        <w:tc>
          <w:tcPr>
            <w:tcW w:w="960" w:type="dxa"/>
          </w:tcPr>
          <w:p>
            <w:pPr>
              <w:pStyle w:val="TableParagraph"/>
              <w:spacing w:line="273" w:lineRule="exact" w:before="7"/>
              <w:ind w:left="3" w:right="1"/>
              <w:rPr>
                <w:sz w:val="24"/>
              </w:rPr>
            </w:pPr>
            <w:r>
              <w:rPr>
                <w:spacing w:val="-4"/>
                <w:sz w:val="24"/>
              </w:rPr>
              <w:t>3102</w:t>
            </w:r>
          </w:p>
        </w:tc>
        <w:tc>
          <w:tcPr>
            <w:tcW w:w="960" w:type="dxa"/>
          </w:tcPr>
          <w:p>
            <w:pPr>
              <w:pStyle w:val="TableParagraph"/>
              <w:spacing w:line="273" w:lineRule="exact" w:before="7"/>
              <w:ind w:left="3"/>
              <w:rPr>
                <w:sz w:val="24"/>
              </w:rPr>
            </w:pPr>
            <w:r>
              <w:rPr>
                <w:spacing w:val="-4"/>
                <w:sz w:val="24"/>
              </w:rPr>
              <w:t>3411</w:t>
            </w:r>
          </w:p>
        </w:tc>
        <w:tc>
          <w:tcPr>
            <w:tcW w:w="961" w:type="dxa"/>
          </w:tcPr>
          <w:p>
            <w:pPr>
              <w:pStyle w:val="TableParagraph"/>
              <w:spacing w:line="273" w:lineRule="exact" w:before="7"/>
              <w:ind w:left="3" w:right="1"/>
              <w:rPr>
                <w:sz w:val="24"/>
              </w:rPr>
            </w:pPr>
            <w:r>
              <w:rPr>
                <w:spacing w:val="-4"/>
                <w:sz w:val="24"/>
              </w:rPr>
              <w:t>3211</w:t>
            </w:r>
          </w:p>
        </w:tc>
      </w:tr>
      <w:tr>
        <w:trPr>
          <w:trHeight w:val="300" w:hRule="atLeast"/>
        </w:trPr>
        <w:tc>
          <w:tcPr>
            <w:tcW w:w="957" w:type="dxa"/>
          </w:tcPr>
          <w:p>
            <w:pPr>
              <w:pStyle w:val="TableParagraph"/>
              <w:spacing w:line="273" w:lineRule="exact" w:before="7"/>
              <w:ind w:left="18"/>
              <w:rPr>
                <w:sz w:val="24"/>
              </w:rPr>
            </w:pPr>
            <w:r>
              <w:rPr>
                <w:spacing w:val="-10"/>
                <w:sz w:val="24"/>
              </w:rPr>
              <w:t>6</w:t>
            </w:r>
          </w:p>
        </w:tc>
        <w:tc>
          <w:tcPr>
            <w:tcW w:w="970" w:type="dxa"/>
          </w:tcPr>
          <w:p>
            <w:pPr>
              <w:pStyle w:val="TableParagraph"/>
              <w:spacing w:line="273" w:lineRule="exact" w:before="7"/>
              <w:ind w:left="11"/>
              <w:rPr>
                <w:sz w:val="24"/>
              </w:rPr>
            </w:pPr>
            <w:r>
              <w:rPr>
                <w:spacing w:val="-4"/>
                <w:sz w:val="24"/>
              </w:rPr>
              <w:t>5437</w:t>
            </w:r>
          </w:p>
        </w:tc>
        <w:tc>
          <w:tcPr>
            <w:tcW w:w="960" w:type="dxa"/>
          </w:tcPr>
          <w:p>
            <w:pPr>
              <w:pStyle w:val="TableParagraph"/>
              <w:spacing w:line="273" w:lineRule="exact" w:before="7"/>
              <w:ind w:left="3" w:right="2"/>
              <w:rPr>
                <w:sz w:val="24"/>
              </w:rPr>
            </w:pPr>
            <w:r>
              <w:rPr>
                <w:spacing w:val="-4"/>
                <w:sz w:val="24"/>
              </w:rPr>
              <w:t>4431</w:t>
            </w:r>
          </w:p>
        </w:tc>
        <w:tc>
          <w:tcPr>
            <w:tcW w:w="960" w:type="dxa"/>
          </w:tcPr>
          <w:p>
            <w:pPr>
              <w:pStyle w:val="TableParagraph"/>
              <w:spacing w:line="273" w:lineRule="exact" w:before="7"/>
              <w:ind w:left="3" w:right="1"/>
              <w:rPr>
                <w:sz w:val="24"/>
              </w:rPr>
            </w:pPr>
            <w:r>
              <w:rPr>
                <w:spacing w:val="-4"/>
                <w:sz w:val="24"/>
              </w:rPr>
              <w:t>5328</w:t>
            </w:r>
          </w:p>
        </w:tc>
        <w:tc>
          <w:tcPr>
            <w:tcW w:w="960" w:type="dxa"/>
          </w:tcPr>
          <w:p>
            <w:pPr>
              <w:pStyle w:val="TableParagraph"/>
              <w:spacing w:line="273" w:lineRule="exact" w:before="7"/>
              <w:ind w:left="3" w:right="1"/>
              <w:rPr>
                <w:sz w:val="24"/>
              </w:rPr>
            </w:pPr>
            <w:r>
              <w:rPr>
                <w:spacing w:val="-4"/>
                <w:sz w:val="24"/>
              </w:rPr>
              <w:t>4212</w:t>
            </w:r>
          </w:p>
        </w:tc>
        <w:tc>
          <w:tcPr>
            <w:tcW w:w="960" w:type="dxa"/>
          </w:tcPr>
          <w:p>
            <w:pPr>
              <w:pStyle w:val="TableParagraph"/>
              <w:spacing w:line="273" w:lineRule="exact" w:before="7"/>
              <w:ind w:left="3"/>
              <w:rPr>
                <w:sz w:val="24"/>
              </w:rPr>
            </w:pPr>
            <w:r>
              <w:rPr>
                <w:spacing w:val="-4"/>
                <w:sz w:val="24"/>
              </w:rPr>
              <w:t>4022</w:t>
            </w:r>
          </w:p>
        </w:tc>
        <w:tc>
          <w:tcPr>
            <w:tcW w:w="961" w:type="dxa"/>
          </w:tcPr>
          <w:p>
            <w:pPr>
              <w:pStyle w:val="TableParagraph"/>
              <w:spacing w:line="273" w:lineRule="exact" w:before="7"/>
              <w:ind w:left="3" w:right="1"/>
              <w:rPr>
                <w:sz w:val="24"/>
              </w:rPr>
            </w:pPr>
            <w:r>
              <w:rPr>
                <w:spacing w:val="-4"/>
                <w:sz w:val="24"/>
              </w:rPr>
              <w:t>4523</w:t>
            </w:r>
          </w:p>
        </w:tc>
      </w:tr>
      <w:tr>
        <w:trPr>
          <w:trHeight w:val="300" w:hRule="atLeast"/>
        </w:trPr>
        <w:tc>
          <w:tcPr>
            <w:tcW w:w="957" w:type="dxa"/>
          </w:tcPr>
          <w:p>
            <w:pPr>
              <w:pStyle w:val="TableParagraph"/>
              <w:spacing w:line="273" w:lineRule="exact" w:before="7"/>
              <w:ind w:left="18"/>
              <w:rPr>
                <w:sz w:val="24"/>
              </w:rPr>
            </w:pPr>
            <w:r>
              <w:rPr>
                <w:spacing w:val="-10"/>
                <w:sz w:val="24"/>
              </w:rPr>
              <w:t>7</w:t>
            </w:r>
          </w:p>
        </w:tc>
        <w:tc>
          <w:tcPr>
            <w:tcW w:w="970" w:type="dxa"/>
          </w:tcPr>
          <w:p>
            <w:pPr>
              <w:pStyle w:val="TableParagraph"/>
              <w:spacing w:line="273" w:lineRule="exact" w:before="7"/>
              <w:ind w:left="11"/>
              <w:rPr>
                <w:sz w:val="24"/>
              </w:rPr>
            </w:pPr>
            <w:r>
              <w:rPr>
                <w:spacing w:val="-4"/>
                <w:sz w:val="24"/>
              </w:rPr>
              <w:t>3838</w:t>
            </w:r>
          </w:p>
        </w:tc>
        <w:tc>
          <w:tcPr>
            <w:tcW w:w="960" w:type="dxa"/>
          </w:tcPr>
          <w:p>
            <w:pPr>
              <w:pStyle w:val="TableParagraph"/>
              <w:spacing w:line="273" w:lineRule="exact" w:before="7"/>
              <w:ind w:left="3" w:right="2"/>
              <w:rPr>
                <w:sz w:val="24"/>
              </w:rPr>
            </w:pPr>
            <w:r>
              <w:rPr>
                <w:spacing w:val="-4"/>
                <w:sz w:val="24"/>
              </w:rPr>
              <w:t>5725</w:t>
            </w:r>
          </w:p>
        </w:tc>
        <w:tc>
          <w:tcPr>
            <w:tcW w:w="960" w:type="dxa"/>
          </w:tcPr>
          <w:p>
            <w:pPr>
              <w:pStyle w:val="TableParagraph"/>
              <w:spacing w:line="273" w:lineRule="exact" w:before="7"/>
              <w:ind w:left="3" w:right="1"/>
              <w:rPr>
                <w:sz w:val="24"/>
              </w:rPr>
            </w:pPr>
            <w:r>
              <w:rPr>
                <w:spacing w:val="-4"/>
                <w:sz w:val="24"/>
              </w:rPr>
              <w:t>7192</w:t>
            </w:r>
          </w:p>
        </w:tc>
        <w:tc>
          <w:tcPr>
            <w:tcW w:w="960" w:type="dxa"/>
          </w:tcPr>
          <w:p>
            <w:pPr>
              <w:pStyle w:val="TableParagraph"/>
              <w:spacing w:line="273" w:lineRule="exact" w:before="7"/>
              <w:ind w:left="3" w:right="1"/>
              <w:rPr>
                <w:sz w:val="24"/>
              </w:rPr>
            </w:pPr>
            <w:r>
              <w:rPr>
                <w:spacing w:val="-4"/>
                <w:sz w:val="24"/>
              </w:rPr>
              <w:t>9201</w:t>
            </w:r>
          </w:p>
        </w:tc>
        <w:tc>
          <w:tcPr>
            <w:tcW w:w="960" w:type="dxa"/>
          </w:tcPr>
          <w:p>
            <w:pPr>
              <w:pStyle w:val="TableParagraph"/>
              <w:spacing w:line="273" w:lineRule="exact" w:before="7"/>
              <w:ind w:left="3"/>
              <w:rPr>
                <w:sz w:val="24"/>
              </w:rPr>
            </w:pPr>
            <w:r>
              <w:rPr>
                <w:spacing w:val="-4"/>
                <w:sz w:val="24"/>
              </w:rPr>
              <w:t>9623</w:t>
            </w:r>
          </w:p>
        </w:tc>
        <w:tc>
          <w:tcPr>
            <w:tcW w:w="961" w:type="dxa"/>
          </w:tcPr>
          <w:p>
            <w:pPr>
              <w:pStyle w:val="TableParagraph"/>
              <w:spacing w:line="273" w:lineRule="exact" w:before="7"/>
              <w:ind w:left="3" w:right="1"/>
              <w:rPr>
                <w:sz w:val="24"/>
              </w:rPr>
            </w:pPr>
            <w:r>
              <w:rPr>
                <w:spacing w:val="-2"/>
                <w:sz w:val="24"/>
              </w:rPr>
              <w:t>10085</w:t>
            </w:r>
          </w:p>
        </w:tc>
      </w:tr>
      <w:tr>
        <w:trPr>
          <w:trHeight w:val="300" w:hRule="atLeast"/>
        </w:trPr>
        <w:tc>
          <w:tcPr>
            <w:tcW w:w="957" w:type="dxa"/>
          </w:tcPr>
          <w:p>
            <w:pPr>
              <w:pStyle w:val="TableParagraph"/>
              <w:spacing w:line="273" w:lineRule="exact" w:before="7"/>
              <w:ind w:left="18"/>
              <w:rPr>
                <w:sz w:val="24"/>
              </w:rPr>
            </w:pPr>
            <w:r>
              <w:rPr>
                <w:spacing w:val="-10"/>
                <w:sz w:val="24"/>
              </w:rPr>
              <w:t>8</w:t>
            </w:r>
          </w:p>
        </w:tc>
        <w:tc>
          <w:tcPr>
            <w:tcW w:w="970" w:type="dxa"/>
          </w:tcPr>
          <w:p>
            <w:pPr>
              <w:pStyle w:val="TableParagraph"/>
              <w:spacing w:line="273" w:lineRule="exact" w:before="7"/>
              <w:ind w:left="11"/>
              <w:rPr>
                <w:sz w:val="24"/>
              </w:rPr>
            </w:pPr>
            <w:r>
              <w:rPr>
                <w:spacing w:val="-4"/>
                <w:sz w:val="24"/>
              </w:rPr>
              <w:t>3528</w:t>
            </w:r>
          </w:p>
        </w:tc>
        <w:tc>
          <w:tcPr>
            <w:tcW w:w="960" w:type="dxa"/>
          </w:tcPr>
          <w:p>
            <w:pPr>
              <w:pStyle w:val="TableParagraph"/>
              <w:spacing w:line="273" w:lineRule="exact" w:before="7"/>
              <w:ind w:left="3" w:right="2"/>
              <w:rPr>
                <w:sz w:val="24"/>
              </w:rPr>
            </w:pPr>
            <w:r>
              <w:rPr>
                <w:spacing w:val="-4"/>
                <w:sz w:val="24"/>
              </w:rPr>
              <w:t>4044</w:t>
            </w:r>
          </w:p>
        </w:tc>
        <w:tc>
          <w:tcPr>
            <w:tcW w:w="960" w:type="dxa"/>
          </w:tcPr>
          <w:p>
            <w:pPr>
              <w:pStyle w:val="TableParagraph"/>
              <w:spacing w:line="273" w:lineRule="exact" w:before="7"/>
              <w:ind w:left="3" w:right="1"/>
              <w:rPr>
                <w:sz w:val="24"/>
              </w:rPr>
            </w:pPr>
            <w:r>
              <w:rPr>
                <w:spacing w:val="-4"/>
                <w:sz w:val="24"/>
              </w:rPr>
              <w:t>1747</w:t>
            </w:r>
          </w:p>
        </w:tc>
        <w:tc>
          <w:tcPr>
            <w:tcW w:w="960" w:type="dxa"/>
          </w:tcPr>
          <w:p>
            <w:pPr>
              <w:pStyle w:val="TableParagraph"/>
              <w:spacing w:line="273" w:lineRule="exact" w:before="7"/>
              <w:ind w:left="3" w:right="1"/>
              <w:rPr>
                <w:sz w:val="24"/>
              </w:rPr>
            </w:pPr>
            <w:r>
              <w:rPr>
                <w:spacing w:val="-4"/>
                <w:sz w:val="24"/>
              </w:rPr>
              <w:t>2104</w:t>
            </w:r>
          </w:p>
        </w:tc>
        <w:tc>
          <w:tcPr>
            <w:tcW w:w="960" w:type="dxa"/>
          </w:tcPr>
          <w:p>
            <w:pPr>
              <w:pStyle w:val="TableParagraph"/>
              <w:spacing w:line="273" w:lineRule="exact" w:before="7"/>
              <w:ind w:left="3"/>
              <w:rPr>
                <w:sz w:val="24"/>
              </w:rPr>
            </w:pPr>
            <w:r>
              <w:rPr>
                <w:spacing w:val="-4"/>
                <w:sz w:val="24"/>
              </w:rPr>
              <w:t>1782</w:t>
            </w:r>
          </w:p>
        </w:tc>
        <w:tc>
          <w:tcPr>
            <w:tcW w:w="961" w:type="dxa"/>
          </w:tcPr>
          <w:p>
            <w:pPr>
              <w:pStyle w:val="TableParagraph"/>
              <w:spacing w:line="273" w:lineRule="exact" w:before="7"/>
              <w:ind w:left="3" w:right="1"/>
              <w:rPr>
                <w:sz w:val="24"/>
              </w:rPr>
            </w:pPr>
            <w:r>
              <w:rPr>
                <w:spacing w:val="-4"/>
                <w:sz w:val="24"/>
              </w:rPr>
              <w:t>1200</w:t>
            </w:r>
          </w:p>
        </w:tc>
      </w:tr>
      <w:tr>
        <w:trPr>
          <w:trHeight w:val="300" w:hRule="atLeast"/>
        </w:trPr>
        <w:tc>
          <w:tcPr>
            <w:tcW w:w="957" w:type="dxa"/>
          </w:tcPr>
          <w:p>
            <w:pPr>
              <w:pStyle w:val="TableParagraph"/>
              <w:spacing w:line="273" w:lineRule="exact" w:before="7"/>
              <w:ind w:left="18"/>
              <w:rPr>
                <w:sz w:val="24"/>
              </w:rPr>
            </w:pPr>
            <w:r>
              <w:rPr>
                <w:spacing w:val="-10"/>
                <w:sz w:val="24"/>
              </w:rPr>
              <w:t>9</w:t>
            </w:r>
          </w:p>
        </w:tc>
        <w:tc>
          <w:tcPr>
            <w:tcW w:w="970" w:type="dxa"/>
          </w:tcPr>
          <w:p>
            <w:pPr>
              <w:pStyle w:val="TableParagraph"/>
              <w:spacing w:line="273" w:lineRule="exact" w:before="7"/>
              <w:ind w:left="11"/>
              <w:rPr>
                <w:sz w:val="24"/>
              </w:rPr>
            </w:pPr>
            <w:r>
              <w:rPr>
                <w:spacing w:val="-4"/>
                <w:sz w:val="24"/>
              </w:rPr>
              <w:t>2053</w:t>
            </w:r>
          </w:p>
        </w:tc>
        <w:tc>
          <w:tcPr>
            <w:tcW w:w="960" w:type="dxa"/>
          </w:tcPr>
          <w:p>
            <w:pPr>
              <w:pStyle w:val="TableParagraph"/>
              <w:spacing w:line="273" w:lineRule="exact" w:before="7"/>
              <w:ind w:left="3" w:right="2"/>
              <w:rPr>
                <w:sz w:val="24"/>
              </w:rPr>
            </w:pPr>
            <w:r>
              <w:rPr>
                <w:spacing w:val="-4"/>
                <w:sz w:val="24"/>
              </w:rPr>
              <w:t>1929</w:t>
            </w:r>
          </w:p>
        </w:tc>
        <w:tc>
          <w:tcPr>
            <w:tcW w:w="960" w:type="dxa"/>
          </w:tcPr>
          <w:p>
            <w:pPr>
              <w:pStyle w:val="TableParagraph"/>
              <w:spacing w:line="273" w:lineRule="exact" w:before="7"/>
              <w:ind w:left="3" w:right="1"/>
              <w:rPr>
                <w:sz w:val="24"/>
              </w:rPr>
            </w:pPr>
            <w:r>
              <w:rPr>
                <w:spacing w:val="-4"/>
                <w:sz w:val="24"/>
              </w:rPr>
              <w:t>1808</w:t>
            </w:r>
          </w:p>
        </w:tc>
        <w:tc>
          <w:tcPr>
            <w:tcW w:w="960" w:type="dxa"/>
          </w:tcPr>
          <w:p>
            <w:pPr>
              <w:pStyle w:val="TableParagraph"/>
              <w:spacing w:line="273" w:lineRule="exact" w:before="7"/>
              <w:ind w:left="3" w:right="1"/>
              <w:rPr>
                <w:sz w:val="24"/>
              </w:rPr>
            </w:pPr>
            <w:r>
              <w:rPr>
                <w:spacing w:val="-4"/>
                <w:sz w:val="24"/>
              </w:rPr>
              <w:t>1703</w:t>
            </w:r>
          </w:p>
        </w:tc>
        <w:tc>
          <w:tcPr>
            <w:tcW w:w="960" w:type="dxa"/>
          </w:tcPr>
          <w:p>
            <w:pPr>
              <w:pStyle w:val="TableParagraph"/>
              <w:spacing w:line="273" w:lineRule="exact" w:before="7"/>
              <w:ind w:left="3"/>
              <w:rPr>
                <w:sz w:val="24"/>
              </w:rPr>
            </w:pPr>
            <w:r>
              <w:rPr>
                <w:spacing w:val="-4"/>
                <w:sz w:val="24"/>
              </w:rPr>
              <w:t>1611</w:t>
            </w:r>
          </w:p>
        </w:tc>
        <w:tc>
          <w:tcPr>
            <w:tcW w:w="961" w:type="dxa"/>
          </w:tcPr>
          <w:p>
            <w:pPr>
              <w:pStyle w:val="TableParagraph"/>
              <w:spacing w:line="273" w:lineRule="exact" w:before="7"/>
              <w:ind w:left="3" w:right="1"/>
              <w:rPr>
                <w:sz w:val="24"/>
              </w:rPr>
            </w:pPr>
            <w:r>
              <w:rPr>
                <w:spacing w:val="-4"/>
                <w:sz w:val="24"/>
              </w:rPr>
              <w:t>1596</w:t>
            </w:r>
          </w:p>
        </w:tc>
      </w:tr>
      <w:tr>
        <w:trPr>
          <w:trHeight w:val="317" w:hRule="atLeast"/>
        </w:trPr>
        <w:tc>
          <w:tcPr>
            <w:tcW w:w="957" w:type="dxa"/>
            <w:tcBorders>
              <w:bottom w:val="single" w:sz="8" w:space="0" w:color="000000"/>
            </w:tcBorders>
          </w:tcPr>
          <w:p>
            <w:pPr>
              <w:pStyle w:val="TableParagraph"/>
              <w:spacing w:line="240" w:lineRule="auto" w:before="7"/>
              <w:ind w:left="18"/>
              <w:rPr>
                <w:sz w:val="24"/>
              </w:rPr>
            </w:pPr>
            <w:r>
              <w:rPr>
                <w:spacing w:val="-5"/>
                <w:sz w:val="24"/>
              </w:rPr>
              <w:t>10</w:t>
            </w:r>
          </w:p>
        </w:tc>
        <w:tc>
          <w:tcPr>
            <w:tcW w:w="970" w:type="dxa"/>
            <w:tcBorders>
              <w:bottom w:val="single" w:sz="8" w:space="0" w:color="000000"/>
            </w:tcBorders>
          </w:tcPr>
          <w:p>
            <w:pPr>
              <w:pStyle w:val="TableParagraph"/>
              <w:spacing w:line="240" w:lineRule="auto" w:before="7"/>
              <w:ind w:left="11"/>
              <w:rPr>
                <w:sz w:val="24"/>
              </w:rPr>
            </w:pPr>
            <w:r>
              <w:rPr>
                <w:spacing w:val="-4"/>
                <w:sz w:val="24"/>
              </w:rPr>
              <w:t>1005</w:t>
            </w:r>
          </w:p>
        </w:tc>
        <w:tc>
          <w:tcPr>
            <w:tcW w:w="960" w:type="dxa"/>
            <w:tcBorders>
              <w:bottom w:val="single" w:sz="8" w:space="0" w:color="000000"/>
            </w:tcBorders>
          </w:tcPr>
          <w:p>
            <w:pPr>
              <w:pStyle w:val="TableParagraph"/>
              <w:spacing w:line="240" w:lineRule="auto" w:before="7"/>
              <w:ind w:left="3" w:right="2"/>
              <w:rPr>
                <w:sz w:val="24"/>
              </w:rPr>
            </w:pPr>
            <w:r>
              <w:rPr>
                <w:spacing w:val="-4"/>
                <w:sz w:val="24"/>
              </w:rPr>
              <w:t>1569</w:t>
            </w:r>
          </w:p>
        </w:tc>
        <w:tc>
          <w:tcPr>
            <w:tcW w:w="960" w:type="dxa"/>
            <w:tcBorders>
              <w:bottom w:val="single" w:sz="8" w:space="0" w:color="000000"/>
            </w:tcBorders>
          </w:tcPr>
          <w:p>
            <w:pPr>
              <w:pStyle w:val="TableParagraph"/>
              <w:spacing w:line="240" w:lineRule="auto" w:before="7"/>
              <w:ind w:left="3" w:right="1"/>
              <w:rPr>
                <w:sz w:val="24"/>
              </w:rPr>
            </w:pPr>
            <w:r>
              <w:rPr>
                <w:spacing w:val="-5"/>
                <w:sz w:val="24"/>
              </w:rPr>
              <w:t>887</w:t>
            </w:r>
          </w:p>
        </w:tc>
        <w:tc>
          <w:tcPr>
            <w:tcW w:w="960" w:type="dxa"/>
            <w:tcBorders>
              <w:bottom w:val="single" w:sz="8" w:space="0" w:color="000000"/>
            </w:tcBorders>
          </w:tcPr>
          <w:p>
            <w:pPr>
              <w:pStyle w:val="TableParagraph"/>
              <w:spacing w:line="240" w:lineRule="auto" w:before="7"/>
              <w:ind w:left="3" w:right="1"/>
              <w:rPr>
                <w:sz w:val="24"/>
              </w:rPr>
            </w:pPr>
            <w:r>
              <w:rPr>
                <w:spacing w:val="-5"/>
                <w:sz w:val="24"/>
              </w:rPr>
              <w:t>987</w:t>
            </w:r>
          </w:p>
        </w:tc>
        <w:tc>
          <w:tcPr>
            <w:tcW w:w="960" w:type="dxa"/>
            <w:tcBorders>
              <w:bottom w:val="single" w:sz="8" w:space="0" w:color="000000"/>
            </w:tcBorders>
          </w:tcPr>
          <w:p>
            <w:pPr>
              <w:pStyle w:val="TableParagraph"/>
              <w:spacing w:line="240" w:lineRule="auto" w:before="7"/>
              <w:ind w:left="3"/>
              <w:rPr>
                <w:sz w:val="24"/>
              </w:rPr>
            </w:pPr>
            <w:r>
              <w:rPr>
                <w:spacing w:val="-4"/>
                <w:sz w:val="24"/>
              </w:rPr>
              <w:t>1015</w:t>
            </w:r>
          </w:p>
        </w:tc>
        <w:tc>
          <w:tcPr>
            <w:tcW w:w="961" w:type="dxa"/>
            <w:tcBorders>
              <w:bottom w:val="single" w:sz="8" w:space="0" w:color="000000"/>
            </w:tcBorders>
          </w:tcPr>
          <w:p>
            <w:pPr>
              <w:pStyle w:val="TableParagraph"/>
              <w:spacing w:line="240" w:lineRule="auto" w:before="7"/>
              <w:ind w:left="3" w:right="1"/>
              <w:rPr>
                <w:sz w:val="24"/>
              </w:rPr>
            </w:pPr>
            <w:r>
              <w:rPr>
                <w:spacing w:val="-4"/>
                <w:sz w:val="24"/>
              </w:rPr>
              <w:t>1385</w:t>
            </w:r>
          </w:p>
        </w:tc>
      </w:tr>
    </w:tbl>
    <w:p>
      <w:pPr>
        <w:pStyle w:val="BodyText"/>
        <w:jc w:val="left"/>
        <w:rPr>
          <w:b/>
        </w:rPr>
      </w:pPr>
    </w:p>
    <w:p>
      <w:pPr>
        <w:pStyle w:val="BodyText"/>
        <w:jc w:val="left"/>
        <w:rPr>
          <w:b/>
        </w:rPr>
      </w:pPr>
    </w:p>
    <w:p>
      <w:pPr>
        <w:pStyle w:val="BodyText"/>
        <w:spacing w:before="84"/>
        <w:jc w:val="left"/>
        <w:rPr>
          <w:b/>
        </w:rPr>
      </w:pPr>
    </w:p>
    <w:p>
      <w:pPr>
        <w:spacing w:before="0" w:after="4"/>
        <w:ind w:left="292" w:right="507" w:firstLine="0"/>
        <w:jc w:val="center"/>
        <w:rPr>
          <w:b/>
          <w:sz w:val="24"/>
        </w:rPr>
      </w:pPr>
      <w:r>
        <w:rPr>
          <w:b/>
          <w:sz w:val="24"/>
        </w:rPr>
        <w:t>ANN</w:t>
      </w:r>
      <w:r>
        <w:rPr>
          <w:b/>
          <w:spacing w:val="-1"/>
          <w:sz w:val="24"/>
        </w:rPr>
        <w:t> </w:t>
      </w:r>
      <w:r>
        <w:rPr>
          <w:b/>
          <w:sz w:val="24"/>
        </w:rPr>
        <w:t>Projected</w:t>
      </w:r>
      <w:r>
        <w:rPr>
          <w:b/>
          <w:spacing w:val="-1"/>
          <w:sz w:val="24"/>
        </w:rPr>
        <w:t> </w:t>
      </w:r>
      <w:r>
        <w:rPr>
          <w:b/>
          <w:sz w:val="24"/>
        </w:rPr>
        <w:t>Data Three</w:t>
      </w:r>
      <w:r>
        <w:rPr>
          <w:b/>
          <w:spacing w:val="-2"/>
          <w:sz w:val="24"/>
        </w:rPr>
        <w:t> </w:t>
      </w:r>
      <w:r>
        <w:rPr>
          <w:b/>
          <w:sz w:val="24"/>
        </w:rPr>
        <w:t>Bedroom</w:t>
      </w:r>
      <w:r>
        <w:rPr>
          <w:b/>
          <w:spacing w:val="-5"/>
          <w:sz w:val="24"/>
        </w:rPr>
        <w:t> </w:t>
      </w:r>
      <w:r>
        <w:rPr>
          <w:b/>
          <w:sz w:val="24"/>
        </w:rPr>
        <w:t>Rental </w:t>
      </w:r>
      <w:r>
        <w:rPr>
          <w:b/>
          <w:spacing w:val="-2"/>
          <w:sz w:val="24"/>
        </w:rPr>
        <w:t>Prices</w:t>
      </w:r>
    </w:p>
    <w:tbl>
      <w:tblPr>
        <w:tblW w:w="0" w:type="auto"/>
        <w:jc w:val="left"/>
        <w:tblInd w:w="1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57"/>
        <w:gridCol w:w="970"/>
        <w:gridCol w:w="960"/>
        <w:gridCol w:w="960"/>
        <w:gridCol w:w="960"/>
        <w:gridCol w:w="960"/>
        <w:gridCol w:w="961"/>
      </w:tblGrid>
      <w:tr>
        <w:trPr>
          <w:trHeight w:val="601" w:hRule="atLeast"/>
        </w:trPr>
        <w:tc>
          <w:tcPr>
            <w:tcW w:w="957" w:type="dxa"/>
            <w:tcBorders>
              <w:top w:val="single" w:sz="8" w:space="0" w:color="000000"/>
              <w:bottom w:val="single" w:sz="8" w:space="0" w:color="000000"/>
            </w:tcBorders>
          </w:tcPr>
          <w:p>
            <w:pPr>
              <w:pStyle w:val="TableParagraph"/>
              <w:spacing w:line="275" w:lineRule="exact"/>
              <w:ind w:left="18"/>
              <w:rPr>
                <w:b/>
                <w:sz w:val="24"/>
              </w:rPr>
            </w:pPr>
            <w:r>
              <w:rPr>
                <w:b/>
                <w:spacing w:val="-2"/>
                <w:sz w:val="24"/>
              </w:rPr>
              <w:t>Value</w:t>
            </w:r>
          </w:p>
        </w:tc>
        <w:tc>
          <w:tcPr>
            <w:tcW w:w="970" w:type="dxa"/>
            <w:tcBorders>
              <w:top w:val="single" w:sz="8" w:space="0" w:color="000000"/>
              <w:bottom w:val="single" w:sz="8" w:space="0" w:color="000000"/>
            </w:tcBorders>
          </w:tcPr>
          <w:p>
            <w:pPr>
              <w:pStyle w:val="TableParagraph"/>
              <w:spacing w:line="275" w:lineRule="exact"/>
              <w:ind w:left="250"/>
              <w:jc w:val="left"/>
              <w:rPr>
                <w:b/>
                <w:sz w:val="24"/>
              </w:rPr>
            </w:pPr>
            <w:r>
              <w:rPr>
                <w:b/>
                <w:spacing w:val="-4"/>
                <w:sz w:val="24"/>
              </w:rPr>
              <w:t>2008</w:t>
            </w:r>
          </w:p>
          <w:p>
            <w:pPr>
              <w:pStyle w:val="TableParagraph"/>
              <w:spacing w:line="240" w:lineRule="auto"/>
              <w:ind w:left="16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5" w:lineRule="exact"/>
              <w:ind w:left="240"/>
              <w:jc w:val="left"/>
              <w:rPr>
                <w:b/>
                <w:sz w:val="24"/>
              </w:rPr>
            </w:pPr>
            <w:r>
              <w:rPr>
                <w:b/>
                <w:spacing w:val="-4"/>
                <w:sz w:val="24"/>
              </w:rPr>
              <w:t>2013</w:t>
            </w:r>
          </w:p>
          <w:p>
            <w:pPr>
              <w:pStyle w:val="TableParagraph"/>
              <w:spacing w:line="240" w:lineRule="auto"/>
              <w:ind w:left="15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5" w:lineRule="exact"/>
              <w:ind w:left="241"/>
              <w:jc w:val="left"/>
              <w:rPr>
                <w:b/>
                <w:sz w:val="24"/>
              </w:rPr>
            </w:pPr>
            <w:r>
              <w:rPr>
                <w:b/>
                <w:spacing w:val="-4"/>
                <w:sz w:val="24"/>
              </w:rPr>
              <w:t>2018</w:t>
            </w:r>
          </w:p>
          <w:p>
            <w:pPr>
              <w:pStyle w:val="TableParagraph"/>
              <w:spacing w:line="240" w:lineRule="auto"/>
              <w:ind w:left="15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5" w:lineRule="exact"/>
              <w:ind w:left="241"/>
              <w:jc w:val="left"/>
              <w:rPr>
                <w:b/>
                <w:sz w:val="24"/>
              </w:rPr>
            </w:pPr>
            <w:r>
              <w:rPr>
                <w:b/>
                <w:spacing w:val="-4"/>
                <w:sz w:val="24"/>
              </w:rPr>
              <w:t>2023</w:t>
            </w:r>
          </w:p>
          <w:p>
            <w:pPr>
              <w:pStyle w:val="TableParagraph"/>
              <w:spacing w:line="240" w:lineRule="auto"/>
              <w:ind w:left="159"/>
              <w:jc w:val="left"/>
              <w:rPr>
                <w:b/>
                <w:sz w:val="24"/>
              </w:rPr>
            </w:pPr>
            <w:r>
              <w:rPr>
                <w:b/>
                <w:spacing w:val="-2"/>
                <w:sz w:val="24"/>
              </w:rPr>
              <w:t>Count</w:t>
            </w:r>
          </w:p>
        </w:tc>
        <w:tc>
          <w:tcPr>
            <w:tcW w:w="960" w:type="dxa"/>
            <w:tcBorders>
              <w:top w:val="single" w:sz="8" w:space="0" w:color="000000"/>
              <w:bottom w:val="single" w:sz="8" w:space="0" w:color="000000"/>
            </w:tcBorders>
          </w:tcPr>
          <w:p>
            <w:pPr>
              <w:pStyle w:val="TableParagraph"/>
              <w:spacing w:line="275" w:lineRule="exact"/>
              <w:ind w:left="241"/>
              <w:jc w:val="left"/>
              <w:rPr>
                <w:b/>
                <w:sz w:val="24"/>
              </w:rPr>
            </w:pPr>
            <w:r>
              <w:rPr>
                <w:b/>
                <w:spacing w:val="-4"/>
                <w:sz w:val="24"/>
              </w:rPr>
              <w:t>2028</w:t>
            </w:r>
          </w:p>
          <w:p>
            <w:pPr>
              <w:pStyle w:val="TableParagraph"/>
              <w:spacing w:line="240" w:lineRule="auto"/>
              <w:ind w:left="160"/>
              <w:jc w:val="left"/>
              <w:rPr>
                <w:b/>
                <w:sz w:val="24"/>
              </w:rPr>
            </w:pPr>
            <w:r>
              <w:rPr>
                <w:b/>
                <w:spacing w:val="-2"/>
                <w:sz w:val="24"/>
              </w:rPr>
              <w:t>Count</w:t>
            </w:r>
          </w:p>
        </w:tc>
        <w:tc>
          <w:tcPr>
            <w:tcW w:w="961" w:type="dxa"/>
            <w:tcBorders>
              <w:top w:val="single" w:sz="8" w:space="0" w:color="000000"/>
              <w:bottom w:val="single" w:sz="8" w:space="0" w:color="000000"/>
            </w:tcBorders>
          </w:tcPr>
          <w:p>
            <w:pPr>
              <w:pStyle w:val="TableParagraph"/>
              <w:spacing w:line="275" w:lineRule="exact"/>
              <w:ind w:left="241"/>
              <w:jc w:val="left"/>
              <w:rPr>
                <w:b/>
                <w:sz w:val="24"/>
              </w:rPr>
            </w:pPr>
            <w:r>
              <w:rPr>
                <w:b/>
                <w:spacing w:val="-4"/>
                <w:sz w:val="24"/>
              </w:rPr>
              <w:t>2033</w:t>
            </w:r>
          </w:p>
          <w:p>
            <w:pPr>
              <w:pStyle w:val="TableParagraph"/>
              <w:spacing w:line="240" w:lineRule="auto"/>
              <w:ind w:left="160"/>
              <w:jc w:val="left"/>
              <w:rPr>
                <w:b/>
                <w:sz w:val="24"/>
              </w:rPr>
            </w:pPr>
            <w:r>
              <w:rPr>
                <w:b/>
                <w:spacing w:val="-2"/>
                <w:sz w:val="24"/>
              </w:rPr>
              <w:t>Count</w:t>
            </w:r>
          </w:p>
        </w:tc>
      </w:tr>
      <w:tr>
        <w:trPr>
          <w:trHeight w:val="284" w:hRule="atLeast"/>
        </w:trPr>
        <w:tc>
          <w:tcPr>
            <w:tcW w:w="957" w:type="dxa"/>
            <w:tcBorders>
              <w:top w:val="single" w:sz="8" w:space="0" w:color="000000"/>
            </w:tcBorders>
          </w:tcPr>
          <w:p>
            <w:pPr>
              <w:pStyle w:val="TableParagraph"/>
              <w:spacing w:line="265" w:lineRule="exact"/>
              <w:ind w:left="18"/>
              <w:rPr>
                <w:sz w:val="24"/>
              </w:rPr>
            </w:pPr>
            <w:r>
              <w:rPr>
                <w:spacing w:val="-10"/>
                <w:sz w:val="24"/>
              </w:rPr>
              <w:t>1</w:t>
            </w:r>
          </w:p>
        </w:tc>
        <w:tc>
          <w:tcPr>
            <w:tcW w:w="970" w:type="dxa"/>
            <w:tcBorders>
              <w:top w:val="single" w:sz="8" w:space="0" w:color="000000"/>
            </w:tcBorders>
          </w:tcPr>
          <w:p>
            <w:pPr>
              <w:pStyle w:val="TableParagraph"/>
              <w:spacing w:line="265" w:lineRule="exact"/>
              <w:ind w:left="11"/>
              <w:rPr>
                <w:sz w:val="24"/>
              </w:rPr>
            </w:pPr>
            <w:r>
              <w:rPr>
                <w:spacing w:val="-4"/>
                <w:sz w:val="24"/>
              </w:rPr>
              <w:t>1806</w:t>
            </w:r>
          </w:p>
        </w:tc>
        <w:tc>
          <w:tcPr>
            <w:tcW w:w="960" w:type="dxa"/>
            <w:tcBorders>
              <w:top w:val="single" w:sz="8" w:space="0" w:color="000000"/>
            </w:tcBorders>
          </w:tcPr>
          <w:p>
            <w:pPr>
              <w:pStyle w:val="TableParagraph"/>
              <w:spacing w:line="265" w:lineRule="exact"/>
              <w:ind w:left="3" w:right="2"/>
              <w:rPr>
                <w:sz w:val="24"/>
              </w:rPr>
            </w:pPr>
            <w:r>
              <w:rPr>
                <w:spacing w:val="-4"/>
                <w:sz w:val="24"/>
              </w:rPr>
              <w:t>1229</w:t>
            </w:r>
          </w:p>
        </w:tc>
        <w:tc>
          <w:tcPr>
            <w:tcW w:w="960" w:type="dxa"/>
            <w:tcBorders>
              <w:top w:val="single" w:sz="8" w:space="0" w:color="000000"/>
            </w:tcBorders>
          </w:tcPr>
          <w:p>
            <w:pPr>
              <w:pStyle w:val="TableParagraph"/>
              <w:spacing w:line="265" w:lineRule="exact"/>
              <w:ind w:left="3" w:right="1"/>
              <w:rPr>
                <w:sz w:val="24"/>
              </w:rPr>
            </w:pPr>
            <w:r>
              <w:rPr>
                <w:spacing w:val="-4"/>
                <w:sz w:val="24"/>
              </w:rPr>
              <w:t>1575</w:t>
            </w:r>
          </w:p>
        </w:tc>
        <w:tc>
          <w:tcPr>
            <w:tcW w:w="960" w:type="dxa"/>
            <w:tcBorders>
              <w:top w:val="single" w:sz="8" w:space="0" w:color="000000"/>
            </w:tcBorders>
          </w:tcPr>
          <w:p>
            <w:pPr>
              <w:pStyle w:val="TableParagraph"/>
              <w:spacing w:line="265" w:lineRule="exact"/>
              <w:ind w:left="3" w:right="1"/>
              <w:rPr>
                <w:sz w:val="24"/>
              </w:rPr>
            </w:pPr>
            <w:r>
              <w:rPr>
                <w:spacing w:val="-4"/>
                <w:sz w:val="24"/>
              </w:rPr>
              <w:t>1024</w:t>
            </w:r>
          </w:p>
        </w:tc>
        <w:tc>
          <w:tcPr>
            <w:tcW w:w="960" w:type="dxa"/>
            <w:tcBorders>
              <w:top w:val="single" w:sz="8" w:space="0" w:color="000000"/>
            </w:tcBorders>
          </w:tcPr>
          <w:p>
            <w:pPr>
              <w:pStyle w:val="TableParagraph"/>
              <w:spacing w:line="265" w:lineRule="exact"/>
              <w:ind w:left="3"/>
              <w:rPr>
                <w:sz w:val="24"/>
              </w:rPr>
            </w:pPr>
            <w:r>
              <w:rPr>
                <w:spacing w:val="-4"/>
                <w:sz w:val="24"/>
              </w:rPr>
              <w:t>1041</w:t>
            </w:r>
          </w:p>
        </w:tc>
        <w:tc>
          <w:tcPr>
            <w:tcW w:w="961" w:type="dxa"/>
            <w:tcBorders>
              <w:top w:val="single" w:sz="8" w:space="0" w:color="000000"/>
            </w:tcBorders>
          </w:tcPr>
          <w:p>
            <w:pPr>
              <w:pStyle w:val="TableParagraph"/>
              <w:spacing w:line="265" w:lineRule="exact"/>
              <w:ind w:left="3" w:right="1"/>
              <w:rPr>
                <w:sz w:val="24"/>
              </w:rPr>
            </w:pPr>
            <w:r>
              <w:rPr>
                <w:spacing w:val="-4"/>
                <w:sz w:val="24"/>
              </w:rPr>
              <w:t>1129</w:t>
            </w:r>
          </w:p>
        </w:tc>
      </w:tr>
      <w:tr>
        <w:trPr>
          <w:trHeight w:val="300" w:hRule="atLeast"/>
        </w:trPr>
        <w:tc>
          <w:tcPr>
            <w:tcW w:w="957" w:type="dxa"/>
          </w:tcPr>
          <w:p>
            <w:pPr>
              <w:pStyle w:val="TableParagraph"/>
              <w:spacing w:line="273" w:lineRule="exact" w:before="7"/>
              <w:ind w:left="18"/>
              <w:rPr>
                <w:sz w:val="24"/>
              </w:rPr>
            </w:pPr>
            <w:r>
              <w:rPr>
                <w:spacing w:val="-10"/>
                <w:sz w:val="24"/>
              </w:rPr>
              <w:t>2</w:t>
            </w:r>
          </w:p>
        </w:tc>
        <w:tc>
          <w:tcPr>
            <w:tcW w:w="970" w:type="dxa"/>
          </w:tcPr>
          <w:p>
            <w:pPr>
              <w:pStyle w:val="TableParagraph"/>
              <w:spacing w:line="273" w:lineRule="exact" w:before="7"/>
              <w:ind w:left="11"/>
              <w:rPr>
                <w:sz w:val="24"/>
              </w:rPr>
            </w:pPr>
            <w:r>
              <w:rPr>
                <w:spacing w:val="-4"/>
                <w:sz w:val="24"/>
              </w:rPr>
              <w:t>2066</w:t>
            </w:r>
          </w:p>
        </w:tc>
        <w:tc>
          <w:tcPr>
            <w:tcW w:w="960" w:type="dxa"/>
          </w:tcPr>
          <w:p>
            <w:pPr>
              <w:pStyle w:val="TableParagraph"/>
              <w:spacing w:line="273" w:lineRule="exact" w:before="7"/>
              <w:ind w:left="3" w:right="2"/>
              <w:rPr>
                <w:sz w:val="24"/>
              </w:rPr>
            </w:pPr>
            <w:r>
              <w:rPr>
                <w:spacing w:val="-4"/>
                <w:sz w:val="24"/>
              </w:rPr>
              <w:t>1556</w:t>
            </w:r>
          </w:p>
        </w:tc>
        <w:tc>
          <w:tcPr>
            <w:tcW w:w="960" w:type="dxa"/>
          </w:tcPr>
          <w:p>
            <w:pPr>
              <w:pStyle w:val="TableParagraph"/>
              <w:spacing w:line="273" w:lineRule="exact" w:before="7"/>
              <w:ind w:left="3" w:right="1"/>
              <w:rPr>
                <w:sz w:val="24"/>
              </w:rPr>
            </w:pPr>
            <w:r>
              <w:rPr>
                <w:spacing w:val="-4"/>
                <w:sz w:val="24"/>
              </w:rPr>
              <w:t>1583</w:t>
            </w:r>
          </w:p>
        </w:tc>
        <w:tc>
          <w:tcPr>
            <w:tcW w:w="960" w:type="dxa"/>
          </w:tcPr>
          <w:p>
            <w:pPr>
              <w:pStyle w:val="TableParagraph"/>
              <w:spacing w:line="273" w:lineRule="exact" w:before="7"/>
              <w:ind w:left="3" w:right="1"/>
              <w:rPr>
                <w:sz w:val="24"/>
              </w:rPr>
            </w:pPr>
            <w:r>
              <w:rPr>
                <w:spacing w:val="-4"/>
                <w:sz w:val="24"/>
              </w:rPr>
              <w:t>1177</w:t>
            </w:r>
          </w:p>
        </w:tc>
        <w:tc>
          <w:tcPr>
            <w:tcW w:w="960" w:type="dxa"/>
          </w:tcPr>
          <w:p>
            <w:pPr>
              <w:pStyle w:val="TableParagraph"/>
              <w:spacing w:line="273" w:lineRule="exact" w:before="7"/>
              <w:ind w:left="3"/>
              <w:rPr>
                <w:sz w:val="24"/>
              </w:rPr>
            </w:pPr>
            <w:r>
              <w:rPr>
                <w:spacing w:val="-4"/>
                <w:sz w:val="24"/>
              </w:rPr>
              <w:t>1267</w:t>
            </w:r>
          </w:p>
        </w:tc>
        <w:tc>
          <w:tcPr>
            <w:tcW w:w="961" w:type="dxa"/>
          </w:tcPr>
          <w:p>
            <w:pPr>
              <w:pStyle w:val="TableParagraph"/>
              <w:spacing w:line="273" w:lineRule="exact" w:before="7"/>
              <w:ind w:left="3" w:right="1"/>
              <w:rPr>
                <w:sz w:val="24"/>
              </w:rPr>
            </w:pPr>
            <w:r>
              <w:rPr>
                <w:spacing w:val="-4"/>
                <w:sz w:val="24"/>
              </w:rPr>
              <w:t>1169</w:t>
            </w:r>
          </w:p>
        </w:tc>
      </w:tr>
      <w:tr>
        <w:trPr>
          <w:trHeight w:val="300" w:hRule="atLeast"/>
        </w:trPr>
        <w:tc>
          <w:tcPr>
            <w:tcW w:w="957" w:type="dxa"/>
          </w:tcPr>
          <w:p>
            <w:pPr>
              <w:pStyle w:val="TableParagraph"/>
              <w:spacing w:line="273" w:lineRule="exact" w:before="7"/>
              <w:ind w:left="18"/>
              <w:rPr>
                <w:sz w:val="24"/>
              </w:rPr>
            </w:pPr>
            <w:r>
              <w:rPr>
                <w:spacing w:val="-10"/>
                <w:sz w:val="24"/>
              </w:rPr>
              <w:t>3</w:t>
            </w:r>
          </w:p>
        </w:tc>
        <w:tc>
          <w:tcPr>
            <w:tcW w:w="970" w:type="dxa"/>
          </w:tcPr>
          <w:p>
            <w:pPr>
              <w:pStyle w:val="TableParagraph"/>
              <w:spacing w:line="273" w:lineRule="exact" w:before="7"/>
              <w:ind w:left="11"/>
              <w:rPr>
                <w:sz w:val="24"/>
              </w:rPr>
            </w:pPr>
            <w:r>
              <w:rPr>
                <w:spacing w:val="-4"/>
                <w:sz w:val="24"/>
              </w:rPr>
              <w:t>3505</w:t>
            </w:r>
          </w:p>
        </w:tc>
        <w:tc>
          <w:tcPr>
            <w:tcW w:w="960" w:type="dxa"/>
          </w:tcPr>
          <w:p>
            <w:pPr>
              <w:pStyle w:val="TableParagraph"/>
              <w:spacing w:line="273" w:lineRule="exact" w:before="7"/>
              <w:ind w:left="3" w:right="2"/>
              <w:rPr>
                <w:sz w:val="24"/>
              </w:rPr>
            </w:pPr>
            <w:r>
              <w:rPr>
                <w:spacing w:val="-4"/>
                <w:sz w:val="24"/>
              </w:rPr>
              <w:t>1416</w:t>
            </w:r>
          </w:p>
        </w:tc>
        <w:tc>
          <w:tcPr>
            <w:tcW w:w="960" w:type="dxa"/>
          </w:tcPr>
          <w:p>
            <w:pPr>
              <w:pStyle w:val="TableParagraph"/>
              <w:spacing w:line="273" w:lineRule="exact" w:before="7"/>
              <w:ind w:left="3" w:right="1"/>
              <w:rPr>
                <w:sz w:val="24"/>
              </w:rPr>
            </w:pPr>
            <w:r>
              <w:rPr>
                <w:spacing w:val="-4"/>
                <w:sz w:val="24"/>
              </w:rPr>
              <w:t>1685</w:t>
            </w:r>
          </w:p>
        </w:tc>
        <w:tc>
          <w:tcPr>
            <w:tcW w:w="960" w:type="dxa"/>
          </w:tcPr>
          <w:p>
            <w:pPr>
              <w:pStyle w:val="TableParagraph"/>
              <w:spacing w:line="273" w:lineRule="exact" w:before="7"/>
              <w:ind w:left="3" w:right="1"/>
              <w:rPr>
                <w:sz w:val="24"/>
              </w:rPr>
            </w:pPr>
            <w:r>
              <w:rPr>
                <w:spacing w:val="-4"/>
                <w:sz w:val="24"/>
              </w:rPr>
              <w:t>2201</w:t>
            </w:r>
          </w:p>
        </w:tc>
        <w:tc>
          <w:tcPr>
            <w:tcW w:w="960" w:type="dxa"/>
          </w:tcPr>
          <w:p>
            <w:pPr>
              <w:pStyle w:val="TableParagraph"/>
              <w:spacing w:line="273" w:lineRule="exact" w:before="7"/>
              <w:ind w:left="3"/>
              <w:rPr>
                <w:sz w:val="24"/>
              </w:rPr>
            </w:pPr>
            <w:r>
              <w:rPr>
                <w:spacing w:val="-4"/>
                <w:sz w:val="24"/>
              </w:rPr>
              <w:t>1862</w:t>
            </w:r>
          </w:p>
        </w:tc>
        <w:tc>
          <w:tcPr>
            <w:tcW w:w="961" w:type="dxa"/>
          </w:tcPr>
          <w:p>
            <w:pPr>
              <w:pStyle w:val="TableParagraph"/>
              <w:spacing w:line="273" w:lineRule="exact" w:before="7"/>
              <w:ind w:left="3" w:right="1"/>
              <w:rPr>
                <w:sz w:val="24"/>
              </w:rPr>
            </w:pPr>
            <w:r>
              <w:rPr>
                <w:spacing w:val="-4"/>
                <w:sz w:val="24"/>
              </w:rPr>
              <w:t>1244</w:t>
            </w:r>
          </w:p>
        </w:tc>
      </w:tr>
      <w:tr>
        <w:trPr>
          <w:trHeight w:val="300" w:hRule="atLeast"/>
        </w:trPr>
        <w:tc>
          <w:tcPr>
            <w:tcW w:w="957" w:type="dxa"/>
          </w:tcPr>
          <w:p>
            <w:pPr>
              <w:pStyle w:val="TableParagraph"/>
              <w:spacing w:line="273" w:lineRule="exact" w:before="7"/>
              <w:ind w:left="18"/>
              <w:rPr>
                <w:sz w:val="24"/>
              </w:rPr>
            </w:pPr>
            <w:r>
              <w:rPr>
                <w:spacing w:val="-10"/>
                <w:sz w:val="24"/>
              </w:rPr>
              <w:t>4</w:t>
            </w:r>
          </w:p>
        </w:tc>
        <w:tc>
          <w:tcPr>
            <w:tcW w:w="970" w:type="dxa"/>
          </w:tcPr>
          <w:p>
            <w:pPr>
              <w:pStyle w:val="TableParagraph"/>
              <w:spacing w:line="273" w:lineRule="exact" w:before="7"/>
              <w:ind w:left="11"/>
              <w:rPr>
                <w:sz w:val="24"/>
              </w:rPr>
            </w:pPr>
            <w:r>
              <w:rPr>
                <w:spacing w:val="-4"/>
                <w:sz w:val="24"/>
              </w:rPr>
              <w:t>2745</w:t>
            </w:r>
          </w:p>
        </w:tc>
        <w:tc>
          <w:tcPr>
            <w:tcW w:w="960" w:type="dxa"/>
          </w:tcPr>
          <w:p>
            <w:pPr>
              <w:pStyle w:val="TableParagraph"/>
              <w:spacing w:line="273" w:lineRule="exact" w:before="7"/>
              <w:ind w:left="3" w:right="2"/>
              <w:rPr>
                <w:sz w:val="24"/>
              </w:rPr>
            </w:pPr>
            <w:r>
              <w:rPr>
                <w:spacing w:val="-4"/>
                <w:sz w:val="24"/>
              </w:rPr>
              <w:t>1528</w:t>
            </w:r>
          </w:p>
        </w:tc>
        <w:tc>
          <w:tcPr>
            <w:tcW w:w="960" w:type="dxa"/>
          </w:tcPr>
          <w:p>
            <w:pPr>
              <w:pStyle w:val="TableParagraph"/>
              <w:spacing w:line="273" w:lineRule="exact" w:before="7"/>
              <w:ind w:left="3" w:right="1"/>
              <w:rPr>
                <w:sz w:val="24"/>
              </w:rPr>
            </w:pPr>
            <w:r>
              <w:rPr>
                <w:spacing w:val="-4"/>
                <w:sz w:val="24"/>
              </w:rPr>
              <w:t>1953</w:t>
            </w:r>
          </w:p>
        </w:tc>
        <w:tc>
          <w:tcPr>
            <w:tcW w:w="960" w:type="dxa"/>
          </w:tcPr>
          <w:p>
            <w:pPr>
              <w:pStyle w:val="TableParagraph"/>
              <w:spacing w:line="273" w:lineRule="exact" w:before="7"/>
              <w:ind w:left="3" w:right="1"/>
              <w:rPr>
                <w:sz w:val="24"/>
              </w:rPr>
            </w:pPr>
            <w:r>
              <w:rPr>
                <w:spacing w:val="-4"/>
                <w:sz w:val="24"/>
              </w:rPr>
              <w:t>2104</w:t>
            </w:r>
          </w:p>
        </w:tc>
        <w:tc>
          <w:tcPr>
            <w:tcW w:w="960" w:type="dxa"/>
          </w:tcPr>
          <w:p>
            <w:pPr>
              <w:pStyle w:val="TableParagraph"/>
              <w:spacing w:line="273" w:lineRule="exact" w:before="7"/>
              <w:ind w:left="3"/>
              <w:rPr>
                <w:sz w:val="24"/>
              </w:rPr>
            </w:pPr>
            <w:r>
              <w:rPr>
                <w:spacing w:val="-4"/>
                <w:sz w:val="24"/>
              </w:rPr>
              <w:t>1900</w:t>
            </w:r>
          </w:p>
        </w:tc>
        <w:tc>
          <w:tcPr>
            <w:tcW w:w="961" w:type="dxa"/>
          </w:tcPr>
          <w:p>
            <w:pPr>
              <w:pStyle w:val="TableParagraph"/>
              <w:spacing w:line="273" w:lineRule="exact" w:before="7"/>
              <w:ind w:left="3" w:right="1"/>
              <w:rPr>
                <w:sz w:val="24"/>
              </w:rPr>
            </w:pPr>
            <w:r>
              <w:rPr>
                <w:spacing w:val="-4"/>
                <w:sz w:val="24"/>
              </w:rPr>
              <w:t>1596</w:t>
            </w:r>
          </w:p>
        </w:tc>
      </w:tr>
      <w:tr>
        <w:trPr>
          <w:trHeight w:val="300" w:hRule="atLeast"/>
        </w:trPr>
        <w:tc>
          <w:tcPr>
            <w:tcW w:w="957" w:type="dxa"/>
          </w:tcPr>
          <w:p>
            <w:pPr>
              <w:pStyle w:val="TableParagraph"/>
              <w:spacing w:line="273" w:lineRule="exact" w:before="7"/>
              <w:ind w:left="18"/>
              <w:rPr>
                <w:sz w:val="24"/>
              </w:rPr>
            </w:pPr>
            <w:r>
              <w:rPr>
                <w:spacing w:val="-10"/>
                <w:sz w:val="24"/>
              </w:rPr>
              <w:t>5</w:t>
            </w:r>
          </w:p>
        </w:tc>
        <w:tc>
          <w:tcPr>
            <w:tcW w:w="970" w:type="dxa"/>
          </w:tcPr>
          <w:p>
            <w:pPr>
              <w:pStyle w:val="TableParagraph"/>
              <w:spacing w:line="273" w:lineRule="exact" w:before="7"/>
              <w:ind w:left="11"/>
              <w:rPr>
                <w:sz w:val="24"/>
              </w:rPr>
            </w:pPr>
            <w:r>
              <w:rPr>
                <w:spacing w:val="-4"/>
                <w:sz w:val="24"/>
              </w:rPr>
              <w:t>3343</w:t>
            </w:r>
          </w:p>
        </w:tc>
        <w:tc>
          <w:tcPr>
            <w:tcW w:w="960" w:type="dxa"/>
          </w:tcPr>
          <w:p>
            <w:pPr>
              <w:pStyle w:val="TableParagraph"/>
              <w:spacing w:line="273" w:lineRule="exact" w:before="7"/>
              <w:ind w:left="3" w:right="2"/>
              <w:rPr>
                <w:sz w:val="24"/>
              </w:rPr>
            </w:pPr>
            <w:r>
              <w:rPr>
                <w:spacing w:val="-4"/>
                <w:sz w:val="24"/>
              </w:rPr>
              <w:t>2740</w:t>
            </w:r>
          </w:p>
        </w:tc>
        <w:tc>
          <w:tcPr>
            <w:tcW w:w="960" w:type="dxa"/>
          </w:tcPr>
          <w:p>
            <w:pPr>
              <w:pStyle w:val="TableParagraph"/>
              <w:spacing w:line="273" w:lineRule="exact" w:before="7"/>
              <w:ind w:left="3" w:right="1"/>
              <w:rPr>
                <w:sz w:val="24"/>
              </w:rPr>
            </w:pPr>
            <w:r>
              <w:rPr>
                <w:spacing w:val="-4"/>
                <w:sz w:val="24"/>
              </w:rPr>
              <w:t>3927</w:t>
            </w:r>
          </w:p>
        </w:tc>
        <w:tc>
          <w:tcPr>
            <w:tcW w:w="960" w:type="dxa"/>
          </w:tcPr>
          <w:p>
            <w:pPr>
              <w:pStyle w:val="TableParagraph"/>
              <w:spacing w:line="273" w:lineRule="exact" w:before="7"/>
              <w:ind w:left="3" w:right="1"/>
              <w:rPr>
                <w:sz w:val="24"/>
              </w:rPr>
            </w:pPr>
            <w:r>
              <w:rPr>
                <w:spacing w:val="-4"/>
                <w:sz w:val="24"/>
              </w:rPr>
              <w:t>2619</w:t>
            </w:r>
          </w:p>
        </w:tc>
        <w:tc>
          <w:tcPr>
            <w:tcW w:w="960" w:type="dxa"/>
          </w:tcPr>
          <w:p>
            <w:pPr>
              <w:pStyle w:val="TableParagraph"/>
              <w:spacing w:line="273" w:lineRule="exact" w:before="7"/>
              <w:ind w:left="3"/>
              <w:rPr>
                <w:sz w:val="24"/>
              </w:rPr>
            </w:pPr>
            <w:r>
              <w:rPr>
                <w:spacing w:val="-4"/>
                <w:sz w:val="24"/>
              </w:rPr>
              <w:t>3404</w:t>
            </w:r>
          </w:p>
        </w:tc>
        <w:tc>
          <w:tcPr>
            <w:tcW w:w="961" w:type="dxa"/>
          </w:tcPr>
          <w:p>
            <w:pPr>
              <w:pStyle w:val="TableParagraph"/>
              <w:spacing w:line="273" w:lineRule="exact" w:before="7"/>
              <w:ind w:left="3" w:right="1"/>
              <w:rPr>
                <w:sz w:val="24"/>
              </w:rPr>
            </w:pPr>
            <w:r>
              <w:rPr>
                <w:spacing w:val="-4"/>
                <w:sz w:val="24"/>
              </w:rPr>
              <w:t>3229</w:t>
            </w:r>
          </w:p>
        </w:tc>
      </w:tr>
      <w:tr>
        <w:trPr>
          <w:trHeight w:val="300" w:hRule="atLeast"/>
        </w:trPr>
        <w:tc>
          <w:tcPr>
            <w:tcW w:w="957" w:type="dxa"/>
          </w:tcPr>
          <w:p>
            <w:pPr>
              <w:pStyle w:val="TableParagraph"/>
              <w:spacing w:line="273" w:lineRule="exact" w:before="7"/>
              <w:ind w:left="18"/>
              <w:rPr>
                <w:sz w:val="24"/>
              </w:rPr>
            </w:pPr>
            <w:r>
              <w:rPr>
                <w:spacing w:val="-10"/>
                <w:sz w:val="24"/>
              </w:rPr>
              <w:t>6</w:t>
            </w:r>
          </w:p>
        </w:tc>
        <w:tc>
          <w:tcPr>
            <w:tcW w:w="970" w:type="dxa"/>
          </w:tcPr>
          <w:p>
            <w:pPr>
              <w:pStyle w:val="TableParagraph"/>
              <w:spacing w:line="273" w:lineRule="exact" w:before="7"/>
              <w:ind w:left="11"/>
              <w:rPr>
                <w:sz w:val="24"/>
              </w:rPr>
            </w:pPr>
            <w:r>
              <w:rPr>
                <w:spacing w:val="-4"/>
                <w:sz w:val="24"/>
              </w:rPr>
              <w:t>3321</w:t>
            </w:r>
          </w:p>
        </w:tc>
        <w:tc>
          <w:tcPr>
            <w:tcW w:w="960" w:type="dxa"/>
          </w:tcPr>
          <w:p>
            <w:pPr>
              <w:pStyle w:val="TableParagraph"/>
              <w:spacing w:line="273" w:lineRule="exact" w:before="7"/>
              <w:ind w:left="3" w:right="2"/>
              <w:rPr>
                <w:sz w:val="24"/>
              </w:rPr>
            </w:pPr>
            <w:r>
              <w:rPr>
                <w:spacing w:val="-4"/>
                <w:sz w:val="24"/>
              </w:rPr>
              <w:t>3472</w:t>
            </w:r>
          </w:p>
        </w:tc>
        <w:tc>
          <w:tcPr>
            <w:tcW w:w="960" w:type="dxa"/>
          </w:tcPr>
          <w:p>
            <w:pPr>
              <w:pStyle w:val="TableParagraph"/>
              <w:spacing w:line="273" w:lineRule="exact" w:before="7"/>
              <w:ind w:left="3" w:right="1"/>
              <w:rPr>
                <w:sz w:val="24"/>
              </w:rPr>
            </w:pPr>
            <w:r>
              <w:rPr>
                <w:spacing w:val="-4"/>
                <w:sz w:val="24"/>
              </w:rPr>
              <w:t>4299</w:t>
            </w:r>
          </w:p>
        </w:tc>
        <w:tc>
          <w:tcPr>
            <w:tcW w:w="960" w:type="dxa"/>
          </w:tcPr>
          <w:p>
            <w:pPr>
              <w:pStyle w:val="TableParagraph"/>
              <w:spacing w:line="273" w:lineRule="exact" w:before="7"/>
              <w:ind w:left="3" w:right="1"/>
              <w:rPr>
                <w:sz w:val="24"/>
              </w:rPr>
            </w:pPr>
            <w:r>
              <w:rPr>
                <w:spacing w:val="-4"/>
                <w:sz w:val="24"/>
              </w:rPr>
              <w:t>2811</w:t>
            </w:r>
          </w:p>
        </w:tc>
        <w:tc>
          <w:tcPr>
            <w:tcW w:w="960" w:type="dxa"/>
          </w:tcPr>
          <w:p>
            <w:pPr>
              <w:pStyle w:val="TableParagraph"/>
              <w:spacing w:line="273" w:lineRule="exact" w:before="7"/>
              <w:ind w:left="3"/>
              <w:rPr>
                <w:sz w:val="24"/>
              </w:rPr>
            </w:pPr>
            <w:r>
              <w:rPr>
                <w:spacing w:val="-4"/>
                <w:sz w:val="24"/>
              </w:rPr>
              <w:t>5100</w:t>
            </w:r>
          </w:p>
        </w:tc>
        <w:tc>
          <w:tcPr>
            <w:tcW w:w="961" w:type="dxa"/>
          </w:tcPr>
          <w:p>
            <w:pPr>
              <w:pStyle w:val="TableParagraph"/>
              <w:spacing w:line="273" w:lineRule="exact" w:before="7"/>
              <w:ind w:left="3" w:right="1"/>
              <w:rPr>
                <w:sz w:val="24"/>
              </w:rPr>
            </w:pPr>
            <w:r>
              <w:rPr>
                <w:spacing w:val="-4"/>
                <w:sz w:val="24"/>
              </w:rPr>
              <w:t>4663</w:t>
            </w:r>
          </w:p>
        </w:tc>
      </w:tr>
      <w:tr>
        <w:trPr>
          <w:trHeight w:val="300" w:hRule="atLeast"/>
        </w:trPr>
        <w:tc>
          <w:tcPr>
            <w:tcW w:w="957" w:type="dxa"/>
          </w:tcPr>
          <w:p>
            <w:pPr>
              <w:pStyle w:val="TableParagraph"/>
              <w:spacing w:line="273" w:lineRule="exact" w:before="7"/>
              <w:ind w:left="18"/>
              <w:rPr>
                <w:sz w:val="24"/>
              </w:rPr>
            </w:pPr>
            <w:r>
              <w:rPr>
                <w:spacing w:val="-10"/>
                <w:sz w:val="24"/>
              </w:rPr>
              <w:t>7</w:t>
            </w:r>
          </w:p>
        </w:tc>
        <w:tc>
          <w:tcPr>
            <w:tcW w:w="970" w:type="dxa"/>
          </w:tcPr>
          <w:p>
            <w:pPr>
              <w:pStyle w:val="TableParagraph"/>
              <w:spacing w:line="273" w:lineRule="exact" w:before="7"/>
              <w:ind w:left="11"/>
              <w:rPr>
                <w:sz w:val="24"/>
              </w:rPr>
            </w:pPr>
            <w:r>
              <w:rPr>
                <w:spacing w:val="-4"/>
                <w:sz w:val="24"/>
              </w:rPr>
              <w:t>4344</w:t>
            </w:r>
          </w:p>
        </w:tc>
        <w:tc>
          <w:tcPr>
            <w:tcW w:w="960" w:type="dxa"/>
          </w:tcPr>
          <w:p>
            <w:pPr>
              <w:pStyle w:val="TableParagraph"/>
              <w:spacing w:line="273" w:lineRule="exact" w:before="7"/>
              <w:ind w:left="3" w:right="2"/>
              <w:rPr>
                <w:sz w:val="24"/>
              </w:rPr>
            </w:pPr>
            <w:r>
              <w:rPr>
                <w:spacing w:val="-4"/>
                <w:sz w:val="24"/>
              </w:rPr>
              <w:t>3423</w:t>
            </w:r>
          </w:p>
        </w:tc>
        <w:tc>
          <w:tcPr>
            <w:tcW w:w="960" w:type="dxa"/>
          </w:tcPr>
          <w:p>
            <w:pPr>
              <w:pStyle w:val="TableParagraph"/>
              <w:spacing w:line="273" w:lineRule="exact" w:before="7"/>
              <w:ind w:left="3" w:right="1"/>
              <w:rPr>
                <w:sz w:val="24"/>
              </w:rPr>
            </w:pPr>
            <w:r>
              <w:rPr>
                <w:spacing w:val="-4"/>
                <w:sz w:val="24"/>
              </w:rPr>
              <w:t>4581</w:t>
            </w:r>
          </w:p>
        </w:tc>
        <w:tc>
          <w:tcPr>
            <w:tcW w:w="960" w:type="dxa"/>
          </w:tcPr>
          <w:p>
            <w:pPr>
              <w:pStyle w:val="TableParagraph"/>
              <w:spacing w:line="273" w:lineRule="exact" w:before="7"/>
              <w:ind w:left="3" w:right="1"/>
              <w:rPr>
                <w:sz w:val="24"/>
              </w:rPr>
            </w:pPr>
            <w:r>
              <w:rPr>
                <w:spacing w:val="-4"/>
                <w:sz w:val="24"/>
              </w:rPr>
              <w:t>3415</w:t>
            </w:r>
          </w:p>
        </w:tc>
        <w:tc>
          <w:tcPr>
            <w:tcW w:w="960" w:type="dxa"/>
          </w:tcPr>
          <w:p>
            <w:pPr>
              <w:pStyle w:val="TableParagraph"/>
              <w:spacing w:line="273" w:lineRule="exact" w:before="7"/>
              <w:ind w:left="3"/>
              <w:rPr>
                <w:sz w:val="24"/>
              </w:rPr>
            </w:pPr>
            <w:r>
              <w:rPr>
                <w:spacing w:val="-4"/>
                <w:sz w:val="24"/>
              </w:rPr>
              <w:t>4212</w:t>
            </w:r>
          </w:p>
        </w:tc>
        <w:tc>
          <w:tcPr>
            <w:tcW w:w="961" w:type="dxa"/>
          </w:tcPr>
          <w:p>
            <w:pPr>
              <w:pStyle w:val="TableParagraph"/>
              <w:spacing w:line="273" w:lineRule="exact" w:before="7"/>
              <w:ind w:left="3" w:right="1"/>
              <w:rPr>
                <w:sz w:val="24"/>
              </w:rPr>
            </w:pPr>
            <w:r>
              <w:rPr>
                <w:spacing w:val="-4"/>
                <w:sz w:val="24"/>
              </w:rPr>
              <w:t>3001</w:t>
            </w:r>
          </w:p>
        </w:tc>
      </w:tr>
      <w:tr>
        <w:trPr>
          <w:trHeight w:val="300" w:hRule="atLeast"/>
        </w:trPr>
        <w:tc>
          <w:tcPr>
            <w:tcW w:w="957" w:type="dxa"/>
          </w:tcPr>
          <w:p>
            <w:pPr>
              <w:pStyle w:val="TableParagraph"/>
              <w:spacing w:line="273" w:lineRule="exact" w:before="7"/>
              <w:ind w:left="18"/>
              <w:rPr>
                <w:sz w:val="24"/>
              </w:rPr>
            </w:pPr>
            <w:r>
              <w:rPr>
                <w:spacing w:val="-10"/>
                <w:sz w:val="24"/>
              </w:rPr>
              <w:t>8</w:t>
            </w:r>
          </w:p>
        </w:tc>
        <w:tc>
          <w:tcPr>
            <w:tcW w:w="970" w:type="dxa"/>
          </w:tcPr>
          <w:p>
            <w:pPr>
              <w:pStyle w:val="TableParagraph"/>
              <w:spacing w:line="273" w:lineRule="exact" w:before="7"/>
              <w:ind w:left="11"/>
              <w:rPr>
                <w:sz w:val="24"/>
              </w:rPr>
            </w:pPr>
            <w:r>
              <w:rPr>
                <w:spacing w:val="-4"/>
                <w:sz w:val="24"/>
              </w:rPr>
              <w:t>3176</w:t>
            </w:r>
          </w:p>
        </w:tc>
        <w:tc>
          <w:tcPr>
            <w:tcW w:w="960" w:type="dxa"/>
          </w:tcPr>
          <w:p>
            <w:pPr>
              <w:pStyle w:val="TableParagraph"/>
              <w:spacing w:line="273" w:lineRule="exact" w:before="7"/>
              <w:ind w:left="3" w:right="2"/>
              <w:rPr>
                <w:sz w:val="24"/>
              </w:rPr>
            </w:pPr>
            <w:r>
              <w:rPr>
                <w:spacing w:val="-4"/>
                <w:sz w:val="24"/>
              </w:rPr>
              <w:t>3839</w:t>
            </w:r>
          </w:p>
        </w:tc>
        <w:tc>
          <w:tcPr>
            <w:tcW w:w="960" w:type="dxa"/>
          </w:tcPr>
          <w:p>
            <w:pPr>
              <w:pStyle w:val="TableParagraph"/>
              <w:spacing w:line="273" w:lineRule="exact" w:before="7"/>
              <w:ind w:left="3" w:right="1"/>
              <w:rPr>
                <w:sz w:val="24"/>
              </w:rPr>
            </w:pPr>
            <w:r>
              <w:rPr>
                <w:spacing w:val="-4"/>
                <w:sz w:val="24"/>
              </w:rPr>
              <w:t>4392</w:t>
            </w:r>
          </w:p>
        </w:tc>
        <w:tc>
          <w:tcPr>
            <w:tcW w:w="960" w:type="dxa"/>
          </w:tcPr>
          <w:p>
            <w:pPr>
              <w:pStyle w:val="TableParagraph"/>
              <w:spacing w:line="273" w:lineRule="exact" w:before="7"/>
              <w:ind w:left="3" w:right="1"/>
              <w:rPr>
                <w:sz w:val="24"/>
              </w:rPr>
            </w:pPr>
            <w:r>
              <w:rPr>
                <w:spacing w:val="-4"/>
                <w:sz w:val="24"/>
              </w:rPr>
              <w:t>5015</w:t>
            </w:r>
          </w:p>
        </w:tc>
        <w:tc>
          <w:tcPr>
            <w:tcW w:w="960" w:type="dxa"/>
          </w:tcPr>
          <w:p>
            <w:pPr>
              <w:pStyle w:val="TableParagraph"/>
              <w:spacing w:line="273" w:lineRule="exact" w:before="7"/>
              <w:ind w:left="3"/>
              <w:rPr>
                <w:sz w:val="24"/>
              </w:rPr>
            </w:pPr>
            <w:r>
              <w:rPr>
                <w:spacing w:val="-4"/>
                <w:sz w:val="24"/>
              </w:rPr>
              <w:t>5312</w:t>
            </w:r>
          </w:p>
        </w:tc>
        <w:tc>
          <w:tcPr>
            <w:tcW w:w="961" w:type="dxa"/>
          </w:tcPr>
          <w:p>
            <w:pPr>
              <w:pStyle w:val="TableParagraph"/>
              <w:spacing w:line="273" w:lineRule="exact" w:before="7"/>
              <w:ind w:left="3" w:right="1"/>
              <w:rPr>
                <w:sz w:val="24"/>
              </w:rPr>
            </w:pPr>
            <w:r>
              <w:rPr>
                <w:spacing w:val="-4"/>
                <w:sz w:val="24"/>
              </w:rPr>
              <w:t>4733</w:t>
            </w:r>
          </w:p>
        </w:tc>
      </w:tr>
      <w:tr>
        <w:trPr>
          <w:trHeight w:val="300" w:hRule="atLeast"/>
        </w:trPr>
        <w:tc>
          <w:tcPr>
            <w:tcW w:w="957" w:type="dxa"/>
          </w:tcPr>
          <w:p>
            <w:pPr>
              <w:pStyle w:val="TableParagraph"/>
              <w:spacing w:line="273" w:lineRule="exact" w:before="7"/>
              <w:ind w:left="18"/>
              <w:rPr>
                <w:sz w:val="24"/>
              </w:rPr>
            </w:pPr>
            <w:r>
              <w:rPr>
                <w:spacing w:val="-10"/>
                <w:sz w:val="24"/>
              </w:rPr>
              <w:t>9</w:t>
            </w:r>
          </w:p>
        </w:tc>
        <w:tc>
          <w:tcPr>
            <w:tcW w:w="970" w:type="dxa"/>
          </w:tcPr>
          <w:p>
            <w:pPr>
              <w:pStyle w:val="TableParagraph"/>
              <w:spacing w:line="273" w:lineRule="exact" w:before="7"/>
              <w:ind w:left="11"/>
              <w:rPr>
                <w:sz w:val="24"/>
              </w:rPr>
            </w:pPr>
            <w:r>
              <w:rPr>
                <w:spacing w:val="-4"/>
                <w:sz w:val="24"/>
              </w:rPr>
              <w:t>2597</w:t>
            </w:r>
          </w:p>
        </w:tc>
        <w:tc>
          <w:tcPr>
            <w:tcW w:w="960" w:type="dxa"/>
          </w:tcPr>
          <w:p>
            <w:pPr>
              <w:pStyle w:val="TableParagraph"/>
              <w:spacing w:line="273" w:lineRule="exact" w:before="7"/>
              <w:ind w:left="3" w:right="2"/>
              <w:rPr>
                <w:sz w:val="24"/>
              </w:rPr>
            </w:pPr>
            <w:r>
              <w:rPr>
                <w:spacing w:val="-4"/>
                <w:sz w:val="24"/>
              </w:rPr>
              <w:t>4407</w:t>
            </w:r>
          </w:p>
        </w:tc>
        <w:tc>
          <w:tcPr>
            <w:tcW w:w="960" w:type="dxa"/>
          </w:tcPr>
          <w:p>
            <w:pPr>
              <w:pStyle w:val="TableParagraph"/>
              <w:spacing w:line="273" w:lineRule="exact" w:before="7"/>
              <w:ind w:left="3" w:right="1"/>
              <w:rPr>
                <w:sz w:val="24"/>
              </w:rPr>
            </w:pPr>
            <w:r>
              <w:rPr>
                <w:spacing w:val="-4"/>
                <w:sz w:val="24"/>
              </w:rPr>
              <w:t>2444</w:t>
            </w:r>
          </w:p>
        </w:tc>
        <w:tc>
          <w:tcPr>
            <w:tcW w:w="960" w:type="dxa"/>
          </w:tcPr>
          <w:p>
            <w:pPr>
              <w:pStyle w:val="TableParagraph"/>
              <w:spacing w:line="273" w:lineRule="exact" w:before="7"/>
              <w:ind w:left="3" w:right="1"/>
              <w:rPr>
                <w:sz w:val="24"/>
              </w:rPr>
            </w:pPr>
            <w:r>
              <w:rPr>
                <w:spacing w:val="-4"/>
                <w:sz w:val="24"/>
              </w:rPr>
              <w:t>3312</w:t>
            </w:r>
          </w:p>
        </w:tc>
        <w:tc>
          <w:tcPr>
            <w:tcW w:w="960" w:type="dxa"/>
          </w:tcPr>
          <w:p>
            <w:pPr>
              <w:pStyle w:val="TableParagraph"/>
              <w:spacing w:line="273" w:lineRule="exact" w:before="7"/>
              <w:ind w:left="3"/>
              <w:rPr>
                <w:sz w:val="24"/>
              </w:rPr>
            </w:pPr>
            <w:r>
              <w:rPr>
                <w:spacing w:val="-4"/>
                <w:sz w:val="24"/>
              </w:rPr>
              <w:t>2119</w:t>
            </w:r>
          </w:p>
        </w:tc>
        <w:tc>
          <w:tcPr>
            <w:tcW w:w="961" w:type="dxa"/>
          </w:tcPr>
          <w:p>
            <w:pPr>
              <w:pStyle w:val="TableParagraph"/>
              <w:spacing w:line="273" w:lineRule="exact" w:before="7"/>
              <w:ind w:left="3" w:right="1"/>
              <w:rPr>
                <w:sz w:val="24"/>
              </w:rPr>
            </w:pPr>
            <w:r>
              <w:rPr>
                <w:spacing w:val="-4"/>
                <w:sz w:val="24"/>
              </w:rPr>
              <w:t>2929</w:t>
            </w:r>
          </w:p>
        </w:tc>
      </w:tr>
      <w:tr>
        <w:trPr>
          <w:trHeight w:val="314" w:hRule="atLeast"/>
        </w:trPr>
        <w:tc>
          <w:tcPr>
            <w:tcW w:w="957" w:type="dxa"/>
            <w:tcBorders>
              <w:bottom w:val="single" w:sz="8" w:space="0" w:color="000000"/>
            </w:tcBorders>
          </w:tcPr>
          <w:p>
            <w:pPr>
              <w:pStyle w:val="TableParagraph"/>
              <w:spacing w:line="240" w:lineRule="auto" w:before="7"/>
              <w:ind w:left="18"/>
              <w:rPr>
                <w:sz w:val="24"/>
              </w:rPr>
            </w:pPr>
            <w:r>
              <w:rPr>
                <w:spacing w:val="-5"/>
                <w:sz w:val="24"/>
              </w:rPr>
              <w:t>10</w:t>
            </w:r>
          </w:p>
        </w:tc>
        <w:tc>
          <w:tcPr>
            <w:tcW w:w="970" w:type="dxa"/>
            <w:tcBorders>
              <w:bottom w:val="single" w:sz="8" w:space="0" w:color="000000"/>
            </w:tcBorders>
          </w:tcPr>
          <w:p>
            <w:pPr>
              <w:pStyle w:val="TableParagraph"/>
              <w:spacing w:line="240" w:lineRule="auto" w:before="7"/>
              <w:ind w:left="11"/>
              <w:rPr>
                <w:sz w:val="24"/>
              </w:rPr>
            </w:pPr>
            <w:r>
              <w:rPr>
                <w:spacing w:val="-4"/>
                <w:sz w:val="24"/>
              </w:rPr>
              <w:t>1419</w:t>
            </w:r>
          </w:p>
        </w:tc>
        <w:tc>
          <w:tcPr>
            <w:tcW w:w="960" w:type="dxa"/>
            <w:tcBorders>
              <w:bottom w:val="single" w:sz="8" w:space="0" w:color="000000"/>
            </w:tcBorders>
          </w:tcPr>
          <w:p>
            <w:pPr>
              <w:pStyle w:val="TableParagraph"/>
              <w:spacing w:line="240" w:lineRule="auto" w:before="7"/>
              <w:ind w:left="3" w:right="2"/>
              <w:rPr>
                <w:sz w:val="24"/>
              </w:rPr>
            </w:pPr>
            <w:r>
              <w:rPr>
                <w:spacing w:val="-4"/>
                <w:sz w:val="24"/>
              </w:rPr>
              <w:t>4712</w:t>
            </w:r>
          </w:p>
        </w:tc>
        <w:tc>
          <w:tcPr>
            <w:tcW w:w="960" w:type="dxa"/>
            <w:tcBorders>
              <w:bottom w:val="single" w:sz="8" w:space="0" w:color="000000"/>
            </w:tcBorders>
          </w:tcPr>
          <w:p>
            <w:pPr>
              <w:pStyle w:val="TableParagraph"/>
              <w:spacing w:line="240" w:lineRule="auto" w:before="7"/>
              <w:ind w:left="3" w:right="1"/>
              <w:rPr>
                <w:sz w:val="24"/>
              </w:rPr>
            </w:pPr>
            <w:r>
              <w:rPr>
                <w:spacing w:val="-4"/>
                <w:sz w:val="24"/>
              </w:rPr>
              <w:t>1883</w:t>
            </w:r>
          </w:p>
        </w:tc>
        <w:tc>
          <w:tcPr>
            <w:tcW w:w="960" w:type="dxa"/>
            <w:tcBorders>
              <w:bottom w:val="single" w:sz="8" w:space="0" w:color="000000"/>
            </w:tcBorders>
          </w:tcPr>
          <w:p>
            <w:pPr>
              <w:pStyle w:val="TableParagraph"/>
              <w:spacing w:line="240" w:lineRule="auto" w:before="7"/>
              <w:ind w:left="3" w:right="1"/>
              <w:rPr>
                <w:sz w:val="24"/>
              </w:rPr>
            </w:pPr>
            <w:r>
              <w:rPr>
                <w:spacing w:val="-4"/>
                <w:sz w:val="24"/>
              </w:rPr>
              <w:t>4644</w:t>
            </w:r>
          </w:p>
        </w:tc>
        <w:tc>
          <w:tcPr>
            <w:tcW w:w="960" w:type="dxa"/>
            <w:tcBorders>
              <w:bottom w:val="single" w:sz="8" w:space="0" w:color="000000"/>
            </w:tcBorders>
          </w:tcPr>
          <w:p>
            <w:pPr>
              <w:pStyle w:val="TableParagraph"/>
              <w:spacing w:line="240" w:lineRule="auto" w:before="7"/>
              <w:ind w:left="3"/>
              <w:rPr>
                <w:sz w:val="24"/>
              </w:rPr>
            </w:pPr>
            <w:r>
              <w:rPr>
                <w:spacing w:val="-4"/>
                <w:sz w:val="24"/>
              </w:rPr>
              <w:t>2105</w:t>
            </w:r>
          </w:p>
        </w:tc>
        <w:tc>
          <w:tcPr>
            <w:tcW w:w="961" w:type="dxa"/>
            <w:tcBorders>
              <w:bottom w:val="single" w:sz="8" w:space="0" w:color="000000"/>
            </w:tcBorders>
          </w:tcPr>
          <w:p>
            <w:pPr>
              <w:pStyle w:val="TableParagraph"/>
              <w:spacing w:line="240" w:lineRule="auto" w:before="7"/>
              <w:ind w:left="3" w:right="1"/>
              <w:rPr>
                <w:sz w:val="24"/>
              </w:rPr>
            </w:pPr>
            <w:r>
              <w:rPr>
                <w:spacing w:val="-4"/>
                <w:sz w:val="24"/>
              </w:rPr>
              <w:t>4629</w:t>
            </w:r>
          </w:p>
        </w:tc>
      </w:tr>
    </w:tbl>
    <w:p>
      <w:pPr>
        <w:spacing w:after="0" w:line="240" w:lineRule="auto"/>
        <w:rPr>
          <w:sz w:val="24"/>
        </w:rPr>
        <w:sectPr>
          <w:pgSz w:w="11910" w:h="16840"/>
          <w:pgMar w:header="0" w:footer="1022" w:top="1320" w:bottom="1220" w:left="1680" w:right="900"/>
        </w:sectPr>
      </w:pPr>
    </w:p>
    <w:p>
      <w:pPr>
        <w:spacing w:before="76"/>
        <w:ind w:left="296" w:right="503" w:firstLine="0"/>
        <w:jc w:val="center"/>
        <w:rPr>
          <w:b/>
          <w:sz w:val="24"/>
        </w:rPr>
      </w:pPr>
      <w:r>
        <w:rPr>
          <w:b/>
          <w:sz w:val="24"/>
        </w:rPr>
        <w:t>Appendix</w:t>
      </w:r>
      <w:r>
        <w:rPr>
          <w:b/>
          <w:spacing w:val="1"/>
          <w:sz w:val="24"/>
        </w:rPr>
        <w:t> </w:t>
      </w:r>
      <w:r>
        <w:rPr>
          <w:b/>
          <w:spacing w:val="-12"/>
          <w:sz w:val="24"/>
        </w:rPr>
        <w:t>B</w:t>
      </w:r>
    </w:p>
    <w:p>
      <w:pPr>
        <w:pStyle w:val="BodyText"/>
        <w:spacing w:before="1"/>
        <w:jc w:val="left"/>
        <w:rPr>
          <w:b/>
        </w:rPr>
      </w:pPr>
    </w:p>
    <w:p>
      <w:pPr>
        <w:spacing w:line="480" w:lineRule="auto" w:before="0" w:after="4"/>
        <w:ind w:left="305" w:right="2652" w:firstLine="2498"/>
        <w:jc w:val="left"/>
        <w:rPr>
          <w:b/>
          <w:sz w:val="24"/>
        </w:rPr>
      </w:pPr>
      <w:r>
        <w:rPr>
          <w:b/>
          <w:sz w:val="24"/>
        </w:rPr>
        <w:t>Sampled</w:t>
      </w:r>
      <w:r>
        <w:rPr>
          <w:b/>
          <w:spacing w:val="-10"/>
          <w:sz w:val="24"/>
        </w:rPr>
        <w:t> </w:t>
      </w:r>
      <w:r>
        <w:rPr>
          <w:b/>
          <w:sz w:val="24"/>
        </w:rPr>
        <w:t>Houses</w:t>
      </w:r>
      <w:r>
        <w:rPr>
          <w:b/>
          <w:spacing w:val="-10"/>
          <w:sz w:val="24"/>
        </w:rPr>
        <w:t> </w:t>
      </w:r>
      <w:r>
        <w:rPr>
          <w:b/>
          <w:sz w:val="24"/>
        </w:rPr>
        <w:t>and</w:t>
      </w:r>
      <w:r>
        <w:rPr>
          <w:b/>
          <w:spacing w:val="-10"/>
          <w:sz w:val="24"/>
        </w:rPr>
        <w:t> </w:t>
      </w:r>
      <w:r>
        <w:rPr>
          <w:b/>
          <w:sz w:val="24"/>
        </w:rPr>
        <w:t>Estate</w:t>
      </w:r>
      <w:r>
        <w:rPr>
          <w:b/>
          <w:spacing w:val="-9"/>
          <w:sz w:val="24"/>
        </w:rPr>
        <w:t> </w:t>
      </w:r>
      <w:r>
        <w:rPr>
          <w:b/>
          <w:sz w:val="24"/>
        </w:rPr>
        <w:t>Firms One Bedroom Apartments</w:t>
      </w:r>
    </w:p>
    <w:tbl>
      <w:tblPr>
        <w:tblW w:w="0" w:type="auto"/>
        <w:jc w:val="left"/>
        <w:tblInd w:w="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0"/>
        <w:gridCol w:w="3054"/>
        <w:gridCol w:w="850"/>
        <w:gridCol w:w="766"/>
        <w:gridCol w:w="877"/>
        <w:gridCol w:w="1152"/>
        <w:gridCol w:w="1260"/>
      </w:tblGrid>
      <w:tr>
        <w:trPr>
          <w:trHeight w:val="506" w:hRule="atLeast"/>
        </w:trPr>
        <w:tc>
          <w:tcPr>
            <w:tcW w:w="600" w:type="dxa"/>
          </w:tcPr>
          <w:p>
            <w:pPr>
              <w:pStyle w:val="TableParagraph"/>
              <w:spacing w:line="251" w:lineRule="exact"/>
              <w:ind w:left="0" w:right="136"/>
              <w:jc w:val="right"/>
              <w:rPr>
                <w:b/>
                <w:sz w:val="22"/>
              </w:rPr>
            </w:pPr>
            <w:r>
              <w:rPr>
                <w:b/>
                <w:spacing w:val="-5"/>
                <w:sz w:val="22"/>
              </w:rPr>
              <w:t>S/N</w:t>
            </w:r>
          </w:p>
        </w:tc>
        <w:tc>
          <w:tcPr>
            <w:tcW w:w="3054" w:type="dxa"/>
          </w:tcPr>
          <w:p>
            <w:pPr>
              <w:pStyle w:val="TableParagraph"/>
              <w:spacing w:line="251" w:lineRule="exact"/>
              <w:ind w:left="107"/>
              <w:jc w:val="left"/>
              <w:rPr>
                <w:b/>
                <w:sz w:val="22"/>
              </w:rPr>
            </w:pPr>
            <w:r>
              <w:rPr>
                <w:b/>
                <w:sz w:val="22"/>
              </w:rPr>
              <w:t>Estate</w:t>
            </w:r>
            <w:r>
              <w:rPr>
                <w:b/>
                <w:spacing w:val="-6"/>
                <w:sz w:val="22"/>
              </w:rPr>
              <w:t> </w:t>
            </w:r>
            <w:r>
              <w:rPr>
                <w:b/>
                <w:spacing w:val="-4"/>
                <w:sz w:val="22"/>
              </w:rPr>
              <w:t>Firm</w:t>
            </w:r>
          </w:p>
        </w:tc>
        <w:tc>
          <w:tcPr>
            <w:tcW w:w="850" w:type="dxa"/>
          </w:tcPr>
          <w:p>
            <w:pPr>
              <w:pStyle w:val="TableParagraph"/>
              <w:spacing w:line="252" w:lineRule="exact"/>
              <w:ind w:left="203" w:right="180" w:hanging="12"/>
              <w:jc w:val="left"/>
              <w:rPr>
                <w:b/>
                <w:sz w:val="22"/>
              </w:rPr>
            </w:pPr>
            <w:r>
              <w:rPr>
                <w:b/>
                <w:spacing w:val="-4"/>
                <w:sz w:val="22"/>
              </w:rPr>
              <w:t>Year 2008</w:t>
            </w:r>
          </w:p>
        </w:tc>
        <w:tc>
          <w:tcPr>
            <w:tcW w:w="766" w:type="dxa"/>
          </w:tcPr>
          <w:p>
            <w:pPr>
              <w:pStyle w:val="TableParagraph"/>
              <w:spacing w:line="252" w:lineRule="exact"/>
              <w:ind w:left="162" w:right="140" w:hanging="15"/>
              <w:jc w:val="left"/>
              <w:rPr>
                <w:b/>
                <w:sz w:val="22"/>
              </w:rPr>
            </w:pPr>
            <w:r>
              <w:rPr>
                <w:b/>
                <w:spacing w:val="-4"/>
                <w:sz w:val="22"/>
              </w:rPr>
              <w:t>Year 2013</w:t>
            </w:r>
          </w:p>
        </w:tc>
        <w:tc>
          <w:tcPr>
            <w:tcW w:w="877" w:type="dxa"/>
          </w:tcPr>
          <w:p>
            <w:pPr>
              <w:pStyle w:val="TableParagraph"/>
              <w:spacing w:line="252" w:lineRule="exact"/>
              <w:ind w:left="217" w:right="196" w:hanging="15"/>
              <w:jc w:val="left"/>
              <w:rPr>
                <w:b/>
                <w:sz w:val="22"/>
              </w:rPr>
            </w:pPr>
            <w:r>
              <w:rPr>
                <w:b/>
                <w:spacing w:val="-4"/>
                <w:sz w:val="22"/>
              </w:rPr>
              <w:t>Year 2018</w:t>
            </w:r>
          </w:p>
        </w:tc>
        <w:tc>
          <w:tcPr>
            <w:tcW w:w="1152" w:type="dxa"/>
          </w:tcPr>
          <w:p>
            <w:pPr>
              <w:pStyle w:val="TableParagraph"/>
              <w:spacing w:line="251" w:lineRule="exact"/>
              <w:ind w:left="9" w:right="2"/>
              <w:rPr>
                <w:b/>
                <w:sz w:val="22"/>
              </w:rPr>
            </w:pPr>
            <w:r>
              <w:rPr>
                <w:b/>
                <w:spacing w:val="-10"/>
                <w:sz w:val="22"/>
              </w:rPr>
              <w:t>X</w:t>
            </w:r>
          </w:p>
        </w:tc>
        <w:tc>
          <w:tcPr>
            <w:tcW w:w="1260" w:type="dxa"/>
          </w:tcPr>
          <w:p>
            <w:pPr>
              <w:pStyle w:val="TableParagraph"/>
              <w:spacing w:line="251" w:lineRule="exact"/>
              <w:ind w:left="9" w:right="3"/>
              <w:rPr>
                <w:b/>
                <w:sz w:val="22"/>
              </w:rPr>
            </w:pPr>
            <w:r>
              <w:rPr>
                <w:b/>
                <w:spacing w:val="-10"/>
                <w:sz w:val="22"/>
              </w:rPr>
              <w:t>Y</w:t>
            </w:r>
          </w:p>
        </w:tc>
      </w:tr>
      <w:tr>
        <w:trPr>
          <w:trHeight w:val="299" w:hRule="atLeast"/>
        </w:trPr>
        <w:tc>
          <w:tcPr>
            <w:tcW w:w="600" w:type="dxa"/>
          </w:tcPr>
          <w:p>
            <w:pPr>
              <w:pStyle w:val="TableParagraph"/>
              <w:spacing w:line="238" w:lineRule="exact" w:before="41"/>
              <w:ind w:left="0" w:right="96"/>
              <w:jc w:val="right"/>
              <w:rPr>
                <w:sz w:val="22"/>
              </w:rPr>
            </w:pPr>
            <w:r>
              <w:rPr>
                <w:spacing w:val="-10"/>
                <w:sz w:val="22"/>
              </w:rPr>
              <w:t>1</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50000</w:t>
            </w:r>
          </w:p>
        </w:tc>
        <w:tc>
          <w:tcPr>
            <w:tcW w:w="766" w:type="dxa"/>
          </w:tcPr>
          <w:p>
            <w:pPr>
              <w:pStyle w:val="TableParagraph"/>
              <w:rPr>
                <w:sz w:val="22"/>
              </w:rPr>
            </w:pPr>
            <w:r>
              <w:rPr>
                <w:spacing w:val="-2"/>
                <w:sz w:val="22"/>
              </w:rPr>
              <w:t>60000</w:t>
            </w:r>
          </w:p>
        </w:tc>
        <w:tc>
          <w:tcPr>
            <w:tcW w:w="877" w:type="dxa"/>
          </w:tcPr>
          <w:p>
            <w:pPr>
              <w:pStyle w:val="TableParagraph"/>
              <w:ind w:left="11" w:right="3"/>
              <w:rPr>
                <w:sz w:val="22"/>
              </w:rPr>
            </w:pPr>
            <w:r>
              <w:rPr>
                <w:spacing w:val="-2"/>
                <w:sz w:val="22"/>
              </w:rPr>
              <w:t>90000</w:t>
            </w:r>
          </w:p>
        </w:tc>
        <w:tc>
          <w:tcPr>
            <w:tcW w:w="1152" w:type="dxa"/>
          </w:tcPr>
          <w:p>
            <w:pPr>
              <w:pStyle w:val="TableParagraph"/>
              <w:ind w:left="9"/>
              <w:rPr>
                <w:sz w:val="22"/>
              </w:rPr>
            </w:pPr>
            <w:r>
              <w:rPr>
                <w:spacing w:val="-2"/>
                <w:sz w:val="22"/>
              </w:rPr>
              <w:t>829039.38</w:t>
            </w:r>
          </w:p>
        </w:tc>
        <w:tc>
          <w:tcPr>
            <w:tcW w:w="1260" w:type="dxa"/>
          </w:tcPr>
          <w:p>
            <w:pPr>
              <w:pStyle w:val="TableParagraph"/>
              <w:ind w:left="9"/>
              <w:rPr>
                <w:sz w:val="22"/>
              </w:rPr>
            </w:pPr>
            <w:r>
              <w:rPr>
                <w:spacing w:val="-2"/>
                <w:sz w:val="22"/>
              </w:rPr>
              <w:t>1006344.26</w:t>
            </w:r>
          </w:p>
        </w:tc>
      </w:tr>
      <w:tr>
        <w:trPr>
          <w:trHeight w:val="299" w:hRule="atLeast"/>
        </w:trPr>
        <w:tc>
          <w:tcPr>
            <w:tcW w:w="600" w:type="dxa"/>
          </w:tcPr>
          <w:p>
            <w:pPr>
              <w:pStyle w:val="TableParagraph"/>
              <w:spacing w:line="238" w:lineRule="exact" w:before="41"/>
              <w:ind w:left="0" w:right="96"/>
              <w:jc w:val="right"/>
              <w:rPr>
                <w:sz w:val="22"/>
              </w:rPr>
            </w:pPr>
            <w:r>
              <w:rPr>
                <w:spacing w:val="-10"/>
                <w:sz w:val="22"/>
              </w:rPr>
              <w:t>2</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50000</w:t>
            </w:r>
          </w:p>
        </w:tc>
        <w:tc>
          <w:tcPr>
            <w:tcW w:w="766" w:type="dxa"/>
          </w:tcPr>
          <w:p>
            <w:pPr>
              <w:pStyle w:val="TableParagraph"/>
              <w:rPr>
                <w:sz w:val="22"/>
              </w:rPr>
            </w:pPr>
            <w:r>
              <w:rPr>
                <w:spacing w:val="-2"/>
                <w:sz w:val="22"/>
              </w:rPr>
              <w:t>75000</w:t>
            </w:r>
          </w:p>
        </w:tc>
        <w:tc>
          <w:tcPr>
            <w:tcW w:w="877" w:type="dxa"/>
          </w:tcPr>
          <w:p>
            <w:pPr>
              <w:pStyle w:val="TableParagraph"/>
              <w:ind w:left="11" w:right="3"/>
              <w:rPr>
                <w:sz w:val="22"/>
              </w:rPr>
            </w:pPr>
            <w:r>
              <w:rPr>
                <w:spacing w:val="-2"/>
                <w:sz w:val="22"/>
              </w:rPr>
              <w:t>110000</w:t>
            </w:r>
          </w:p>
        </w:tc>
        <w:tc>
          <w:tcPr>
            <w:tcW w:w="1152" w:type="dxa"/>
          </w:tcPr>
          <w:p>
            <w:pPr>
              <w:pStyle w:val="TableParagraph"/>
              <w:ind w:left="9"/>
              <w:rPr>
                <w:sz w:val="22"/>
              </w:rPr>
            </w:pPr>
            <w:r>
              <w:rPr>
                <w:spacing w:val="-2"/>
                <w:sz w:val="22"/>
              </w:rPr>
              <w:t>827912.37</w:t>
            </w:r>
          </w:p>
        </w:tc>
        <w:tc>
          <w:tcPr>
            <w:tcW w:w="1260" w:type="dxa"/>
          </w:tcPr>
          <w:p>
            <w:pPr>
              <w:pStyle w:val="TableParagraph"/>
              <w:ind w:left="9" w:right="3"/>
              <w:rPr>
                <w:sz w:val="22"/>
              </w:rPr>
            </w:pPr>
            <w:r>
              <w:rPr>
                <w:spacing w:val="-2"/>
                <w:sz w:val="22"/>
              </w:rPr>
              <w:t>1006534.4</w:t>
            </w:r>
          </w:p>
        </w:tc>
      </w:tr>
      <w:tr>
        <w:trPr>
          <w:trHeight w:val="299" w:hRule="atLeast"/>
        </w:trPr>
        <w:tc>
          <w:tcPr>
            <w:tcW w:w="600" w:type="dxa"/>
          </w:tcPr>
          <w:p>
            <w:pPr>
              <w:pStyle w:val="TableParagraph"/>
              <w:spacing w:line="238" w:lineRule="exact" w:before="41"/>
              <w:ind w:left="0" w:right="96"/>
              <w:jc w:val="right"/>
              <w:rPr>
                <w:sz w:val="22"/>
              </w:rPr>
            </w:pPr>
            <w:r>
              <w:rPr>
                <w:spacing w:val="-10"/>
                <w:sz w:val="22"/>
              </w:rPr>
              <w:t>3</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50000</w:t>
            </w:r>
          </w:p>
        </w:tc>
        <w:tc>
          <w:tcPr>
            <w:tcW w:w="766" w:type="dxa"/>
          </w:tcPr>
          <w:p>
            <w:pPr>
              <w:pStyle w:val="TableParagraph"/>
              <w:rPr>
                <w:sz w:val="22"/>
              </w:rPr>
            </w:pPr>
            <w:r>
              <w:rPr>
                <w:spacing w:val="-2"/>
                <w:sz w:val="22"/>
              </w:rPr>
              <w:t>55000</w:t>
            </w:r>
          </w:p>
        </w:tc>
        <w:tc>
          <w:tcPr>
            <w:tcW w:w="877" w:type="dxa"/>
          </w:tcPr>
          <w:p>
            <w:pPr>
              <w:pStyle w:val="TableParagraph"/>
              <w:ind w:left="11" w:right="3"/>
              <w:rPr>
                <w:sz w:val="22"/>
              </w:rPr>
            </w:pPr>
            <w:r>
              <w:rPr>
                <w:spacing w:val="-2"/>
                <w:sz w:val="22"/>
              </w:rPr>
              <w:t>70000</w:t>
            </w:r>
          </w:p>
        </w:tc>
        <w:tc>
          <w:tcPr>
            <w:tcW w:w="1152" w:type="dxa"/>
          </w:tcPr>
          <w:p>
            <w:pPr>
              <w:pStyle w:val="TableParagraph"/>
              <w:ind w:left="9"/>
              <w:rPr>
                <w:sz w:val="22"/>
              </w:rPr>
            </w:pPr>
            <w:r>
              <w:rPr>
                <w:spacing w:val="-2"/>
                <w:sz w:val="22"/>
              </w:rPr>
              <w:t>828250.17</w:t>
            </w:r>
          </w:p>
        </w:tc>
        <w:tc>
          <w:tcPr>
            <w:tcW w:w="1260" w:type="dxa"/>
          </w:tcPr>
          <w:p>
            <w:pPr>
              <w:pStyle w:val="TableParagraph"/>
              <w:ind w:left="9"/>
              <w:rPr>
                <w:sz w:val="22"/>
              </w:rPr>
            </w:pPr>
            <w:r>
              <w:rPr>
                <w:spacing w:val="-2"/>
                <w:sz w:val="22"/>
              </w:rPr>
              <w:t>1005790.76</w:t>
            </w:r>
          </w:p>
        </w:tc>
      </w:tr>
      <w:tr>
        <w:trPr>
          <w:trHeight w:val="299" w:hRule="atLeast"/>
        </w:trPr>
        <w:tc>
          <w:tcPr>
            <w:tcW w:w="600" w:type="dxa"/>
          </w:tcPr>
          <w:p>
            <w:pPr>
              <w:pStyle w:val="TableParagraph"/>
              <w:spacing w:line="238" w:lineRule="exact" w:before="41"/>
              <w:ind w:left="0" w:right="96"/>
              <w:jc w:val="right"/>
              <w:rPr>
                <w:sz w:val="22"/>
              </w:rPr>
            </w:pPr>
            <w:r>
              <w:rPr>
                <w:spacing w:val="-10"/>
                <w:sz w:val="22"/>
              </w:rPr>
              <w:t>4</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50000</w:t>
            </w:r>
          </w:p>
        </w:tc>
        <w:tc>
          <w:tcPr>
            <w:tcW w:w="766" w:type="dxa"/>
          </w:tcPr>
          <w:p>
            <w:pPr>
              <w:pStyle w:val="TableParagraph"/>
              <w:rPr>
                <w:sz w:val="22"/>
              </w:rPr>
            </w:pPr>
            <w:r>
              <w:rPr>
                <w:spacing w:val="-2"/>
                <w:sz w:val="22"/>
              </w:rPr>
              <w:t>60000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829275.31</w:t>
            </w:r>
          </w:p>
        </w:tc>
        <w:tc>
          <w:tcPr>
            <w:tcW w:w="1260" w:type="dxa"/>
          </w:tcPr>
          <w:p>
            <w:pPr>
              <w:pStyle w:val="TableParagraph"/>
              <w:ind w:left="9" w:right="3"/>
              <w:rPr>
                <w:sz w:val="22"/>
              </w:rPr>
            </w:pPr>
            <w:r>
              <w:rPr>
                <w:spacing w:val="-2"/>
                <w:sz w:val="22"/>
              </w:rPr>
              <w:t>1006931.6</w:t>
            </w:r>
          </w:p>
        </w:tc>
      </w:tr>
      <w:tr>
        <w:trPr>
          <w:trHeight w:val="301" w:hRule="atLeast"/>
        </w:trPr>
        <w:tc>
          <w:tcPr>
            <w:tcW w:w="600" w:type="dxa"/>
          </w:tcPr>
          <w:p>
            <w:pPr>
              <w:pStyle w:val="TableParagraph"/>
              <w:spacing w:line="240" w:lineRule="exact" w:before="41"/>
              <w:ind w:left="0" w:right="96"/>
              <w:jc w:val="right"/>
              <w:rPr>
                <w:sz w:val="22"/>
              </w:rPr>
            </w:pPr>
            <w:r>
              <w:rPr>
                <w:spacing w:val="-10"/>
                <w:sz w:val="22"/>
              </w:rPr>
              <w:t>5</w:t>
            </w:r>
          </w:p>
        </w:tc>
        <w:tc>
          <w:tcPr>
            <w:tcW w:w="3054"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spacing w:line="249" w:lineRule="exact"/>
              <w:ind w:left="8"/>
              <w:rPr>
                <w:sz w:val="22"/>
              </w:rPr>
            </w:pPr>
            <w:r>
              <w:rPr>
                <w:spacing w:val="-2"/>
                <w:sz w:val="22"/>
              </w:rPr>
              <w:t>15000</w:t>
            </w:r>
          </w:p>
        </w:tc>
        <w:tc>
          <w:tcPr>
            <w:tcW w:w="766" w:type="dxa"/>
          </w:tcPr>
          <w:p>
            <w:pPr>
              <w:pStyle w:val="TableParagraph"/>
              <w:spacing w:line="249" w:lineRule="exact"/>
              <w:rPr>
                <w:sz w:val="22"/>
              </w:rPr>
            </w:pPr>
            <w:r>
              <w:rPr>
                <w:spacing w:val="-2"/>
                <w:sz w:val="22"/>
              </w:rPr>
              <w:t>35000</w:t>
            </w:r>
          </w:p>
        </w:tc>
        <w:tc>
          <w:tcPr>
            <w:tcW w:w="877" w:type="dxa"/>
          </w:tcPr>
          <w:p>
            <w:pPr>
              <w:pStyle w:val="TableParagraph"/>
              <w:spacing w:line="249" w:lineRule="exact"/>
              <w:ind w:left="11" w:right="3"/>
              <w:rPr>
                <w:sz w:val="22"/>
              </w:rPr>
            </w:pPr>
            <w:r>
              <w:rPr>
                <w:spacing w:val="-2"/>
                <w:sz w:val="22"/>
              </w:rPr>
              <w:t>40000</w:t>
            </w:r>
          </w:p>
        </w:tc>
        <w:tc>
          <w:tcPr>
            <w:tcW w:w="1152" w:type="dxa"/>
          </w:tcPr>
          <w:p>
            <w:pPr>
              <w:pStyle w:val="TableParagraph"/>
              <w:spacing w:line="249" w:lineRule="exact"/>
              <w:ind w:left="9"/>
              <w:rPr>
                <w:sz w:val="22"/>
              </w:rPr>
            </w:pPr>
            <w:r>
              <w:rPr>
                <w:spacing w:val="-2"/>
                <w:sz w:val="22"/>
              </w:rPr>
              <w:t>830784.06</w:t>
            </w:r>
          </w:p>
        </w:tc>
        <w:tc>
          <w:tcPr>
            <w:tcW w:w="1260" w:type="dxa"/>
          </w:tcPr>
          <w:p>
            <w:pPr>
              <w:pStyle w:val="TableParagraph"/>
              <w:spacing w:line="249" w:lineRule="exact"/>
              <w:ind w:left="9"/>
              <w:rPr>
                <w:sz w:val="22"/>
              </w:rPr>
            </w:pPr>
            <w:r>
              <w:rPr>
                <w:spacing w:val="-2"/>
                <w:sz w:val="22"/>
              </w:rPr>
              <w:t>1005462.71</w:t>
            </w:r>
          </w:p>
        </w:tc>
      </w:tr>
      <w:tr>
        <w:trPr>
          <w:trHeight w:val="300" w:hRule="atLeast"/>
        </w:trPr>
        <w:tc>
          <w:tcPr>
            <w:tcW w:w="600" w:type="dxa"/>
          </w:tcPr>
          <w:p>
            <w:pPr>
              <w:pStyle w:val="TableParagraph"/>
              <w:spacing w:line="240" w:lineRule="exact" w:before="40"/>
              <w:ind w:left="0" w:right="96"/>
              <w:jc w:val="right"/>
              <w:rPr>
                <w:sz w:val="22"/>
              </w:rPr>
            </w:pPr>
            <w:r>
              <w:rPr>
                <w:spacing w:val="-10"/>
                <w:sz w:val="22"/>
              </w:rPr>
              <w:t>6</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15000</w:t>
            </w:r>
          </w:p>
        </w:tc>
        <w:tc>
          <w:tcPr>
            <w:tcW w:w="766" w:type="dxa"/>
          </w:tcPr>
          <w:p>
            <w:pPr>
              <w:pStyle w:val="TableParagraph"/>
              <w:rPr>
                <w:sz w:val="22"/>
              </w:rPr>
            </w:pPr>
            <w:r>
              <w:rPr>
                <w:spacing w:val="-2"/>
                <w:sz w:val="22"/>
              </w:rPr>
              <w:t>30000</w:t>
            </w:r>
          </w:p>
        </w:tc>
        <w:tc>
          <w:tcPr>
            <w:tcW w:w="877" w:type="dxa"/>
          </w:tcPr>
          <w:p>
            <w:pPr>
              <w:pStyle w:val="TableParagraph"/>
              <w:ind w:left="11" w:right="3"/>
              <w:rPr>
                <w:sz w:val="22"/>
              </w:rPr>
            </w:pPr>
            <w:r>
              <w:rPr>
                <w:spacing w:val="-2"/>
                <w:sz w:val="22"/>
              </w:rPr>
              <w:t>40000</w:t>
            </w:r>
          </w:p>
        </w:tc>
        <w:tc>
          <w:tcPr>
            <w:tcW w:w="1152" w:type="dxa"/>
          </w:tcPr>
          <w:p>
            <w:pPr>
              <w:pStyle w:val="TableParagraph"/>
              <w:ind w:left="9" w:right="3"/>
              <w:rPr>
                <w:sz w:val="22"/>
              </w:rPr>
            </w:pPr>
            <w:r>
              <w:rPr>
                <w:spacing w:val="-2"/>
                <w:sz w:val="22"/>
              </w:rPr>
              <w:t>830497</w:t>
            </w:r>
          </w:p>
        </w:tc>
        <w:tc>
          <w:tcPr>
            <w:tcW w:w="1260" w:type="dxa"/>
          </w:tcPr>
          <w:p>
            <w:pPr>
              <w:pStyle w:val="TableParagraph"/>
              <w:ind w:left="9" w:right="3"/>
              <w:rPr>
                <w:sz w:val="22"/>
              </w:rPr>
            </w:pPr>
            <w:r>
              <w:rPr>
                <w:spacing w:val="-2"/>
                <w:sz w:val="22"/>
              </w:rPr>
              <w:t>1004675.2</w:t>
            </w:r>
          </w:p>
        </w:tc>
      </w:tr>
      <w:tr>
        <w:trPr>
          <w:trHeight w:val="299" w:hRule="atLeast"/>
        </w:trPr>
        <w:tc>
          <w:tcPr>
            <w:tcW w:w="600" w:type="dxa"/>
          </w:tcPr>
          <w:p>
            <w:pPr>
              <w:pStyle w:val="TableParagraph"/>
              <w:spacing w:line="238" w:lineRule="exact" w:before="41"/>
              <w:ind w:left="0" w:right="96"/>
              <w:jc w:val="right"/>
              <w:rPr>
                <w:sz w:val="22"/>
              </w:rPr>
            </w:pPr>
            <w:r>
              <w:rPr>
                <w:spacing w:val="-10"/>
                <w:sz w:val="22"/>
              </w:rPr>
              <w:t>7</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70000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832112.8</w:t>
            </w:r>
          </w:p>
        </w:tc>
        <w:tc>
          <w:tcPr>
            <w:tcW w:w="1260" w:type="dxa"/>
          </w:tcPr>
          <w:p>
            <w:pPr>
              <w:pStyle w:val="TableParagraph"/>
              <w:ind w:left="9" w:right="3"/>
              <w:rPr>
                <w:sz w:val="22"/>
              </w:rPr>
            </w:pPr>
            <w:r>
              <w:rPr>
                <w:spacing w:val="-2"/>
                <w:sz w:val="22"/>
              </w:rPr>
              <w:t>1006913.7</w:t>
            </w:r>
          </w:p>
        </w:tc>
      </w:tr>
      <w:tr>
        <w:trPr>
          <w:trHeight w:val="299" w:hRule="atLeast"/>
        </w:trPr>
        <w:tc>
          <w:tcPr>
            <w:tcW w:w="600" w:type="dxa"/>
          </w:tcPr>
          <w:p>
            <w:pPr>
              <w:pStyle w:val="TableParagraph"/>
              <w:spacing w:line="238" w:lineRule="exact" w:before="41"/>
              <w:ind w:left="0" w:right="96"/>
              <w:jc w:val="right"/>
              <w:rPr>
                <w:sz w:val="22"/>
              </w:rPr>
            </w:pPr>
            <w:r>
              <w:rPr>
                <w:spacing w:val="-10"/>
                <w:sz w:val="22"/>
              </w:rPr>
              <w:t>8</w:t>
            </w:r>
          </w:p>
        </w:tc>
        <w:tc>
          <w:tcPr>
            <w:tcW w:w="3054" w:type="dxa"/>
          </w:tcPr>
          <w:p>
            <w:pPr>
              <w:pStyle w:val="TableParagraph"/>
              <w:ind w:left="107"/>
              <w:jc w:val="left"/>
              <w:rPr>
                <w:sz w:val="22"/>
              </w:rPr>
            </w:pPr>
            <w:r>
              <w:rPr>
                <w:sz w:val="22"/>
              </w:rPr>
              <w:t>Usman</w:t>
            </w:r>
            <w:r>
              <w:rPr>
                <w:spacing w:val="-3"/>
                <w:sz w:val="22"/>
              </w:rPr>
              <w:t> </w:t>
            </w:r>
            <w:r>
              <w:rPr>
                <w:sz w:val="22"/>
              </w:rPr>
              <w:t>Maishera &amp;</w:t>
            </w:r>
            <w:r>
              <w:rPr>
                <w:spacing w:val="-4"/>
                <w:sz w:val="22"/>
              </w:rPr>
              <w:t> </w:t>
            </w:r>
            <w:r>
              <w:rPr>
                <w:spacing w:val="-2"/>
                <w:sz w:val="22"/>
              </w:rPr>
              <w:t>Associates</w:t>
            </w:r>
          </w:p>
        </w:tc>
        <w:tc>
          <w:tcPr>
            <w:tcW w:w="850" w:type="dxa"/>
          </w:tcPr>
          <w:p>
            <w:pPr>
              <w:pStyle w:val="TableParagraph"/>
              <w:ind w:left="8"/>
              <w:rPr>
                <w:sz w:val="22"/>
              </w:rPr>
            </w:pPr>
            <w:r>
              <w:rPr>
                <w:spacing w:val="-2"/>
                <w:sz w:val="22"/>
              </w:rPr>
              <w:t>55000</w:t>
            </w:r>
          </w:p>
        </w:tc>
        <w:tc>
          <w:tcPr>
            <w:tcW w:w="766" w:type="dxa"/>
          </w:tcPr>
          <w:p>
            <w:pPr>
              <w:pStyle w:val="TableParagraph"/>
              <w:rPr>
                <w:sz w:val="22"/>
              </w:rPr>
            </w:pPr>
            <w:r>
              <w:rPr>
                <w:spacing w:val="-2"/>
                <w:sz w:val="22"/>
              </w:rPr>
              <w:t>70000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833085.87</w:t>
            </w:r>
          </w:p>
        </w:tc>
        <w:tc>
          <w:tcPr>
            <w:tcW w:w="1260" w:type="dxa"/>
          </w:tcPr>
          <w:p>
            <w:pPr>
              <w:pStyle w:val="TableParagraph"/>
              <w:ind w:left="9"/>
              <w:rPr>
                <w:sz w:val="22"/>
              </w:rPr>
            </w:pPr>
            <w:r>
              <w:rPr>
                <w:spacing w:val="-2"/>
                <w:sz w:val="22"/>
              </w:rPr>
              <w:t>1006066.06</w:t>
            </w:r>
          </w:p>
        </w:tc>
      </w:tr>
      <w:tr>
        <w:trPr>
          <w:trHeight w:val="299" w:hRule="atLeast"/>
        </w:trPr>
        <w:tc>
          <w:tcPr>
            <w:tcW w:w="600" w:type="dxa"/>
          </w:tcPr>
          <w:p>
            <w:pPr>
              <w:pStyle w:val="TableParagraph"/>
              <w:spacing w:line="238" w:lineRule="exact" w:before="41"/>
              <w:ind w:left="0" w:right="96"/>
              <w:jc w:val="right"/>
              <w:rPr>
                <w:sz w:val="22"/>
              </w:rPr>
            </w:pPr>
            <w:r>
              <w:rPr>
                <w:spacing w:val="-10"/>
                <w:sz w:val="22"/>
              </w:rPr>
              <w:t>9</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15000</w:t>
            </w:r>
          </w:p>
        </w:tc>
        <w:tc>
          <w:tcPr>
            <w:tcW w:w="766" w:type="dxa"/>
          </w:tcPr>
          <w:p>
            <w:pPr>
              <w:pStyle w:val="TableParagraph"/>
              <w:rPr>
                <w:sz w:val="22"/>
              </w:rPr>
            </w:pPr>
            <w:r>
              <w:rPr>
                <w:spacing w:val="-2"/>
                <w:sz w:val="22"/>
              </w:rPr>
              <w:t>30000</w:t>
            </w:r>
          </w:p>
        </w:tc>
        <w:tc>
          <w:tcPr>
            <w:tcW w:w="877" w:type="dxa"/>
          </w:tcPr>
          <w:p>
            <w:pPr>
              <w:pStyle w:val="TableParagraph"/>
              <w:ind w:left="11" w:right="3"/>
              <w:rPr>
                <w:sz w:val="22"/>
              </w:rPr>
            </w:pPr>
            <w:r>
              <w:rPr>
                <w:spacing w:val="-2"/>
                <w:sz w:val="22"/>
              </w:rPr>
              <w:t>35000</w:t>
            </w:r>
          </w:p>
        </w:tc>
        <w:tc>
          <w:tcPr>
            <w:tcW w:w="1152" w:type="dxa"/>
          </w:tcPr>
          <w:p>
            <w:pPr>
              <w:pStyle w:val="TableParagraph"/>
              <w:ind w:left="9"/>
              <w:rPr>
                <w:sz w:val="22"/>
              </w:rPr>
            </w:pPr>
            <w:r>
              <w:rPr>
                <w:spacing w:val="-2"/>
                <w:sz w:val="22"/>
              </w:rPr>
              <w:t>831930.2</w:t>
            </w:r>
          </w:p>
        </w:tc>
        <w:tc>
          <w:tcPr>
            <w:tcW w:w="1260" w:type="dxa"/>
          </w:tcPr>
          <w:p>
            <w:pPr>
              <w:pStyle w:val="TableParagraph"/>
              <w:ind w:left="9"/>
              <w:rPr>
                <w:sz w:val="22"/>
              </w:rPr>
            </w:pPr>
            <w:r>
              <w:rPr>
                <w:spacing w:val="-2"/>
                <w:sz w:val="22"/>
              </w:rPr>
              <w:t>1004516.31</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10</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15000</w:t>
            </w:r>
          </w:p>
        </w:tc>
        <w:tc>
          <w:tcPr>
            <w:tcW w:w="766" w:type="dxa"/>
          </w:tcPr>
          <w:p>
            <w:pPr>
              <w:pStyle w:val="TableParagraph"/>
              <w:rPr>
                <w:sz w:val="22"/>
              </w:rPr>
            </w:pPr>
            <w:r>
              <w:rPr>
                <w:spacing w:val="-2"/>
                <w:sz w:val="22"/>
              </w:rPr>
              <w:t>30000</w:t>
            </w:r>
          </w:p>
        </w:tc>
        <w:tc>
          <w:tcPr>
            <w:tcW w:w="877" w:type="dxa"/>
          </w:tcPr>
          <w:p>
            <w:pPr>
              <w:pStyle w:val="TableParagraph"/>
              <w:ind w:left="11" w:right="3"/>
              <w:rPr>
                <w:sz w:val="22"/>
              </w:rPr>
            </w:pPr>
            <w:r>
              <w:rPr>
                <w:spacing w:val="-2"/>
                <w:sz w:val="22"/>
              </w:rPr>
              <w:t>40000</w:t>
            </w:r>
          </w:p>
        </w:tc>
        <w:tc>
          <w:tcPr>
            <w:tcW w:w="1152" w:type="dxa"/>
          </w:tcPr>
          <w:p>
            <w:pPr>
              <w:pStyle w:val="TableParagraph"/>
              <w:ind w:left="9"/>
              <w:rPr>
                <w:sz w:val="22"/>
              </w:rPr>
            </w:pPr>
            <w:r>
              <w:rPr>
                <w:spacing w:val="-2"/>
                <w:sz w:val="22"/>
              </w:rPr>
              <w:t>831774.68</w:t>
            </w:r>
          </w:p>
        </w:tc>
        <w:tc>
          <w:tcPr>
            <w:tcW w:w="1260" w:type="dxa"/>
          </w:tcPr>
          <w:p>
            <w:pPr>
              <w:pStyle w:val="TableParagraph"/>
              <w:ind w:left="9"/>
              <w:rPr>
                <w:sz w:val="22"/>
              </w:rPr>
            </w:pPr>
            <w:r>
              <w:rPr>
                <w:spacing w:val="-2"/>
                <w:sz w:val="22"/>
              </w:rPr>
              <w:t>1003550.28</w:t>
            </w:r>
          </w:p>
        </w:tc>
      </w:tr>
      <w:tr>
        <w:trPr>
          <w:trHeight w:val="302" w:hRule="atLeast"/>
        </w:trPr>
        <w:tc>
          <w:tcPr>
            <w:tcW w:w="600" w:type="dxa"/>
          </w:tcPr>
          <w:p>
            <w:pPr>
              <w:pStyle w:val="TableParagraph"/>
              <w:spacing w:line="240" w:lineRule="exact" w:before="41"/>
              <w:ind w:left="0" w:right="96"/>
              <w:jc w:val="right"/>
              <w:rPr>
                <w:sz w:val="22"/>
              </w:rPr>
            </w:pPr>
            <w:r>
              <w:rPr>
                <w:spacing w:val="-5"/>
                <w:sz w:val="22"/>
              </w:rPr>
              <w:t>11</w:t>
            </w:r>
          </w:p>
        </w:tc>
        <w:tc>
          <w:tcPr>
            <w:tcW w:w="3054"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spacing w:line="249" w:lineRule="exact"/>
              <w:ind w:left="8"/>
              <w:rPr>
                <w:sz w:val="22"/>
              </w:rPr>
            </w:pPr>
            <w:r>
              <w:rPr>
                <w:spacing w:val="-2"/>
                <w:sz w:val="22"/>
              </w:rPr>
              <w:t>15000</w:t>
            </w:r>
          </w:p>
        </w:tc>
        <w:tc>
          <w:tcPr>
            <w:tcW w:w="766" w:type="dxa"/>
          </w:tcPr>
          <w:p>
            <w:pPr>
              <w:pStyle w:val="TableParagraph"/>
              <w:spacing w:line="249" w:lineRule="exact"/>
              <w:rPr>
                <w:sz w:val="22"/>
              </w:rPr>
            </w:pPr>
            <w:r>
              <w:rPr>
                <w:spacing w:val="-2"/>
                <w:sz w:val="22"/>
              </w:rPr>
              <w:t>35000</w:t>
            </w:r>
          </w:p>
        </w:tc>
        <w:tc>
          <w:tcPr>
            <w:tcW w:w="877" w:type="dxa"/>
          </w:tcPr>
          <w:p>
            <w:pPr>
              <w:pStyle w:val="TableParagraph"/>
              <w:spacing w:line="249" w:lineRule="exact"/>
              <w:ind w:left="11" w:right="3"/>
              <w:rPr>
                <w:sz w:val="22"/>
              </w:rPr>
            </w:pPr>
            <w:r>
              <w:rPr>
                <w:spacing w:val="-2"/>
                <w:sz w:val="22"/>
              </w:rPr>
              <w:t>40000</w:t>
            </w:r>
          </w:p>
        </w:tc>
        <w:tc>
          <w:tcPr>
            <w:tcW w:w="1152" w:type="dxa"/>
          </w:tcPr>
          <w:p>
            <w:pPr>
              <w:pStyle w:val="TableParagraph"/>
              <w:spacing w:line="249" w:lineRule="exact"/>
              <w:ind w:left="9"/>
              <w:rPr>
                <w:sz w:val="22"/>
              </w:rPr>
            </w:pPr>
            <w:r>
              <w:rPr>
                <w:spacing w:val="-2"/>
                <w:sz w:val="22"/>
              </w:rPr>
              <w:t>831577.85</w:t>
            </w:r>
          </w:p>
        </w:tc>
        <w:tc>
          <w:tcPr>
            <w:tcW w:w="1260" w:type="dxa"/>
          </w:tcPr>
          <w:p>
            <w:pPr>
              <w:pStyle w:val="TableParagraph"/>
              <w:spacing w:line="249" w:lineRule="exact"/>
              <w:ind w:left="9"/>
              <w:rPr>
                <w:sz w:val="22"/>
              </w:rPr>
            </w:pPr>
            <w:r>
              <w:rPr>
                <w:spacing w:val="-2"/>
                <w:sz w:val="22"/>
              </w:rPr>
              <w:t>1003547.03</w:t>
            </w:r>
          </w:p>
        </w:tc>
      </w:tr>
      <w:tr>
        <w:trPr>
          <w:trHeight w:val="299" w:hRule="atLeast"/>
        </w:trPr>
        <w:tc>
          <w:tcPr>
            <w:tcW w:w="600" w:type="dxa"/>
          </w:tcPr>
          <w:p>
            <w:pPr>
              <w:pStyle w:val="TableParagraph"/>
              <w:spacing w:line="240" w:lineRule="exact" w:before="39"/>
              <w:ind w:left="0" w:right="96"/>
              <w:jc w:val="right"/>
              <w:rPr>
                <w:sz w:val="22"/>
              </w:rPr>
            </w:pPr>
            <w:r>
              <w:rPr>
                <w:spacing w:val="-5"/>
                <w:sz w:val="22"/>
              </w:rPr>
              <w:t>12</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15000</w:t>
            </w:r>
          </w:p>
        </w:tc>
        <w:tc>
          <w:tcPr>
            <w:tcW w:w="766" w:type="dxa"/>
          </w:tcPr>
          <w:p>
            <w:pPr>
              <w:pStyle w:val="TableParagraph"/>
              <w:rPr>
                <w:sz w:val="22"/>
              </w:rPr>
            </w:pPr>
            <w:r>
              <w:rPr>
                <w:spacing w:val="-2"/>
                <w:sz w:val="22"/>
              </w:rPr>
              <w:t>35000</w:t>
            </w:r>
          </w:p>
        </w:tc>
        <w:tc>
          <w:tcPr>
            <w:tcW w:w="877" w:type="dxa"/>
          </w:tcPr>
          <w:p>
            <w:pPr>
              <w:pStyle w:val="TableParagraph"/>
              <w:ind w:left="11" w:right="3"/>
              <w:rPr>
                <w:sz w:val="22"/>
              </w:rPr>
            </w:pPr>
            <w:r>
              <w:rPr>
                <w:spacing w:val="-2"/>
                <w:sz w:val="22"/>
              </w:rPr>
              <w:t>40000</w:t>
            </w:r>
          </w:p>
        </w:tc>
        <w:tc>
          <w:tcPr>
            <w:tcW w:w="1152" w:type="dxa"/>
          </w:tcPr>
          <w:p>
            <w:pPr>
              <w:pStyle w:val="TableParagraph"/>
              <w:ind w:left="9"/>
              <w:rPr>
                <w:sz w:val="22"/>
              </w:rPr>
            </w:pPr>
            <w:r>
              <w:rPr>
                <w:spacing w:val="-2"/>
                <w:sz w:val="22"/>
              </w:rPr>
              <w:t>831486.65</w:t>
            </w:r>
          </w:p>
        </w:tc>
        <w:tc>
          <w:tcPr>
            <w:tcW w:w="1260" w:type="dxa"/>
          </w:tcPr>
          <w:p>
            <w:pPr>
              <w:pStyle w:val="TableParagraph"/>
              <w:ind w:left="9"/>
              <w:rPr>
                <w:sz w:val="22"/>
              </w:rPr>
            </w:pPr>
            <w:r>
              <w:rPr>
                <w:spacing w:val="-2"/>
                <w:sz w:val="22"/>
              </w:rPr>
              <w:t>1003685.24</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13</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15000</w:t>
            </w:r>
          </w:p>
        </w:tc>
        <w:tc>
          <w:tcPr>
            <w:tcW w:w="766" w:type="dxa"/>
          </w:tcPr>
          <w:p>
            <w:pPr>
              <w:pStyle w:val="TableParagraph"/>
              <w:rPr>
                <w:sz w:val="22"/>
              </w:rPr>
            </w:pPr>
            <w:r>
              <w:rPr>
                <w:spacing w:val="-2"/>
                <w:sz w:val="22"/>
              </w:rPr>
              <w:t>35000</w:t>
            </w:r>
          </w:p>
        </w:tc>
        <w:tc>
          <w:tcPr>
            <w:tcW w:w="877" w:type="dxa"/>
          </w:tcPr>
          <w:p>
            <w:pPr>
              <w:pStyle w:val="TableParagraph"/>
              <w:ind w:left="11" w:right="3"/>
              <w:rPr>
                <w:sz w:val="22"/>
              </w:rPr>
            </w:pPr>
            <w:r>
              <w:rPr>
                <w:spacing w:val="-2"/>
                <w:sz w:val="22"/>
              </w:rPr>
              <w:t>40000</w:t>
            </w:r>
          </w:p>
        </w:tc>
        <w:tc>
          <w:tcPr>
            <w:tcW w:w="1152" w:type="dxa"/>
          </w:tcPr>
          <w:p>
            <w:pPr>
              <w:pStyle w:val="TableParagraph"/>
              <w:ind w:left="9"/>
              <w:rPr>
                <w:sz w:val="22"/>
              </w:rPr>
            </w:pPr>
            <w:r>
              <w:rPr>
                <w:spacing w:val="-2"/>
                <w:sz w:val="22"/>
              </w:rPr>
              <w:t>831598.47</w:t>
            </w:r>
          </w:p>
        </w:tc>
        <w:tc>
          <w:tcPr>
            <w:tcW w:w="1260" w:type="dxa"/>
          </w:tcPr>
          <w:p>
            <w:pPr>
              <w:pStyle w:val="TableParagraph"/>
              <w:ind w:left="9" w:right="3"/>
              <w:rPr>
                <w:sz w:val="22"/>
              </w:rPr>
            </w:pPr>
            <w:r>
              <w:rPr>
                <w:spacing w:val="-2"/>
                <w:sz w:val="22"/>
              </w:rPr>
              <w:t>1003452.1</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14</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70000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830999.53</w:t>
            </w:r>
          </w:p>
        </w:tc>
        <w:tc>
          <w:tcPr>
            <w:tcW w:w="1260" w:type="dxa"/>
          </w:tcPr>
          <w:p>
            <w:pPr>
              <w:pStyle w:val="TableParagraph"/>
              <w:ind w:left="9"/>
              <w:rPr>
                <w:sz w:val="22"/>
              </w:rPr>
            </w:pPr>
            <w:r>
              <w:rPr>
                <w:spacing w:val="-2"/>
                <w:sz w:val="22"/>
              </w:rPr>
              <w:t>1002800.76</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15</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75000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831007.55</w:t>
            </w:r>
          </w:p>
        </w:tc>
        <w:tc>
          <w:tcPr>
            <w:tcW w:w="1260" w:type="dxa"/>
          </w:tcPr>
          <w:p>
            <w:pPr>
              <w:pStyle w:val="TableParagraph"/>
              <w:ind w:left="9"/>
              <w:rPr>
                <w:sz w:val="22"/>
              </w:rPr>
            </w:pPr>
            <w:r>
              <w:rPr>
                <w:spacing w:val="-2"/>
                <w:sz w:val="22"/>
              </w:rPr>
              <w:t>1002699.27</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16</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65000</w:t>
            </w:r>
          </w:p>
        </w:tc>
        <w:tc>
          <w:tcPr>
            <w:tcW w:w="766" w:type="dxa"/>
          </w:tcPr>
          <w:p>
            <w:pPr>
              <w:pStyle w:val="TableParagraph"/>
              <w:rPr>
                <w:sz w:val="22"/>
              </w:rPr>
            </w:pPr>
            <w:r>
              <w:rPr>
                <w:spacing w:val="-2"/>
                <w:sz w:val="22"/>
              </w:rPr>
              <w:t>75000</w:t>
            </w:r>
          </w:p>
        </w:tc>
        <w:tc>
          <w:tcPr>
            <w:tcW w:w="877" w:type="dxa"/>
          </w:tcPr>
          <w:p>
            <w:pPr>
              <w:pStyle w:val="TableParagraph"/>
              <w:ind w:left="11" w:right="3"/>
              <w:rPr>
                <w:sz w:val="22"/>
              </w:rPr>
            </w:pPr>
            <w:r>
              <w:rPr>
                <w:spacing w:val="-2"/>
                <w:sz w:val="22"/>
              </w:rPr>
              <w:t>90000</w:t>
            </w:r>
          </w:p>
        </w:tc>
        <w:tc>
          <w:tcPr>
            <w:tcW w:w="1152" w:type="dxa"/>
          </w:tcPr>
          <w:p>
            <w:pPr>
              <w:pStyle w:val="TableParagraph"/>
              <w:ind w:left="9"/>
              <w:rPr>
                <w:sz w:val="22"/>
              </w:rPr>
            </w:pPr>
            <w:r>
              <w:rPr>
                <w:spacing w:val="-2"/>
                <w:sz w:val="22"/>
              </w:rPr>
              <w:t>830833.44</w:t>
            </w:r>
          </w:p>
        </w:tc>
        <w:tc>
          <w:tcPr>
            <w:tcW w:w="1260" w:type="dxa"/>
          </w:tcPr>
          <w:p>
            <w:pPr>
              <w:pStyle w:val="TableParagraph"/>
              <w:ind w:left="9"/>
              <w:rPr>
                <w:sz w:val="22"/>
              </w:rPr>
            </w:pPr>
            <w:r>
              <w:rPr>
                <w:spacing w:val="-2"/>
                <w:sz w:val="22"/>
              </w:rPr>
              <w:t>1002474.12</w:t>
            </w:r>
          </w:p>
        </w:tc>
      </w:tr>
      <w:tr>
        <w:trPr>
          <w:trHeight w:val="302" w:hRule="atLeast"/>
        </w:trPr>
        <w:tc>
          <w:tcPr>
            <w:tcW w:w="600" w:type="dxa"/>
          </w:tcPr>
          <w:p>
            <w:pPr>
              <w:pStyle w:val="TableParagraph"/>
              <w:spacing w:line="240" w:lineRule="exact" w:before="41"/>
              <w:ind w:left="0" w:right="96"/>
              <w:jc w:val="right"/>
              <w:rPr>
                <w:sz w:val="22"/>
              </w:rPr>
            </w:pPr>
            <w:r>
              <w:rPr>
                <w:spacing w:val="-5"/>
                <w:sz w:val="22"/>
              </w:rPr>
              <w:t>17</w:t>
            </w:r>
          </w:p>
        </w:tc>
        <w:tc>
          <w:tcPr>
            <w:tcW w:w="3054"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spacing w:line="249" w:lineRule="exact"/>
              <w:ind w:left="8"/>
              <w:rPr>
                <w:sz w:val="22"/>
              </w:rPr>
            </w:pPr>
            <w:r>
              <w:rPr>
                <w:spacing w:val="-2"/>
                <w:sz w:val="22"/>
              </w:rPr>
              <w:t>60000</w:t>
            </w:r>
          </w:p>
        </w:tc>
        <w:tc>
          <w:tcPr>
            <w:tcW w:w="766" w:type="dxa"/>
          </w:tcPr>
          <w:p>
            <w:pPr>
              <w:pStyle w:val="TableParagraph"/>
              <w:spacing w:line="249" w:lineRule="exact"/>
              <w:rPr>
                <w:sz w:val="22"/>
              </w:rPr>
            </w:pPr>
            <w:r>
              <w:rPr>
                <w:spacing w:val="-2"/>
                <w:sz w:val="22"/>
              </w:rPr>
              <w:t>80000</w:t>
            </w:r>
          </w:p>
        </w:tc>
        <w:tc>
          <w:tcPr>
            <w:tcW w:w="877" w:type="dxa"/>
          </w:tcPr>
          <w:p>
            <w:pPr>
              <w:pStyle w:val="TableParagraph"/>
              <w:spacing w:line="249" w:lineRule="exact"/>
              <w:ind w:left="11" w:right="3"/>
              <w:rPr>
                <w:sz w:val="22"/>
              </w:rPr>
            </w:pPr>
            <w:r>
              <w:rPr>
                <w:spacing w:val="-2"/>
                <w:sz w:val="22"/>
              </w:rPr>
              <w:t>100000</w:t>
            </w:r>
          </w:p>
        </w:tc>
        <w:tc>
          <w:tcPr>
            <w:tcW w:w="1152" w:type="dxa"/>
          </w:tcPr>
          <w:p>
            <w:pPr>
              <w:pStyle w:val="TableParagraph"/>
              <w:spacing w:line="249" w:lineRule="exact"/>
              <w:ind w:left="9"/>
              <w:rPr>
                <w:sz w:val="22"/>
              </w:rPr>
            </w:pPr>
            <w:r>
              <w:rPr>
                <w:spacing w:val="-2"/>
                <w:sz w:val="22"/>
              </w:rPr>
              <w:t>831139.1</w:t>
            </w:r>
          </w:p>
        </w:tc>
        <w:tc>
          <w:tcPr>
            <w:tcW w:w="1260" w:type="dxa"/>
          </w:tcPr>
          <w:p>
            <w:pPr>
              <w:pStyle w:val="TableParagraph"/>
              <w:spacing w:line="249" w:lineRule="exact"/>
              <w:ind w:left="9"/>
              <w:rPr>
                <w:sz w:val="22"/>
              </w:rPr>
            </w:pPr>
            <w:r>
              <w:rPr>
                <w:spacing w:val="-2"/>
                <w:sz w:val="22"/>
              </w:rPr>
              <w:t>1002425.17</w:t>
            </w:r>
          </w:p>
        </w:tc>
      </w:tr>
      <w:tr>
        <w:trPr>
          <w:trHeight w:val="300" w:hRule="atLeast"/>
        </w:trPr>
        <w:tc>
          <w:tcPr>
            <w:tcW w:w="600" w:type="dxa"/>
          </w:tcPr>
          <w:p>
            <w:pPr>
              <w:pStyle w:val="TableParagraph"/>
              <w:spacing w:line="240" w:lineRule="exact" w:before="39"/>
              <w:ind w:left="0" w:right="96"/>
              <w:jc w:val="right"/>
              <w:rPr>
                <w:sz w:val="22"/>
              </w:rPr>
            </w:pPr>
            <w:r>
              <w:rPr>
                <w:spacing w:val="-5"/>
                <w:sz w:val="22"/>
              </w:rPr>
              <w:t>18</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90000</w:t>
            </w:r>
          </w:p>
        </w:tc>
        <w:tc>
          <w:tcPr>
            <w:tcW w:w="1152" w:type="dxa"/>
          </w:tcPr>
          <w:p>
            <w:pPr>
              <w:pStyle w:val="TableParagraph"/>
              <w:ind w:left="9"/>
              <w:rPr>
                <w:sz w:val="22"/>
              </w:rPr>
            </w:pPr>
            <w:r>
              <w:rPr>
                <w:spacing w:val="-2"/>
                <w:sz w:val="22"/>
              </w:rPr>
              <w:t>831016.62</w:t>
            </w:r>
          </w:p>
        </w:tc>
        <w:tc>
          <w:tcPr>
            <w:tcW w:w="1260" w:type="dxa"/>
          </w:tcPr>
          <w:p>
            <w:pPr>
              <w:pStyle w:val="TableParagraph"/>
              <w:ind w:left="9"/>
              <w:rPr>
                <w:sz w:val="22"/>
              </w:rPr>
            </w:pPr>
            <w:r>
              <w:rPr>
                <w:spacing w:val="-2"/>
                <w:sz w:val="22"/>
              </w:rPr>
              <w:t>1002150.06</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19</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65000</w:t>
            </w:r>
          </w:p>
        </w:tc>
        <w:tc>
          <w:tcPr>
            <w:tcW w:w="766" w:type="dxa"/>
          </w:tcPr>
          <w:p>
            <w:pPr>
              <w:pStyle w:val="TableParagraph"/>
              <w:rPr>
                <w:sz w:val="22"/>
              </w:rPr>
            </w:pPr>
            <w:r>
              <w:rPr>
                <w:spacing w:val="-2"/>
                <w:sz w:val="22"/>
              </w:rPr>
              <w:t>75000</w:t>
            </w:r>
          </w:p>
        </w:tc>
        <w:tc>
          <w:tcPr>
            <w:tcW w:w="877" w:type="dxa"/>
          </w:tcPr>
          <w:p>
            <w:pPr>
              <w:pStyle w:val="TableParagraph"/>
              <w:ind w:left="11" w:right="3"/>
              <w:rPr>
                <w:sz w:val="22"/>
              </w:rPr>
            </w:pPr>
            <w:r>
              <w:rPr>
                <w:spacing w:val="-2"/>
                <w:sz w:val="22"/>
              </w:rPr>
              <w:t>95000</w:t>
            </w:r>
          </w:p>
        </w:tc>
        <w:tc>
          <w:tcPr>
            <w:tcW w:w="1152" w:type="dxa"/>
          </w:tcPr>
          <w:p>
            <w:pPr>
              <w:pStyle w:val="TableParagraph"/>
              <w:ind w:left="9"/>
              <w:rPr>
                <w:sz w:val="22"/>
              </w:rPr>
            </w:pPr>
            <w:r>
              <w:rPr>
                <w:spacing w:val="-2"/>
                <w:sz w:val="22"/>
              </w:rPr>
              <w:t>830870.79</w:t>
            </w:r>
          </w:p>
        </w:tc>
        <w:tc>
          <w:tcPr>
            <w:tcW w:w="1260" w:type="dxa"/>
          </w:tcPr>
          <w:p>
            <w:pPr>
              <w:pStyle w:val="TableParagraph"/>
              <w:ind w:left="9"/>
              <w:rPr>
                <w:sz w:val="22"/>
              </w:rPr>
            </w:pPr>
            <w:r>
              <w:rPr>
                <w:spacing w:val="-2"/>
                <w:sz w:val="22"/>
              </w:rPr>
              <w:t>1002134.95</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20</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829986.62</w:t>
            </w:r>
          </w:p>
        </w:tc>
        <w:tc>
          <w:tcPr>
            <w:tcW w:w="1260" w:type="dxa"/>
          </w:tcPr>
          <w:p>
            <w:pPr>
              <w:pStyle w:val="TableParagraph"/>
              <w:ind w:left="9"/>
              <w:rPr>
                <w:sz w:val="22"/>
              </w:rPr>
            </w:pPr>
            <w:r>
              <w:rPr>
                <w:spacing w:val="-2"/>
                <w:sz w:val="22"/>
              </w:rPr>
              <w:t>1001834.58</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21</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830186.54</w:t>
            </w:r>
          </w:p>
        </w:tc>
        <w:tc>
          <w:tcPr>
            <w:tcW w:w="1260" w:type="dxa"/>
          </w:tcPr>
          <w:p>
            <w:pPr>
              <w:pStyle w:val="TableParagraph"/>
              <w:ind w:left="9"/>
              <w:rPr>
                <w:sz w:val="22"/>
              </w:rPr>
            </w:pPr>
            <w:r>
              <w:rPr>
                <w:spacing w:val="-2"/>
                <w:sz w:val="22"/>
              </w:rPr>
              <w:t>1002034.75</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22</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55000</w:t>
            </w:r>
          </w:p>
        </w:tc>
        <w:tc>
          <w:tcPr>
            <w:tcW w:w="766" w:type="dxa"/>
          </w:tcPr>
          <w:p>
            <w:pPr>
              <w:pStyle w:val="TableParagraph"/>
              <w:rPr>
                <w:sz w:val="22"/>
              </w:rPr>
            </w:pPr>
            <w:r>
              <w:rPr>
                <w:spacing w:val="-2"/>
                <w:sz w:val="22"/>
              </w:rPr>
              <w:t>70000</w:t>
            </w:r>
          </w:p>
        </w:tc>
        <w:tc>
          <w:tcPr>
            <w:tcW w:w="877" w:type="dxa"/>
          </w:tcPr>
          <w:p>
            <w:pPr>
              <w:pStyle w:val="TableParagraph"/>
              <w:ind w:left="11" w:right="3"/>
              <w:rPr>
                <w:sz w:val="22"/>
              </w:rPr>
            </w:pPr>
            <w:r>
              <w:rPr>
                <w:spacing w:val="-2"/>
                <w:sz w:val="22"/>
              </w:rPr>
              <w:t>90000</w:t>
            </w:r>
          </w:p>
        </w:tc>
        <w:tc>
          <w:tcPr>
            <w:tcW w:w="1152" w:type="dxa"/>
          </w:tcPr>
          <w:p>
            <w:pPr>
              <w:pStyle w:val="TableParagraph"/>
              <w:ind w:left="9"/>
              <w:rPr>
                <w:sz w:val="22"/>
              </w:rPr>
            </w:pPr>
            <w:r>
              <w:rPr>
                <w:spacing w:val="-2"/>
                <w:sz w:val="22"/>
              </w:rPr>
              <w:t>830357.13</w:t>
            </w:r>
          </w:p>
        </w:tc>
        <w:tc>
          <w:tcPr>
            <w:tcW w:w="1260" w:type="dxa"/>
          </w:tcPr>
          <w:p>
            <w:pPr>
              <w:pStyle w:val="TableParagraph"/>
              <w:ind w:left="9"/>
              <w:rPr>
                <w:sz w:val="22"/>
              </w:rPr>
            </w:pPr>
            <w:r>
              <w:rPr>
                <w:spacing w:val="-2"/>
                <w:sz w:val="22"/>
              </w:rPr>
              <w:t>1002088.38</w:t>
            </w:r>
          </w:p>
        </w:tc>
      </w:tr>
      <w:tr>
        <w:trPr>
          <w:trHeight w:val="302" w:hRule="atLeast"/>
        </w:trPr>
        <w:tc>
          <w:tcPr>
            <w:tcW w:w="600" w:type="dxa"/>
          </w:tcPr>
          <w:p>
            <w:pPr>
              <w:pStyle w:val="TableParagraph"/>
              <w:spacing w:line="240" w:lineRule="exact" w:before="41"/>
              <w:ind w:left="0" w:right="96"/>
              <w:jc w:val="right"/>
              <w:rPr>
                <w:sz w:val="22"/>
              </w:rPr>
            </w:pPr>
            <w:r>
              <w:rPr>
                <w:spacing w:val="-5"/>
                <w:sz w:val="22"/>
              </w:rPr>
              <w:t>23</w:t>
            </w:r>
          </w:p>
        </w:tc>
        <w:tc>
          <w:tcPr>
            <w:tcW w:w="3054"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spacing w:line="249" w:lineRule="exact"/>
              <w:ind w:left="8"/>
              <w:rPr>
                <w:sz w:val="22"/>
              </w:rPr>
            </w:pPr>
            <w:r>
              <w:rPr>
                <w:spacing w:val="-2"/>
                <w:sz w:val="22"/>
              </w:rPr>
              <w:t>60000</w:t>
            </w:r>
          </w:p>
        </w:tc>
        <w:tc>
          <w:tcPr>
            <w:tcW w:w="766" w:type="dxa"/>
          </w:tcPr>
          <w:p>
            <w:pPr>
              <w:pStyle w:val="TableParagraph"/>
              <w:spacing w:line="249" w:lineRule="exact"/>
              <w:rPr>
                <w:sz w:val="22"/>
              </w:rPr>
            </w:pPr>
            <w:r>
              <w:rPr>
                <w:spacing w:val="-2"/>
                <w:sz w:val="22"/>
              </w:rPr>
              <w:t>80000</w:t>
            </w:r>
          </w:p>
        </w:tc>
        <w:tc>
          <w:tcPr>
            <w:tcW w:w="877" w:type="dxa"/>
          </w:tcPr>
          <w:p>
            <w:pPr>
              <w:pStyle w:val="TableParagraph"/>
              <w:spacing w:line="249" w:lineRule="exact"/>
              <w:ind w:left="11" w:right="3"/>
              <w:rPr>
                <w:sz w:val="22"/>
              </w:rPr>
            </w:pPr>
            <w:r>
              <w:rPr>
                <w:spacing w:val="-2"/>
                <w:sz w:val="22"/>
              </w:rPr>
              <w:t>100000</w:t>
            </w:r>
          </w:p>
        </w:tc>
        <w:tc>
          <w:tcPr>
            <w:tcW w:w="1152" w:type="dxa"/>
          </w:tcPr>
          <w:p>
            <w:pPr>
              <w:pStyle w:val="TableParagraph"/>
              <w:spacing w:line="249" w:lineRule="exact"/>
              <w:ind w:left="9"/>
              <w:rPr>
                <w:sz w:val="22"/>
              </w:rPr>
            </w:pPr>
            <w:r>
              <w:rPr>
                <w:spacing w:val="-2"/>
                <w:sz w:val="22"/>
              </w:rPr>
              <w:t>830727.06</w:t>
            </w:r>
          </w:p>
        </w:tc>
        <w:tc>
          <w:tcPr>
            <w:tcW w:w="1260" w:type="dxa"/>
          </w:tcPr>
          <w:p>
            <w:pPr>
              <w:pStyle w:val="TableParagraph"/>
              <w:spacing w:line="249" w:lineRule="exact"/>
              <w:ind w:left="9"/>
              <w:rPr>
                <w:sz w:val="22"/>
              </w:rPr>
            </w:pPr>
            <w:r>
              <w:rPr>
                <w:spacing w:val="-2"/>
                <w:sz w:val="22"/>
              </w:rPr>
              <w:t>1001992.86</w:t>
            </w:r>
          </w:p>
        </w:tc>
      </w:tr>
      <w:tr>
        <w:trPr>
          <w:trHeight w:val="299" w:hRule="atLeast"/>
        </w:trPr>
        <w:tc>
          <w:tcPr>
            <w:tcW w:w="600" w:type="dxa"/>
          </w:tcPr>
          <w:p>
            <w:pPr>
              <w:pStyle w:val="TableParagraph"/>
              <w:spacing w:line="240" w:lineRule="exact" w:before="39"/>
              <w:ind w:left="0" w:right="96"/>
              <w:jc w:val="right"/>
              <w:rPr>
                <w:sz w:val="22"/>
              </w:rPr>
            </w:pPr>
            <w:r>
              <w:rPr>
                <w:spacing w:val="-5"/>
                <w:sz w:val="22"/>
              </w:rPr>
              <w:t>24</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55000</w:t>
            </w:r>
          </w:p>
        </w:tc>
        <w:tc>
          <w:tcPr>
            <w:tcW w:w="766" w:type="dxa"/>
          </w:tcPr>
          <w:p>
            <w:pPr>
              <w:pStyle w:val="TableParagraph"/>
              <w:rPr>
                <w:sz w:val="22"/>
              </w:rPr>
            </w:pPr>
            <w:r>
              <w:rPr>
                <w:spacing w:val="-4"/>
                <w:sz w:val="22"/>
              </w:rPr>
              <w:t>7000</w:t>
            </w:r>
          </w:p>
        </w:tc>
        <w:tc>
          <w:tcPr>
            <w:tcW w:w="877" w:type="dxa"/>
          </w:tcPr>
          <w:p>
            <w:pPr>
              <w:pStyle w:val="TableParagraph"/>
              <w:ind w:left="11" w:right="3"/>
              <w:rPr>
                <w:sz w:val="22"/>
              </w:rPr>
            </w:pPr>
            <w:r>
              <w:rPr>
                <w:spacing w:val="-2"/>
                <w:sz w:val="22"/>
              </w:rPr>
              <w:t>90000</w:t>
            </w:r>
          </w:p>
        </w:tc>
        <w:tc>
          <w:tcPr>
            <w:tcW w:w="1152" w:type="dxa"/>
          </w:tcPr>
          <w:p>
            <w:pPr>
              <w:pStyle w:val="TableParagraph"/>
              <w:ind w:left="9"/>
              <w:rPr>
                <w:sz w:val="22"/>
              </w:rPr>
            </w:pPr>
            <w:r>
              <w:rPr>
                <w:spacing w:val="-2"/>
                <w:sz w:val="22"/>
              </w:rPr>
              <w:t>830027.92</w:t>
            </w:r>
          </w:p>
        </w:tc>
        <w:tc>
          <w:tcPr>
            <w:tcW w:w="1260" w:type="dxa"/>
          </w:tcPr>
          <w:p>
            <w:pPr>
              <w:pStyle w:val="TableParagraph"/>
              <w:ind w:left="9"/>
              <w:rPr>
                <w:sz w:val="22"/>
              </w:rPr>
            </w:pPr>
            <w:r>
              <w:rPr>
                <w:spacing w:val="-2"/>
                <w:sz w:val="22"/>
              </w:rPr>
              <w:t>1002025.79</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25</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75000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830614.73</w:t>
            </w:r>
          </w:p>
        </w:tc>
        <w:tc>
          <w:tcPr>
            <w:tcW w:w="1260" w:type="dxa"/>
          </w:tcPr>
          <w:p>
            <w:pPr>
              <w:pStyle w:val="TableParagraph"/>
              <w:ind w:left="9"/>
              <w:rPr>
                <w:sz w:val="22"/>
              </w:rPr>
            </w:pPr>
            <w:r>
              <w:rPr>
                <w:spacing w:val="-2"/>
                <w:sz w:val="22"/>
              </w:rPr>
              <w:t>1002257.75</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26</w:t>
            </w:r>
          </w:p>
        </w:tc>
        <w:tc>
          <w:tcPr>
            <w:tcW w:w="3054" w:type="dxa"/>
          </w:tcPr>
          <w:p>
            <w:pPr>
              <w:pStyle w:val="TableParagraph"/>
              <w:ind w:left="107"/>
              <w:jc w:val="left"/>
              <w:rPr>
                <w:sz w:val="22"/>
              </w:rPr>
            </w:pPr>
            <w:r>
              <w:rPr>
                <w:sz w:val="22"/>
              </w:rPr>
              <w:t>Usman</w:t>
            </w:r>
            <w:r>
              <w:rPr>
                <w:spacing w:val="-2"/>
                <w:sz w:val="22"/>
              </w:rPr>
              <w:t> </w:t>
            </w:r>
            <w:r>
              <w:rPr>
                <w:sz w:val="22"/>
              </w:rPr>
              <w:t>Maishera</w:t>
            </w:r>
            <w:r>
              <w:rPr>
                <w:spacing w:val="-3"/>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75000</w:t>
            </w:r>
          </w:p>
        </w:tc>
        <w:tc>
          <w:tcPr>
            <w:tcW w:w="877" w:type="dxa"/>
          </w:tcPr>
          <w:p>
            <w:pPr>
              <w:pStyle w:val="TableParagraph"/>
              <w:ind w:left="11" w:right="3"/>
              <w:rPr>
                <w:sz w:val="22"/>
              </w:rPr>
            </w:pPr>
            <w:r>
              <w:rPr>
                <w:spacing w:val="-2"/>
                <w:sz w:val="22"/>
              </w:rPr>
              <w:t>90000</w:t>
            </w:r>
          </w:p>
        </w:tc>
        <w:tc>
          <w:tcPr>
            <w:tcW w:w="1152" w:type="dxa"/>
          </w:tcPr>
          <w:p>
            <w:pPr>
              <w:pStyle w:val="TableParagraph"/>
              <w:ind w:left="9"/>
              <w:rPr>
                <w:sz w:val="22"/>
              </w:rPr>
            </w:pPr>
            <w:r>
              <w:rPr>
                <w:spacing w:val="-2"/>
                <w:sz w:val="22"/>
              </w:rPr>
              <w:t>829745.24</w:t>
            </w:r>
          </w:p>
        </w:tc>
        <w:tc>
          <w:tcPr>
            <w:tcW w:w="1260" w:type="dxa"/>
          </w:tcPr>
          <w:p>
            <w:pPr>
              <w:pStyle w:val="TableParagraph"/>
              <w:ind w:left="9"/>
              <w:rPr>
                <w:sz w:val="22"/>
              </w:rPr>
            </w:pPr>
            <w:r>
              <w:rPr>
                <w:spacing w:val="-2"/>
                <w:sz w:val="22"/>
              </w:rPr>
              <w:t>1001836.95</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27</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65000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829600.05</w:t>
            </w:r>
          </w:p>
        </w:tc>
        <w:tc>
          <w:tcPr>
            <w:tcW w:w="1260" w:type="dxa"/>
          </w:tcPr>
          <w:p>
            <w:pPr>
              <w:pStyle w:val="TableParagraph"/>
              <w:ind w:left="9"/>
              <w:rPr>
                <w:sz w:val="22"/>
              </w:rPr>
            </w:pPr>
            <w:r>
              <w:rPr>
                <w:spacing w:val="-2"/>
                <w:sz w:val="22"/>
              </w:rPr>
              <w:t>1001783.75</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28</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829633.26</w:t>
            </w:r>
          </w:p>
        </w:tc>
        <w:tc>
          <w:tcPr>
            <w:tcW w:w="1260" w:type="dxa"/>
          </w:tcPr>
          <w:p>
            <w:pPr>
              <w:pStyle w:val="TableParagraph"/>
              <w:ind w:left="9"/>
              <w:rPr>
                <w:sz w:val="22"/>
              </w:rPr>
            </w:pPr>
            <w:r>
              <w:rPr>
                <w:spacing w:val="-2"/>
                <w:sz w:val="22"/>
              </w:rPr>
              <w:t>1001695.38</w:t>
            </w:r>
          </w:p>
        </w:tc>
      </w:tr>
      <w:tr>
        <w:trPr>
          <w:trHeight w:val="302" w:hRule="atLeast"/>
        </w:trPr>
        <w:tc>
          <w:tcPr>
            <w:tcW w:w="600" w:type="dxa"/>
          </w:tcPr>
          <w:p>
            <w:pPr>
              <w:pStyle w:val="TableParagraph"/>
              <w:spacing w:line="240" w:lineRule="exact" w:before="42"/>
              <w:ind w:left="0" w:right="96"/>
              <w:jc w:val="right"/>
              <w:rPr>
                <w:sz w:val="22"/>
              </w:rPr>
            </w:pPr>
            <w:r>
              <w:rPr>
                <w:spacing w:val="-5"/>
                <w:sz w:val="22"/>
              </w:rPr>
              <w:t>29</w:t>
            </w:r>
          </w:p>
        </w:tc>
        <w:tc>
          <w:tcPr>
            <w:tcW w:w="3054" w:type="dxa"/>
          </w:tcPr>
          <w:p>
            <w:pPr>
              <w:pStyle w:val="TableParagraph"/>
              <w:spacing w:line="250"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spacing w:line="250" w:lineRule="exact"/>
              <w:ind w:left="8"/>
              <w:rPr>
                <w:sz w:val="22"/>
              </w:rPr>
            </w:pPr>
            <w:r>
              <w:rPr>
                <w:spacing w:val="-2"/>
                <w:sz w:val="22"/>
              </w:rPr>
              <w:t>60000</w:t>
            </w:r>
          </w:p>
        </w:tc>
        <w:tc>
          <w:tcPr>
            <w:tcW w:w="766" w:type="dxa"/>
          </w:tcPr>
          <w:p>
            <w:pPr>
              <w:pStyle w:val="TableParagraph"/>
              <w:spacing w:line="250" w:lineRule="exact"/>
              <w:rPr>
                <w:sz w:val="22"/>
              </w:rPr>
            </w:pPr>
            <w:r>
              <w:rPr>
                <w:spacing w:val="-2"/>
                <w:sz w:val="22"/>
              </w:rPr>
              <w:t>75000</w:t>
            </w:r>
          </w:p>
        </w:tc>
        <w:tc>
          <w:tcPr>
            <w:tcW w:w="877" w:type="dxa"/>
          </w:tcPr>
          <w:p>
            <w:pPr>
              <w:pStyle w:val="TableParagraph"/>
              <w:spacing w:line="250" w:lineRule="exact"/>
              <w:ind w:left="11" w:right="3"/>
              <w:rPr>
                <w:sz w:val="22"/>
              </w:rPr>
            </w:pPr>
            <w:r>
              <w:rPr>
                <w:spacing w:val="-2"/>
                <w:sz w:val="22"/>
              </w:rPr>
              <w:t>95000</w:t>
            </w:r>
          </w:p>
        </w:tc>
        <w:tc>
          <w:tcPr>
            <w:tcW w:w="1152" w:type="dxa"/>
          </w:tcPr>
          <w:p>
            <w:pPr>
              <w:pStyle w:val="TableParagraph"/>
              <w:spacing w:line="250" w:lineRule="exact"/>
              <w:ind w:left="9"/>
              <w:rPr>
                <w:sz w:val="22"/>
              </w:rPr>
            </w:pPr>
            <w:r>
              <w:rPr>
                <w:spacing w:val="-2"/>
                <w:sz w:val="22"/>
              </w:rPr>
              <w:t>829398.55</w:t>
            </w:r>
          </w:p>
        </w:tc>
        <w:tc>
          <w:tcPr>
            <w:tcW w:w="1260" w:type="dxa"/>
          </w:tcPr>
          <w:p>
            <w:pPr>
              <w:pStyle w:val="TableParagraph"/>
              <w:spacing w:line="250" w:lineRule="exact"/>
              <w:ind w:left="9"/>
              <w:rPr>
                <w:sz w:val="22"/>
              </w:rPr>
            </w:pPr>
            <w:r>
              <w:rPr>
                <w:spacing w:val="-2"/>
                <w:sz w:val="22"/>
              </w:rPr>
              <w:t>1001678.81</w:t>
            </w:r>
          </w:p>
        </w:tc>
      </w:tr>
      <w:tr>
        <w:trPr>
          <w:trHeight w:val="299" w:hRule="atLeast"/>
        </w:trPr>
        <w:tc>
          <w:tcPr>
            <w:tcW w:w="600" w:type="dxa"/>
          </w:tcPr>
          <w:p>
            <w:pPr>
              <w:pStyle w:val="TableParagraph"/>
              <w:spacing w:line="240" w:lineRule="exact" w:before="39"/>
              <w:ind w:left="0" w:right="96"/>
              <w:jc w:val="right"/>
              <w:rPr>
                <w:sz w:val="22"/>
              </w:rPr>
            </w:pPr>
            <w:r>
              <w:rPr>
                <w:spacing w:val="-5"/>
                <w:sz w:val="22"/>
              </w:rPr>
              <w:t>30</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65000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10000</w:t>
            </w:r>
          </w:p>
        </w:tc>
        <w:tc>
          <w:tcPr>
            <w:tcW w:w="1152" w:type="dxa"/>
          </w:tcPr>
          <w:p>
            <w:pPr>
              <w:pStyle w:val="TableParagraph"/>
              <w:ind w:left="9"/>
              <w:rPr>
                <w:sz w:val="22"/>
              </w:rPr>
            </w:pPr>
            <w:r>
              <w:rPr>
                <w:spacing w:val="-2"/>
                <w:sz w:val="22"/>
              </w:rPr>
              <w:t>830208.02</w:t>
            </w:r>
          </w:p>
        </w:tc>
        <w:tc>
          <w:tcPr>
            <w:tcW w:w="1260" w:type="dxa"/>
          </w:tcPr>
          <w:p>
            <w:pPr>
              <w:pStyle w:val="TableParagraph"/>
              <w:ind w:left="9" w:right="3"/>
              <w:rPr>
                <w:sz w:val="22"/>
              </w:rPr>
            </w:pPr>
            <w:r>
              <w:rPr>
                <w:spacing w:val="-2"/>
                <w:sz w:val="22"/>
              </w:rPr>
              <w:t>1002657.5</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31</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829717.46</w:t>
            </w:r>
          </w:p>
        </w:tc>
        <w:tc>
          <w:tcPr>
            <w:tcW w:w="1260" w:type="dxa"/>
          </w:tcPr>
          <w:p>
            <w:pPr>
              <w:pStyle w:val="TableParagraph"/>
              <w:ind w:left="9"/>
              <w:rPr>
                <w:sz w:val="22"/>
              </w:rPr>
            </w:pPr>
            <w:r>
              <w:rPr>
                <w:spacing w:val="-2"/>
                <w:sz w:val="22"/>
              </w:rPr>
              <w:t>1002751.02</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32</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70000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120000</w:t>
            </w:r>
          </w:p>
        </w:tc>
        <w:tc>
          <w:tcPr>
            <w:tcW w:w="1152" w:type="dxa"/>
          </w:tcPr>
          <w:p>
            <w:pPr>
              <w:pStyle w:val="TableParagraph"/>
              <w:ind w:left="9"/>
              <w:rPr>
                <w:sz w:val="22"/>
              </w:rPr>
            </w:pPr>
            <w:r>
              <w:rPr>
                <w:spacing w:val="-2"/>
                <w:sz w:val="22"/>
              </w:rPr>
              <w:t>829029.87</w:t>
            </w:r>
          </w:p>
        </w:tc>
        <w:tc>
          <w:tcPr>
            <w:tcW w:w="1260" w:type="dxa"/>
          </w:tcPr>
          <w:p>
            <w:pPr>
              <w:pStyle w:val="TableParagraph"/>
              <w:ind w:left="9"/>
              <w:rPr>
                <w:sz w:val="22"/>
              </w:rPr>
            </w:pPr>
            <w:r>
              <w:rPr>
                <w:spacing w:val="-2"/>
                <w:sz w:val="22"/>
              </w:rPr>
              <w:t>1002853.98</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33</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2"/>
                <w:sz w:val="22"/>
              </w:rPr>
              <w:t> Associates</w:t>
            </w:r>
          </w:p>
        </w:tc>
        <w:tc>
          <w:tcPr>
            <w:tcW w:w="850" w:type="dxa"/>
          </w:tcPr>
          <w:p>
            <w:pPr>
              <w:pStyle w:val="TableParagraph"/>
              <w:ind w:left="8"/>
              <w:rPr>
                <w:sz w:val="22"/>
              </w:rPr>
            </w:pPr>
            <w:r>
              <w:rPr>
                <w:spacing w:val="-2"/>
                <w:sz w:val="22"/>
              </w:rPr>
              <w:t>70000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120000</w:t>
            </w:r>
          </w:p>
        </w:tc>
        <w:tc>
          <w:tcPr>
            <w:tcW w:w="1152" w:type="dxa"/>
          </w:tcPr>
          <w:p>
            <w:pPr>
              <w:pStyle w:val="TableParagraph"/>
              <w:ind w:left="9"/>
              <w:rPr>
                <w:sz w:val="22"/>
              </w:rPr>
            </w:pPr>
            <w:r>
              <w:rPr>
                <w:spacing w:val="-2"/>
                <w:sz w:val="22"/>
              </w:rPr>
              <w:t>829093.61</w:t>
            </w:r>
          </w:p>
        </w:tc>
        <w:tc>
          <w:tcPr>
            <w:tcW w:w="1260" w:type="dxa"/>
          </w:tcPr>
          <w:p>
            <w:pPr>
              <w:pStyle w:val="TableParagraph"/>
              <w:ind w:left="9"/>
              <w:rPr>
                <w:sz w:val="22"/>
              </w:rPr>
            </w:pPr>
            <w:r>
              <w:rPr>
                <w:spacing w:val="-2"/>
                <w:sz w:val="22"/>
              </w:rPr>
              <w:t>1002454.93</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34</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70000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120000</w:t>
            </w:r>
          </w:p>
        </w:tc>
        <w:tc>
          <w:tcPr>
            <w:tcW w:w="1152" w:type="dxa"/>
          </w:tcPr>
          <w:p>
            <w:pPr>
              <w:pStyle w:val="TableParagraph"/>
              <w:ind w:left="9"/>
              <w:rPr>
                <w:sz w:val="22"/>
              </w:rPr>
            </w:pPr>
            <w:r>
              <w:rPr>
                <w:spacing w:val="-2"/>
                <w:sz w:val="22"/>
              </w:rPr>
              <w:t>828669.61</w:t>
            </w:r>
          </w:p>
        </w:tc>
        <w:tc>
          <w:tcPr>
            <w:tcW w:w="1260" w:type="dxa"/>
          </w:tcPr>
          <w:p>
            <w:pPr>
              <w:pStyle w:val="TableParagraph"/>
              <w:ind w:left="9"/>
              <w:rPr>
                <w:sz w:val="22"/>
              </w:rPr>
            </w:pPr>
            <w:r>
              <w:rPr>
                <w:spacing w:val="-2"/>
                <w:sz w:val="22"/>
              </w:rPr>
              <w:t>1003518.04</w:t>
            </w:r>
          </w:p>
        </w:tc>
      </w:tr>
      <w:tr>
        <w:trPr>
          <w:trHeight w:val="301" w:hRule="atLeast"/>
        </w:trPr>
        <w:tc>
          <w:tcPr>
            <w:tcW w:w="600" w:type="dxa"/>
          </w:tcPr>
          <w:p>
            <w:pPr>
              <w:pStyle w:val="TableParagraph"/>
              <w:spacing w:line="240" w:lineRule="exact" w:before="41"/>
              <w:ind w:left="0" w:right="96"/>
              <w:jc w:val="right"/>
              <w:rPr>
                <w:sz w:val="22"/>
              </w:rPr>
            </w:pPr>
            <w:r>
              <w:rPr>
                <w:spacing w:val="-5"/>
                <w:sz w:val="22"/>
              </w:rPr>
              <w:t>35</w:t>
            </w:r>
          </w:p>
        </w:tc>
        <w:tc>
          <w:tcPr>
            <w:tcW w:w="3054"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spacing w:line="249" w:lineRule="exact"/>
              <w:ind w:left="8"/>
              <w:rPr>
                <w:sz w:val="22"/>
              </w:rPr>
            </w:pPr>
            <w:r>
              <w:rPr>
                <w:spacing w:val="-2"/>
                <w:sz w:val="22"/>
              </w:rPr>
              <w:t>65000</w:t>
            </w:r>
          </w:p>
        </w:tc>
        <w:tc>
          <w:tcPr>
            <w:tcW w:w="766" w:type="dxa"/>
          </w:tcPr>
          <w:p>
            <w:pPr>
              <w:pStyle w:val="TableParagraph"/>
              <w:spacing w:line="249" w:lineRule="exact"/>
              <w:rPr>
                <w:sz w:val="22"/>
              </w:rPr>
            </w:pPr>
            <w:r>
              <w:rPr>
                <w:spacing w:val="-2"/>
                <w:sz w:val="22"/>
              </w:rPr>
              <w:t>80000</w:t>
            </w:r>
          </w:p>
        </w:tc>
        <w:tc>
          <w:tcPr>
            <w:tcW w:w="877" w:type="dxa"/>
          </w:tcPr>
          <w:p>
            <w:pPr>
              <w:pStyle w:val="TableParagraph"/>
              <w:spacing w:line="249" w:lineRule="exact"/>
              <w:ind w:left="11" w:right="3"/>
              <w:rPr>
                <w:sz w:val="22"/>
              </w:rPr>
            </w:pPr>
            <w:r>
              <w:rPr>
                <w:spacing w:val="-2"/>
                <w:sz w:val="22"/>
              </w:rPr>
              <w:t>100000</w:t>
            </w:r>
          </w:p>
        </w:tc>
        <w:tc>
          <w:tcPr>
            <w:tcW w:w="1152" w:type="dxa"/>
          </w:tcPr>
          <w:p>
            <w:pPr>
              <w:pStyle w:val="TableParagraph"/>
              <w:spacing w:line="249" w:lineRule="exact"/>
              <w:ind w:left="9"/>
              <w:rPr>
                <w:sz w:val="22"/>
              </w:rPr>
            </w:pPr>
            <w:r>
              <w:rPr>
                <w:spacing w:val="-2"/>
                <w:sz w:val="22"/>
              </w:rPr>
              <w:t>828382.34</w:t>
            </w:r>
          </w:p>
        </w:tc>
        <w:tc>
          <w:tcPr>
            <w:tcW w:w="1260" w:type="dxa"/>
          </w:tcPr>
          <w:p>
            <w:pPr>
              <w:pStyle w:val="TableParagraph"/>
              <w:spacing w:line="249" w:lineRule="exact"/>
              <w:ind w:left="9"/>
              <w:rPr>
                <w:sz w:val="22"/>
              </w:rPr>
            </w:pPr>
            <w:r>
              <w:rPr>
                <w:spacing w:val="-2"/>
                <w:sz w:val="22"/>
              </w:rPr>
              <w:t>1004376.99</w:t>
            </w:r>
          </w:p>
        </w:tc>
      </w:tr>
      <w:tr>
        <w:trPr>
          <w:trHeight w:val="299" w:hRule="atLeast"/>
        </w:trPr>
        <w:tc>
          <w:tcPr>
            <w:tcW w:w="600" w:type="dxa"/>
          </w:tcPr>
          <w:p>
            <w:pPr>
              <w:pStyle w:val="TableParagraph"/>
              <w:spacing w:line="240" w:lineRule="exact" w:before="39"/>
              <w:ind w:left="0" w:right="96"/>
              <w:jc w:val="right"/>
              <w:rPr>
                <w:sz w:val="22"/>
              </w:rPr>
            </w:pPr>
            <w:r>
              <w:rPr>
                <w:spacing w:val="-5"/>
                <w:sz w:val="22"/>
              </w:rPr>
              <w:t>36</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85000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830901.7</w:t>
            </w:r>
          </w:p>
        </w:tc>
        <w:tc>
          <w:tcPr>
            <w:tcW w:w="1260" w:type="dxa"/>
          </w:tcPr>
          <w:p>
            <w:pPr>
              <w:pStyle w:val="TableParagraph"/>
              <w:ind w:left="9"/>
              <w:rPr>
                <w:sz w:val="22"/>
              </w:rPr>
            </w:pPr>
            <w:r>
              <w:rPr>
                <w:spacing w:val="-2"/>
                <w:sz w:val="22"/>
              </w:rPr>
              <w:t>1002571.14</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37</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830766.21</w:t>
            </w:r>
          </w:p>
        </w:tc>
        <w:tc>
          <w:tcPr>
            <w:tcW w:w="1260" w:type="dxa"/>
          </w:tcPr>
          <w:p>
            <w:pPr>
              <w:pStyle w:val="TableParagraph"/>
              <w:ind w:left="9"/>
              <w:rPr>
                <w:sz w:val="22"/>
              </w:rPr>
            </w:pPr>
            <w:r>
              <w:rPr>
                <w:spacing w:val="-2"/>
                <w:sz w:val="22"/>
              </w:rPr>
              <w:t>1002314.87</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38</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50000</w:t>
            </w:r>
          </w:p>
        </w:tc>
        <w:tc>
          <w:tcPr>
            <w:tcW w:w="766" w:type="dxa"/>
          </w:tcPr>
          <w:p>
            <w:pPr>
              <w:pStyle w:val="TableParagraph"/>
              <w:rPr>
                <w:sz w:val="22"/>
              </w:rPr>
            </w:pPr>
            <w:r>
              <w:rPr>
                <w:spacing w:val="-2"/>
                <w:sz w:val="22"/>
              </w:rPr>
              <w:t>70000</w:t>
            </w:r>
          </w:p>
        </w:tc>
        <w:tc>
          <w:tcPr>
            <w:tcW w:w="877" w:type="dxa"/>
          </w:tcPr>
          <w:p>
            <w:pPr>
              <w:pStyle w:val="TableParagraph"/>
              <w:ind w:left="11" w:right="3"/>
              <w:rPr>
                <w:sz w:val="22"/>
              </w:rPr>
            </w:pPr>
            <w:r>
              <w:rPr>
                <w:spacing w:val="-2"/>
                <w:sz w:val="22"/>
              </w:rPr>
              <w:t>85000</w:t>
            </w:r>
          </w:p>
        </w:tc>
        <w:tc>
          <w:tcPr>
            <w:tcW w:w="1152" w:type="dxa"/>
          </w:tcPr>
          <w:p>
            <w:pPr>
              <w:pStyle w:val="TableParagraph"/>
              <w:ind w:left="9"/>
              <w:rPr>
                <w:sz w:val="22"/>
              </w:rPr>
            </w:pPr>
            <w:r>
              <w:rPr>
                <w:spacing w:val="-2"/>
                <w:sz w:val="22"/>
              </w:rPr>
              <w:t>830430.64</w:t>
            </w:r>
          </w:p>
        </w:tc>
        <w:tc>
          <w:tcPr>
            <w:tcW w:w="1260" w:type="dxa"/>
          </w:tcPr>
          <w:p>
            <w:pPr>
              <w:pStyle w:val="TableParagraph"/>
              <w:ind w:left="9"/>
              <w:rPr>
                <w:sz w:val="22"/>
              </w:rPr>
            </w:pPr>
            <w:r>
              <w:rPr>
                <w:spacing w:val="-2"/>
                <w:sz w:val="22"/>
              </w:rPr>
              <w:t>1002252.17</w:t>
            </w:r>
          </w:p>
        </w:tc>
      </w:tr>
    </w:tbl>
    <w:p>
      <w:pPr>
        <w:spacing w:after="0"/>
        <w:rPr>
          <w:sz w:val="22"/>
        </w:rPr>
        <w:sectPr>
          <w:pgSz w:w="11910" w:h="16840"/>
          <w:pgMar w:header="0" w:footer="1022" w:top="1320" w:bottom="1348" w:left="1680" w:right="900"/>
        </w:sectPr>
      </w:pPr>
    </w:p>
    <w:tbl>
      <w:tblPr>
        <w:tblW w:w="0" w:type="auto"/>
        <w:jc w:val="left"/>
        <w:tblInd w:w="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0"/>
        <w:gridCol w:w="3054"/>
        <w:gridCol w:w="850"/>
        <w:gridCol w:w="766"/>
        <w:gridCol w:w="877"/>
        <w:gridCol w:w="1152"/>
        <w:gridCol w:w="1260"/>
      </w:tblGrid>
      <w:tr>
        <w:trPr>
          <w:trHeight w:val="299" w:hRule="atLeast"/>
        </w:trPr>
        <w:tc>
          <w:tcPr>
            <w:tcW w:w="600" w:type="dxa"/>
          </w:tcPr>
          <w:p>
            <w:pPr>
              <w:pStyle w:val="TableParagraph"/>
              <w:spacing w:line="238" w:lineRule="exact" w:before="41"/>
              <w:ind w:left="0" w:right="96"/>
              <w:jc w:val="right"/>
              <w:rPr>
                <w:sz w:val="22"/>
              </w:rPr>
            </w:pPr>
            <w:r>
              <w:rPr>
                <w:spacing w:val="-5"/>
                <w:sz w:val="22"/>
              </w:rPr>
              <w:t>39</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830167.33</w:t>
            </w:r>
          </w:p>
        </w:tc>
        <w:tc>
          <w:tcPr>
            <w:tcW w:w="1260" w:type="dxa"/>
          </w:tcPr>
          <w:p>
            <w:pPr>
              <w:pStyle w:val="TableParagraph"/>
              <w:ind w:left="9"/>
              <w:rPr>
                <w:sz w:val="22"/>
              </w:rPr>
            </w:pPr>
            <w:r>
              <w:rPr>
                <w:spacing w:val="-2"/>
                <w:sz w:val="22"/>
              </w:rPr>
              <w:t>1002429.46</w:t>
            </w:r>
          </w:p>
        </w:tc>
      </w:tr>
      <w:tr>
        <w:trPr>
          <w:trHeight w:val="300" w:hRule="atLeast"/>
        </w:trPr>
        <w:tc>
          <w:tcPr>
            <w:tcW w:w="600" w:type="dxa"/>
          </w:tcPr>
          <w:p>
            <w:pPr>
              <w:pStyle w:val="TableParagraph"/>
              <w:spacing w:line="238" w:lineRule="exact" w:before="42"/>
              <w:ind w:left="0" w:right="96"/>
              <w:jc w:val="right"/>
              <w:rPr>
                <w:sz w:val="22"/>
              </w:rPr>
            </w:pPr>
            <w:r>
              <w:rPr>
                <w:spacing w:val="-5"/>
                <w:sz w:val="22"/>
              </w:rPr>
              <w:t>40</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2"/>
                <w:sz w:val="22"/>
              </w:rPr>
              <w:t> 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75000</w:t>
            </w:r>
          </w:p>
        </w:tc>
        <w:tc>
          <w:tcPr>
            <w:tcW w:w="877" w:type="dxa"/>
          </w:tcPr>
          <w:p>
            <w:pPr>
              <w:pStyle w:val="TableParagraph"/>
              <w:ind w:left="11" w:right="3"/>
              <w:rPr>
                <w:sz w:val="22"/>
              </w:rPr>
            </w:pPr>
            <w:r>
              <w:rPr>
                <w:spacing w:val="-2"/>
                <w:sz w:val="22"/>
              </w:rPr>
              <w:t>95000</w:t>
            </w:r>
          </w:p>
        </w:tc>
        <w:tc>
          <w:tcPr>
            <w:tcW w:w="1152" w:type="dxa"/>
          </w:tcPr>
          <w:p>
            <w:pPr>
              <w:pStyle w:val="TableParagraph"/>
              <w:ind w:left="9"/>
              <w:rPr>
                <w:sz w:val="22"/>
              </w:rPr>
            </w:pPr>
            <w:r>
              <w:rPr>
                <w:spacing w:val="-2"/>
                <w:sz w:val="22"/>
              </w:rPr>
              <w:t>829990.05</w:t>
            </w:r>
          </w:p>
        </w:tc>
        <w:tc>
          <w:tcPr>
            <w:tcW w:w="1260" w:type="dxa"/>
          </w:tcPr>
          <w:p>
            <w:pPr>
              <w:pStyle w:val="TableParagraph"/>
              <w:ind w:left="9"/>
              <w:rPr>
                <w:sz w:val="22"/>
              </w:rPr>
            </w:pPr>
            <w:r>
              <w:rPr>
                <w:spacing w:val="-2"/>
                <w:sz w:val="22"/>
              </w:rPr>
              <w:t>1001626.33</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41</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829901.58</w:t>
            </w:r>
          </w:p>
        </w:tc>
        <w:tc>
          <w:tcPr>
            <w:tcW w:w="1260" w:type="dxa"/>
          </w:tcPr>
          <w:p>
            <w:pPr>
              <w:pStyle w:val="TableParagraph"/>
              <w:ind w:left="9"/>
              <w:rPr>
                <w:sz w:val="22"/>
              </w:rPr>
            </w:pPr>
            <w:r>
              <w:rPr>
                <w:spacing w:val="-2"/>
                <w:sz w:val="22"/>
              </w:rPr>
              <w:t>1001599.46</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42</w:t>
            </w:r>
          </w:p>
        </w:tc>
        <w:tc>
          <w:tcPr>
            <w:tcW w:w="3054"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ind w:left="8"/>
              <w:rPr>
                <w:sz w:val="22"/>
              </w:rPr>
            </w:pPr>
            <w:r>
              <w:rPr>
                <w:spacing w:val="-2"/>
                <w:sz w:val="22"/>
              </w:rPr>
              <w:t>65000</w:t>
            </w:r>
          </w:p>
        </w:tc>
        <w:tc>
          <w:tcPr>
            <w:tcW w:w="766" w:type="dxa"/>
          </w:tcPr>
          <w:p>
            <w:pPr>
              <w:pStyle w:val="TableParagraph"/>
              <w:rPr>
                <w:sz w:val="22"/>
              </w:rPr>
            </w:pPr>
            <w:r>
              <w:rPr>
                <w:spacing w:val="-2"/>
                <w:sz w:val="22"/>
              </w:rPr>
              <w:t>75000</w:t>
            </w:r>
          </w:p>
        </w:tc>
        <w:tc>
          <w:tcPr>
            <w:tcW w:w="877" w:type="dxa"/>
          </w:tcPr>
          <w:p>
            <w:pPr>
              <w:pStyle w:val="TableParagraph"/>
              <w:ind w:left="11" w:right="3"/>
              <w:rPr>
                <w:sz w:val="22"/>
              </w:rPr>
            </w:pPr>
            <w:r>
              <w:rPr>
                <w:spacing w:val="-2"/>
                <w:sz w:val="22"/>
              </w:rPr>
              <w:t>90000</w:t>
            </w:r>
          </w:p>
        </w:tc>
        <w:tc>
          <w:tcPr>
            <w:tcW w:w="1152" w:type="dxa"/>
          </w:tcPr>
          <w:p>
            <w:pPr>
              <w:pStyle w:val="TableParagraph"/>
              <w:ind w:left="9"/>
              <w:rPr>
                <w:sz w:val="22"/>
              </w:rPr>
            </w:pPr>
            <w:r>
              <w:rPr>
                <w:spacing w:val="-2"/>
                <w:sz w:val="22"/>
              </w:rPr>
              <w:t>829903.04</w:t>
            </w:r>
          </w:p>
        </w:tc>
        <w:tc>
          <w:tcPr>
            <w:tcW w:w="1260" w:type="dxa"/>
          </w:tcPr>
          <w:p>
            <w:pPr>
              <w:pStyle w:val="TableParagraph"/>
              <w:ind w:left="9"/>
              <w:rPr>
                <w:sz w:val="22"/>
              </w:rPr>
            </w:pPr>
            <w:r>
              <w:rPr>
                <w:spacing w:val="-2"/>
                <w:sz w:val="22"/>
              </w:rPr>
              <w:t>1001510.58</w:t>
            </w:r>
          </w:p>
        </w:tc>
      </w:tr>
      <w:tr>
        <w:trPr>
          <w:trHeight w:val="302" w:hRule="atLeast"/>
        </w:trPr>
        <w:tc>
          <w:tcPr>
            <w:tcW w:w="600" w:type="dxa"/>
          </w:tcPr>
          <w:p>
            <w:pPr>
              <w:pStyle w:val="TableParagraph"/>
              <w:spacing w:line="240" w:lineRule="exact" w:before="41"/>
              <w:ind w:left="0" w:right="96"/>
              <w:jc w:val="right"/>
              <w:rPr>
                <w:sz w:val="22"/>
              </w:rPr>
            </w:pPr>
            <w:r>
              <w:rPr>
                <w:spacing w:val="-5"/>
                <w:sz w:val="22"/>
              </w:rPr>
              <w:t>43</w:t>
            </w:r>
          </w:p>
        </w:tc>
        <w:tc>
          <w:tcPr>
            <w:tcW w:w="3054"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50" w:type="dxa"/>
          </w:tcPr>
          <w:p>
            <w:pPr>
              <w:pStyle w:val="TableParagraph"/>
              <w:spacing w:line="249" w:lineRule="exact"/>
              <w:ind w:left="8"/>
              <w:rPr>
                <w:sz w:val="22"/>
              </w:rPr>
            </w:pPr>
            <w:r>
              <w:rPr>
                <w:spacing w:val="-2"/>
                <w:sz w:val="22"/>
              </w:rPr>
              <w:t>65000</w:t>
            </w:r>
          </w:p>
        </w:tc>
        <w:tc>
          <w:tcPr>
            <w:tcW w:w="766" w:type="dxa"/>
          </w:tcPr>
          <w:p>
            <w:pPr>
              <w:pStyle w:val="TableParagraph"/>
              <w:spacing w:line="249" w:lineRule="exact"/>
              <w:rPr>
                <w:sz w:val="22"/>
              </w:rPr>
            </w:pPr>
            <w:r>
              <w:rPr>
                <w:spacing w:val="-2"/>
                <w:sz w:val="22"/>
              </w:rPr>
              <w:t>80000</w:t>
            </w:r>
          </w:p>
        </w:tc>
        <w:tc>
          <w:tcPr>
            <w:tcW w:w="877" w:type="dxa"/>
          </w:tcPr>
          <w:p>
            <w:pPr>
              <w:pStyle w:val="TableParagraph"/>
              <w:spacing w:line="249" w:lineRule="exact"/>
              <w:ind w:left="11" w:right="3"/>
              <w:rPr>
                <w:sz w:val="22"/>
              </w:rPr>
            </w:pPr>
            <w:r>
              <w:rPr>
                <w:spacing w:val="-2"/>
                <w:sz w:val="22"/>
              </w:rPr>
              <w:t>100000</w:t>
            </w:r>
          </w:p>
        </w:tc>
        <w:tc>
          <w:tcPr>
            <w:tcW w:w="1152" w:type="dxa"/>
          </w:tcPr>
          <w:p>
            <w:pPr>
              <w:pStyle w:val="TableParagraph"/>
              <w:spacing w:line="249" w:lineRule="exact"/>
              <w:ind w:left="9"/>
              <w:rPr>
                <w:sz w:val="22"/>
              </w:rPr>
            </w:pPr>
            <w:r>
              <w:rPr>
                <w:spacing w:val="-2"/>
                <w:sz w:val="22"/>
              </w:rPr>
              <w:t>829925.51</w:t>
            </w:r>
          </w:p>
        </w:tc>
        <w:tc>
          <w:tcPr>
            <w:tcW w:w="1260" w:type="dxa"/>
          </w:tcPr>
          <w:p>
            <w:pPr>
              <w:pStyle w:val="TableParagraph"/>
              <w:spacing w:line="249" w:lineRule="exact"/>
              <w:ind w:left="9"/>
              <w:rPr>
                <w:sz w:val="22"/>
              </w:rPr>
            </w:pPr>
            <w:r>
              <w:rPr>
                <w:spacing w:val="-2"/>
                <w:sz w:val="22"/>
              </w:rPr>
              <w:t>1001688.77</w:t>
            </w:r>
          </w:p>
        </w:tc>
      </w:tr>
      <w:tr>
        <w:trPr>
          <w:trHeight w:val="299" w:hRule="atLeast"/>
        </w:trPr>
        <w:tc>
          <w:tcPr>
            <w:tcW w:w="600" w:type="dxa"/>
          </w:tcPr>
          <w:p>
            <w:pPr>
              <w:pStyle w:val="TableParagraph"/>
              <w:spacing w:line="240" w:lineRule="exact" w:before="39"/>
              <w:ind w:left="0" w:right="96"/>
              <w:jc w:val="right"/>
              <w:rPr>
                <w:sz w:val="22"/>
              </w:rPr>
            </w:pPr>
            <w:r>
              <w:rPr>
                <w:spacing w:val="-5"/>
                <w:sz w:val="22"/>
              </w:rPr>
              <w:t>44</w:t>
            </w:r>
          </w:p>
        </w:tc>
        <w:tc>
          <w:tcPr>
            <w:tcW w:w="3054"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50" w:type="dxa"/>
          </w:tcPr>
          <w:p>
            <w:pPr>
              <w:pStyle w:val="TableParagraph"/>
              <w:ind w:left="8"/>
              <w:rPr>
                <w:sz w:val="22"/>
              </w:rPr>
            </w:pPr>
            <w:r>
              <w:rPr>
                <w:spacing w:val="-2"/>
                <w:sz w:val="22"/>
              </w:rPr>
              <w:t>50000</w:t>
            </w:r>
          </w:p>
        </w:tc>
        <w:tc>
          <w:tcPr>
            <w:tcW w:w="766" w:type="dxa"/>
          </w:tcPr>
          <w:p>
            <w:pPr>
              <w:pStyle w:val="TableParagraph"/>
              <w:rPr>
                <w:sz w:val="22"/>
              </w:rPr>
            </w:pPr>
            <w:r>
              <w:rPr>
                <w:spacing w:val="-2"/>
                <w:sz w:val="22"/>
              </w:rPr>
              <w:t>60000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828069.87</w:t>
            </w:r>
          </w:p>
        </w:tc>
        <w:tc>
          <w:tcPr>
            <w:tcW w:w="1260" w:type="dxa"/>
          </w:tcPr>
          <w:p>
            <w:pPr>
              <w:pStyle w:val="TableParagraph"/>
              <w:ind w:left="9"/>
              <w:rPr>
                <w:sz w:val="22"/>
              </w:rPr>
            </w:pPr>
            <w:r>
              <w:rPr>
                <w:spacing w:val="-2"/>
                <w:sz w:val="22"/>
              </w:rPr>
              <w:t>1006066.83</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45</w:t>
            </w:r>
          </w:p>
        </w:tc>
        <w:tc>
          <w:tcPr>
            <w:tcW w:w="3054"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50" w:type="dxa"/>
          </w:tcPr>
          <w:p>
            <w:pPr>
              <w:pStyle w:val="TableParagraph"/>
              <w:ind w:left="8"/>
              <w:rPr>
                <w:sz w:val="22"/>
              </w:rPr>
            </w:pPr>
            <w:r>
              <w:rPr>
                <w:spacing w:val="-2"/>
                <w:sz w:val="22"/>
              </w:rPr>
              <w:t>50000</w:t>
            </w:r>
          </w:p>
        </w:tc>
        <w:tc>
          <w:tcPr>
            <w:tcW w:w="766" w:type="dxa"/>
          </w:tcPr>
          <w:p>
            <w:pPr>
              <w:pStyle w:val="TableParagraph"/>
              <w:rPr>
                <w:sz w:val="22"/>
              </w:rPr>
            </w:pPr>
            <w:r>
              <w:rPr>
                <w:spacing w:val="-2"/>
                <w:sz w:val="22"/>
              </w:rPr>
              <w:t>60000</w:t>
            </w:r>
          </w:p>
        </w:tc>
        <w:tc>
          <w:tcPr>
            <w:tcW w:w="877" w:type="dxa"/>
          </w:tcPr>
          <w:p>
            <w:pPr>
              <w:pStyle w:val="TableParagraph"/>
              <w:ind w:left="11" w:right="3"/>
              <w:rPr>
                <w:sz w:val="22"/>
              </w:rPr>
            </w:pPr>
            <w:r>
              <w:rPr>
                <w:spacing w:val="-2"/>
                <w:sz w:val="22"/>
              </w:rPr>
              <w:t>90000</w:t>
            </w:r>
          </w:p>
        </w:tc>
        <w:tc>
          <w:tcPr>
            <w:tcW w:w="1152" w:type="dxa"/>
          </w:tcPr>
          <w:p>
            <w:pPr>
              <w:pStyle w:val="TableParagraph"/>
              <w:ind w:left="9"/>
              <w:rPr>
                <w:sz w:val="22"/>
              </w:rPr>
            </w:pPr>
            <w:r>
              <w:rPr>
                <w:spacing w:val="-2"/>
                <w:sz w:val="22"/>
              </w:rPr>
              <w:t>827826.92</w:t>
            </w:r>
          </w:p>
        </w:tc>
        <w:tc>
          <w:tcPr>
            <w:tcW w:w="1260" w:type="dxa"/>
          </w:tcPr>
          <w:p>
            <w:pPr>
              <w:pStyle w:val="TableParagraph"/>
              <w:ind w:left="9"/>
              <w:rPr>
                <w:sz w:val="22"/>
              </w:rPr>
            </w:pPr>
            <w:r>
              <w:rPr>
                <w:spacing w:val="-2"/>
                <w:sz w:val="22"/>
              </w:rPr>
              <w:t>1006164.42</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46</w:t>
            </w:r>
          </w:p>
        </w:tc>
        <w:tc>
          <w:tcPr>
            <w:tcW w:w="3054"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90000</w:t>
            </w:r>
          </w:p>
        </w:tc>
        <w:tc>
          <w:tcPr>
            <w:tcW w:w="877" w:type="dxa"/>
          </w:tcPr>
          <w:p>
            <w:pPr>
              <w:pStyle w:val="TableParagraph"/>
              <w:ind w:left="11" w:right="3"/>
              <w:rPr>
                <w:sz w:val="22"/>
              </w:rPr>
            </w:pPr>
            <w:r>
              <w:rPr>
                <w:spacing w:val="-2"/>
                <w:sz w:val="22"/>
              </w:rPr>
              <w:t>120000</w:t>
            </w:r>
          </w:p>
        </w:tc>
        <w:tc>
          <w:tcPr>
            <w:tcW w:w="1152" w:type="dxa"/>
          </w:tcPr>
          <w:p>
            <w:pPr>
              <w:pStyle w:val="TableParagraph"/>
              <w:ind w:left="9"/>
              <w:rPr>
                <w:sz w:val="22"/>
              </w:rPr>
            </w:pPr>
            <w:r>
              <w:rPr>
                <w:spacing w:val="-2"/>
                <w:sz w:val="22"/>
              </w:rPr>
              <w:t>828877.32</w:t>
            </w:r>
          </w:p>
        </w:tc>
        <w:tc>
          <w:tcPr>
            <w:tcW w:w="1260" w:type="dxa"/>
          </w:tcPr>
          <w:p>
            <w:pPr>
              <w:pStyle w:val="TableParagraph"/>
              <w:ind w:left="9"/>
              <w:rPr>
                <w:sz w:val="22"/>
              </w:rPr>
            </w:pPr>
            <w:r>
              <w:rPr>
                <w:spacing w:val="-2"/>
                <w:sz w:val="22"/>
              </w:rPr>
              <w:t>1004778.73</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47</w:t>
            </w:r>
          </w:p>
        </w:tc>
        <w:tc>
          <w:tcPr>
            <w:tcW w:w="3054"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830965.87</w:t>
            </w:r>
          </w:p>
        </w:tc>
        <w:tc>
          <w:tcPr>
            <w:tcW w:w="1260" w:type="dxa"/>
          </w:tcPr>
          <w:p>
            <w:pPr>
              <w:pStyle w:val="TableParagraph"/>
              <w:ind w:left="9"/>
              <w:rPr>
                <w:sz w:val="22"/>
              </w:rPr>
            </w:pPr>
            <w:r>
              <w:rPr>
                <w:spacing w:val="-2"/>
                <w:sz w:val="22"/>
              </w:rPr>
              <w:t>1002871.47</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48</w:t>
            </w:r>
          </w:p>
        </w:tc>
        <w:tc>
          <w:tcPr>
            <w:tcW w:w="3054"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50" w:type="dxa"/>
          </w:tcPr>
          <w:p>
            <w:pPr>
              <w:pStyle w:val="TableParagraph"/>
              <w:ind w:left="8"/>
              <w:rPr>
                <w:sz w:val="22"/>
              </w:rPr>
            </w:pPr>
            <w:r>
              <w:rPr>
                <w:spacing w:val="-2"/>
                <w:sz w:val="22"/>
              </w:rPr>
              <w:t>15000</w:t>
            </w:r>
          </w:p>
        </w:tc>
        <w:tc>
          <w:tcPr>
            <w:tcW w:w="766" w:type="dxa"/>
          </w:tcPr>
          <w:p>
            <w:pPr>
              <w:pStyle w:val="TableParagraph"/>
              <w:rPr>
                <w:sz w:val="22"/>
              </w:rPr>
            </w:pPr>
            <w:r>
              <w:rPr>
                <w:spacing w:val="-2"/>
                <w:sz w:val="22"/>
              </w:rPr>
              <w:t>35000</w:t>
            </w:r>
          </w:p>
        </w:tc>
        <w:tc>
          <w:tcPr>
            <w:tcW w:w="877" w:type="dxa"/>
          </w:tcPr>
          <w:p>
            <w:pPr>
              <w:pStyle w:val="TableParagraph"/>
              <w:ind w:left="11" w:right="3"/>
              <w:rPr>
                <w:sz w:val="22"/>
              </w:rPr>
            </w:pPr>
            <w:r>
              <w:rPr>
                <w:spacing w:val="-2"/>
                <w:sz w:val="22"/>
              </w:rPr>
              <w:t>45000</w:t>
            </w:r>
          </w:p>
        </w:tc>
        <w:tc>
          <w:tcPr>
            <w:tcW w:w="1152" w:type="dxa"/>
          </w:tcPr>
          <w:p>
            <w:pPr>
              <w:pStyle w:val="TableParagraph"/>
              <w:ind w:left="9"/>
              <w:rPr>
                <w:sz w:val="22"/>
              </w:rPr>
            </w:pPr>
            <w:r>
              <w:rPr>
                <w:spacing w:val="-2"/>
                <w:sz w:val="22"/>
              </w:rPr>
              <w:t>831472.35</w:t>
            </w:r>
          </w:p>
        </w:tc>
        <w:tc>
          <w:tcPr>
            <w:tcW w:w="1260" w:type="dxa"/>
          </w:tcPr>
          <w:p>
            <w:pPr>
              <w:pStyle w:val="TableParagraph"/>
              <w:ind w:left="9"/>
              <w:rPr>
                <w:sz w:val="22"/>
              </w:rPr>
            </w:pPr>
            <w:r>
              <w:rPr>
                <w:spacing w:val="-2"/>
                <w:sz w:val="22"/>
              </w:rPr>
              <w:t>1003585.12</w:t>
            </w:r>
          </w:p>
        </w:tc>
      </w:tr>
      <w:tr>
        <w:trPr>
          <w:trHeight w:val="302" w:hRule="atLeast"/>
        </w:trPr>
        <w:tc>
          <w:tcPr>
            <w:tcW w:w="600" w:type="dxa"/>
          </w:tcPr>
          <w:p>
            <w:pPr>
              <w:pStyle w:val="TableParagraph"/>
              <w:spacing w:line="240" w:lineRule="exact" w:before="41"/>
              <w:ind w:left="0" w:right="96"/>
              <w:jc w:val="right"/>
              <w:rPr>
                <w:sz w:val="22"/>
              </w:rPr>
            </w:pPr>
            <w:r>
              <w:rPr>
                <w:spacing w:val="-5"/>
                <w:sz w:val="22"/>
              </w:rPr>
              <w:t>49</w:t>
            </w:r>
          </w:p>
        </w:tc>
        <w:tc>
          <w:tcPr>
            <w:tcW w:w="3054" w:type="dxa"/>
          </w:tcPr>
          <w:p>
            <w:pPr>
              <w:pStyle w:val="TableParagraph"/>
              <w:spacing w:line="249" w:lineRule="exact"/>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50" w:type="dxa"/>
          </w:tcPr>
          <w:p>
            <w:pPr>
              <w:pStyle w:val="TableParagraph"/>
              <w:spacing w:line="249" w:lineRule="exact"/>
              <w:ind w:left="8"/>
              <w:rPr>
                <w:sz w:val="22"/>
              </w:rPr>
            </w:pPr>
            <w:r>
              <w:rPr>
                <w:spacing w:val="-2"/>
                <w:sz w:val="22"/>
              </w:rPr>
              <w:t>40000</w:t>
            </w:r>
          </w:p>
        </w:tc>
        <w:tc>
          <w:tcPr>
            <w:tcW w:w="766" w:type="dxa"/>
          </w:tcPr>
          <w:p>
            <w:pPr>
              <w:pStyle w:val="TableParagraph"/>
              <w:spacing w:line="249" w:lineRule="exact"/>
              <w:rPr>
                <w:sz w:val="22"/>
              </w:rPr>
            </w:pPr>
            <w:r>
              <w:rPr>
                <w:spacing w:val="-2"/>
                <w:sz w:val="22"/>
              </w:rPr>
              <w:t>55000</w:t>
            </w:r>
          </w:p>
        </w:tc>
        <w:tc>
          <w:tcPr>
            <w:tcW w:w="877" w:type="dxa"/>
          </w:tcPr>
          <w:p>
            <w:pPr>
              <w:pStyle w:val="TableParagraph"/>
              <w:spacing w:line="249" w:lineRule="exact"/>
              <w:ind w:left="11" w:right="3"/>
              <w:rPr>
                <w:sz w:val="22"/>
              </w:rPr>
            </w:pPr>
            <w:r>
              <w:rPr>
                <w:spacing w:val="-2"/>
                <w:sz w:val="22"/>
              </w:rPr>
              <w:t>100000</w:t>
            </w:r>
          </w:p>
        </w:tc>
        <w:tc>
          <w:tcPr>
            <w:tcW w:w="1152" w:type="dxa"/>
          </w:tcPr>
          <w:p>
            <w:pPr>
              <w:pStyle w:val="TableParagraph"/>
              <w:spacing w:line="249" w:lineRule="exact"/>
              <w:ind w:left="9"/>
              <w:rPr>
                <w:sz w:val="22"/>
              </w:rPr>
            </w:pPr>
            <w:r>
              <w:rPr>
                <w:spacing w:val="-2"/>
                <w:sz w:val="22"/>
              </w:rPr>
              <w:t>830619.32</w:t>
            </w:r>
          </w:p>
        </w:tc>
        <w:tc>
          <w:tcPr>
            <w:tcW w:w="1260" w:type="dxa"/>
          </w:tcPr>
          <w:p>
            <w:pPr>
              <w:pStyle w:val="TableParagraph"/>
              <w:spacing w:line="249" w:lineRule="exact"/>
              <w:ind w:left="9"/>
              <w:rPr>
                <w:sz w:val="22"/>
              </w:rPr>
            </w:pPr>
            <w:r>
              <w:rPr>
                <w:spacing w:val="-2"/>
                <w:sz w:val="22"/>
              </w:rPr>
              <w:t>1008136.73</w:t>
            </w:r>
          </w:p>
        </w:tc>
      </w:tr>
      <w:tr>
        <w:trPr>
          <w:trHeight w:val="299" w:hRule="atLeast"/>
        </w:trPr>
        <w:tc>
          <w:tcPr>
            <w:tcW w:w="600" w:type="dxa"/>
          </w:tcPr>
          <w:p>
            <w:pPr>
              <w:pStyle w:val="TableParagraph"/>
              <w:spacing w:line="240" w:lineRule="exact" w:before="39"/>
              <w:ind w:left="0" w:right="96"/>
              <w:jc w:val="right"/>
              <w:rPr>
                <w:sz w:val="22"/>
              </w:rPr>
            </w:pPr>
            <w:r>
              <w:rPr>
                <w:spacing w:val="-5"/>
                <w:sz w:val="22"/>
              </w:rPr>
              <w:t>50</w:t>
            </w:r>
          </w:p>
        </w:tc>
        <w:tc>
          <w:tcPr>
            <w:tcW w:w="3054"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50" w:type="dxa"/>
          </w:tcPr>
          <w:p>
            <w:pPr>
              <w:pStyle w:val="TableParagraph"/>
              <w:ind w:left="8"/>
              <w:rPr>
                <w:sz w:val="22"/>
              </w:rPr>
            </w:pPr>
            <w:r>
              <w:rPr>
                <w:spacing w:val="-2"/>
                <w:sz w:val="22"/>
              </w:rPr>
              <w:t>45000</w:t>
            </w:r>
          </w:p>
        </w:tc>
        <w:tc>
          <w:tcPr>
            <w:tcW w:w="766" w:type="dxa"/>
          </w:tcPr>
          <w:p>
            <w:pPr>
              <w:pStyle w:val="TableParagraph"/>
              <w:rPr>
                <w:sz w:val="22"/>
              </w:rPr>
            </w:pPr>
            <w:r>
              <w:rPr>
                <w:spacing w:val="-2"/>
                <w:sz w:val="22"/>
              </w:rPr>
              <w:t>60000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830335.2</w:t>
            </w:r>
          </w:p>
        </w:tc>
        <w:tc>
          <w:tcPr>
            <w:tcW w:w="1260" w:type="dxa"/>
          </w:tcPr>
          <w:p>
            <w:pPr>
              <w:pStyle w:val="TableParagraph"/>
              <w:ind w:left="9" w:right="3"/>
              <w:rPr>
                <w:sz w:val="22"/>
              </w:rPr>
            </w:pPr>
            <w:r>
              <w:rPr>
                <w:spacing w:val="-2"/>
                <w:sz w:val="22"/>
              </w:rPr>
              <w:t>1007449.6</w:t>
            </w:r>
          </w:p>
        </w:tc>
      </w:tr>
      <w:tr>
        <w:trPr>
          <w:trHeight w:val="300" w:hRule="atLeast"/>
        </w:trPr>
        <w:tc>
          <w:tcPr>
            <w:tcW w:w="600" w:type="dxa"/>
          </w:tcPr>
          <w:p>
            <w:pPr>
              <w:pStyle w:val="TableParagraph"/>
              <w:spacing w:line="238" w:lineRule="exact" w:before="42"/>
              <w:ind w:left="0" w:right="96"/>
              <w:jc w:val="right"/>
              <w:rPr>
                <w:sz w:val="22"/>
              </w:rPr>
            </w:pPr>
            <w:r>
              <w:rPr>
                <w:spacing w:val="-5"/>
                <w:sz w:val="22"/>
              </w:rPr>
              <w:t>51</w:t>
            </w:r>
          </w:p>
        </w:tc>
        <w:tc>
          <w:tcPr>
            <w:tcW w:w="3054"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75000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832438.53</w:t>
            </w:r>
          </w:p>
        </w:tc>
        <w:tc>
          <w:tcPr>
            <w:tcW w:w="1260" w:type="dxa"/>
          </w:tcPr>
          <w:p>
            <w:pPr>
              <w:pStyle w:val="TableParagraph"/>
              <w:ind w:left="9"/>
              <w:rPr>
                <w:sz w:val="22"/>
              </w:rPr>
            </w:pPr>
            <w:r>
              <w:rPr>
                <w:spacing w:val="-2"/>
                <w:sz w:val="22"/>
              </w:rPr>
              <w:t>1006597.05</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52</w:t>
            </w:r>
          </w:p>
        </w:tc>
        <w:tc>
          <w:tcPr>
            <w:tcW w:w="3054"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50" w:type="dxa"/>
          </w:tcPr>
          <w:p>
            <w:pPr>
              <w:pStyle w:val="TableParagraph"/>
              <w:ind w:left="8"/>
              <w:rPr>
                <w:sz w:val="22"/>
              </w:rPr>
            </w:pPr>
            <w:r>
              <w:rPr>
                <w:spacing w:val="-2"/>
                <w:sz w:val="22"/>
              </w:rPr>
              <w:t>70000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120000</w:t>
            </w:r>
          </w:p>
        </w:tc>
        <w:tc>
          <w:tcPr>
            <w:tcW w:w="1152" w:type="dxa"/>
          </w:tcPr>
          <w:p>
            <w:pPr>
              <w:pStyle w:val="TableParagraph"/>
              <w:ind w:left="9"/>
              <w:rPr>
                <w:sz w:val="22"/>
              </w:rPr>
            </w:pPr>
            <w:r>
              <w:rPr>
                <w:spacing w:val="-2"/>
                <w:sz w:val="22"/>
              </w:rPr>
              <w:t>832989.78</w:t>
            </w:r>
          </w:p>
        </w:tc>
        <w:tc>
          <w:tcPr>
            <w:tcW w:w="1260" w:type="dxa"/>
          </w:tcPr>
          <w:p>
            <w:pPr>
              <w:pStyle w:val="TableParagraph"/>
              <w:ind w:left="9"/>
              <w:rPr>
                <w:sz w:val="22"/>
              </w:rPr>
            </w:pPr>
            <w:r>
              <w:rPr>
                <w:spacing w:val="-2"/>
                <w:sz w:val="22"/>
              </w:rPr>
              <w:t>1005491.64</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53</w:t>
            </w:r>
          </w:p>
        </w:tc>
        <w:tc>
          <w:tcPr>
            <w:tcW w:w="3054"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50" w:type="dxa"/>
          </w:tcPr>
          <w:p>
            <w:pPr>
              <w:pStyle w:val="TableParagraph"/>
              <w:ind w:left="8"/>
              <w:rPr>
                <w:sz w:val="22"/>
              </w:rPr>
            </w:pPr>
            <w:r>
              <w:rPr>
                <w:spacing w:val="-2"/>
                <w:sz w:val="22"/>
              </w:rPr>
              <w:t>20000</w:t>
            </w:r>
          </w:p>
        </w:tc>
        <w:tc>
          <w:tcPr>
            <w:tcW w:w="766" w:type="dxa"/>
          </w:tcPr>
          <w:p>
            <w:pPr>
              <w:pStyle w:val="TableParagraph"/>
              <w:rPr>
                <w:sz w:val="22"/>
              </w:rPr>
            </w:pPr>
            <w:r>
              <w:rPr>
                <w:spacing w:val="-2"/>
                <w:sz w:val="22"/>
              </w:rPr>
              <w:t>25000</w:t>
            </w:r>
          </w:p>
        </w:tc>
        <w:tc>
          <w:tcPr>
            <w:tcW w:w="877" w:type="dxa"/>
          </w:tcPr>
          <w:p>
            <w:pPr>
              <w:pStyle w:val="TableParagraph"/>
              <w:ind w:left="11" w:right="3"/>
              <w:rPr>
                <w:sz w:val="22"/>
              </w:rPr>
            </w:pPr>
            <w:r>
              <w:rPr>
                <w:spacing w:val="-2"/>
                <w:sz w:val="22"/>
              </w:rPr>
              <w:t>40000</w:t>
            </w:r>
          </w:p>
        </w:tc>
        <w:tc>
          <w:tcPr>
            <w:tcW w:w="1152" w:type="dxa"/>
          </w:tcPr>
          <w:p>
            <w:pPr>
              <w:pStyle w:val="TableParagraph"/>
              <w:ind w:left="9"/>
              <w:rPr>
                <w:sz w:val="22"/>
              </w:rPr>
            </w:pPr>
            <w:r>
              <w:rPr>
                <w:spacing w:val="-2"/>
                <w:sz w:val="22"/>
              </w:rPr>
              <w:t>829885.13</w:t>
            </w:r>
          </w:p>
        </w:tc>
        <w:tc>
          <w:tcPr>
            <w:tcW w:w="1260" w:type="dxa"/>
          </w:tcPr>
          <w:p>
            <w:pPr>
              <w:pStyle w:val="TableParagraph"/>
              <w:ind w:left="9"/>
              <w:rPr>
                <w:sz w:val="22"/>
              </w:rPr>
            </w:pPr>
            <w:r>
              <w:rPr>
                <w:spacing w:val="-2"/>
                <w:sz w:val="22"/>
              </w:rPr>
              <w:t>1004703.66</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54</w:t>
            </w:r>
          </w:p>
        </w:tc>
        <w:tc>
          <w:tcPr>
            <w:tcW w:w="3054"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50" w:type="dxa"/>
          </w:tcPr>
          <w:p>
            <w:pPr>
              <w:pStyle w:val="TableParagraph"/>
              <w:ind w:left="8"/>
              <w:rPr>
                <w:sz w:val="22"/>
              </w:rPr>
            </w:pPr>
            <w:r>
              <w:rPr>
                <w:spacing w:val="-2"/>
                <w:sz w:val="22"/>
              </w:rPr>
              <w:t>15000</w:t>
            </w:r>
          </w:p>
        </w:tc>
        <w:tc>
          <w:tcPr>
            <w:tcW w:w="766" w:type="dxa"/>
          </w:tcPr>
          <w:p>
            <w:pPr>
              <w:pStyle w:val="TableParagraph"/>
              <w:rPr>
                <w:sz w:val="22"/>
              </w:rPr>
            </w:pPr>
            <w:r>
              <w:rPr>
                <w:spacing w:val="-2"/>
                <w:sz w:val="22"/>
              </w:rPr>
              <w:t>30000</w:t>
            </w:r>
          </w:p>
        </w:tc>
        <w:tc>
          <w:tcPr>
            <w:tcW w:w="877" w:type="dxa"/>
          </w:tcPr>
          <w:p>
            <w:pPr>
              <w:pStyle w:val="TableParagraph"/>
              <w:ind w:left="11" w:right="3"/>
              <w:rPr>
                <w:sz w:val="22"/>
              </w:rPr>
            </w:pPr>
            <w:r>
              <w:rPr>
                <w:spacing w:val="-2"/>
                <w:sz w:val="22"/>
              </w:rPr>
              <w:t>40000</w:t>
            </w:r>
          </w:p>
        </w:tc>
        <w:tc>
          <w:tcPr>
            <w:tcW w:w="1152" w:type="dxa"/>
          </w:tcPr>
          <w:p>
            <w:pPr>
              <w:pStyle w:val="TableParagraph"/>
              <w:ind w:left="9"/>
              <w:rPr>
                <w:sz w:val="22"/>
              </w:rPr>
            </w:pPr>
            <w:r>
              <w:rPr>
                <w:spacing w:val="-2"/>
                <w:sz w:val="22"/>
              </w:rPr>
              <w:t>829588.55</w:t>
            </w:r>
          </w:p>
        </w:tc>
        <w:tc>
          <w:tcPr>
            <w:tcW w:w="1260" w:type="dxa"/>
          </w:tcPr>
          <w:p>
            <w:pPr>
              <w:pStyle w:val="TableParagraph"/>
              <w:ind w:left="9"/>
              <w:rPr>
                <w:sz w:val="22"/>
              </w:rPr>
            </w:pPr>
            <w:r>
              <w:rPr>
                <w:spacing w:val="-2"/>
                <w:sz w:val="22"/>
              </w:rPr>
              <w:t>1005036.15</w:t>
            </w:r>
          </w:p>
        </w:tc>
      </w:tr>
      <w:tr>
        <w:trPr>
          <w:trHeight w:val="301" w:hRule="atLeast"/>
        </w:trPr>
        <w:tc>
          <w:tcPr>
            <w:tcW w:w="600" w:type="dxa"/>
          </w:tcPr>
          <w:p>
            <w:pPr>
              <w:pStyle w:val="TableParagraph"/>
              <w:spacing w:line="240" w:lineRule="exact" w:before="41"/>
              <w:ind w:left="0" w:right="96"/>
              <w:jc w:val="right"/>
              <w:rPr>
                <w:sz w:val="22"/>
              </w:rPr>
            </w:pPr>
            <w:r>
              <w:rPr>
                <w:spacing w:val="-5"/>
                <w:sz w:val="22"/>
              </w:rPr>
              <w:t>55</w:t>
            </w:r>
          </w:p>
        </w:tc>
        <w:tc>
          <w:tcPr>
            <w:tcW w:w="3054" w:type="dxa"/>
          </w:tcPr>
          <w:p>
            <w:pPr>
              <w:pStyle w:val="TableParagraph"/>
              <w:spacing w:line="249" w:lineRule="exact"/>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50" w:type="dxa"/>
          </w:tcPr>
          <w:p>
            <w:pPr>
              <w:pStyle w:val="TableParagraph"/>
              <w:spacing w:line="249" w:lineRule="exact"/>
              <w:ind w:left="8"/>
              <w:rPr>
                <w:sz w:val="22"/>
              </w:rPr>
            </w:pPr>
            <w:r>
              <w:rPr>
                <w:spacing w:val="-2"/>
                <w:sz w:val="22"/>
              </w:rPr>
              <w:t>50000</w:t>
            </w:r>
          </w:p>
        </w:tc>
        <w:tc>
          <w:tcPr>
            <w:tcW w:w="766" w:type="dxa"/>
          </w:tcPr>
          <w:p>
            <w:pPr>
              <w:pStyle w:val="TableParagraph"/>
              <w:spacing w:line="249" w:lineRule="exact"/>
              <w:rPr>
                <w:sz w:val="22"/>
              </w:rPr>
            </w:pPr>
            <w:r>
              <w:rPr>
                <w:spacing w:val="-2"/>
                <w:sz w:val="22"/>
              </w:rPr>
              <w:t>60000</w:t>
            </w:r>
          </w:p>
        </w:tc>
        <w:tc>
          <w:tcPr>
            <w:tcW w:w="877" w:type="dxa"/>
          </w:tcPr>
          <w:p>
            <w:pPr>
              <w:pStyle w:val="TableParagraph"/>
              <w:spacing w:line="249" w:lineRule="exact"/>
              <w:ind w:left="11" w:right="3"/>
              <w:rPr>
                <w:sz w:val="22"/>
              </w:rPr>
            </w:pPr>
            <w:r>
              <w:rPr>
                <w:spacing w:val="-2"/>
                <w:sz w:val="22"/>
              </w:rPr>
              <w:t>100000</w:t>
            </w:r>
          </w:p>
        </w:tc>
        <w:tc>
          <w:tcPr>
            <w:tcW w:w="1152" w:type="dxa"/>
          </w:tcPr>
          <w:p>
            <w:pPr>
              <w:pStyle w:val="TableParagraph"/>
              <w:spacing w:line="249" w:lineRule="exact"/>
              <w:ind w:left="9"/>
              <w:rPr>
                <w:sz w:val="22"/>
              </w:rPr>
            </w:pPr>
            <w:r>
              <w:rPr>
                <w:spacing w:val="-2"/>
                <w:sz w:val="22"/>
              </w:rPr>
              <w:t>829118.26</w:t>
            </w:r>
          </w:p>
        </w:tc>
        <w:tc>
          <w:tcPr>
            <w:tcW w:w="1260" w:type="dxa"/>
          </w:tcPr>
          <w:p>
            <w:pPr>
              <w:pStyle w:val="TableParagraph"/>
              <w:spacing w:line="249" w:lineRule="exact"/>
              <w:ind w:left="9" w:right="3"/>
              <w:rPr>
                <w:sz w:val="22"/>
              </w:rPr>
            </w:pPr>
            <w:r>
              <w:rPr>
                <w:spacing w:val="-2"/>
                <w:sz w:val="22"/>
              </w:rPr>
              <w:t>1005471.6</w:t>
            </w:r>
          </w:p>
        </w:tc>
      </w:tr>
      <w:tr>
        <w:trPr>
          <w:trHeight w:val="299" w:hRule="atLeast"/>
        </w:trPr>
        <w:tc>
          <w:tcPr>
            <w:tcW w:w="600" w:type="dxa"/>
          </w:tcPr>
          <w:p>
            <w:pPr>
              <w:pStyle w:val="TableParagraph"/>
              <w:spacing w:line="240" w:lineRule="exact" w:before="39"/>
              <w:ind w:left="0" w:right="96"/>
              <w:jc w:val="right"/>
              <w:rPr>
                <w:sz w:val="22"/>
              </w:rPr>
            </w:pPr>
            <w:r>
              <w:rPr>
                <w:spacing w:val="-5"/>
                <w:sz w:val="22"/>
              </w:rPr>
              <w:t>56</w:t>
            </w:r>
          </w:p>
        </w:tc>
        <w:tc>
          <w:tcPr>
            <w:tcW w:w="3054"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50" w:type="dxa"/>
          </w:tcPr>
          <w:p>
            <w:pPr>
              <w:pStyle w:val="TableParagraph"/>
              <w:ind w:left="8"/>
              <w:rPr>
                <w:sz w:val="22"/>
              </w:rPr>
            </w:pPr>
            <w:r>
              <w:rPr>
                <w:spacing w:val="-2"/>
                <w:sz w:val="22"/>
              </w:rPr>
              <w:t>30000</w:t>
            </w:r>
          </w:p>
        </w:tc>
        <w:tc>
          <w:tcPr>
            <w:tcW w:w="766" w:type="dxa"/>
          </w:tcPr>
          <w:p>
            <w:pPr>
              <w:pStyle w:val="TableParagraph"/>
              <w:rPr>
                <w:sz w:val="22"/>
              </w:rPr>
            </w:pPr>
            <w:r>
              <w:rPr>
                <w:spacing w:val="-2"/>
                <w:sz w:val="22"/>
              </w:rPr>
              <w:t>45000</w:t>
            </w:r>
          </w:p>
        </w:tc>
        <w:tc>
          <w:tcPr>
            <w:tcW w:w="877" w:type="dxa"/>
          </w:tcPr>
          <w:p>
            <w:pPr>
              <w:pStyle w:val="TableParagraph"/>
              <w:ind w:left="11" w:right="3"/>
              <w:rPr>
                <w:sz w:val="22"/>
              </w:rPr>
            </w:pPr>
            <w:r>
              <w:rPr>
                <w:spacing w:val="-2"/>
                <w:sz w:val="22"/>
              </w:rPr>
              <w:t>60000</w:t>
            </w:r>
          </w:p>
        </w:tc>
        <w:tc>
          <w:tcPr>
            <w:tcW w:w="1152" w:type="dxa"/>
          </w:tcPr>
          <w:p>
            <w:pPr>
              <w:pStyle w:val="TableParagraph"/>
              <w:ind w:left="9"/>
              <w:rPr>
                <w:sz w:val="22"/>
              </w:rPr>
            </w:pPr>
            <w:r>
              <w:rPr>
                <w:spacing w:val="-2"/>
                <w:sz w:val="22"/>
              </w:rPr>
              <w:t>832577.12</w:t>
            </w:r>
          </w:p>
        </w:tc>
        <w:tc>
          <w:tcPr>
            <w:tcW w:w="1260" w:type="dxa"/>
          </w:tcPr>
          <w:p>
            <w:pPr>
              <w:pStyle w:val="TableParagraph"/>
              <w:ind w:left="9"/>
              <w:rPr>
                <w:sz w:val="22"/>
              </w:rPr>
            </w:pPr>
            <w:r>
              <w:rPr>
                <w:spacing w:val="-2"/>
                <w:sz w:val="22"/>
              </w:rPr>
              <w:t>1005138.51</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57</w:t>
            </w:r>
          </w:p>
        </w:tc>
        <w:tc>
          <w:tcPr>
            <w:tcW w:w="3054"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50" w:type="dxa"/>
          </w:tcPr>
          <w:p>
            <w:pPr>
              <w:pStyle w:val="TableParagraph"/>
              <w:ind w:left="8"/>
              <w:rPr>
                <w:sz w:val="22"/>
              </w:rPr>
            </w:pPr>
            <w:r>
              <w:rPr>
                <w:spacing w:val="-2"/>
                <w:sz w:val="22"/>
              </w:rPr>
              <w:t>15000</w:t>
            </w:r>
          </w:p>
        </w:tc>
        <w:tc>
          <w:tcPr>
            <w:tcW w:w="766" w:type="dxa"/>
          </w:tcPr>
          <w:p>
            <w:pPr>
              <w:pStyle w:val="TableParagraph"/>
              <w:rPr>
                <w:sz w:val="22"/>
              </w:rPr>
            </w:pPr>
            <w:r>
              <w:rPr>
                <w:spacing w:val="-2"/>
                <w:sz w:val="22"/>
              </w:rPr>
              <w:t>35000</w:t>
            </w:r>
          </w:p>
        </w:tc>
        <w:tc>
          <w:tcPr>
            <w:tcW w:w="877" w:type="dxa"/>
          </w:tcPr>
          <w:p>
            <w:pPr>
              <w:pStyle w:val="TableParagraph"/>
              <w:ind w:left="11" w:right="3"/>
              <w:rPr>
                <w:sz w:val="22"/>
              </w:rPr>
            </w:pPr>
            <w:r>
              <w:rPr>
                <w:spacing w:val="-2"/>
                <w:sz w:val="22"/>
              </w:rPr>
              <w:t>45000</w:t>
            </w:r>
          </w:p>
        </w:tc>
        <w:tc>
          <w:tcPr>
            <w:tcW w:w="1152" w:type="dxa"/>
          </w:tcPr>
          <w:p>
            <w:pPr>
              <w:pStyle w:val="TableParagraph"/>
              <w:ind w:left="9"/>
              <w:rPr>
                <w:sz w:val="22"/>
              </w:rPr>
            </w:pPr>
            <w:r>
              <w:rPr>
                <w:spacing w:val="-2"/>
                <w:sz w:val="22"/>
              </w:rPr>
              <w:t>829355.6</w:t>
            </w:r>
          </w:p>
        </w:tc>
        <w:tc>
          <w:tcPr>
            <w:tcW w:w="1260" w:type="dxa"/>
          </w:tcPr>
          <w:p>
            <w:pPr>
              <w:pStyle w:val="TableParagraph"/>
              <w:ind w:left="9" w:right="3"/>
              <w:rPr>
                <w:sz w:val="22"/>
              </w:rPr>
            </w:pPr>
            <w:r>
              <w:rPr>
                <w:spacing w:val="-2"/>
                <w:sz w:val="22"/>
              </w:rPr>
              <w:t>1003920.9</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58</w:t>
            </w:r>
          </w:p>
        </w:tc>
        <w:tc>
          <w:tcPr>
            <w:tcW w:w="3054"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70000</w:t>
            </w:r>
          </w:p>
        </w:tc>
        <w:tc>
          <w:tcPr>
            <w:tcW w:w="877" w:type="dxa"/>
          </w:tcPr>
          <w:p>
            <w:pPr>
              <w:pStyle w:val="TableParagraph"/>
              <w:ind w:left="11" w:right="3"/>
              <w:rPr>
                <w:sz w:val="22"/>
              </w:rPr>
            </w:pPr>
            <w:r>
              <w:rPr>
                <w:spacing w:val="-2"/>
                <w:sz w:val="22"/>
              </w:rPr>
              <w:t>95000</w:t>
            </w:r>
          </w:p>
        </w:tc>
        <w:tc>
          <w:tcPr>
            <w:tcW w:w="1152" w:type="dxa"/>
          </w:tcPr>
          <w:p>
            <w:pPr>
              <w:pStyle w:val="TableParagraph"/>
              <w:ind w:left="9"/>
              <w:rPr>
                <w:sz w:val="22"/>
              </w:rPr>
            </w:pPr>
            <w:r>
              <w:rPr>
                <w:spacing w:val="-2"/>
                <w:sz w:val="22"/>
              </w:rPr>
              <w:t>833286.81</w:t>
            </w:r>
          </w:p>
        </w:tc>
        <w:tc>
          <w:tcPr>
            <w:tcW w:w="1260" w:type="dxa"/>
          </w:tcPr>
          <w:p>
            <w:pPr>
              <w:pStyle w:val="TableParagraph"/>
              <w:ind w:left="9"/>
              <w:rPr>
                <w:sz w:val="22"/>
              </w:rPr>
            </w:pPr>
            <w:r>
              <w:rPr>
                <w:spacing w:val="-2"/>
                <w:sz w:val="22"/>
              </w:rPr>
              <w:t>1005029.85</w:t>
            </w:r>
          </w:p>
        </w:tc>
      </w:tr>
      <w:tr>
        <w:trPr>
          <w:trHeight w:val="299" w:hRule="atLeast"/>
        </w:trPr>
        <w:tc>
          <w:tcPr>
            <w:tcW w:w="600" w:type="dxa"/>
          </w:tcPr>
          <w:p>
            <w:pPr>
              <w:pStyle w:val="TableParagraph"/>
              <w:spacing w:line="238" w:lineRule="exact" w:before="41"/>
              <w:ind w:left="0" w:right="96"/>
              <w:jc w:val="right"/>
              <w:rPr>
                <w:sz w:val="22"/>
              </w:rPr>
            </w:pPr>
            <w:r>
              <w:rPr>
                <w:spacing w:val="-5"/>
                <w:sz w:val="22"/>
              </w:rPr>
              <w:t>59</w:t>
            </w:r>
          </w:p>
        </w:tc>
        <w:tc>
          <w:tcPr>
            <w:tcW w:w="3054"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50" w:type="dxa"/>
          </w:tcPr>
          <w:p>
            <w:pPr>
              <w:pStyle w:val="TableParagraph"/>
              <w:ind w:left="8"/>
              <w:rPr>
                <w:sz w:val="22"/>
              </w:rPr>
            </w:pPr>
            <w:r>
              <w:rPr>
                <w:spacing w:val="-2"/>
                <w:sz w:val="22"/>
              </w:rPr>
              <w:t>65000</w:t>
            </w:r>
          </w:p>
        </w:tc>
        <w:tc>
          <w:tcPr>
            <w:tcW w:w="766" w:type="dxa"/>
          </w:tcPr>
          <w:p>
            <w:pPr>
              <w:pStyle w:val="TableParagraph"/>
              <w:rPr>
                <w:sz w:val="22"/>
              </w:rPr>
            </w:pPr>
            <w:r>
              <w:rPr>
                <w:spacing w:val="-2"/>
                <w:sz w:val="22"/>
              </w:rPr>
              <w:t>70000</w:t>
            </w:r>
          </w:p>
        </w:tc>
        <w:tc>
          <w:tcPr>
            <w:tcW w:w="877" w:type="dxa"/>
          </w:tcPr>
          <w:p>
            <w:pPr>
              <w:pStyle w:val="TableParagraph"/>
              <w:ind w:left="11" w:right="3"/>
              <w:rPr>
                <w:sz w:val="22"/>
              </w:rPr>
            </w:pPr>
            <w:r>
              <w:rPr>
                <w:spacing w:val="-2"/>
                <w:sz w:val="22"/>
              </w:rPr>
              <w:t>90000</w:t>
            </w:r>
          </w:p>
        </w:tc>
        <w:tc>
          <w:tcPr>
            <w:tcW w:w="1152" w:type="dxa"/>
          </w:tcPr>
          <w:p>
            <w:pPr>
              <w:pStyle w:val="TableParagraph"/>
              <w:ind w:left="9"/>
              <w:rPr>
                <w:sz w:val="22"/>
              </w:rPr>
            </w:pPr>
            <w:r>
              <w:rPr>
                <w:spacing w:val="-2"/>
                <w:sz w:val="22"/>
              </w:rPr>
              <w:t>833033.24</w:t>
            </w:r>
          </w:p>
        </w:tc>
        <w:tc>
          <w:tcPr>
            <w:tcW w:w="1260" w:type="dxa"/>
          </w:tcPr>
          <w:p>
            <w:pPr>
              <w:pStyle w:val="TableParagraph"/>
              <w:ind w:left="9"/>
              <w:rPr>
                <w:sz w:val="22"/>
              </w:rPr>
            </w:pPr>
            <w:r>
              <w:rPr>
                <w:spacing w:val="-2"/>
                <w:sz w:val="22"/>
              </w:rPr>
              <w:t>1004761.02</w:t>
            </w:r>
          </w:p>
        </w:tc>
      </w:tr>
      <w:tr>
        <w:trPr>
          <w:trHeight w:val="301" w:hRule="atLeast"/>
        </w:trPr>
        <w:tc>
          <w:tcPr>
            <w:tcW w:w="600" w:type="dxa"/>
          </w:tcPr>
          <w:p>
            <w:pPr>
              <w:pStyle w:val="TableParagraph"/>
              <w:spacing w:line="240" w:lineRule="exact" w:before="41"/>
              <w:ind w:left="0" w:right="96"/>
              <w:jc w:val="right"/>
              <w:rPr>
                <w:sz w:val="22"/>
              </w:rPr>
            </w:pPr>
            <w:r>
              <w:rPr>
                <w:spacing w:val="-5"/>
                <w:sz w:val="22"/>
              </w:rPr>
              <w:t>60</w:t>
            </w:r>
          </w:p>
        </w:tc>
        <w:tc>
          <w:tcPr>
            <w:tcW w:w="3054"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50" w:type="dxa"/>
          </w:tcPr>
          <w:p>
            <w:pPr>
              <w:pStyle w:val="TableParagraph"/>
              <w:ind w:left="8"/>
              <w:rPr>
                <w:sz w:val="22"/>
              </w:rPr>
            </w:pPr>
            <w:r>
              <w:rPr>
                <w:spacing w:val="-2"/>
                <w:sz w:val="22"/>
              </w:rPr>
              <w:t>60000</w:t>
            </w:r>
          </w:p>
        </w:tc>
        <w:tc>
          <w:tcPr>
            <w:tcW w:w="766" w:type="dxa"/>
          </w:tcPr>
          <w:p>
            <w:pPr>
              <w:pStyle w:val="TableParagraph"/>
              <w:rPr>
                <w:sz w:val="22"/>
              </w:rPr>
            </w:pPr>
            <w:r>
              <w:rPr>
                <w:spacing w:val="-2"/>
                <w:sz w:val="22"/>
              </w:rPr>
              <w:t>80000</w:t>
            </w:r>
          </w:p>
        </w:tc>
        <w:tc>
          <w:tcPr>
            <w:tcW w:w="877" w:type="dxa"/>
          </w:tcPr>
          <w:p>
            <w:pPr>
              <w:pStyle w:val="TableParagraph"/>
              <w:ind w:left="11" w:right="3"/>
              <w:rPr>
                <w:sz w:val="22"/>
              </w:rPr>
            </w:pPr>
            <w:r>
              <w:rPr>
                <w:spacing w:val="-2"/>
                <w:sz w:val="22"/>
              </w:rPr>
              <w:t>100000</w:t>
            </w:r>
          </w:p>
        </w:tc>
        <w:tc>
          <w:tcPr>
            <w:tcW w:w="1152" w:type="dxa"/>
          </w:tcPr>
          <w:p>
            <w:pPr>
              <w:pStyle w:val="TableParagraph"/>
              <w:ind w:left="9"/>
              <w:rPr>
                <w:sz w:val="22"/>
              </w:rPr>
            </w:pPr>
            <w:r>
              <w:rPr>
                <w:spacing w:val="-2"/>
                <w:sz w:val="22"/>
              </w:rPr>
              <w:t>831029.52</w:t>
            </w:r>
          </w:p>
        </w:tc>
        <w:tc>
          <w:tcPr>
            <w:tcW w:w="1260" w:type="dxa"/>
          </w:tcPr>
          <w:p>
            <w:pPr>
              <w:pStyle w:val="TableParagraph"/>
              <w:ind w:left="9"/>
              <w:rPr>
                <w:sz w:val="22"/>
              </w:rPr>
            </w:pPr>
            <w:r>
              <w:rPr>
                <w:spacing w:val="-2"/>
                <w:sz w:val="22"/>
              </w:rPr>
              <w:t>1002306.56</w:t>
            </w:r>
          </w:p>
        </w:tc>
      </w:tr>
    </w:tbl>
    <w:p>
      <w:pPr>
        <w:pStyle w:val="BodyText"/>
        <w:jc w:val="left"/>
        <w:rPr>
          <w:b/>
        </w:rPr>
      </w:pPr>
    </w:p>
    <w:p>
      <w:pPr>
        <w:pStyle w:val="BodyText"/>
        <w:spacing w:before="28"/>
        <w:jc w:val="left"/>
        <w:rPr>
          <w:b/>
        </w:rPr>
      </w:pPr>
    </w:p>
    <w:p>
      <w:pPr>
        <w:spacing w:before="0" w:after="4"/>
        <w:ind w:left="305" w:right="0" w:firstLine="0"/>
        <w:jc w:val="left"/>
        <w:rPr>
          <w:b/>
          <w:sz w:val="24"/>
        </w:rPr>
      </w:pPr>
      <w:r>
        <w:rPr>
          <w:b/>
          <w:sz w:val="24"/>
        </w:rPr>
        <w:t>Two</w:t>
      </w:r>
      <w:r>
        <w:rPr>
          <w:b/>
          <w:spacing w:val="-1"/>
          <w:sz w:val="24"/>
        </w:rPr>
        <w:t> </w:t>
      </w:r>
      <w:r>
        <w:rPr>
          <w:b/>
          <w:sz w:val="24"/>
        </w:rPr>
        <w:t>Bedroom</w:t>
      </w:r>
      <w:r>
        <w:rPr>
          <w:b/>
          <w:spacing w:val="-4"/>
          <w:sz w:val="24"/>
        </w:rPr>
        <w:t> </w:t>
      </w:r>
      <w:r>
        <w:rPr>
          <w:b/>
          <w:spacing w:val="-2"/>
          <w:sz w:val="24"/>
        </w:rPr>
        <w:t>Apartments</w:t>
      </w:r>
    </w:p>
    <w:tbl>
      <w:tblPr>
        <w:tblW w:w="0" w:type="auto"/>
        <w:jc w:val="left"/>
        <w:tblInd w:w="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9"/>
        <w:gridCol w:w="2953"/>
        <w:gridCol w:w="876"/>
        <w:gridCol w:w="876"/>
        <w:gridCol w:w="877"/>
        <w:gridCol w:w="1371"/>
        <w:gridCol w:w="1371"/>
      </w:tblGrid>
      <w:tr>
        <w:trPr>
          <w:trHeight w:val="505" w:hRule="atLeast"/>
        </w:trPr>
        <w:tc>
          <w:tcPr>
            <w:tcW w:w="559" w:type="dxa"/>
          </w:tcPr>
          <w:p>
            <w:pPr>
              <w:pStyle w:val="TableParagraph"/>
              <w:spacing w:line="251" w:lineRule="exact"/>
              <w:ind w:left="0" w:right="95"/>
              <w:jc w:val="right"/>
              <w:rPr>
                <w:b/>
                <w:sz w:val="22"/>
              </w:rPr>
            </w:pPr>
            <w:r>
              <w:rPr>
                <w:b/>
                <w:spacing w:val="-5"/>
                <w:sz w:val="22"/>
              </w:rPr>
              <w:t>S/N</w:t>
            </w:r>
          </w:p>
        </w:tc>
        <w:tc>
          <w:tcPr>
            <w:tcW w:w="2953" w:type="dxa"/>
          </w:tcPr>
          <w:p>
            <w:pPr>
              <w:pStyle w:val="TableParagraph"/>
              <w:spacing w:line="251" w:lineRule="exact"/>
              <w:ind w:left="8"/>
              <w:rPr>
                <w:b/>
                <w:sz w:val="22"/>
              </w:rPr>
            </w:pPr>
            <w:r>
              <w:rPr>
                <w:b/>
                <w:spacing w:val="-4"/>
                <w:sz w:val="22"/>
              </w:rPr>
              <w:t>Firm</w:t>
            </w:r>
          </w:p>
        </w:tc>
        <w:tc>
          <w:tcPr>
            <w:tcW w:w="876" w:type="dxa"/>
          </w:tcPr>
          <w:p>
            <w:pPr>
              <w:pStyle w:val="TableParagraph"/>
              <w:spacing w:line="252" w:lineRule="exact"/>
              <w:ind w:left="218" w:right="194" w:hanging="15"/>
              <w:jc w:val="left"/>
              <w:rPr>
                <w:b/>
                <w:sz w:val="22"/>
              </w:rPr>
            </w:pPr>
            <w:r>
              <w:rPr>
                <w:b/>
                <w:spacing w:val="-4"/>
                <w:sz w:val="22"/>
              </w:rPr>
              <w:t>Year 2008</w:t>
            </w:r>
          </w:p>
        </w:tc>
        <w:tc>
          <w:tcPr>
            <w:tcW w:w="876" w:type="dxa"/>
          </w:tcPr>
          <w:p>
            <w:pPr>
              <w:pStyle w:val="TableParagraph"/>
              <w:spacing w:line="252" w:lineRule="exact"/>
              <w:ind w:left="218" w:right="194" w:hanging="15"/>
              <w:jc w:val="left"/>
              <w:rPr>
                <w:b/>
                <w:sz w:val="22"/>
              </w:rPr>
            </w:pPr>
            <w:r>
              <w:rPr>
                <w:b/>
                <w:spacing w:val="-4"/>
                <w:sz w:val="22"/>
              </w:rPr>
              <w:t>Year 2013</w:t>
            </w:r>
          </w:p>
        </w:tc>
        <w:tc>
          <w:tcPr>
            <w:tcW w:w="877" w:type="dxa"/>
          </w:tcPr>
          <w:p>
            <w:pPr>
              <w:pStyle w:val="TableParagraph"/>
              <w:spacing w:line="252" w:lineRule="exact"/>
              <w:ind w:left="218" w:right="195" w:hanging="15"/>
              <w:jc w:val="left"/>
              <w:rPr>
                <w:b/>
                <w:sz w:val="22"/>
              </w:rPr>
            </w:pPr>
            <w:r>
              <w:rPr>
                <w:b/>
                <w:spacing w:val="-4"/>
                <w:sz w:val="22"/>
              </w:rPr>
              <w:t>Year 2018</w:t>
            </w:r>
          </w:p>
        </w:tc>
        <w:tc>
          <w:tcPr>
            <w:tcW w:w="1371" w:type="dxa"/>
          </w:tcPr>
          <w:p>
            <w:pPr>
              <w:pStyle w:val="TableParagraph"/>
              <w:spacing w:line="251" w:lineRule="exact"/>
              <w:ind w:right="3"/>
              <w:rPr>
                <w:b/>
                <w:sz w:val="22"/>
              </w:rPr>
            </w:pPr>
            <w:r>
              <w:rPr>
                <w:b/>
                <w:spacing w:val="-10"/>
                <w:sz w:val="22"/>
              </w:rPr>
              <w:t>X</w:t>
            </w:r>
          </w:p>
        </w:tc>
        <w:tc>
          <w:tcPr>
            <w:tcW w:w="1371" w:type="dxa"/>
          </w:tcPr>
          <w:p>
            <w:pPr>
              <w:pStyle w:val="TableParagraph"/>
              <w:spacing w:line="251" w:lineRule="exact"/>
              <w:ind w:right="4"/>
              <w:rPr>
                <w:b/>
                <w:sz w:val="22"/>
              </w:rPr>
            </w:pPr>
            <w:r>
              <w:rPr>
                <w:b/>
                <w:spacing w:val="-10"/>
                <w:sz w:val="22"/>
              </w:rPr>
              <w:t>Y</w:t>
            </w:r>
          </w:p>
        </w:tc>
      </w:tr>
      <w:tr>
        <w:trPr>
          <w:trHeight w:val="299" w:hRule="atLeast"/>
        </w:trPr>
        <w:tc>
          <w:tcPr>
            <w:tcW w:w="559" w:type="dxa"/>
          </w:tcPr>
          <w:p>
            <w:pPr>
              <w:pStyle w:val="TableParagraph"/>
              <w:spacing w:line="240" w:lineRule="exact" w:before="39"/>
              <w:ind w:left="0" w:right="96"/>
              <w:jc w:val="right"/>
              <w:rPr>
                <w:sz w:val="22"/>
              </w:rPr>
            </w:pPr>
            <w:r>
              <w:rPr>
                <w:spacing w:val="-10"/>
                <w:sz w:val="22"/>
              </w:rPr>
              <w:t>1</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828352.8134</w:t>
            </w:r>
          </w:p>
        </w:tc>
        <w:tc>
          <w:tcPr>
            <w:tcW w:w="1371" w:type="dxa"/>
          </w:tcPr>
          <w:p>
            <w:pPr>
              <w:pStyle w:val="TableParagraph"/>
              <w:ind w:right="1"/>
              <w:rPr>
                <w:sz w:val="22"/>
              </w:rPr>
            </w:pPr>
            <w:r>
              <w:rPr>
                <w:spacing w:val="-2"/>
                <w:sz w:val="22"/>
              </w:rPr>
              <w:t>1006829.902</w:t>
            </w:r>
          </w:p>
        </w:tc>
      </w:tr>
      <w:tr>
        <w:trPr>
          <w:trHeight w:val="299" w:hRule="atLeast"/>
        </w:trPr>
        <w:tc>
          <w:tcPr>
            <w:tcW w:w="559" w:type="dxa"/>
          </w:tcPr>
          <w:p>
            <w:pPr>
              <w:pStyle w:val="TableParagraph"/>
              <w:spacing w:line="238" w:lineRule="exact" w:before="41"/>
              <w:ind w:left="0" w:right="96"/>
              <w:jc w:val="right"/>
              <w:rPr>
                <w:sz w:val="22"/>
              </w:rPr>
            </w:pPr>
            <w:r>
              <w:rPr>
                <w:spacing w:val="-10"/>
                <w:sz w:val="22"/>
              </w:rPr>
              <w:t>2</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2"/>
                <w:sz w:val="22"/>
              </w:rPr>
              <w:t> Associates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90000</w:t>
            </w:r>
          </w:p>
        </w:tc>
        <w:tc>
          <w:tcPr>
            <w:tcW w:w="877" w:type="dxa"/>
          </w:tcPr>
          <w:p>
            <w:pPr>
              <w:pStyle w:val="TableParagraph"/>
              <w:ind w:left="11"/>
              <w:rPr>
                <w:sz w:val="22"/>
              </w:rPr>
            </w:pPr>
            <w:r>
              <w:rPr>
                <w:spacing w:val="-2"/>
                <w:sz w:val="22"/>
              </w:rPr>
              <w:t>120000</w:t>
            </w:r>
          </w:p>
        </w:tc>
        <w:tc>
          <w:tcPr>
            <w:tcW w:w="1371" w:type="dxa"/>
          </w:tcPr>
          <w:p>
            <w:pPr>
              <w:pStyle w:val="TableParagraph"/>
              <w:rPr>
                <w:sz w:val="22"/>
              </w:rPr>
            </w:pPr>
            <w:r>
              <w:rPr>
                <w:spacing w:val="-2"/>
                <w:sz w:val="22"/>
              </w:rPr>
              <w:t>828878.2339</w:t>
            </w:r>
          </w:p>
        </w:tc>
        <w:tc>
          <w:tcPr>
            <w:tcW w:w="1371" w:type="dxa"/>
          </w:tcPr>
          <w:p>
            <w:pPr>
              <w:pStyle w:val="TableParagraph"/>
              <w:ind w:right="1"/>
              <w:rPr>
                <w:sz w:val="22"/>
              </w:rPr>
            </w:pPr>
            <w:r>
              <w:rPr>
                <w:spacing w:val="-2"/>
                <w:sz w:val="22"/>
              </w:rPr>
              <w:t>1007118.607</w:t>
            </w:r>
          </w:p>
        </w:tc>
      </w:tr>
      <w:tr>
        <w:trPr>
          <w:trHeight w:val="299" w:hRule="atLeast"/>
        </w:trPr>
        <w:tc>
          <w:tcPr>
            <w:tcW w:w="559" w:type="dxa"/>
          </w:tcPr>
          <w:p>
            <w:pPr>
              <w:pStyle w:val="TableParagraph"/>
              <w:spacing w:line="238" w:lineRule="exact" w:before="41"/>
              <w:ind w:left="0" w:right="96"/>
              <w:jc w:val="right"/>
              <w:rPr>
                <w:sz w:val="22"/>
              </w:rPr>
            </w:pPr>
            <w:r>
              <w:rPr>
                <w:spacing w:val="-10"/>
                <w:sz w:val="22"/>
              </w:rPr>
              <w:t>3</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60000</w:t>
            </w:r>
          </w:p>
        </w:tc>
        <w:tc>
          <w:tcPr>
            <w:tcW w:w="876" w:type="dxa"/>
          </w:tcPr>
          <w:p>
            <w:pPr>
              <w:pStyle w:val="TableParagraph"/>
              <w:ind w:left="12"/>
              <w:rPr>
                <w:sz w:val="22"/>
              </w:rPr>
            </w:pPr>
            <w:r>
              <w:rPr>
                <w:spacing w:val="-2"/>
                <w:sz w:val="22"/>
              </w:rPr>
              <w:t>60000</w:t>
            </w:r>
          </w:p>
        </w:tc>
        <w:tc>
          <w:tcPr>
            <w:tcW w:w="877" w:type="dxa"/>
          </w:tcPr>
          <w:p>
            <w:pPr>
              <w:pStyle w:val="TableParagraph"/>
              <w:ind w:left="11"/>
              <w:rPr>
                <w:sz w:val="22"/>
              </w:rPr>
            </w:pPr>
            <w:r>
              <w:rPr>
                <w:spacing w:val="-2"/>
                <w:sz w:val="22"/>
              </w:rPr>
              <w:t>130000</w:t>
            </w:r>
          </w:p>
        </w:tc>
        <w:tc>
          <w:tcPr>
            <w:tcW w:w="1371" w:type="dxa"/>
          </w:tcPr>
          <w:p>
            <w:pPr>
              <w:pStyle w:val="TableParagraph"/>
              <w:rPr>
                <w:sz w:val="22"/>
              </w:rPr>
            </w:pPr>
            <w:r>
              <w:rPr>
                <w:spacing w:val="-2"/>
                <w:sz w:val="22"/>
              </w:rPr>
              <w:t>829483.2231</w:t>
            </w:r>
          </w:p>
        </w:tc>
        <w:tc>
          <w:tcPr>
            <w:tcW w:w="1371" w:type="dxa"/>
          </w:tcPr>
          <w:p>
            <w:pPr>
              <w:pStyle w:val="TableParagraph"/>
              <w:ind w:right="1"/>
              <w:rPr>
                <w:sz w:val="22"/>
              </w:rPr>
            </w:pPr>
            <w:r>
              <w:rPr>
                <w:spacing w:val="-2"/>
                <w:sz w:val="22"/>
              </w:rPr>
              <w:t>1006920.124</w:t>
            </w:r>
          </w:p>
        </w:tc>
      </w:tr>
      <w:tr>
        <w:trPr>
          <w:trHeight w:val="299" w:hRule="atLeast"/>
        </w:trPr>
        <w:tc>
          <w:tcPr>
            <w:tcW w:w="559" w:type="dxa"/>
          </w:tcPr>
          <w:p>
            <w:pPr>
              <w:pStyle w:val="TableParagraph"/>
              <w:spacing w:line="238" w:lineRule="exact" w:before="41"/>
              <w:ind w:left="0" w:right="96"/>
              <w:jc w:val="right"/>
              <w:rPr>
                <w:sz w:val="22"/>
              </w:rPr>
            </w:pPr>
            <w:r>
              <w:rPr>
                <w:spacing w:val="-10"/>
                <w:sz w:val="22"/>
              </w:rPr>
              <w:t>4</w:t>
            </w:r>
          </w:p>
        </w:tc>
        <w:tc>
          <w:tcPr>
            <w:tcW w:w="2953"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76" w:type="dxa"/>
          </w:tcPr>
          <w:p>
            <w:pPr>
              <w:pStyle w:val="TableParagraph"/>
              <w:ind w:left="12"/>
              <w:rPr>
                <w:sz w:val="22"/>
              </w:rPr>
            </w:pPr>
            <w:r>
              <w:rPr>
                <w:spacing w:val="-2"/>
                <w:sz w:val="22"/>
              </w:rPr>
              <w:t>60000</w:t>
            </w:r>
          </w:p>
        </w:tc>
        <w:tc>
          <w:tcPr>
            <w:tcW w:w="876" w:type="dxa"/>
          </w:tcPr>
          <w:p>
            <w:pPr>
              <w:pStyle w:val="TableParagraph"/>
              <w:ind w:left="12"/>
              <w:rPr>
                <w:sz w:val="22"/>
              </w:rPr>
            </w:pPr>
            <w:r>
              <w:rPr>
                <w:spacing w:val="-2"/>
                <w:sz w:val="22"/>
              </w:rPr>
              <w:t>90000</w:t>
            </w:r>
          </w:p>
        </w:tc>
        <w:tc>
          <w:tcPr>
            <w:tcW w:w="877" w:type="dxa"/>
          </w:tcPr>
          <w:p>
            <w:pPr>
              <w:pStyle w:val="TableParagraph"/>
              <w:ind w:left="11"/>
              <w:rPr>
                <w:sz w:val="22"/>
              </w:rPr>
            </w:pPr>
            <w:r>
              <w:rPr>
                <w:spacing w:val="-2"/>
                <w:sz w:val="22"/>
              </w:rPr>
              <w:t>120000</w:t>
            </w:r>
          </w:p>
        </w:tc>
        <w:tc>
          <w:tcPr>
            <w:tcW w:w="1371" w:type="dxa"/>
          </w:tcPr>
          <w:p>
            <w:pPr>
              <w:pStyle w:val="TableParagraph"/>
              <w:rPr>
                <w:sz w:val="22"/>
              </w:rPr>
            </w:pPr>
            <w:r>
              <w:rPr>
                <w:spacing w:val="-2"/>
                <w:sz w:val="22"/>
              </w:rPr>
              <w:t>827651.1559</w:t>
            </w:r>
          </w:p>
        </w:tc>
        <w:tc>
          <w:tcPr>
            <w:tcW w:w="1371" w:type="dxa"/>
          </w:tcPr>
          <w:p>
            <w:pPr>
              <w:pStyle w:val="TableParagraph"/>
              <w:ind w:right="1"/>
              <w:rPr>
                <w:sz w:val="22"/>
              </w:rPr>
            </w:pPr>
            <w:r>
              <w:rPr>
                <w:spacing w:val="-2"/>
                <w:sz w:val="22"/>
              </w:rPr>
              <w:t>1006031.915</w:t>
            </w:r>
          </w:p>
        </w:tc>
      </w:tr>
      <w:tr>
        <w:trPr>
          <w:trHeight w:val="299" w:hRule="atLeast"/>
        </w:trPr>
        <w:tc>
          <w:tcPr>
            <w:tcW w:w="559" w:type="dxa"/>
          </w:tcPr>
          <w:p>
            <w:pPr>
              <w:pStyle w:val="TableParagraph"/>
              <w:spacing w:line="238" w:lineRule="exact" w:before="41"/>
              <w:ind w:left="0" w:right="96"/>
              <w:jc w:val="right"/>
              <w:rPr>
                <w:sz w:val="22"/>
              </w:rPr>
            </w:pPr>
            <w:r>
              <w:rPr>
                <w:spacing w:val="-10"/>
                <w:sz w:val="22"/>
              </w:rPr>
              <w:t>5</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827999.1477</w:t>
            </w:r>
          </w:p>
        </w:tc>
        <w:tc>
          <w:tcPr>
            <w:tcW w:w="1371" w:type="dxa"/>
          </w:tcPr>
          <w:p>
            <w:pPr>
              <w:pStyle w:val="TableParagraph"/>
              <w:ind w:right="1"/>
              <w:rPr>
                <w:sz w:val="22"/>
              </w:rPr>
            </w:pPr>
            <w:r>
              <w:rPr>
                <w:spacing w:val="-2"/>
                <w:sz w:val="22"/>
              </w:rPr>
              <w:t>1005882.787</w:t>
            </w:r>
          </w:p>
        </w:tc>
      </w:tr>
      <w:tr>
        <w:trPr>
          <w:trHeight w:val="301" w:hRule="atLeast"/>
        </w:trPr>
        <w:tc>
          <w:tcPr>
            <w:tcW w:w="559" w:type="dxa"/>
          </w:tcPr>
          <w:p>
            <w:pPr>
              <w:pStyle w:val="TableParagraph"/>
              <w:spacing w:line="240" w:lineRule="exact" w:before="41"/>
              <w:ind w:left="0" w:right="96"/>
              <w:jc w:val="right"/>
              <w:rPr>
                <w:sz w:val="22"/>
              </w:rPr>
            </w:pPr>
            <w:r>
              <w:rPr>
                <w:spacing w:val="-10"/>
                <w:sz w:val="22"/>
              </w:rPr>
              <w:t>6</w:t>
            </w:r>
          </w:p>
        </w:tc>
        <w:tc>
          <w:tcPr>
            <w:tcW w:w="2953" w:type="dxa"/>
          </w:tcPr>
          <w:p>
            <w:pPr>
              <w:pStyle w:val="TableParagraph"/>
              <w:spacing w:line="249" w:lineRule="exact"/>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spacing w:line="249" w:lineRule="exact"/>
              <w:ind w:left="12"/>
              <w:rPr>
                <w:sz w:val="22"/>
              </w:rPr>
            </w:pPr>
            <w:r>
              <w:rPr>
                <w:spacing w:val="-2"/>
                <w:sz w:val="22"/>
              </w:rPr>
              <w:t>70000</w:t>
            </w:r>
          </w:p>
        </w:tc>
        <w:tc>
          <w:tcPr>
            <w:tcW w:w="876" w:type="dxa"/>
          </w:tcPr>
          <w:p>
            <w:pPr>
              <w:pStyle w:val="TableParagraph"/>
              <w:spacing w:line="249" w:lineRule="exact"/>
              <w:ind w:left="12"/>
              <w:rPr>
                <w:sz w:val="22"/>
              </w:rPr>
            </w:pPr>
            <w:r>
              <w:rPr>
                <w:spacing w:val="-2"/>
                <w:sz w:val="22"/>
              </w:rPr>
              <w:t>90000</w:t>
            </w:r>
          </w:p>
        </w:tc>
        <w:tc>
          <w:tcPr>
            <w:tcW w:w="877" w:type="dxa"/>
          </w:tcPr>
          <w:p>
            <w:pPr>
              <w:pStyle w:val="TableParagraph"/>
              <w:spacing w:line="249" w:lineRule="exact"/>
              <w:ind w:left="11"/>
              <w:rPr>
                <w:sz w:val="22"/>
              </w:rPr>
            </w:pPr>
            <w:r>
              <w:rPr>
                <w:spacing w:val="-2"/>
                <w:sz w:val="22"/>
              </w:rPr>
              <w:t>130000</w:t>
            </w:r>
          </w:p>
        </w:tc>
        <w:tc>
          <w:tcPr>
            <w:tcW w:w="1371" w:type="dxa"/>
          </w:tcPr>
          <w:p>
            <w:pPr>
              <w:pStyle w:val="TableParagraph"/>
              <w:spacing w:line="249" w:lineRule="exact"/>
              <w:rPr>
                <w:sz w:val="22"/>
              </w:rPr>
            </w:pPr>
            <w:r>
              <w:rPr>
                <w:spacing w:val="-2"/>
                <w:sz w:val="22"/>
              </w:rPr>
              <w:t>828554.8023</w:t>
            </w:r>
          </w:p>
        </w:tc>
        <w:tc>
          <w:tcPr>
            <w:tcW w:w="1371" w:type="dxa"/>
          </w:tcPr>
          <w:p>
            <w:pPr>
              <w:pStyle w:val="TableParagraph"/>
              <w:spacing w:line="249" w:lineRule="exact"/>
              <w:ind w:right="1"/>
              <w:rPr>
                <w:sz w:val="22"/>
              </w:rPr>
            </w:pPr>
            <w:r>
              <w:rPr>
                <w:spacing w:val="-2"/>
                <w:sz w:val="22"/>
              </w:rPr>
              <w:t>1005784.754</w:t>
            </w:r>
          </w:p>
        </w:tc>
      </w:tr>
      <w:tr>
        <w:trPr>
          <w:trHeight w:val="299" w:hRule="atLeast"/>
        </w:trPr>
        <w:tc>
          <w:tcPr>
            <w:tcW w:w="559" w:type="dxa"/>
          </w:tcPr>
          <w:p>
            <w:pPr>
              <w:pStyle w:val="TableParagraph"/>
              <w:spacing w:line="240" w:lineRule="exact" w:before="39"/>
              <w:ind w:left="0" w:right="96"/>
              <w:jc w:val="right"/>
              <w:rPr>
                <w:sz w:val="22"/>
              </w:rPr>
            </w:pPr>
            <w:r>
              <w:rPr>
                <w:spacing w:val="-10"/>
                <w:sz w:val="22"/>
              </w:rPr>
              <w:t>7</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80000</w:t>
            </w:r>
          </w:p>
        </w:tc>
        <w:tc>
          <w:tcPr>
            <w:tcW w:w="876" w:type="dxa"/>
          </w:tcPr>
          <w:p>
            <w:pPr>
              <w:pStyle w:val="TableParagraph"/>
              <w:ind w:left="12"/>
              <w:rPr>
                <w:sz w:val="22"/>
              </w:rPr>
            </w:pPr>
            <w:r>
              <w:rPr>
                <w:spacing w:val="-2"/>
                <w:sz w:val="22"/>
              </w:rPr>
              <w:t>120000</w:t>
            </w:r>
          </w:p>
        </w:tc>
        <w:tc>
          <w:tcPr>
            <w:tcW w:w="877" w:type="dxa"/>
          </w:tcPr>
          <w:p>
            <w:pPr>
              <w:pStyle w:val="TableParagraph"/>
              <w:ind w:left="11"/>
              <w:rPr>
                <w:sz w:val="22"/>
              </w:rPr>
            </w:pPr>
            <w:r>
              <w:rPr>
                <w:spacing w:val="-2"/>
                <w:sz w:val="22"/>
              </w:rPr>
              <w:t>150000</w:t>
            </w:r>
          </w:p>
        </w:tc>
        <w:tc>
          <w:tcPr>
            <w:tcW w:w="1371" w:type="dxa"/>
          </w:tcPr>
          <w:p>
            <w:pPr>
              <w:pStyle w:val="TableParagraph"/>
              <w:ind w:right="107"/>
              <w:rPr>
                <w:sz w:val="22"/>
              </w:rPr>
            </w:pPr>
            <w:r>
              <w:rPr>
                <w:spacing w:val="-2"/>
                <w:sz w:val="22"/>
              </w:rPr>
              <w:t>830443.887</w:t>
            </w:r>
          </w:p>
        </w:tc>
        <w:tc>
          <w:tcPr>
            <w:tcW w:w="1371" w:type="dxa"/>
          </w:tcPr>
          <w:p>
            <w:pPr>
              <w:pStyle w:val="TableParagraph"/>
              <w:ind w:right="1"/>
              <w:rPr>
                <w:sz w:val="22"/>
              </w:rPr>
            </w:pPr>
            <w:r>
              <w:rPr>
                <w:spacing w:val="-2"/>
                <w:sz w:val="22"/>
              </w:rPr>
              <w:t>1007907.125</w:t>
            </w:r>
          </w:p>
        </w:tc>
      </w:tr>
      <w:tr>
        <w:trPr>
          <w:trHeight w:val="299" w:hRule="atLeast"/>
        </w:trPr>
        <w:tc>
          <w:tcPr>
            <w:tcW w:w="559" w:type="dxa"/>
          </w:tcPr>
          <w:p>
            <w:pPr>
              <w:pStyle w:val="TableParagraph"/>
              <w:spacing w:line="238" w:lineRule="exact" w:before="41"/>
              <w:ind w:left="0" w:right="96"/>
              <w:jc w:val="right"/>
              <w:rPr>
                <w:sz w:val="22"/>
              </w:rPr>
            </w:pPr>
            <w:r>
              <w:rPr>
                <w:spacing w:val="-10"/>
                <w:sz w:val="22"/>
              </w:rPr>
              <w:t>8</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75000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829891.2746</w:t>
            </w:r>
          </w:p>
        </w:tc>
        <w:tc>
          <w:tcPr>
            <w:tcW w:w="1371" w:type="dxa"/>
          </w:tcPr>
          <w:p>
            <w:pPr>
              <w:pStyle w:val="TableParagraph"/>
              <w:ind w:right="1"/>
              <w:rPr>
                <w:sz w:val="22"/>
              </w:rPr>
            </w:pPr>
            <w:r>
              <w:rPr>
                <w:spacing w:val="-2"/>
                <w:sz w:val="22"/>
              </w:rPr>
              <w:t>1007820.511</w:t>
            </w:r>
          </w:p>
        </w:tc>
      </w:tr>
      <w:tr>
        <w:trPr>
          <w:trHeight w:val="299" w:hRule="atLeast"/>
        </w:trPr>
        <w:tc>
          <w:tcPr>
            <w:tcW w:w="559" w:type="dxa"/>
          </w:tcPr>
          <w:p>
            <w:pPr>
              <w:pStyle w:val="TableParagraph"/>
              <w:spacing w:line="238" w:lineRule="exact" w:before="41"/>
              <w:ind w:left="0" w:right="96"/>
              <w:jc w:val="right"/>
              <w:rPr>
                <w:sz w:val="22"/>
              </w:rPr>
            </w:pPr>
            <w:r>
              <w:rPr>
                <w:spacing w:val="-10"/>
                <w:sz w:val="22"/>
              </w:rPr>
              <w:t>9</w:t>
            </w:r>
          </w:p>
        </w:tc>
        <w:tc>
          <w:tcPr>
            <w:tcW w:w="2953"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76" w:type="dxa"/>
          </w:tcPr>
          <w:p>
            <w:pPr>
              <w:pStyle w:val="TableParagraph"/>
              <w:ind w:left="12"/>
              <w:rPr>
                <w:sz w:val="22"/>
              </w:rPr>
            </w:pPr>
            <w:r>
              <w:rPr>
                <w:spacing w:val="-2"/>
                <w:sz w:val="22"/>
              </w:rPr>
              <w:t>65000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120000</w:t>
            </w:r>
          </w:p>
        </w:tc>
        <w:tc>
          <w:tcPr>
            <w:tcW w:w="1371" w:type="dxa"/>
          </w:tcPr>
          <w:p>
            <w:pPr>
              <w:pStyle w:val="TableParagraph"/>
              <w:rPr>
                <w:sz w:val="22"/>
              </w:rPr>
            </w:pPr>
            <w:r>
              <w:rPr>
                <w:spacing w:val="-2"/>
                <w:sz w:val="22"/>
              </w:rPr>
              <w:t>828344.6196</w:t>
            </w:r>
          </w:p>
        </w:tc>
        <w:tc>
          <w:tcPr>
            <w:tcW w:w="1371" w:type="dxa"/>
          </w:tcPr>
          <w:p>
            <w:pPr>
              <w:pStyle w:val="TableParagraph"/>
              <w:ind w:right="1"/>
              <w:rPr>
                <w:sz w:val="22"/>
              </w:rPr>
            </w:pPr>
            <w:r>
              <w:rPr>
                <w:spacing w:val="-2"/>
                <w:sz w:val="22"/>
              </w:rPr>
              <w:t>1007324.225</w:t>
            </w:r>
          </w:p>
        </w:tc>
      </w:tr>
      <w:tr>
        <w:trPr>
          <w:trHeight w:val="300" w:hRule="atLeast"/>
        </w:trPr>
        <w:tc>
          <w:tcPr>
            <w:tcW w:w="559" w:type="dxa"/>
          </w:tcPr>
          <w:p>
            <w:pPr>
              <w:pStyle w:val="TableParagraph"/>
              <w:spacing w:line="238" w:lineRule="exact" w:before="42"/>
              <w:ind w:left="0" w:right="96"/>
              <w:jc w:val="right"/>
              <w:rPr>
                <w:sz w:val="22"/>
              </w:rPr>
            </w:pPr>
            <w:r>
              <w:rPr>
                <w:spacing w:val="-5"/>
                <w:sz w:val="22"/>
              </w:rPr>
              <w:t>10</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25000</w:t>
            </w:r>
          </w:p>
        </w:tc>
        <w:tc>
          <w:tcPr>
            <w:tcW w:w="876" w:type="dxa"/>
          </w:tcPr>
          <w:p>
            <w:pPr>
              <w:pStyle w:val="TableParagraph"/>
              <w:ind w:left="12"/>
              <w:rPr>
                <w:sz w:val="22"/>
              </w:rPr>
            </w:pPr>
            <w:r>
              <w:rPr>
                <w:spacing w:val="-2"/>
                <w:sz w:val="22"/>
              </w:rPr>
              <w:t>30000</w:t>
            </w:r>
          </w:p>
        </w:tc>
        <w:tc>
          <w:tcPr>
            <w:tcW w:w="877" w:type="dxa"/>
          </w:tcPr>
          <w:p>
            <w:pPr>
              <w:pStyle w:val="TableParagraph"/>
              <w:ind w:left="11"/>
              <w:rPr>
                <w:sz w:val="22"/>
              </w:rPr>
            </w:pPr>
            <w:r>
              <w:rPr>
                <w:spacing w:val="-2"/>
                <w:sz w:val="22"/>
              </w:rPr>
              <w:t>50000</w:t>
            </w:r>
          </w:p>
        </w:tc>
        <w:tc>
          <w:tcPr>
            <w:tcW w:w="1371" w:type="dxa"/>
          </w:tcPr>
          <w:p>
            <w:pPr>
              <w:pStyle w:val="TableParagraph"/>
              <w:rPr>
                <w:sz w:val="22"/>
              </w:rPr>
            </w:pPr>
            <w:r>
              <w:rPr>
                <w:spacing w:val="-2"/>
                <w:sz w:val="22"/>
              </w:rPr>
              <w:t>829755.2459</w:t>
            </w:r>
          </w:p>
        </w:tc>
        <w:tc>
          <w:tcPr>
            <w:tcW w:w="1371" w:type="dxa"/>
          </w:tcPr>
          <w:p>
            <w:pPr>
              <w:pStyle w:val="TableParagraph"/>
              <w:ind w:right="1"/>
              <w:rPr>
                <w:sz w:val="22"/>
              </w:rPr>
            </w:pPr>
            <w:r>
              <w:rPr>
                <w:spacing w:val="-2"/>
                <w:sz w:val="22"/>
              </w:rPr>
              <w:t>1006322.928</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11</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20000</w:t>
            </w:r>
          </w:p>
        </w:tc>
        <w:tc>
          <w:tcPr>
            <w:tcW w:w="876" w:type="dxa"/>
          </w:tcPr>
          <w:p>
            <w:pPr>
              <w:pStyle w:val="TableParagraph"/>
              <w:ind w:left="12"/>
              <w:rPr>
                <w:sz w:val="22"/>
              </w:rPr>
            </w:pPr>
            <w:r>
              <w:rPr>
                <w:spacing w:val="-2"/>
                <w:sz w:val="22"/>
              </w:rPr>
              <w:t>30000</w:t>
            </w:r>
          </w:p>
        </w:tc>
        <w:tc>
          <w:tcPr>
            <w:tcW w:w="877" w:type="dxa"/>
          </w:tcPr>
          <w:p>
            <w:pPr>
              <w:pStyle w:val="TableParagraph"/>
              <w:ind w:left="11"/>
              <w:rPr>
                <w:sz w:val="22"/>
              </w:rPr>
            </w:pPr>
            <w:r>
              <w:rPr>
                <w:spacing w:val="-2"/>
                <w:sz w:val="22"/>
              </w:rPr>
              <w:t>40000</w:t>
            </w:r>
          </w:p>
        </w:tc>
        <w:tc>
          <w:tcPr>
            <w:tcW w:w="1371" w:type="dxa"/>
          </w:tcPr>
          <w:p>
            <w:pPr>
              <w:pStyle w:val="TableParagraph"/>
              <w:rPr>
                <w:sz w:val="22"/>
              </w:rPr>
            </w:pPr>
            <w:r>
              <w:rPr>
                <w:spacing w:val="-2"/>
                <w:sz w:val="22"/>
              </w:rPr>
              <w:t>831274.1632</w:t>
            </w:r>
          </w:p>
        </w:tc>
        <w:tc>
          <w:tcPr>
            <w:tcW w:w="1371" w:type="dxa"/>
          </w:tcPr>
          <w:p>
            <w:pPr>
              <w:pStyle w:val="TableParagraph"/>
              <w:ind w:right="1"/>
              <w:rPr>
                <w:sz w:val="22"/>
              </w:rPr>
            </w:pPr>
            <w:r>
              <w:rPr>
                <w:spacing w:val="-2"/>
                <w:sz w:val="22"/>
              </w:rPr>
              <w:t>1005978.714</w:t>
            </w:r>
          </w:p>
        </w:tc>
      </w:tr>
      <w:tr>
        <w:trPr>
          <w:trHeight w:val="302" w:hRule="atLeast"/>
        </w:trPr>
        <w:tc>
          <w:tcPr>
            <w:tcW w:w="559" w:type="dxa"/>
          </w:tcPr>
          <w:p>
            <w:pPr>
              <w:pStyle w:val="TableParagraph"/>
              <w:spacing w:line="240" w:lineRule="exact" w:before="41"/>
              <w:ind w:left="0" w:right="96"/>
              <w:jc w:val="right"/>
              <w:rPr>
                <w:sz w:val="22"/>
              </w:rPr>
            </w:pPr>
            <w:r>
              <w:rPr>
                <w:spacing w:val="-5"/>
                <w:sz w:val="22"/>
              </w:rPr>
              <w:t>12</w:t>
            </w:r>
          </w:p>
        </w:tc>
        <w:tc>
          <w:tcPr>
            <w:tcW w:w="2953" w:type="dxa"/>
          </w:tcPr>
          <w:p>
            <w:pPr>
              <w:pStyle w:val="TableParagraph"/>
              <w:spacing w:line="249" w:lineRule="exact"/>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spacing w:line="249" w:lineRule="exact"/>
              <w:ind w:left="12"/>
              <w:rPr>
                <w:sz w:val="22"/>
              </w:rPr>
            </w:pPr>
            <w:r>
              <w:rPr>
                <w:spacing w:val="-2"/>
                <w:sz w:val="22"/>
              </w:rPr>
              <w:t>25000</w:t>
            </w:r>
          </w:p>
        </w:tc>
        <w:tc>
          <w:tcPr>
            <w:tcW w:w="876" w:type="dxa"/>
          </w:tcPr>
          <w:p>
            <w:pPr>
              <w:pStyle w:val="TableParagraph"/>
              <w:spacing w:line="249" w:lineRule="exact"/>
              <w:ind w:left="12"/>
              <w:rPr>
                <w:sz w:val="22"/>
              </w:rPr>
            </w:pPr>
            <w:r>
              <w:rPr>
                <w:spacing w:val="-2"/>
                <w:sz w:val="22"/>
              </w:rPr>
              <w:t>30000</w:t>
            </w:r>
          </w:p>
        </w:tc>
        <w:tc>
          <w:tcPr>
            <w:tcW w:w="877" w:type="dxa"/>
          </w:tcPr>
          <w:p>
            <w:pPr>
              <w:pStyle w:val="TableParagraph"/>
              <w:spacing w:line="249" w:lineRule="exact"/>
              <w:ind w:left="11"/>
              <w:rPr>
                <w:sz w:val="22"/>
              </w:rPr>
            </w:pPr>
            <w:r>
              <w:rPr>
                <w:spacing w:val="-2"/>
                <w:sz w:val="22"/>
              </w:rPr>
              <w:t>50000</w:t>
            </w:r>
          </w:p>
        </w:tc>
        <w:tc>
          <w:tcPr>
            <w:tcW w:w="1371" w:type="dxa"/>
          </w:tcPr>
          <w:p>
            <w:pPr>
              <w:pStyle w:val="TableParagraph"/>
              <w:spacing w:line="249" w:lineRule="exact"/>
              <w:rPr>
                <w:sz w:val="22"/>
              </w:rPr>
            </w:pPr>
            <w:r>
              <w:rPr>
                <w:spacing w:val="-2"/>
                <w:sz w:val="22"/>
              </w:rPr>
              <w:t>830177.5201</w:t>
            </w:r>
          </w:p>
        </w:tc>
        <w:tc>
          <w:tcPr>
            <w:tcW w:w="1371" w:type="dxa"/>
          </w:tcPr>
          <w:p>
            <w:pPr>
              <w:pStyle w:val="TableParagraph"/>
              <w:spacing w:line="249" w:lineRule="exact"/>
              <w:ind w:right="1"/>
              <w:rPr>
                <w:sz w:val="22"/>
              </w:rPr>
            </w:pPr>
            <w:r>
              <w:rPr>
                <w:spacing w:val="-2"/>
                <w:sz w:val="22"/>
              </w:rPr>
              <w:t>1006365.667</w:t>
            </w:r>
          </w:p>
        </w:tc>
      </w:tr>
      <w:tr>
        <w:trPr>
          <w:trHeight w:val="299" w:hRule="atLeast"/>
        </w:trPr>
        <w:tc>
          <w:tcPr>
            <w:tcW w:w="559" w:type="dxa"/>
          </w:tcPr>
          <w:p>
            <w:pPr>
              <w:pStyle w:val="TableParagraph"/>
              <w:spacing w:line="240" w:lineRule="exact" w:before="39"/>
              <w:ind w:left="0" w:right="96"/>
              <w:jc w:val="right"/>
              <w:rPr>
                <w:sz w:val="22"/>
              </w:rPr>
            </w:pPr>
            <w:r>
              <w:rPr>
                <w:spacing w:val="-5"/>
                <w:sz w:val="22"/>
              </w:rPr>
              <w:t>13</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25000</w:t>
            </w:r>
          </w:p>
        </w:tc>
        <w:tc>
          <w:tcPr>
            <w:tcW w:w="876" w:type="dxa"/>
          </w:tcPr>
          <w:p>
            <w:pPr>
              <w:pStyle w:val="TableParagraph"/>
              <w:ind w:left="12"/>
              <w:rPr>
                <w:sz w:val="22"/>
              </w:rPr>
            </w:pPr>
            <w:r>
              <w:rPr>
                <w:spacing w:val="-2"/>
                <w:sz w:val="22"/>
              </w:rPr>
              <w:t>25000</w:t>
            </w:r>
          </w:p>
        </w:tc>
        <w:tc>
          <w:tcPr>
            <w:tcW w:w="877" w:type="dxa"/>
          </w:tcPr>
          <w:p>
            <w:pPr>
              <w:pStyle w:val="TableParagraph"/>
              <w:ind w:left="11"/>
              <w:rPr>
                <w:sz w:val="22"/>
              </w:rPr>
            </w:pPr>
            <w:r>
              <w:rPr>
                <w:spacing w:val="-2"/>
                <w:sz w:val="22"/>
              </w:rPr>
              <w:t>40000</w:t>
            </w:r>
          </w:p>
        </w:tc>
        <w:tc>
          <w:tcPr>
            <w:tcW w:w="1371" w:type="dxa"/>
          </w:tcPr>
          <w:p>
            <w:pPr>
              <w:pStyle w:val="TableParagraph"/>
              <w:rPr>
                <w:sz w:val="22"/>
              </w:rPr>
            </w:pPr>
            <w:r>
              <w:rPr>
                <w:spacing w:val="-2"/>
                <w:sz w:val="22"/>
              </w:rPr>
              <w:t>829810.4068</w:t>
            </w:r>
          </w:p>
        </w:tc>
        <w:tc>
          <w:tcPr>
            <w:tcW w:w="1371" w:type="dxa"/>
          </w:tcPr>
          <w:p>
            <w:pPr>
              <w:pStyle w:val="TableParagraph"/>
              <w:ind w:right="108"/>
              <w:rPr>
                <w:sz w:val="22"/>
              </w:rPr>
            </w:pPr>
            <w:r>
              <w:rPr>
                <w:spacing w:val="-2"/>
                <w:sz w:val="22"/>
              </w:rPr>
              <w:t>1005510.05</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14</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25000</w:t>
            </w:r>
          </w:p>
        </w:tc>
        <w:tc>
          <w:tcPr>
            <w:tcW w:w="876" w:type="dxa"/>
          </w:tcPr>
          <w:p>
            <w:pPr>
              <w:pStyle w:val="TableParagraph"/>
              <w:ind w:left="12"/>
              <w:rPr>
                <w:sz w:val="22"/>
              </w:rPr>
            </w:pPr>
            <w:r>
              <w:rPr>
                <w:spacing w:val="-2"/>
                <w:sz w:val="22"/>
              </w:rPr>
              <w:t>35000</w:t>
            </w:r>
          </w:p>
        </w:tc>
        <w:tc>
          <w:tcPr>
            <w:tcW w:w="877" w:type="dxa"/>
          </w:tcPr>
          <w:p>
            <w:pPr>
              <w:pStyle w:val="TableParagraph"/>
              <w:ind w:left="11"/>
              <w:rPr>
                <w:sz w:val="22"/>
              </w:rPr>
            </w:pPr>
            <w:r>
              <w:rPr>
                <w:spacing w:val="-2"/>
                <w:sz w:val="22"/>
              </w:rPr>
              <w:t>45000</w:t>
            </w:r>
          </w:p>
        </w:tc>
        <w:tc>
          <w:tcPr>
            <w:tcW w:w="1371" w:type="dxa"/>
          </w:tcPr>
          <w:p>
            <w:pPr>
              <w:pStyle w:val="TableParagraph"/>
              <w:rPr>
                <w:sz w:val="22"/>
              </w:rPr>
            </w:pPr>
            <w:r>
              <w:rPr>
                <w:spacing w:val="-2"/>
                <w:sz w:val="22"/>
              </w:rPr>
              <w:t>829393.2144</w:t>
            </w:r>
          </w:p>
        </w:tc>
        <w:tc>
          <w:tcPr>
            <w:tcW w:w="1371" w:type="dxa"/>
          </w:tcPr>
          <w:p>
            <w:pPr>
              <w:pStyle w:val="TableParagraph"/>
              <w:ind w:right="1"/>
              <w:rPr>
                <w:sz w:val="22"/>
              </w:rPr>
            </w:pPr>
            <w:r>
              <w:rPr>
                <w:spacing w:val="-2"/>
                <w:sz w:val="22"/>
              </w:rPr>
              <w:t>1004800.168</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15</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25000</w:t>
            </w:r>
          </w:p>
        </w:tc>
        <w:tc>
          <w:tcPr>
            <w:tcW w:w="876" w:type="dxa"/>
          </w:tcPr>
          <w:p>
            <w:pPr>
              <w:pStyle w:val="TableParagraph"/>
              <w:ind w:left="12"/>
              <w:rPr>
                <w:sz w:val="22"/>
              </w:rPr>
            </w:pPr>
            <w:r>
              <w:rPr>
                <w:spacing w:val="-2"/>
                <w:sz w:val="22"/>
              </w:rPr>
              <w:t>30000</w:t>
            </w:r>
          </w:p>
        </w:tc>
        <w:tc>
          <w:tcPr>
            <w:tcW w:w="877" w:type="dxa"/>
          </w:tcPr>
          <w:p>
            <w:pPr>
              <w:pStyle w:val="TableParagraph"/>
              <w:ind w:left="11"/>
              <w:rPr>
                <w:sz w:val="22"/>
              </w:rPr>
            </w:pPr>
            <w:r>
              <w:rPr>
                <w:spacing w:val="-2"/>
                <w:sz w:val="22"/>
              </w:rPr>
              <w:t>40000</w:t>
            </w:r>
          </w:p>
        </w:tc>
        <w:tc>
          <w:tcPr>
            <w:tcW w:w="1371" w:type="dxa"/>
          </w:tcPr>
          <w:p>
            <w:pPr>
              <w:pStyle w:val="TableParagraph"/>
              <w:rPr>
                <w:sz w:val="22"/>
              </w:rPr>
            </w:pPr>
            <w:r>
              <w:rPr>
                <w:spacing w:val="-2"/>
                <w:sz w:val="22"/>
              </w:rPr>
              <w:t>830676.3326</w:t>
            </w:r>
          </w:p>
        </w:tc>
        <w:tc>
          <w:tcPr>
            <w:tcW w:w="1371" w:type="dxa"/>
          </w:tcPr>
          <w:p>
            <w:pPr>
              <w:pStyle w:val="TableParagraph"/>
              <w:ind w:right="1"/>
              <w:rPr>
                <w:sz w:val="22"/>
              </w:rPr>
            </w:pPr>
            <w:r>
              <w:rPr>
                <w:spacing w:val="-2"/>
                <w:sz w:val="22"/>
              </w:rPr>
              <w:t>1005023.946</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16</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2"/>
                <w:sz w:val="22"/>
              </w:rPr>
              <w:t> Associates</w:t>
            </w:r>
          </w:p>
        </w:tc>
        <w:tc>
          <w:tcPr>
            <w:tcW w:w="876" w:type="dxa"/>
          </w:tcPr>
          <w:p>
            <w:pPr>
              <w:pStyle w:val="TableParagraph"/>
              <w:ind w:left="12"/>
              <w:rPr>
                <w:sz w:val="22"/>
              </w:rPr>
            </w:pPr>
            <w:r>
              <w:rPr>
                <w:spacing w:val="-2"/>
                <w:sz w:val="22"/>
              </w:rPr>
              <w:t>25000</w:t>
            </w:r>
          </w:p>
        </w:tc>
        <w:tc>
          <w:tcPr>
            <w:tcW w:w="876" w:type="dxa"/>
          </w:tcPr>
          <w:p>
            <w:pPr>
              <w:pStyle w:val="TableParagraph"/>
              <w:ind w:left="12"/>
              <w:rPr>
                <w:sz w:val="22"/>
              </w:rPr>
            </w:pPr>
            <w:r>
              <w:rPr>
                <w:spacing w:val="-2"/>
                <w:sz w:val="22"/>
              </w:rPr>
              <w:t>40000</w:t>
            </w:r>
          </w:p>
        </w:tc>
        <w:tc>
          <w:tcPr>
            <w:tcW w:w="877" w:type="dxa"/>
          </w:tcPr>
          <w:p>
            <w:pPr>
              <w:pStyle w:val="TableParagraph"/>
              <w:ind w:left="11"/>
              <w:rPr>
                <w:sz w:val="22"/>
              </w:rPr>
            </w:pPr>
            <w:r>
              <w:rPr>
                <w:spacing w:val="-2"/>
                <w:sz w:val="22"/>
              </w:rPr>
              <w:t>50000</w:t>
            </w:r>
          </w:p>
        </w:tc>
        <w:tc>
          <w:tcPr>
            <w:tcW w:w="1371" w:type="dxa"/>
          </w:tcPr>
          <w:p>
            <w:pPr>
              <w:pStyle w:val="TableParagraph"/>
              <w:rPr>
                <w:sz w:val="22"/>
              </w:rPr>
            </w:pPr>
            <w:r>
              <w:rPr>
                <w:spacing w:val="-2"/>
                <w:sz w:val="22"/>
              </w:rPr>
              <w:t>829991.1088</w:t>
            </w:r>
          </w:p>
        </w:tc>
        <w:tc>
          <w:tcPr>
            <w:tcW w:w="1371" w:type="dxa"/>
          </w:tcPr>
          <w:p>
            <w:pPr>
              <w:pStyle w:val="TableParagraph"/>
              <w:ind w:right="1"/>
              <w:rPr>
                <w:sz w:val="22"/>
              </w:rPr>
            </w:pPr>
            <w:r>
              <w:rPr>
                <w:spacing w:val="-2"/>
                <w:sz w:val="22"/>
              </w:rPr>
              <w:t>1005030.483</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17</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95000</w:t>
            </w:r>
          </w:p>
        </w:tc>
        <w:tc>
          <w:tcPr>
            <w:tcW w:w="877" w:type="dxa"/>
          </w:tcPr>
          <w:p>
            <w:pPr>
              <w:pStyle w:val="TableParagraph"/>
              <w:ind w:left="11"/>
              <w:rPr>
                <w:sz w:val="22"/>
              </w:rPr>
            </w:pPr>
            <w:r>
              <w:rPr>
                <w:spacing w:val="-2"/>
                <w:sz w:val="22"/>
              </w:rPr>
              <w:t>130000</w:t>
            </w:r>
          </w:p>
        </w:tc>
        <w:tc>
          <w:tcPr>
            <w:tcW w:w="1371" w:type="dxa"/>
          </w:tcPr>
          <w:p>
            <w:pPr>
              <w:pStyle w:val="TableParagraph"/>
              <w:rPr>
                <w:sz w:val="22"/>
              </w:rPr>
            </w:pPr>
            <w:r>
              <w:rPr>
                <w:spacing w:val="-2"/>
                <w:sz w:val="22"/>
              </w:rPr>
              <w:t>832779.9732</w:t>
            </w:r>
          </w:p>
        </w:tc>
        <w:tc>
          <w:tcPr>
            <w:tcW w:w="1371" w:type="dxa"/>
          </w:tcPr>
          <w:p>
            <w:pPr>
              <w:pStyle w:val="TableParagraph"/>
              <w:ind w:right="1"/>
              <w:rPr>
                <w:sz w:val="22"/>
              </w:rPr>
            </w:pPr>
            <w:r>
              <w:rPr>
                <w:spacing w:val="-2"/>
                <w:sz w:val="22"/>
              </w:rPr>
              <w:t>1005636.648</w:t>
            </w:r>
          </w:p>
        </w:tc>
      </w:tr>
      <w:tr>
        <w:trPr>
          <w:trHeight w:val="302" w:hRule="atLeast"/>
        </w:trPr>
        <w:tc>
          <w:tcPr>
            <w:tcW w:w="559" w:type="dxa"/>
          </w:tcPr>
          <w:p>
            <w:pPr>
              <w:pStyle w:val="TableParagraph"/>
              <w:spacing w:line="240" w:lineRule="exact" w:before="41"/>
              <w:ind w:left="0" w:right="96"/>
              <w:jc w:val="right"/>
              <w:rPr>
                <w:sz w:val="22"/>
              </w:rPr>
            </w:pPr>
            <w:r>
              <w:rPr>
                <w:spacing w:val="-5"/>
                <w:sz w:val="22"/>
              </w:rPr>
              <w:t>18</w:t>
            </w:r>
          </w:p>
        </w:tc>
        <w:tc>
          <w:tcPr>
            <w:tcW w:w="2953"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spacing w:line="249" w:lineRule="exact"/>
              <w:ind w:left="12"/>
              <w:rPr>
                <w:sz w:val="22"/>
              </w:rPr>
            </w:pPr>
            <w:r>
              <w:rPr>
                <w:spacing w:val="-2"/>
                <w:sz w:val="22"/>
              </w:rPr>
              <w:t>25000</w:t>
            </w:r>
          </w:p>
        </w:tc>
        <w:tc>
          <w:tcPr>
            <w:tcW w:w="876" w:type="dxa"/>
          </w:tcPr>
          <w:p>
            <w:pPr>
              <w:pStyle w:val="TableParagraph"/>
              <w:spacing w:line="249" w:lineRule="exact"/>
              <w:ind w:left="12"/>
              <w:rPr>
                <w:sz w:val="22"/>
              </w:rPr>
            </w:pPr>
            <w:r>
              <w:rPr>
                <w:spacing w:val="-2"/>
                <w:sz w:val="22"/>
              </w:rPr>
              <w:t>30000</w:t>
            </w:r>
          </w:p>
        </w:tc>
        <w:tc>
          <w:tcPr>
            <w:tcW w:w="877" w:type="dxa"/>
          </w:tcPr>
          <w:p>
            <w:pPr>
              <w:pStyle w:val="TableParagraph"/>
              <w:spacing w:line="249" w:lineRule="exact"/>
              <w:ind w:left="11"/>
              <w:rPr>
                <w:sz w:val="22"/>
              </w:rPr>
            </w:pPr>
            <w:r>
              <w:rPr>
                <w:spacing w:val="-2"/>
                <w:sz w:val="22"/>
              </w:rPr>
              <w:t>50000</w:t>
            </w:r>
          </w:p>
        </w:tc>
        <w:tc>
          <w:tcPr>
            <w:tcW w:w="1371" w:type="dxa"/>
          </w:tcPr>
          <w:p>
            <w:pPr>
              <w:pStyle w:val="TableParagraph"/>
              <w:spacing w:line="249" w:lineRule="exact"/>
              <w:rPr>
                <w:sz w:val="22"/>
              </w:rPr>
            </w:pPr>
            <w:r>
              <w:rPr>
                <w:spacing w:val="-2"/>
                <w:sz w:val="22"/>
              </w:rPr>
              <w:t>832291.3329</w:t>
            </w:r>
          </w:p>
        </w:tc>
        <w:tc>
          <w:tcPr>
            <w:tcW w:w="1371" w:type="dxa"/>
          </w:tcPr>
          <w:p>
            <w:pPr>
              <w:pStyle w:val="TableParagraph"/>
              <w:spacing w:line="249" w:lineRule="exact"/>
              <w:ind w:right="1"/>
              <w:rPr>
                <w:sz w:val="22"/>
              </w:rPr>
            </w:pPr>
            <w:r>
              <w:rPr>
                <w:spacing w:val="-2"/>
                <w:sz w:val="22"/>
              </w:rPr>
              <w:t>1005283.012</w:t>
            </w:r>
          </w:p>
        </w:tc>
      </w:tr>
    </w:tbl>
    <w:p>
      <w:pPr>
        <w:spacing w:after="0" w:line="249" w:lineRule="exact"/>
        <w:rPr>
          <w:sz w:val="22"/>
        </w:rPr>
        <w:sectPr>
          <w:type w:val="continuous"/>
          <w:pgSz w:w="11910" w:h="16840"/>
          <w:pgMar w:header="0" w:footer="1022" w:top="1380" w:bottom="1535" w:left="1680" w:right="900"/>
        </w:sectPr>
      </w:pPr>
    </w:p>
    <w:tbl>
      <w:tblPr>
        <w:tblW w:w="0" w:type="auto"/>
        <w:jc w:val="left"/>
        <w:tblInd w:w="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9"/>
        <w:gridCol w:w="2953"/>
        <w:gridCol w:w="876"/>
        <w:gridCol w:w="876"/>
        <w:gridCol w:w="877"/>
        <w:gridCol w:w="1371"/>
        <w:gridCol w:w="1371"/>
      </w:tblGrid>
      <w:tr>
        <w:trPr>
          <w:trHeight w:val="299" w:hRule="atLeast"/>
        </w:trPr>
        <w:tc>
          <w:tcPr>
            <w:tcW w:w="559" w:type="dxa"/>
          </w:tcPr>
          <w:p>
            <w:pPr>
              <w:pStyle w:val="TableParagraph"/>
              <w:spacing w:line="238" w:lineRule="exact" w:before="41"/>
              <w:ind w:left="0" w:right="96"/>
              <w:jc w:val="right"/>
              <w:rPr>
                <w:sz w:val="22"/>
              </w:rPr>
            </w:pPr>
            <w:r>
              <w:rPr>
                <w:spacing w:val="-5"/>
                <w:sz w:val="22"/>
              </w:rPr>
              <w:t>19</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25000</w:t>
            </w:r>
          </w:p>
        </w:tc>
        <w:tc>
          <w:tcPr>
            <w:tcW w:w="876" w:type="dxa"/>
          </w:tcPr>
          <w:p>
            <w:pPr>
              <w:pStyle w:val="TableParagraph"/>
              <w:ind w:left="12"/>
              <w:rPr>
                <w:sz w:val="22"/>
              </w:rPr>
            </w:pPr>
            <w:r>
              <w:rPr>
                <w:spacing w:val="-2"/>
                <w:sz w:val="22"/>
              </w:rPr>
              <w:t>40000</w:t>
            </w:r>
          </w:p>
        </w:tc>
        <w:tc>
          <w:tcPr>
            <w:tcW w:w="877" w:type="dxa"/>
          </w:tcPr>
          <w:p>
            <w:pPr>
              <w:pStyle w:val="TableParagraph"/>
              <w:ind w:left="11"/>
              <w:rPr>
                <w:sz w:val="22"/>
              </w:rPr>
            </w:pPr>
            <w:r>
              <w:rPr>
                <w:spacing w:val="-2"/>
                <w:sz w:val="22"/>
              </w:rPr>
              <w:t>40000</w:t>
            </w:r>
          </w:p>
        </w:tc>
        <w:tc>
          <w:tcPr>
            <w:tcW w:w="1371" w:type="dxa"/>
          </w:tcPr>
          <w:p>
            <w:pPr>
              <w:pStyle w:val="TableParagraph"/>
              <w:rPr>
                <w:sz w:val="22"/>
              </w:rPr>
            </w:pPr>
            <w:r>
              <w:rPr>
                <w:spacing w:val="-2"/>
                <w:sz w:val="22"/>
              </w:rPr>
              <w:t>832092.1823</w:t>
            </w:r>
          </w:p>
        </w:tc>
        <w:tc>
          <w:tcPr>
            <w:tcW w:w="1371" w:type="dxa"/>
          </w:tcPr>
          <w:p>
            <w:pPr>
              <w:pStyle w:val="TableParagraph"/>
              <w:ind w:right="1"/>
              <w:rPr>
                <w:sz w:val="22"/>
              </w:rPr>
            </w:pPr>
            <w:r>
              <w:rPr>
                <w:spacing w:val="-2"/>
                <w:sz w:val="22"/>
              </w:rPr>
              <w:t>1004356.274</w:t>
            </w:r>
          </w:p>
        </w:tc>
      </w:tr>
      <w:tr>
        <w:trPr>
          <w:trHeight w:val="300" w:hRule="atLeast"/>
        </w:trPr>
        <w:tc>
          <w:tcPr>
            <w:tcW w:w="559" w:type="dxa"/>
          </w:tcPr>
          <w:p>
            <w:pPr>
              <w:pStyle w:val="TableParagraph"/>
              <w:spacing w:line="238" w:lineRule="exact" w:before="42"/>
              <w:ind w:left="0" w:right="96"/>
              <w:jc w:val="right"/>
              <w:rPr>
                <w:sz w:val="22"/>
              </w:rPr>
            </w:pPr>
            <w:r>
              <w:rPr>
                <w:spacing w:val="-5"/>
                <w:sz w:val="22"/>
              </w:rPr>
              <w:t>20</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25000</w:t>
            </w:r>
          </w:p>
        </w:tc>
        <w:tc>
          <w:tcPr>
            <w:tcW w:w="876" w:type="dxa"/>
          </w:tcPr>
          <w:p>
            <w:pPr>
              <w:pStyle w:val="TableParagraph"/>
              <w:ind w:left="12"/>
              <w:rPr>
                <w:sz w:val="22"/>
              </w:rPr>
            </w:pPr>
            <w:r>
              <w:rPr>
                <w:spacing w:val="-2"/>
                <w:sz w:val="22"/>
              </w:rPr>
              <w:t>40000</w:t>
            </w:r>
          </w:p>
        </w:tc>
        <w:tc>
          <w:tcPr>
            <w:tcW w:w="877" w:type="dxa"/>
          </w:tcPr>
          <w:p>
            <w:pPr>
              <w:pStyle w:val="TableParagraph"/>
              <w:ind w:left="11"/>
              <w:rPr>
                <w:sz w:val="22"/>
              </w:rPr>
            </w:pPr>
            <w:r>
              <w:rPr>
                <w:spacing w:val="-2"/>
                <w:sz w:val="22"/>
              </w:rPr>
              <w:t>45000</w:t>
            </w:r>
          </w:p>
        </w:tc>
        <w:tc>
          <w:tcPr>
            <w:tcW w:w="1371" w:type="dxa"/>
          </w:tcPr>
          <w:p>
            <w:pPr>
              <w:pStyle w:val="TableParagraph"/>
              <w:rPr>
                <w:sz w:val="22"/>
              </w:rPr>
            </w:pPr>
            <w:r>
              <w:rPr>
                <w:spacing w:val="-2"/>
                <w:sz w:val="22"/>
              </w:rPr>
              <w:t>832115.7602</w:t>
            </w:r>
          </w:p>
        </w:tc>
        <w:tc>
          <w:tcPr>
            <w:tcW w:w="1371" w:type="dxa"/>
          </w:tcPr>
          <w:p>
            <w:pPr>
              <w:pStyle w:val="TableParagraph"/>
              <w:ind w:right="1"/>
              <w:rPr>
                <w:sz w:val="22"/>
              </w:rPr>
            </w:pPr>
            <w:r>
              <w:rPr>
                <w:spacing w:val="-2"/>
                <w:sz w:val="22"/>
              </w:rPr>
              <w:t>1004011.117</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21</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90000</w:t>
            </w:r>
          </w:p>
        </w:tc>
        <w:tc>
          <w:tcPr>
            <w:tcW w:w="877" w:type="dxa"/>
          </w:tcPr>
          <w:p>
            <w:pPr>
              <w:pStyle w:val="TableParagraph"/>
              <w:ind w:left="11"/>
              <w:rPr>
                <w:sz w:val="22"/>
              </w:rPr>
            </w:pPr>
            <w:r>
              <w:rPr>
                <w:spacing w:val="-2"/>
                <w:sz w:val="22"/>
              </w:rPr>
              <w:t>120000</w:t>
            </w:r>
          </w:p>
        </w:tc>
        <w:tc>
          <w:tcPr>
            <w:tcW w:w="1371" w:type="dxa"/>
          </w:tcPr>
          <w:p>
            <w:pPr>
              <w:pStyle w:val="TableParagraph"/>
              <w:rPr>
                <w:sz w:val="22"/>
              </w:rPr>
            </w:pPr>
            <w:r>
              <w:rPr>
                <w:spacing w:val="-2"/>
                <w:sz w:val="22"/>
              </w:rPr>
              <w:t>832919.7349</w:t>
            </w:r>
          </w:p>
        </w:tc>
        <w:tc>
          <w:tcPr>
            <w:tcW w:w="1371" w:type="dxa"/>
          </w:tcPr>
          <w:p>
            <w:pPr>
              <w:pStyle w:val="TableParagraph"/>
              <w:ind w:right="1"/>
              <w:rPr>
                <w:sz w:val="22"/>
              </w:rPr>
            </w:pPr>
            <w:r>
              <w:rPr>
                <w:spacing w:val="-2"/>
                <w:sz w:val="22"/>
              </w:rPr>
              <w:t>1004751.252</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22</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85000</w:t>
            </w:r>
          </w:p>
        </w:tc>
        <w:tc>
          <w:tcPr>
            <w:tcW w:w="877" w:type="dxa"/>
          </w:tcPr>
          <w:p>
            <w:pPr>
              <w:pStyle w:val="TableParagraph"/>
              <w:ind w:left="11"/>
              <w:rPr>
                <w:sz w:val="22"/>
              </w:rPr>
            </w:pPr>
            <w:r>
              <w:rPr>
                <w:spacing w:val="-2"/>
                <w:sz w:val="22"/>
              </w:rPr>
              <w:t>135000</w:t>
            </w:r>
          </w:p>
        </w:tc>
        <w:tc>
          <w:tcPr>
            <w:tcW w:w="1371" w:type="dxa"/>
          </w:tcPr>
          <w:p>
            <w:pPr>
              <w:pStyle w:val="TableParagraph"/>
              <w:rPr>
                <w:sz w:val="22"/>
              </w:rPr>
            </w:pPr>
            <w:r>
              <w:rPr>
                <w:spacing w:val="-2"/>
                <w:sz w:val="22"/>
              </w:rPr>
              <w:t>833371.8021</w:t>
            </w:r>
          </w:p>
        </w:tc>
        <w:tc>
          <w:tcPr>
            <w:tcW w:w="1371" w:type="dxa"/>
          </w:tcPr>
          <w:p>
            <w:pPr>
              <w:pStyle w:val="TableParagraph"/>
              <w:ind w:right="1"/>
              <w:rPr>
                <w:sz w:val="22"/>
              </w:rPr>
            </w:pPr>
            <w:r>
              <w:rPr>
                <w:spacing w:val="-2"/>
                <w:sz w:val="22"/>
              </w:rPr>
              <w:t>1005515.372</w:t>
            </w:r>
          </w:p>
        </w:tc>
      </w:tr>
      <w:tr>
        <w:trPr>
          <w:trHeight w:val="302" w:hRule="atLeast"/>
        </w:trPr>
        <w:tc>
          <w:tcPr>
            <w:tcW w:w="559" w:type="dxa"/>
          </w:tcPr>
          <w:p>
            <w:pPr>
              <w:pStyle w:val="TableParagraph"/>
              <w:spacing w:line="240" w:lineRule="exact" w:before="41"/>
              <w:ind w:left="0" w:right="96"/>
              <w:jc w:val="right"/>
              <w:rPr>
                <w:sz w:val="22"/>
              </w:rPr>
            </w:pPr>
            <w:r>
              <w:rPr>
                <w:spacing w:val="-5"/>
                <w:sz w:val="22"/>
              </w:rPr>
              <w:t>23</w:t>
            </w:r>
          </w:p>
        </w:tc>
        <w:tc>
          <w:tcPr>
            <w:tcW w:w="2953" w:type="dxa"/>
          </w:tcPr>
          <w:p>
            <w:pPr>
              <w:pStyle w:val="TableParagraph"/>
              <w:spacing w:line="249" w:lineRule="exact"/>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spacing w:line="249" w:lineRule="exact"/>
              <w:ind w:left="12"/>
              <w:rPr>
                <w:sz w:val="22"/>
              </w:rPr>
            </w:pPr>
            <w:r>
              <w:rPr>
                <w:spacing w:val="-2"/>
                <w:sz w:val="22"/>
              </w:rPr>
              <w:t>70000</w:t>
            </w:r>
          </w:p>
        </w:tc>
        <w:tc>
          <w:tcPr>
            <w:tcW w:w="876" w:type="dxa"/>
          </w:tcPr>
          <w:p>
            <w:pPr>
              <w:pStyle w:val="TableParagraph"/>
              <w:spacing w:line="249" w:lineRule="exact"/>
              <w:ind w:left="12"/>
              <w:rPr>
                <w:sz w:val="22"/>
              </w:rPr>
            </w:pPr>
            <w:r>
              <w:rPr>
                <w:spacing w:val="-2"/>
                <w:sz w:val="22"/>
              </w:rPr>
              <w:t>120000</w:t>
            </w:r>
          </w:p>
        </w:tc>
        <w:tc>
          <w:tcPr>
            <w:tcW w:w="877" w:type="dxa"/>
          </w:tcPr>
          <w:p>
            <w:pPr>
              <w:pStyle w:val="TableParagraph"/>
              <w:spacing w:line="249" w:lineRule="exact"/>
              <w:ind w:left="11"/>
              <w:rPr>
                <w:sz w:val="22"/>
              </w:rPr>
            </w:pPr>
            <w:r>
              <w:rPr>
                <w:spacing w:val="-2"/>
                <w:sz w:val="22"/>
              </w:rPr>
              <w:t>150000</w:t>
            </w:r>
          </w:p>
        </w:tc>
        <w:tc>
          <w:tcPr>
            <w:tcW w:w="1371" w:type="dxa"/>
          </w:tcPr>
          <w:p>
            <w:pPr>
              <w:pStyle w:val="TableParagraph"/>
              <w:spacing w:line="249" w:lineRule="exact"/>
              <w:rPr>
                <w:sz w:val="22"/>
              </w:rPr>
            </w:pPr>
            <w:r>
              <w:rPr>
                <w:spacing w:val="-2"/>
                <w:sz w:val="22"/>
              </w:rPr>
              <w:t>833546.2627</w:t>
            </w:r>
          </w:p>
        </w:tc>
        <w:tc>
          <w:tcPr>
            <w:tcW w:w="1371" w:type="dxa"/>
          </w:tcPr>
          <w:p>
            <w:pPr>
              <w:pStyle w:val="TableParagraph"/>
              <w:spacing w:line="249" w:lineRule="exact"/>
              <w:ind w:right="1"/>
              <w:rPr>
                <w:sz w:val="22"/>
              </w:rPr>
            </w:pPr>
            <w:r>
              <w:rPr>
                <w:spacing w:val="-2"/>
                <w:sz w:val="22"/>
              </w:rPr>
              <w:t>1005053.547</w:t>
            </w:r>
          </w:p>
        </w:tc>
      </w:tr>
      <w:tr>
        <w:trPr>
          <w:trHeight w:val="299" w:hRule="atLeast"/>
        </w:trPr>
        <w:tc>
          <w:tcPr>
            <w:tcW w:w="559" w:type="dxa"/>
          </w:tcPr>
          <w:p>
            <w:pPr>
              <w:pStyle w:val="TableParagraph"/>
              <w:spacing w:line="240" w:lineRule="exact" w:before="39"/>
              <w:ind w:left="0" w:right="96"/>
              <w:jc w:val="right"/>
              <w:rPr>
                <w:sz w:val="22"/>
              </w:rPr>
            </w:pPr>
            <w:r>
              <w:rPr>
                <w:spacing w:val="-5"/>
                <w:sz w:val="22"/>
              </w:rPr>
              <w:t>24</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60000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833224.4173</w:t>
            </w:r>
          </w:p>
        </w:tc>
        <w:tc>
          <w:tcPr>
            <w:tcW w:w="1371" w:type="dxa"/>
          </w:tcPr>
          <w:p>
            <w:pPr>
              <w:pStyle w:val="TableParagraph"/>
              <w:ind w:right="1"/>
              <w:rPr>
                <w:sz w:val="22"/>
              </w:rPr>
            </w:pPr>
            <w:r>
              <w:rPr>
                <w:spacing w:val="-2"/>
                <w:sz w:val="22"/>
              </w:rPr>
              <w:t>1005781.034</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25</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833048.9274</w:t>
            </w:r>
          </w:p>
        </w:tc>
        <w:tc>
          <w:tcPr>
            <w:tcW w:w="1371" w:type="dxa"/>
          </w:tcPr>
          <w:p>
            <w:pPr>
              <w:pStyle w:val="TableParagraph"/>
              <w:ind w:right="1"/>
              <w:rPr>
                <w:sz w:val="22"/>
              </w:rPr>
            </w:pPr>
            <w:r>
              <w:rPr>
                <w:spacing w:val="-2"/>
                <w:sz w:val="22"/>
              </w:rPr>
              <w:t>1005944.947</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26</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833566.0308</w:t>
            </w:r>
          </w:p>
        </w:tc>
        <w:tc>
          <w:tcPr>
            <w:tcW w:w="1371" w:type="dxa"/>
          </w:tcPr>
          <w:p>
            <w:pPr>
              <w:pStyle w:val="TableParagraph"/>
              <w:ind w:right="1"/>
              <w:rPr>
                <w:sz w:val="22"/>
              </w:rPr>
            </w:pPr>
            <w:r>
              <w:rPr>
                <w:spacing w:val="-2"/>
                <w:sz w:val="22"/>
              </w:rPr>
              <w:t>1006019.045</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27</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60000</w:t>
            </w:r>
          </w:p>
        </w:tc>
        <w:tc>
          <w:tcPr>
            <w:tcW w:w="876" w:type="dxa"/>
          </w:tcPr>
          <w:p>
            <w:pPr>
              <w:pStyle w:val="TableParagraph"/>
              <w:ind w:left="12"/>
              <w:rPr>
                <w:sz w:val="22"/>
              </w:rPr>
            </w:pPr>
            <w:r>
              <w:rPr>
                <w:spacing w:val="-2"/>
                <w:sz w:val="22"/>
              </w:rPr>
              <w:t>90000</w:t>
            </w:r>
          </w:p>
        </w:tc>
        <w:tc>
          <w:tcPr>
            <w:tcW w:w="877" w:type="dxa"/>
          </w:tcPr>
          <w:p>
            <w:pPr>
              <w:pStyle w:val="TableParagraph"/>
              <w:ind w:left="11"/>
              <w:rPr>
                <w:sz w:val="22"/>
              </w:rPr>
            </w:pPr>
            <w:r>
              <w:rPr>
                <w:spacing w:val="-2"/>
                <w:sz w:val="22"/>
              </w:rPr>
              <w:t>140000</w:t>
            </w:r>
          </w:p>
        </w:tc>
        <w:tc>
          <w:tcPr>
            <w:tcW w:w="1371" w:type="dxa"/>
          </w:tcPr>
          <w:p>
            <w:pPr>
              <w:pStyle w:val="TableParagraph"/>
              <w:rPr>
                <w:sz w:val="22"/>
              </w:rPr>
            </w:pPr>
            <w:r>
              <w:rPr>
                <w:spacing w:val="-2"/>
                <w:sz w:val="22"/>
              </w:rPr>
              <w:t>833603.7789</w:t>
            </w:r>
          </w:p>
        </w:tc>
        <w:tc>
          <w:tcPr>
            <w:tcW w:w="1371" w:type="dxa"/>
          </w:tcPr>
          <w:p>
            <w:pPr>
              <w:pStyle w:val="TableParagraph"/>
              <w:ind w:right="1"/>
              <w:rPr>
                <w:sz w:val="22"/>
              </w:rPr>
            </w:pPr>
            <w:r>
              <w:rPr>
                <w:spacing w:val="-2"/>
                <w:sz w:val="22"/>
              </w:rPr>
              <w:t>1006257.984</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28</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70000</w:t>
            </w:r>
          </w:p>
        </w:tc>
        <w:tc>
          <w:tcPr>
            <w:tcW w:w="877" w:type="dxa"/>
          </w:tcPr>
          <w:p>
            <w:pPr>
              <w:pStyle w:val="TableParagraph"/>
              <w:ind w:left="11"/>
              <w:rPr>
                <w:sz w:val="22"/>
              </w:rPr>
            </w:pPr>
            <w:r>
              <w:rPr>
                <w:spacing w:val="-2"/>
                <w:sz w:val="22"/>
              </w:rPr>
              <w:t>120000</w:t>
            </w:r>
          </w:p>
        </w:tc>
        <w:tc>
          <w:tcPr>
            <w:tcW w:w="1371" w:type="dxa"/>
          </w:tcPr>
          <w:p>
            <w:pPr>
              <w:pStyle w:val="TableParagraph"/>
              <w:ind w:right="107"/>
              <w:rPr>
                <w:sz w:val="22"/>
              </w:rPr>
            </w:pPr>
            <w:r>
              <w:rPr>
                <w:spacing w:val="-2"/>
                <w:sz w:val="22"/>
              </w:rPr>
              <w:t>832626.412</w:t>
            </w:r>
          </w:p>
        </w:tc>
        <w:tc>
          <w:tcPr>
            <w:tcW w:w="1371" w:type="dxa"/>
          </w:tcPr>
          <w:p>
            <w:pPr>
              <w:pStyle w:val="TableParagraph"/>
              <w:ind w:right="1"/>
              <w:rPr>
                <w:sz w:val="22"/>
              </w:rPr>
            </w:pPr>
            <w:r>
              <w:rPr>
                <w:spacing w:val="-2"/>
                <w:sz w:val="22"/>
              </w:rPr>
              <w:t>1006635.009</w:t>
            </w:r>
          </w:p>
        </w:tc>
      </w:tr>
      <w:tr>
        <w:trPr>
          <w:trHeight w:val="302" w:hRule="atLeast"/>
        </w:trPr>
        <w:tc>
          <w:tcPr>
            <w:tcW w:w="559" w:type="dxa"/>
          </w:tcPr>
          <w:p>
            <w:pPr>
              <w:pStyle w:val="TableParagraph"/>
              <w:spacing w:line="240" w:lineRule="exact" w:before="41"/>
              <w:ind w:left="0" w:right="96"/>
              <w:jc w:val="right"/>
              <w:rPr>
                <w:sz w:val="22"/>
              </w:rPr>
            </w:pPr>
            <w:r>
              <w:rPr>
                <w:spacing w:val="-5"/>
                <w:sz w:val="22"/>
              </w:rPr>
              <w:t>29</w:t>
            </w:r>
          </w:p>
        </w:tc>
        <w:tc>
          <w:tcPr>
            <w:tcW w:w="2953"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spacing w:line="249" w:lineRule="exact"/>
              <w:ind w:left="12"/>
              <w:rPr>
                <w:sz w:val="22"/>
              </w:rPr>
            </w:pPr>
            <w:r>
              <w:rPr>
                <w:spacing w:val="-2"/>
                <w:sz w:val="22"/>
              </w:rPr>
              <w:t>25000</w:t>
            </w:r>
          </w:p>
        </w:tc>
        <w:tc>
          <w:tcPr>
            <w:tcW w:w="876" w:type="dxa"/>
          </w:tcPr>
          <w:p>
            <w:pPr>
              <w:pStyle w:val="TableParagraph"/>
              <w:spacing w:line="249" w:lineRule="exact"/>
              <w:ind w:left="12"/>
              <w:rPr>
                <w:sz w:val="22"/>
              </w:rPr>
            </w:pPr>
            <w:r>
              <w:rPr>
                <w:spacing w:val="-2"/>
                <w:sz w:val="22"/>
              </w:rPr>
              <w:t>30000</w:t>
            </w:r>
          </w:p>
        </w:tc>
        <w:tc>
          <w:tcPr>
            <w:tcW w:w="877" w:type="dxa"/>
          </w:tcPr>
          <w:p>
            <w:pPr>
              <w:pStyle w:val="TableParagraph"/>
              <w:spacing w:line="249" w:lineRule="exact"/>
              <w:ind w:left="11"/>
              <w:rPr>
                <w:sz w:val="22"/>
              </w:rPr>
            </w:pPr>
            <w:r>
              <w:rPr>
                <w:spacing w:val="-2"/>
                <w:sz w:val="22"/>
              </w:rPr>
              <w:t>50000</w:t>
            </w:r>
          </w:p>
        </w:tc>
        <w:tc>
          <w:tcPr>
            <w:tcW w:w="1371" w:type="dxa"/>
          </w:tcPr>
          <w:p>
            <w:pPr>
              <w:pStyle w:val="TableParagraph"/>
              <w:spacing w:line="249" w:lineRule="exact"/>
              <w:ind w:right="107"/>
              <w:rPr>
                <w:sz w:val="22"/>
              </w:rPr>
            </w:pPr>
            <w:r>
              <w:rPr>
                <w:spacing w:val="-2"/>
                <w:sz w:val="22"/>
              </w:rPr>
              <w:t>832217.908</w:t>
            </w:r>
          </w:p>
        </w:tc>
        <w:tc>
          <w:tcPr>
            <w:tcW w:w="1371" w:type="dxa"/>
          </w:tcPr>
          <w:p>
            <w:pPr>
              <w:pStyle w:val="TableParagraph"/>
              <w:spacing w:line="249" w:lineRule="exact"/>
              <w:ind w:right="1"/>
              <w:rPr>
                <w:sz w:val="22"/>
              </w:rPr>
            </w:pPr>
            <w:r>
              <w:rPr>
                <w:spacing w:val="-2"/>
                <w:sz w:val="22"/>
              </w:rPr>
              <w:t>1006479.298</w:t>
            </w:r>
          </w:p>
        </w:tc>
      </w:tr>
      <w:tr>
        <w:trPr>
          <w:trHeight w:val="299" w:hRule="atLeast"/>
        </w:trPr>
        <w:tc>
          <w:tcPr>
            <w:tcW w:w="559" w:type="dxa"/>
          </w:tcPr>
          <w:p>
            <w:pPr>
              <w:pStyle w:val="TableParagraph"/>
              <w:spacing w:line="240" w:lineRule="exact" w:before="39"/>
              <w:ind w:left="0" w:right="96"/>
              <w:jc w:val="right"/>
              <w:rPr>
                <w:sz w:val="22"/>
              </w:rPr>
            </w:pPr>
            <w:r>
              <w:rPr>
                <w:spacing w:val="-5"/>
                <w:sz w:val="22"/>
              </w:rPr>
              <w:t>30</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25000</w:t>
            </w:r>
          </w:p>
        </w:tc>
        <w:tc>
          <w:tcPr>
            <w:tcW w:w="876" w:type="dxa"/>
          </w:tcPr>
          <w:p>
            <w:pPr>
              <w:pStyle w:val="TableParagraph"/>
              <w:ind w:left="12"/>
              <w:rPr>
                <w:sz w:val="22"/>
              </w:rPr>
            </w:pPr>
            <w:r>
              <w:rPr>
                <w:spacing w:val="-2"/>
                <w:sz w:val="22"/>
              </w:rPr>
              <w:t>30000</w:t>
            </w:r>
          </w:p>
        </w:tc>
        <w:tc>
          <w:tcPr>
            <w:tcW w:w="877" w:type="dxa"/>
          </w:tcPr>
          <w:p>
            <w:pPr>
              <w:pStyle w:val="TableParagraph"/>
              <w:ind w:left="11"/>
              <w:rPr>
                <w:sz w:val="22"/>
              </w:rPr>
            </w:pPr>
            <w:r>
              <w:rPr>
                <w:spacing w:val="-2"/>
                <w:sz w:val="22"/>
              </w:rPr>
              <w:t>50000</w:t>
            </w:r>
          </w:p>
        </w:tc>
        <w:tc>
          <w:tcPr>
            <w:tcW w:w="1371" w:type="dxa"/>
          </w:tcPr>
          <w:p>
            <w:pPr>
              <w:pStyle w:val="TableParagraph"/>
              <w:rPr>
                <w:sz w:val="22"/>
              </w:rPr>
            </w:pPr>
            <w:r>
              <w:rPr>
                <w:spacing w:val="-2"/>
                <w:sz w:val="22"/>
              </w:rPr>
              <w:t>831542.8027</w:t>
            </w:r>
          </w:p>
        </w:tc>
        <w:tc>
          <w:tcPr>
            <w:tcW w:w="1371" w:type="dxa"/>
          </w:tcPr>
          <w:p>
            <w:pPr>
              <w:pStyle w:val="TableParagraph"/>
              <w:ind w:right="1"/>
              <w:rPr>
                <w:sz w:val="22"/>
              </w:rPr>
            </w:pPr>
            <w:r>
              <w:rPr>
                <w:spacing w:val="-2"/>
                <w:sz w:val="22"/>
              </w:rPr>
              <w:t>1006593.225</w:t>
            </w:r>
          </w:p>
        </w:tc>
      </w:tr>
      <w:tr>
        <w:trPr>
          <w:trHeight w:val="300" w:hRule="atLeast"/>
        </w:trPr>
        <w:tc>
          <w:tcPr>
            <w:tcW w:w="559" w:type="dxa"/>
          </w:tcPr>
          <w:p>
            <w:pPr>
              <w:pStyle w:val="TableParagraph"/>
              <w:spacing w:line="238" w:lineRule="exact" w:before="42"/>
              <w:ind w:left="0" w:right="96"/>
              <w:jc w:val="right"/>
              <w:rPr>
                <w:sz w:val="22"/>
              </w:rPr>
            </w:pPr>
            <w:r>
              <w:rPr>
                <w:spacing w:val="-5"/>
                <w:sz w:val="22"/>
              </w:rPr>
              <w:t>31</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85000</w:t>
            </w:r>
          </w:p>
        </w:tc>
        <w:tc>
          <w:tcPr>
            <w:tcW w:w="877" w:type="dxa"/>
          </w:tcPr>
          <w:p>
            <w:pPr>
              <w:pStyle w:val="TableParagraph"/>
              <w:ind w:left="11"/>
              <w:rPr>
                <w:sz w:val="22"/>
              </w:rPr>
            </w:pPr>
            <w:r>
              <w:rPr>
                <w:spacing w:val="-2"/>
                <w:sz w:val="22"/>
              </w:rPr>
              <w:t>100000</w:t>
            </w:r>
          </w:p>
        </w:tc>
        <w:tc>
          <w:tcPr>
            <w:tcW w:w="1371" w:type="dxa"/>
          </w:tcPr>
          <w:p>
            <w:pPr>
              <w:pStyle w:val="TableParagraph"/>
              <w:rPr>
                <w:sz w:val="22"/>
              </w:rPr>
            </w:pPr>
            <w:r>
              <w:rPr>
                <w:spacing w:val="-2"/>
                <w:sz w:val="22"/>
              </w:rPr>
              <w:t>831461.4347</w:t>
            </w:r>
          </w:p>
        </w:tc>
        <w:tc>
          <w:tcPr>
            <w:tcW w:w="1371" w:type="dxa"/>
          </w:tcPr>
          <w:p>
            <w:pPr>
              <w:pStyle w:val="TableParagraph"/>
              <w:ind w:right="1"/>
              <w:rPr>
                <w:sz w:val="22"/>
              </w:rPr>
            </w:pPr>
            <w:r>
              <w:rPr>
                <w:spacing w:val="-2"/>
                <w:sz w:val="22"/>
              </w:rPr>
              <w:t>1003228.195</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32</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85000</w:t>
            </w:r>
          </w:p>
        </w:tc>
        <w:tc>
          <w:tcPr>
            <w:tcW w:w="877" w:type="dxa"/>
          </w:tcPr>
          <w:p>
            <w:pPr>
              <w:pStyle w:val="TableParagraph"/>
              <w:ind w:left="11"/>
              <w:rPr>
                <w:sz w:val="22"/>
              </w:rPr>
            </w:pPr>
            <w:r>
              <w:rPr>
                <w:spacing w:val="-2"/>
                <w:sz w:val="22"/>
              </w:rPr>
              <w:t>100000</w:t>
            </w:r>
          </w:p>
        </w:tc>
        <w:tc>
          <w:tcPr>
            <w:tcW w:w="1371" w:type="dxa"/>
          </w:tcPr>
          <w:p>
            <w:pPr>
              <w:pStyle w:val="TableParagraph"/>
              <w:rPr>
                <w:sz w:val="22"/>
              </w:rPr>
            </w:pPr>
            <w:r>
              <w:rPr>
                <w:spacing w:val="-2"/>
                <w:sz w:val="22"/>
              </w:rPr>
              <w:t>831307.7588</w:t>
            </w:r>
          </w:p>
        </w:tc>
        <w:tc>
          <w:tcPr>
            <w:tcW w:w="1371" w:type="dxa"/>
          </w:tcPr>
          <w:p>
            <w:pPr>
              <w:pStyle w:val="TableParagraph"/>
              <w:ind w:right="1"/>
              <w:rPr>
                <w:sz w:val="22"/>
              </w:rPr>
            </w:pPr>
            <w:r>
              <w:rPr>
                <w:spacing w:val="-2"/>
                <w:sz w:val="22"/>
              </w:rPr>
              <w:t>1003154.166</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33</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80000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831043.7712</w:t>
            </w:r>
          </w:p>
        </w:tc>
        <w:tc>
          <w:tcPr>
            <w:tcW w:w="1371" w:type="dxa"/>
          </w:tcPr>
          <w:p>
            <w:pPr>
              <w:pStyle w:val="TableParagraph"/>
              <w:ind w:right="1"/>
              <w:rPr>
                <w:sz w:val="22"/>
              </w:rPr>
            </w:pPr>
            <w:r>
              <w:rPr>
                <w:spacing w:val="-2"/>
                <w:sz w:val="22"/>
              </w:rPr>
              <w:t>1002905.546</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34</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80000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830753.7388</w:t>
            </w:r>
          </w:p>
        </w:tc>
        <w:tc>
          <w:tcPr>
            <w:tcW w:w="1371" w:type="dxa"/>
          </w:tcPr>
          <w:p>
            <w:pPr>
              <w:pStyle w:val="TableParagraph"/>
              <w:ind w:right="1"/>
              <w:rPr>
                <w:sz w:val="22"/>
              </w:rPr>
            </w:pPr>
            <w:r>
              <w:rPr>
                <w:spacing w:val="-2"/>
                <w:sz w:val="22"/>
              </w:rPr>
              <w:t>1002430.111</w:t>
            </w:r>
          </w:p>
        </w:tc>
      </w:tr>
      <w:tr>
        <w:trPr>
          <w:trHeight w:val="301" w:hRule="atLeast"/>
        </w:trPr>
        <w:tc>
          <w:tcPr>
            <w:tcW w:w="559" w:type="dxa"/>
          </w:tcPr>
          <w:p>
            <w:pPr>
              <w:pStyle w:val="TableParagraph"/>
              <w:spacing w:line="240" w:lineRule="exact" w:before="41"/>
              <w:ind w:left="0" w:right="96"/>
              <w:jc w:val="right"/>
              <w:rPr>
                <w:sz w:val="22"/>
              </w:rPr>
            </w:pPr>
            <w:r>
              <w:rPr>
                <w:spacing w:val="-5"/>
                <w:sz w:val="22"/>
              </w:rPr>
              <w:t>35</w:t>
            </w:r>
          </w:p>
        </w:tc>
        <w:tc>
          <w:tcPr>
            <w:tcW w:w="2953"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spacing w:line="249" w:lineRule="exact"/>
              <w:ind w:left="12"/>
              <w:rPr>
                <w:sz w:val="22"/>
              </w:rPr>
            </w:pPr>
            <w:r>
              <w:rPr>
                <w:spacing w:val="-2"/>
                <w:sz w:val="22"/>
              </w:rPr>
              <w:t>90000</w:t>
            </w:r>
          </w:p>
        </w:tc>
        <w:tc>
          <w:tcPr>
            <w:tcW w:w="876" w:type="dxa"/>
          </w:tcPr>
          <w:p>
            <w:pPr>
              <w:pStyle w:val="TableParagraph"/>
              <w:spacing w:line="249" w:lineRule="exact"/>
              <w:ind w:left="12"/>
              <w:rPr>
                <w:sz w:val="22"/>
              </w:rPr>
            </w:pPr>
            <w:r>
              <w:rPr>
                <w:spacing w:val="-2"/>
                <w:sz w:val="22"/>
              </w:rPr>
              <w:t>100000</w:t>
            </w:r>
          </w:p>
        </w:tc>
        <w:tc>
          <w:tcPr>
            <w:tcW w:w="877" w:type="dxa"/>
          </w:tcPr>
          <w:p>
            <w:pPr>
              <w:pStyle w:val="TableParagraph"/>
              <w:spacing w:line="249" w:lineRule="exact"/>
              <w:ind w:left="11"/>
              <w:rPr>
                <w:sz w:val="22"/>
              </w:rPr>
            </w:pPr>
            <w:r>
              <w:rPr>
                <w:spacing w:val="-2"/>
                <w:sz w:val="22"/>
              </w:rPr>
              <w:t>140000</w:t>
            </w:r>
          </w:p>
        </w:tc>
        <w:tc>
          <w:tcPr>
            <w:tcW w:w="1371" w:type="dxa"/>
          </w:tcPr>
          <w:p>
            <w:pPr>
              <w:pStyle w:val="TableParagraph"/>
              <w:spacing w:line="249" w:lineRule="exact"/>
              <w:rPr>
                <w:sz w:val="22"/>
              </w:rPr>
            </w:pPr>
            <w:r>
              <w:rPr>
                <w:spacing w:val="-2"/>
                <w:sz w:val="22"/>
              </w:rPr>
              <w:t>829837.2559</w:t>
            </w:r>
          </w:p>
        </w:tc>
        <w:tc>
          <w:tcPr>
            <w:tcW w:w="1371" w:type="dxa"/>
          </w:tcPr>
          <w:p>
            <w:pPr>
              <w:pStyle w:val="TableParagraph"/>
              <w:spacing w:line="249" w:lineRule="exact"/>
              <w:ind w:right="1"/>
              <w:rPr>
                <w:sz w:val="22"/>
              </w:rPr>
            </w:pPr>
            <w:r>
              <w:rPr>
                <w:spacing w:val="-2"/>
                <w:sz w:val="22"/>
              </w:rPr>
              <w:t>1002009.881</w:t>
            </w:r>
          </w:p>
        </w:tc>
      </w:tr>
      <w:tr>
        <w:trPr>
          <w:trHeight w:val="299" w:hRule="atLeast"/>
        </w:trPr>
        <w:tc>
          <w:tcPr>
            <w:tcW w:w="559" w:type="dxa"/>
          </w:tcPr>
          <w:p>
            <w:pPr>
              <w:pStyle w:val="TableParagraph"/>
              <w:spacing w:line="240" w:lineRule="exact" w:before="39"/>
              <w:ind w:left="0" w:right="96"/>
              <w:jc w:val="right"/>
              <w:rPr>
                <w:sz w:val="22"/>
              </w:rPr>
            </w:pPr>
            <w:r>
              <w:rPr>
                <w:spacing w:val="-5"/>
                <w:sz w:val="22"/>
              </w:rPr>
              <w:t>36</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80000</w:t>
            </w:r>
          </w:p>
        </w:tc>
        <w:tc>
          <w:tcPr>
            <w:tcW w:w="876" w:type="dxa"/>
          </w:tcPr>
          <w:p>
            <w:pPr>
              <w:pStyle w:val="TableParagraph"/>
              <w:ind w:left="12"/>
              <w:rPr>
                <w:sz w:val="22"/>
              </w:rPr>
            </w:pPr>
            <w:r>
              <w:rPr>
                <w:spacing w:val="-2"/>
                <w:sz w:val="22"/>
              </w:rPr>
              <w:t>120000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829899.9411</w:t>
            </w:r>
          </w:p>
        </w:tc>
        <w:tc>
          <w:tcPr>
            <w:tcW w:w="1371" w:type="dxa"/>
          </w:tcPr>
          <w:p>
            <w:pPr>
              <w:pStyle w:val="TableParagraph"/>
              <w:ind w:right="1"/>
              <w:rPr>
                <w:sz w:val="22"/>
              </w:rPr>
            </w:pPr>
            <w:r>
              <w:rPr>
                <w:spacing w:val="-2"/>
                <w:sz w:val="22"/>
              </w:rPr>
              <w:t>1002904.537</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37</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75000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120000</w:t>
            </w:r>
          </w:p>
        </w:tc>
        <w:tc>
          <w:tcPr>
            <w:tcW w:w="1371" w:type="dxa"/>
          </w:tcPr>
          <w:p>
            <w:pPr>
              <w:pStyle w:val="TableParagraph"/>
              <w:rPr>
                <w:sz w:val="22"/>
              </w:rPr>
            </w:pPr>
            <w:r>
              <w:rPr>
                <w:spacing w:val="-2"/>
                <w:sz w:val="22"/>
              </w:rPr>
              <w:t>829535.2154</w:t>
            </w:r>
          </w:p>
        </w:tc>
        <w:tc>
          <w:tcPr>
            <w:tcW w:w="1371" w:type="dxa"/>
          </w:tcPr>
          <w:p>
            <w:pPr>
              <w:pStyle w:val="TableParagraph"/>
              <w:ind w:right="1"/>
              <w:rPr>
                <w:sz w:val="22"/>
              </w:rPr>
            </w:pPr>
            <w:r>
              <w:rPr>
                <w:spacing w:val="-2"/>
                <w:sz w:val="22"/>
              </w:rPr>
              <w:t>1003345.325</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38</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75000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120000</w:t>
            </w:r>
          </w:p>
        </w:tc>
        <w:tc>
          <w:tcPr>
            <w:tcW w:w="1371" w:type="dxa"/>
          </w:tcPr>
          <w:p>
            <w:pPr>
              <w:pStyle w:val="TableParagraph"/>
              <w:rPr>
                <w:sz w:val="22"/>
              </w:rPr>
            </w:pPr>
            <w:r>
              <w:rPr>
                <w:spacing w:val="-2"/>
                <w:sz w:val="22"/>
              </w:rPr>
              <w:t>830223.6877</w:t>
            </w:r>
          </w:p>
        </w:tc>
        <w:tc>
          <w:tcPr>
            <w:tcW w:w="1371" w:type="dxa"/>
          </w:tcPr>
          <w:p>
            <w:pPr>
              <w:pStyle w:val="TableParagraph"/>
              <w:ind w:right="1"/>
              <w:rPr>
                <w:sz w:val="22"/>
              </w:rPr>
            </w:pPr>
            <w:r>
              <w:rPr>
                <w:spacing w:val="-2"/>
                <w:sz w:val="22"/>
              </w:rPr>
              <w:t>1003863.083</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39</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25000</w:t>
            </w:r>
          </w:p>
        </w:tc>
        <w:tc>
          <w:tcPr>
            <w:tcW w:w="876" w:type="dxa"/>
          </w:tcPr>
          <w:p>
            <w:pPr>
              <w:pStyle w:val="TableParagraph"/>
              <w:ind w:left="12"/>
              <w:rPr>
                <w:sz w:val="22"/>
              </w:rPr>
            </w:pPr>
            <w:r>
              <w:rPr>
                <w:spacing w:val="-2"/>
                <w:sz w:val="22"/>
              </w:rPr>
              <w:t>30000</w:t>
            </w:r>
          </w:p>
        </w:tc>
        <w:tc>
          <w:tcPr>
            <w:tcW w:w="877" w:type="dxa"/>
          </w:tcPr>
          <w:p>
            <w:pPr>
              <w:pStyle w:val="TableParagraph"/>
              <w:ind w:left="11"/>
              <w:rPr>
                <w:sz w:val="22"/>
              </w:rPr>
            </w:pPr>
            <w:r>
              <w:rPr>
                <w:spacing w:val="-2"/>
                <w:sz w:val="22"/>
              </w:rPr>
              <w:t>50000</w:t>
            </w:r>
          </w:p>
        </w:tc>
        <w:tc>
          <w:tcPr>
            <w:tcW w:w="1371" w:type="dxa"/>
          </w:tcPr>
          <w:p>
            <w:pPr>
              <w:pStyle w:val="TableParagraph"/>
              <w:rPr>
                <w:sz w:val="22"/>
              </w:rPr>
            </w:pPr>
            <w:r>
              <w:rPr>
                <w:spacing w:val="-2"/>
                <w:sz w:val="22"/>
              </w:rPr>
              <w:t>830516.0189</w:t>
            </w:r>
          </w:p>
        </w:tc>
        <w:tc>
          <w:tcPr>
            <w:tcW w:w="1371" w:type="dxa"/>
          </w:tcPr>
          <w:p>
            <w:pPr>
              <w:pStyle w:val="TableParagraph"/>
              <w:ind w:right="1"/>
              <w:rPr>
                <w:sz w:val="22"/>
              </w:rPr>
            </w:pPr>
            <w:r>
              <w:rPr>
                <w:spacing w:val="-2"/>
                <w:sz w:val="22"/>
              </w:rPr>
              <w:t>1003838.126</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40</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2"/>
                <w:sz w:val="22"/>
              </w:rPr>
              <w:t> Associates</w:t>
            </w:r>
          </w:p>
        </w:tc>
        <w:tc>
          <w:tcPr>
            <w:tcW w:w="876" w:type="dxa"/>
          </w:tcPr>
          <w:p>
            <w:pPr>
              <w:pStyle w:val="TableParagraph"/>
              <w:ind w:left="12"/>
              <w:rPr>
                <w:sz w:val="22"/>
              </w:rPr>
            </w:pPr>
            <w:r>
              <w:rPr>
                <w:spacing w:val="-2"/>
                <w:sz w:val="22"/>
              </w:rPr>
              <w:t>25000</w:t>
            </w:r>
          </w:p>
        </w:tc>
        <w:tc>
          <w:tcPr>
            <w:tcW w:w="876" w:type="dxa"/>
          </w:tcPr>
          <w:p>
            <w:pPr>
              <w:pStyle w:val="TableParagraph"/>
              <w:ind w:left="12"/>
              <w:rPr>
                <w:sz w:val="22"/>
              </w:rPr>
            </w:pPr>
            <w:r>
              <w:rPr>
                <w:spacing w:val="-2"/>
                <w:sz w:val="22"/>
              </w:rPr>
              <w:t>25000</w:t>
            </w:r>
          </w:p>
        </w:tc>
        <w:tc>
          <w:tcPr>
            <w:tcW w:w="877" w:type="dxa"/>
          </w:tcPr>
          <w:p>
            <w:pPr>
              <w:pStyle w:val="TableParagraph"/>
              <w:ind w:left="11"/>
              <w:rPr>
                <w:sz w:val="22"/>
              </w:rPr>
            </w:pPr>
            <w:r>
              <w:rPr>
                <w:spacing w:val="-2"/>
                <w:sz w:val="22"/>
              </w:rPr>
              <w:t>25000</w:t>
            </w:r>
          </w:p>
        </w:tc>
        <w:tc>
          <w:tcPr>
            <w:tcW w:w="1371" w:type="dxa"/>
          </w:tcPr>
          <w:p>
            <w:pPr>
              <w:pStyle w:val="TableParagraph"/>
              <w:rPr>
                <w:sz w:val="22"/>
              </w:rPr>
            </w:pPr>
            <w:r>
              <w:rPr>
                <w:spacing w:val="-2"/>
                <w:sz w:val="22"/>
              </w:rPr>
              <w:t>831088.2337</w:t>
            </w:r>
          </w:p>
        </w:tc>
        <w:tc>
          <w:tcPr>
            <w:tcW w:w="1371" w:type="dxa"/>
          </w:tcPr>
          <w:p>
            <w:pPr>
              <w:pStyle w:val="TableParagraph"/>
              <w:ind w:right="1"/>
              <w:rPr>
                <w:sz w:val="22"/>
              </w:rPr>
            </w:pPr>
            <w:r>
              <w:rPr>
                <w:spacing w:val="-2"/>
                <w:sz w:val="22"/>
              </w:rPr>
              <w:t>1004181.206</w:t>
            </w:r>
          </w:p>
        </w:tc>
      </w:tr>
      <w:tr>
        <w:trPr>
          <w:trHeight w:val="302" w:hRule="atLeast"/>
        </w:trPr>
        <w:tc>
          <w:tcPr>
            <w:tcW w:w="559" w:type="dxa"/>
          </w:tcPr>
          <w:p>
            <w:pPr>
              <w:pStyle w:val="TableParagraph"/>
              <w:spacing w:line="240" w:lineRule="exact" w:before="41"/>
              <w:ind w:left="0" w:right="96"/>
              <w:jc w:val="right"/>
              <w:rPr>
                <w:sz w:val="22"/>
              </w:rPr>
            </w:pPr>
            <w:r>
              <w:rPr>
                <w:spacing w:val="-5"/>
                <w:sz w:val="22"/>
              </w:rPr>
              <w:t>41</w:t>
            </w:r>
          </w:p>
        </w:tc>
        <w:tc>
          <w:tcPr>
            <w:tcW w:w="2953"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spacing w:line="249" w:lineRule="exact"/>
              <w:ind w:left="12"/>
              <w:rPr>
                <w:sz w:val="22"/>
              </w:rPr>
            </w:pPr>
            <w:r>
              <w:rPr>
                <w:spacing w:val="-2"/>
                <w:sz w:val="22"/>
              </w:rPr>
              <w:t>25000</w:t>
            </w:r>
          </w:p>
        </w:tc>
        <w:tc>
          <w:tcPr>
            <w:tcW w:w="876" w:type="dxa"/>
          </w:tcPr>
          <w:p>
            <w:pPr>
              <w:pStyle w:val="TableParagraph"/>
              <w:spacing w:line="249" w:lineRule="exact"/>
              <w:ind w:left="12"/>
              <w:rPr>
                <w:sz w:val="22"/>
              </w:rPr>
            </w:pPr>
            <w:r>
              <w:rPr>
                <w:spacing w:val="-2"/>
                <w:sz w:val="22"/>
              </w:rPr>
              <w:t>30000</w:t>
            </w:r>
          </w:p>
        </w:tc>
        <w:tc>
          <w:tcPr>
            <w:tcW w:w="877" w:type="dxa"/>
          </w:tcPr>
          <w:p>
            <w:pPr>
              <w:pStyle w:val="TableParagraph"/>
              <w:spacing w:line="249" w:lineRule="exact"/>
              <w:ind w:left="11"/>
              <w:rPr>
                <w:sz w:val="22"/>
              </w:rPr>
            </w:pPr>
            <w:r>
              <w:rPr>
                <w:spacing w:val="-2"/>
                <w:sz w:val="22"/>
              </w:rPr>
              <w:t>35000</w:t>
            </w:r>
          </w:p>
        </w:tc>
        <w:tc>
          <w:tcPr>
            <w:tcW w:w="1371" w:type="dxa"/>
          </w:tcPr>
          <w:p>
            <w:pPr>
              <w:pStyle w:val="TableParagraph"/>
              <w:spacing w:line="249" w:lineRule="exact"/>
              <w:rPr>
                <w:sz w:val="22"/>
              </w:rPr>
            </w:pPr>
            <w:r>
              <w:rPr>
                <w:spacing w:val="-2"/>
                <w:sz w:val="22"/>
              </w:rPr>
              <w:t>830797.9609</w:t>
            </w:r>
          </w:p>
        </w:tc>
        <w:tc>
          <w:tcPr>
            <w:tcW w:w="1371" w:type="dxa"/>
          </w:tcPr>
          <w:p>
            <w:pPr>
              <w:pStyle w:val="TableParagraph"/>
              <w:spacing w:line="249" w:lineRule="exact"/>
              <w:ind w:right="1"/>
              <w:rPr>
                <w:sz w:val="22"/>
              </w:rPr>
            </w:pPr>
            <w:r>
              <w:rPr>
                <w:spacing w:val="-2"/>
                <w:sz w:val="22"/>
              </w:rPr>
              <w:t>1003360.221</w:t>
            </w:r>
          </w:p>
        </w:tc>
      </w:tr>
      <w:tr>
        <w:trPr>
          <w:trHeight w:val="299" w:hRule="atLeast"/>
        </w:trPr>
        <w:tc>
          <w:tcPr>
            <w:tcW w:w="559" w:type="dxa"/>
          </w:tcPr>
          <w:p>
            <w:pPr>
              <w:pStyle w:val="TableParagraph"/>
              <w:spacing w:line="240" w:lineRule="exact" w:before="39"/>
              <w:ind w:left="0" w:right="96"/>
              <w:jc w:val="right"/>
              <w:rPr>
                <w:sz w:val="22"/>
              </w:rPr>
            </w:pPr>
            <w:r>
              <w:rPr>
                <w:spacing w:val="-5"/>
                <w:sz w:val="22"/>
              </w:rPr>
              <w:t>42</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100000</w:t>
            </w:r>
          </w:p>
        </w:tc>
        <w:tc>
          <w:tcPr>
            <w:tcW w:w="876" w:type="dxa"/>
          </w:tcPr>
          <w:p>
            <w:pPr>
              <w:pStyle w:val="TableParagraph"/>
              <w:ind w:left="12"/>
              <w:rPr>
                <w:sz w:val="22"/>
              </w:rPr>
            </w:pPr>
            <w:r>
              <w:rPr>
                <w:spacing w:val="-2"/>
                <w:sz w:val="22"/>
              </w:rPr>
              <w:t>130000</w:t>
            </w:r>
          </w:p>
        </w:tc>
        <w:tc>
          <w:tcPr>
            <w:tcW w:w="877" w:type="dxa"/>
          </w:tcPr>
          <w:p>
            <w:pPr>
              <w:pStyle w:val="TableParagraph"/>
              <w:ind w:left="11"/>
              <w:rPr>
                <w:sz w:val="22"/>
              </w:rPr>
            </w:pPr>
            <w:r>
              <w:rPr>
                <w:spacing w:val="-2"/>
                <w:sz w:val="22"/>
              </w:rPr>
              <w:t>200000</w:t>
            </w:r>
          </w:p>
        </w:tc>
        <w:tc>
          <w:tcPr>
            <w:tcW w:w="1371" w:type="dxa"/>
          </w:tcPr>
          <w:p>
            <w:pPr>
              <w:pStyle w:val="TableParagraph"/>
              <w:rPr>
                <w:sz w:val="22"/>
              </w:rPr>
            </w:pPr>
            <w:r>
              <w:rPr>
                <w:spacing w:val="-2"/>
                <w:sz w:val="22"/>
              </w:rPr>
              <w:t>828595.5799</w:t>
            </w:r>
          </w:p>
        </w:tc>
        <w:tc>
          <w:tcPr>
            <w:tcW w:w="1371" w:type="dxa"/>
          </w:tcPr>
          <w:p>
            <w:pPr>
              <w:pStyle w:val="TableParagraph"/>
              <w:ind w:right="1"/>
              <w:rPr>
                <w:sz w:val="22"/>
              </w:rPr>
            </w:pPr>
            <w:r>
              <w:rPr>
                <w:spacing w:val="-2"/>
                <w:sz w:val="22"/>
              </w:rPr>
              <w:t>1003246.404</w:t>
            </w:r>
          </w:p>
        </w:tc>
      </w:tr>
      <w:tr>
        <w:trPr>
          <w:trHeight w:val="300" w:hRule="atLeast"/>
        </w:trPr>
        <w:tc>
          <w:tcPr>
            <w:tcW w:w="559" w:type="dxa"/>
          </w:tcPr>
          <w:p>
            <w:pPr>
              <w:pStyle w:val="TableParagraph"/>
              <w:spacing w:line="238" w:lineRule="exact" w:before="42"/>
              <w:ind w:left="0" w:right="96"/>
              <w:jc w:val="right"/>
              <w:rPr>
                <w:sz w:val="22"/>
              </w:rPr>
            </w:pPr>
            <w:r>
              <w:rPr>
                <w:spacing w:val="-5"/>
                <w:sz w:val="22"/>
              </w:rPr>
              <w:t>43</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100000</w:t>
            </w:r>
          </w:p>
        </w:tc>
        <w:tc>
          <w:tcPr>
            <w:tcW w:w="876" w:type="dxa"/>
          </w:tcPr>
          <w:p>
            <w:pPr>
              <w:pStyle w:val="TableParagraph"/>
              <w:ind w:left="12"/>
              <w:rPr>
                <w:sz w:val="22"/>
              </w:rPr>
            </w:pPr>
            <w:r>
              <w:rPr>
                <w:spacing w:val="-2"/>
                <w:sz w:val="22"/>
              </w:rPr>
              <w:t>130000</w:t>
            </w:r>
          </w:p>
        </w:tc>
        <w:tc>
          <w:tcPr>
            <w:tcW w:w="877" w:type="dxa"/>
          </w:tcPr>
          <w:p>
            <w:pPr>
              <w:pStyle w:val="TableParagraph"/>
              <w:ind w:left="11"/>
              <w:rPr>
                <w:sz w:val="22"/>
              </w:rPr>
            </w:pPr>
            <w:r>
              <w:rPr>
                <w:spacing w:val="-2"/>
                <w:sz w:val="22"/>
              </w:rPr>
              <w:t>200000</w:t>
            </w:r>
          </w:p>
        </w:tc>
        <w:tc>
          <w:tcPr>
            <w:tcW w:w="1371" w:type="dxa"/>
          </w:tcPr>
          <w:p>
            <w:pPr>
              <w:pStyle w:val="TableParagraph"/>
              <w:rPr>
                <w:sz w:val="22"/>
              </w:rPr>
            </w:pPr>
            <w:r>
              <w:rPr>
                <w:spacing w:val="-2"/>
                <w:sz w:val="22"/>
              </w:rPr>
              <w:t>828771.4524</w:t>
            </w:r>
          </w:p>
        </w:tc>
        <w:tc>
          <w:tcPr>
            <w:tcW w:w="1371" w:type="dxa"/>
          </w:tcPr>
          <w:p>
            <w:pPr>
              <w:pStyle w:val="TableParagraph"/>
              <w:ind w:right="1"/>
              <w:rPr>
                <w:sz w:val="22"/>
              </w:rPr>
            </w:pPr>
            <w:r>
              <w:rPr>
                <w:spacing w:val="-2"/>
                <w:sz w:val="22"/>
              </w:rPr>
              <w:t>1003779.514</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44</w:t>
            </w:r>
          </w:p>
        </w:tc>
        <w:tc>
          <w:tcPr>
            <w:tcW w:w="2953"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76" w:type="dxa"/>
          </w:tcPr>
          <w:p>
            <w:pPr>
              <w:pStyle w:val="TableParagraph"/>
              <w:ind w:left="12"/>
              <w:rPr>
                <w:sz w:val="22"/>
              </w:rPr>
            </w:pPr>
            <w:r>
              <w:rPr>
                <w:spacing w:val="-2"/>
                <w:sz w:val="22"/>
              </w:rPr>
              <w:t>110000</w:t>
            </w:r>
          </w:p>
        </w:tc>
        <w:tc>
          <w:tcPr>
            <w:tcW w:w="876" w:type="dxa"/>
          </w:tcPr>
          <w:p>
            <w:pPr>
              <w:pStyle w:val="TableParagraph"/>
              <w:ind w:left="12"/>
              <w:rPr>
                <w:sz w:val="22"/>
              </w:rPr>
            </w:pPr>
            <w:r>
              <w:rPr>
                <w:spacing w:val="-2"/>
                <w:sz w:val="22"/>
              </w:rPr>
              <w:t>150000</w:t>
            </w:r>
          </w:p>
        </w:tc>
        <w:tc>
          <w:tcPr>
            <w:tcW w:w="877" w:type="dxa"/>
          </w:tcPr>
          <w:p>
            <w:pPr>
              <w:pStyle w:val="TableParagraph"/>
              <w:ind w:left="11"/>
              <w:rPr>
                <w:sz w:val="22"/>
              </w:rPr>
            </w:pPr>
            <w:r>
              <w:rPr>
                <w:spacing w:val="-2"/>
                <w:sz w:val="22"/>
              </w:rPr>
              <w:t>200000</w:t>
            </w:r>
          </w:p>
        </w:tc>
        <w:tc>
          <w:tcPr>
            <w:tcW w:w="1371" w:type="dxa"/>
          </w:tcPr>
          <w:p>
            <w:pPr>
              <w:pStyle w:val="TableParagraph"/>
              <w:rPr>
                <w:sz w:val="22"/>
              </w:rPr>
            </w:pPr>
            <w:r>
              <w:rPr>
                <w:spacing w:val="-2"/>
                <w:sz w:val="22"/>
              </w:rPr>
              <w:t>827664.1991</w:t>
            </w:r>
          </w:p>
        </w:tc>
        <w:tc>
          <w:tcPr>
            <w:tcW w:w="1371" w:type="dxa"/>
          </w:tcPr>
          <w:p>
            <w:pPr>
              <w:pStyle w:val="TableParagraph"/>
              <w:ind w:right="1"/>
              <w:rPr>
                <w:sz w:val="22"/>
              </w:rPr>
            </w:pPr>
            <w:r>
              <w:rPr>
                <w:spacing w:val="-2"/>
                <w:sz w:val="22"/>
              </w:rPr>
              <w:t>1003827.033</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45</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110000</w:t>
            </w:r>
          </w:p>
        </w:tc>
        <w:tc>
          <w:tcPr>
            <w:tcW w:w="876" w:type="dxa"/>
          </w:tcPr>
          <w:p>
            <w:pPr>
              <w:pStyle w:val="TableParagraph"/>
              <w:ind w:left="12"/>
              <w:rPr>
                <w:sz w:val="22"/>
              </w:rPr>
            </w:pPr>
            <w:r>
              <w:rPr>
                <w:spacing w:val="-2"/>
                <w:sz w:val="22"/>
              </w:rPr>
              <w:t>140000</w:t>
            </w:r>
          </w:p>
        </w:tc>
        <w:tc>
          <w:tcPr>
            <w:tcW w:w="877" w:type="dxa"/>
          </w:tcPr>
          <w:p>
            <w:pPr>
              <w:pStyle w:val="TableParagraph"/>
              <w:ind w:left="11"/>
              <w:rPr>
                <w:sz w:val="22"/>
              </w:rPr>
            </w:pPr>
            <w:r>
              <w:rPr>
                <w:spacing w:val="-2"/>
                <w:sz w:val="22"/>
              </w:rPr>
              <w:t>190000</w:t>
            </w:r>
          </w:p>
        </w:tc>
        <w:tc>
          <w:tcPr>
            <w:tcW w:w="1371" w:type="dxa"/>
          </w:tcPr>
          <w:p>
            <w:pPr>
              <w:pStyle w:val="TableParagraph"/>
              <w:rPr>
                <w:sz w:val="22"/>
              </w:rPr>
            </w:pPr>
            <w:r>
              <w:rPr>
                <w:spacing w:val="-2"/>
                <w:sz w:val="22"/>
              </w:rPr>
              <w:t>828566.6932</w:t>
            </w:r>
          </w:p>
        </w:tc>
        <w:tc>
          <w:tcPr>
            <w:tcW w:w="1371" w:type="dxa"/>
          </w:tcPr>
          <w:p>
            <w:pPr>
              <w:pStyle w:val="TableParagraph"/>
              <w:ind w:right="108"/>
              <w:rPr>
                <w:sz w:val="22"/>
              </w:rPr>
            </w:pPr>
            <w:r>
              <w:rPr>
                <w:spacing w:val="-2"/>
                <w:sz w:val="22"/>
              </w:rPr>
              <w:t>1004633.99</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46</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100000</w:t>
            </w:r>
          </w:p>
        </w:tc>
        <w:tc>
          <w:tcPr>
            <w:tcW w:w="876" w:type="dxa"/>
          </w:tcPr>
          <w:p>
            <w:pPr>
              <w:pStyle w:val="TableParagraph"/>
              <w:ind w:left="12"/>
              <w:rPr>
                <w:sz w:val="22"/>
              </w:rPr>
            </w:pPr>
            <w:r>
              <w:rPr>
                <w:spacing w:val="-2"/>
                <w:sz w:val="22"/>
              </w:rPr>
              <w:t>130000</w:t>
            </w:r>
          </w:p>
        </w:tc>
        <w:tc>
          <w:tcPr>
            <w:tcW w:w="877" w:type="dxa"/>
          </w:tcPr>
          <w:p>
            <w:pPr>
              <w:pStyle w:val="TableParagraph"/>
              <w:ind w:left="11"/>
              <w:rPr>
                <w:sz w:val="22"/>
              </w:rPr>
            </w:pPr>
            <w:r>
              <w:rPr>
                <w:spacing w:val="-2"/>
                <w:sz w:val="22"/>
              </w:rPr>
              <w:t>180000</w:t>
            </w:r>
          </w:p>
        </w:tc>
        <w:tc>
          <w:tcPr>
            <w:tcW w:w="1371" w:type="dxa"/>
          </w:tcPr>
          <w:p>
            <w:pPr>
              <w:pStyle w:val="TableParagraph"/>
              <w:rPr>
                <w:sz w:val="22"/>
              </w:rPr>
            </w:pPr>
            <w:r>
              <w:rPr>
                <w:spacing w:val="-2"/>
                <w:sz w:val="22"/>
              </w:rPr>
              <w:t>828809.5508</w:t>
            </w:r>
          </w:p>
        </w:tc>
        <w:tc>
          <w:tcPr>
            <w:tcW w:w="1371" w:type="dxa"/>
          </w:tcPr>
          <w:p>
            <w:pPr>
              <w:pStyle w:val="TableParagraph"/>
              <w:ind w:right="1"/>
              <w:rPr>
                <w:sz w:val="22"/>
              </w:rPr>
            </w:pPr>
            <w:r>
              <w:rPr>
                <w:spacing w:val="-2"/>
                <w:sz w:val="22"/>
              </w:rPr>
              <w:t>1004358.009</w:t>
            </w:r>
          </w:p>
        </w:tc>
      </w:tr>
      <w:tr>
        <w:trPr>
          <w:trHeight w:val="302" w:hRule="atLeast"/>
        </w:trPr>
        <w:tc>
          <w:tcPr>
            <w:tcW w:w="559" w:type="dxa"/>
          </w:tcPr>
          <w:p>
            <w:pPr>
              <w:pStyle w:val="TableParagraph"/>
              <w:spacing w:line="240" w:lineRule="exact" w:before="41"/>
              <w:ind w:left="0" w:right="96"/>
              <w:jc w:val="right"/>
              <w:rPr>
                <w:sz w:val="22"/>
              </w:rPr>
            </w:pPr>
            <w:r>
              <w:rPr>
                <w:spacing w:val="-5"/>
                <w:sz w:val="22"/>
              </w:rPr>
              <w:t>47</w:t>
            </w:r>
          </w:p>
        </w:tc>
        <w:tc>
          <w:tcPr>
            <w:tcW w:w="2953" w:type="dxa"/>
          </w:tcPr>
          <w:p>
            <w:pPr>
              <w:pStyle w:val="TableParagraph"/>
              <w:spacing w:line="249" w:lineRule="exact"/>
              <w:ind w:left="107"/>
              <w:jc w:val="left"/>
              <w:rPr>
                <w:sz w:val="22"/>
              </w:rPr>
            </w:pPr>
            <w:r>
              <w:rPr>
                <w:sz w:val="22"/>
              </w:rPr>
              <w:t>Usman</w:t>
            </w:r>
            <w:r>
              <w:rPr>
                <w:spacing w:val="-2"/>
                <w:sz w:val="22"/>
              </w:rPr>
              <w:t> </w:t>
            </w:r>
            <w:r>
              <w:rPr>
                <w:sz w:val="22"/>
              </w:rPr>
              <w:t>Maishera</w:t>
            </w:r>
            <w:r>
              <w:rPr>
                <w:spacing w:val="-3"/>
                <w:sz w:val="22"/>
              </w:rPr>
              <w:t> </w:t>
            </w:r>
            <w:r>
              <w:rPr>
                <w:sz w:val="22"/>
              </w:rPr>
              <w:t>&amp;</w:t>
            </w:r>
            <w:r>
              <w:rPr>
                <w:spacing w:val="-3"/>
                <w:sz w:val="22"/>
              </w:rPr>
              <w:t> </w:t>
            </w:r>
            <w:r>
              <w:rPr>
                <w:spacing w:val="-2"/>
                <w:sz w:val="22"/>
              </w:rPr>
              <w:t>Associates</w:t>
            </w:r>
          </w:p>
        </w:tc>
        <w:tc>
          <w:tcPr>
            <w:tcW w:w="876" w:type="dxa"/>
          </w:tcPr>
          <w:p>
            <w:pPr>
              <w:pStyle w:val="TableParagraph"/>
              <w:spacing w:line="249" w:lineRule="exact"/>
              <w:ind w:left="12"/>
              <w:rPr>
                <w:sz w:val="22"/>
              </w:rPr>
            </w:pPr>
            <w:r>
              <w:rPr>
                <w:spacing w:val="-2"/>
                <w:sz w:val="22"/>
              </w:rPr>
              <w:t>100000</w:t>
            </w:r>
          </w:p>
        </w:tc>
        <w:tc>
          <w:tcPr>
            <w:tcW w:w="876" w:type="dxa"/>
          </w:tcPr>
          <w:p>
            <w:pPr>
              <w:pStyle w:val="TableParagraph"/>
              <w:spacing w:line="249" w:lineRule="exact"/>
              <w:ind w:left="12"/>
              <w:rPr>
                <w:sz w:val="22"/>
              </w:rPr>
            </w:pPr>
            <w:r>
              <w:rPr>
                <w:spacing w:val="-2"/>
                <w:sz w:val="22"/>
              </w:rPr>
              <w:t>140000</w:t>
            </w:r>
          </w:p>
        </w:tc>
        <w:tc>
          <w:tcPr>
            <w:tcW w:w="877" w:type="dxa"/>
          </w:tcPr>
          <w:p>
            <w:pPr>
              <w:pStyle w:val="TableParagraph"/>
              <w:spacing w:line="249" w:lineRule="exact"/>
              <w:ind w:left="11"/>
              <w:rPr>
                <w:sz w:val="22"/>
              </w:rPr>
            </w:pPr>
            <w:r>
              <w:rPr>
                <w:spacing w:val="-2"/>
                <w:sz w:val="22"/>
              </w:rPr>
              <w:t>190000</w:t>
            </w:r>
          </w:p>
        </w:tc>
        <w:tc>
          <w:tcPr>
            <w:tcW w:w="1371" w:type="dxa"/>
          </w:tcPr>
          <w:p>
            <w:pPr>
              <w:pStyle w:val="TableParagraph"/>
              <w:spacing w:line="249" w:lineRule="exact"/>
              <w:rPr>
                <w:sz w:val="22"/>
              </w:rPr>
            </w:pPr>
            <w:r>
              <w:rPr>
                <w:spacing w:val="-2"/>
                <w:sz w:val="22"/>
              </w:rPr>
              <w:t>828714.8354</w:t>
            </w:r>
          </w:p>
        </w:tc>
        <w:tc>
          <w:tcPr>
            <w:tcW w:w="1371" w:type="dxa"/>
          </w:tcPr>
          <w:p>
            <w:pPr>
              <w:pStyle w:val="TableParagraph"/>
              <w:spacing w:line="249" w:lineRule="exact"/>
              <w:ind w:right="1"/>
              <w:rPr>
                <w:sz w:val="22"/>
              </w:rPr>
            </w:pPr>
            <w:r>
              <w:rPr>
                <w:spacing w:val="-2"/>
                <w:sz w:val="22"/>
              </w:rPr>
              <w:t>1002879.017</w:t>
            </w:r>
          </w:p>
        </w:tc>
      </w:tr>
      <w:tr>
        <w:trPr>
          <w:trHeight w:val="299" w:hRule="atLeast"/>
        </w:trPr>
        <w:tc>
          <w:tcPr>
            <w:tcW w:w="559" w:type="dxa"/>
          </w:tcPr>
          <w:p>
            <w:pPr>
              <w:pStyle w:val="TableParagraph"/>
              <w:spacing w:line="240" w:lineRule="exact" w:before="39"/>
              <w:ind w:left="0" w:right="96"/>
              <w:jc w:val="right"/>
              <w:rPr>
                <w:sz w:val="22"/>
              </w:rPr>
            </w:pPr>
            <w:r>
              <w:rPr>
                <w:spacing w:val="-5"/>
                <w:sz w:val="22"/>
              </w:rPr>
              <w:t>48</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80000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828753.1651</w:t>
            </w:r>
          </w:p>
        </w:tc>
        <w:tc>
          <w:tcPr>
            <w:tcW w:w="1371" w:type="dxa"/>
          </w:tcPr>
          <w:p>
            <w:pPr>
              <w:pStyle w:val="TableParagraph"/>
              <w:ind w:right="1"/>
              <w:rPr>
                <w:sz w:val="22"/>
              </w:rPr>
            </w:pPr>
            <w:r>
              <w:rPr>
                <w:spacing w:val="-2"/>
                <w:sz w:val="22"/>
              </w:rPr>
              <w:t>1002361.358</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49</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75000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829375.6117</w:t>
            </w:r>
          </w:p>
        </w:tc>
        <w:tc>
          <w:tcPr>
            <w:tcW w:w="1371" w:type="dxa"/>
          </w:tcPr>
          <w:p>
            <w:pPr>
              <w:pStyle w:val="TableParagraph"/>
              <w:ind w:right="1"/>
              <w:rPr>
                <w:sz w:val="22"/>
              </w:rPr>
            </w:pPr>
            <w:r>
              <w:rPr>
                <w:spacing w:val="-2"/>
                <w:sz w:val="22"/>
              </w:rPr>
              <w:t>1002186.948</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50</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80000</w:t>
            </w:r>
          </w:p>
        </w:tc>
        <w:tc>
          <w:tcPr>
            <w:tcW w:w="876" w:type="dxa"/>
          </w:tcPr>
          <w:p>
            <w:pPr>
              <w:pStyle w:val="TableParagraph"/>
              <w:ind w:left="12"/>
              <w:rPr>
                <w:sz w:val="22"/>
              </w:rPr>
            </w:pPr>
            <w:r>
              <w:rPr>
                <w:spacing w:val="-2"/>
                <w:sz w:val="22"/>
              </w:rPr>
              <w:t>120000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829123.8203</w:t>
            </w:r>
          </w:p>
        </w:tc>
        <w:tc>
          <w:tcPr>
            <w:tcW w:w="1371" w:type="dxa"/>
          </w:tcPr>
          <w:p>
            <w:pPr>
              <w:pStyle w:val="TableParagraph"/>
              <w:ind w:right="1"/>
              <w:rPr>
                <w:sz w:val="22"/>
              </w:rPr>
            </w:pPr>
            <w:r>
              <w:rPr>
                <w:spacing w:val="-2"/>
                <w:sz w:val="22"/>
              </w:rPr>
              <w:t>1001560.246</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51</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80000</w:t>
            </w:r>
          </w:p>
        </w:tc>
        <w:tc>
          <w:tcPr>
            <w:tcW w:w="876" w:type="dxa"/>
          </w:tcPr>
          <w:p>
            <w:pPr>
              <w:pStyle w:val="TableParagraph"/>
              <w:ind w:left="12"/>
              <w:rPr>
                <w:sz w:val="22"/>
              </w:rPr>
            </w:pPr>
            <w:r>
              <w:rPr>
                <w:spacing w:val="-2"/>
                <w:sz w:val="22"/>
              </w:rPr>
              <w:t>120000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829046.8202</w:t>
            </w:r>
          </w:p>
        </w:tc>
        <w:tc>
          <w:tcPr>
            <w:tcW w:w="1371" w:type="dxa"/>
          </w:tcPr>
          <w:p>
            <w:pPr>
              <w:pStyle w:val="TableParagraph"/>
              <w:ind w:right="1"/>
              <w:rPr>
                <w:sz w:val="22"/>
              </w:rPr>
            </w:pPr>
            <w:r>
              <w:rPr>
                <w:spacing w:val="-2"/>
                <w:sz w:val="22"/>
              </w:rPr>
              <w:t>1001171.746</w:t>
            </w:r>
          </w:p>
        </w:tc>
      </w:tr>
      <w:tr>
        <w:trPr>
          <w:trHeight w:val="299" w:hRule="atLeast"/>
        </w:trPr>
        <w:tc>
          <w:tcPr>
            <w:tcW w:w="559" w:type="dxa"/>
          </w:tcPr>
          <w:p>
            <w:pPr>
              <w:pStyle w:val="TableParagraph"/>
              <w:spacing w:line="238" w:lineRule="exact" w:before="41"/>
              <w:ind w:left="0" w:right="96"/>
              <w:jc w:val="right"/>
              <w:rPr>
                <w:sz w:val="22"/>
              </w:rPr>
            </w:pPr>
            <w:r>
              <w:rPr>
                <w:spacing w:val="-5"/>
                <w:sz w:val="22"/>
              </w:rPr>
              <w:t>52</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90000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140000</w:t>
            </w:r>
          </w:p>
        </w:tc>
        <w:tc>
          <w:tcPr>
            <w:tcW w:w="1371" w:type="dxa"/>
          </w:tcPr>
          <w:p>
            <w:pPr>
              <w:pStyle w:val="TableParagraph"/>
              <w:rPr>
                <w:sz w:val="22"/>
              </w:rPr>
            </w:pPr>
            <w:r>
              <w:rPr>
                <w:spacing w:val="-2"/>
                <w:sz w:val="22"/>
              </w:rPr>
              <w:t>830622.1428</w:t>
            </w:r>
          </w:p>
        </w:tc>
        <w:tc>
          <w:tcPr>
            <w:tcW w:w="1371" w:type="dxa"/>
          </w:tcPr>
          <w:p>
            <w:pPr>
              <w:pStyle w:val="TableParagraph"/>
              <w:ind w:right="1"/>
              <w:rPr>
                <w:sz w:val="22"/>
              </w:rPr>
            </w:pPr>
            <w:r>
              <w:rPr>
                <w:spacing w:val="-2"/>
                <w:sz w:val="22"/>
              </w:rPr>
              <w:t>1001739.843</w:t>
            </w:r>
          </w:p>
        </w:tc>
      </w:tr>
      <w:tr>
        <w:trPr>
          <w:trHeight w:val="302" w:hRule="atLeast"/>
        </w:trPr>
        <w:tc>
          <w:tcPr>
            <w:tcW w:w="559" w:type="dxa"/>
          </w:tcPr>
          <w:p>
            <w:pPr>
              <w:pStyle w:val="TableParagraph"/>
              <w:spacing w:line="240" w:lineRule="exact" w:before="41"/>
              <w:ind w:left="0" w:right="96"/>
              <w:jc w:val="right"/>
              <w:rPr>
                <w:sz w:val="22"/>
              </w:rPr>
            </w:pPr>
            <w:r>
              <w:rPr>
                <w:spacing w:val="-5"/>
                <w:sz w:val="22"/>
              </w:rPr>
              <w:t>53</w:t>
            </w:r>
          </w:p>
        </w:tc>
        <w:tc>
          <w:tcPr>
            <w:tcW w:w="2953" w:type="dxa"/>
          </w:tcPr>
          <w:p>
            <w:pPr>
              <w:pStyle w:val="TableParagraph"/>
              <w:spacing w:line="249" w:lineRule="exact"/>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spacing w:line="249" w:lineRule="exact"/>
              <w:ind w:left="12"/>
              <w:rPr>
                <w:sz w:val="22"/>
              </w:rPr>
            </w:pPr>
            <w:r>
              <w:rPr>
                <w:spacing w:val="-2"/>
                <w:sz w:val="22"/>
              </w:rPr>
              <w:t>80000</w:t>
            </w:r>
          </w:p>
        </w:tc>
        <w:tc>
          <w:tcPr>
            <w:tcW w:w="876" w:type="dxa"/>
          </w:tcPr>
          <w:p>
            <w:pPr>
              <w:pStyle w:val="TableParagraph"/>
              <w:spacing w:line="249" w:lineRule="exact"/>
              <w:ind w:left="12"/>
              <w:rPr>
                <w:sz w:val="22"/>
              </w:rPr>
            </w:pPr>
            <w:r>
              <w:rPr>
                <w:spacing w:val="-2"/>
                <w:sz w:val="22"/>
              </w:rPr>
              <w:t>100000</w:t>
            </w:r>
          </w:p>
        </w:tc>
        <w:tc>
          <w:tcPr>
            <w:tcW w:w="877" w:type="dxa"/>
          </w:tcPr>
          <w:p>
            <w:pPr>
              <w:pStyle w:val="TableParagraph"/>
              <w:spacing w:line="249" w:lineRule="exact"/>
              <w:ind w:left="11"/>
              <w:rPr>
                <w:sz w:val="22"/>
              </w:rPr>
            </w:pPr>
            <w:r>
              <w:rPr>
                <w:spacing w:val="-2"/>
                <w:sz w:val="22"/>
              </w:rPr>
              <w:t>150000</w:t>
            </w:r>
          </w:p>
        </w:tc>
        <w:tc>
          <w:tcPr>
            <w:tcW w:w="1371" w:type="dxa"/>
          </w:tcPr>
          <w:p>
            <w:pPr>
              <w:pStyle w:val="TableParagraph"/>
              <w:spacing w:line="249" w:lineRule="exact"/>
              <w:rPr>
                <w:sz w:val="22"/>
              </w:rPr>
            </w:pPr>
            <w:r>
              <w:rPr>
                <w:spacing w:val="-2"/>
                <w:sz w:val="22"/>
              </w:rPr>
              <w:t>831104.5748</w:t>
            </w:r>
          </w:p>
        </w:tc>
        <w:tc>
          <w:tcPr>
            <w:tcW w:w="1371" w:type="dxa"/>
          </w:tcPr>
          <w:p>
            <w:pPr>
              <w:pStyle w:val="TableParagraph"/>
              <w:spacing w:line="249" w:lineRule="exact"/>
              <w:ind w:right="1"/>
              <w:rPr>
                <w:sz w:val="22"/>
              </w:rPr>
            </w:pPr>
            <w:r>
              <w:rPr>
                <w:spacing w:val="-2"/>
                <w:sz w:val="22"/>
              </w:rPr>
              <w:t>1001747.798</w:t>
            </w:r>
          </w:p>
        </w:tc>
      </w:tr>
      <w:tr>
        <w:trPr>
          <w:trHeight w:val="300" w:hRule="atLeast"/>
        </w:trPr>
        <w:tc>
          <w:tcPr>
            <w:tcW w:w="559" w:type="dxa"/>
          </w:tcPr>
          <w:p>
            <w:pPr>
              <w:pStyle w:val="TableParagraph"/>
              <w:spacing w:line="240" w:lineRule="exact" w:before="40"/>
              <w:ind w:left="0" w:right="96"/>
              <w:jc w:val="right"/>
              <w:rPr>
                <w:sz w:val="22"/>
              </w:rPr>
            </w:pPr>
            <w:r>
              <w:rPr>
                <w:spacing w:val="-5"/>
                <w:sz w:val="22"/>
              </w:rPr>
              <w:t>54</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85000</w:t>
            </w:r>
          </w:p>
        </w:tc>
        <w:tc>
          <w:tcPr>
            <w:tcW w:w="876" w:type="dxa"/>
          </w:tcPr>
          <w:p>
            <w:pPr>
              <w:pStyle w:val="TableParagraph"/>
              <w:ind w:left="12"/>
              <w:rPr>
                <w:sz w:val="22"/>
              </w:rPr>
            </w:pPr>
            <w:r>
              <w:rPr>
                <w:spacing w:val="-2"/>
                <w:sz w:val="22"/>
              </w:rPr>
              <w:t>110000</w:t>
            </w:r>
          </w:p>
        </w:tc>
        <w:tc>
          <w:tcPr>
            <w:tcW w:w="877" w:type="dxa"/>
          </w:tcPr>
          <w:p>
            <w:pPr>
              <w:pStyle w:val="TableParagraph"/>
              <w:ind w:left="11"/>
              <w:rPr>
                <w:sz w:val="22"/>
              </w:rPr>
            </w:pPr>
            <w:r>
              <w:rPr>
                <w:spacing w:val="-2"/>
                <w:sz w:val="22"/>
              </w:rPr>
              <w:t>150000</w:t>
            </w:r>
          </w:p>
        </w:tc>
        <w:tc>
          <w:tcPr>
            <w:tcW w:w="1371" w:type="dxa"/>
          </w:tcPr>
          <w:p>
            <w:pPr>
              <w:pStyle w:val="TableParagraph"/>
              <w:rPr>
                <w:sz w:val="22"/>
              </w:rPr>
            </w:pPr>
            <w:r>
              <w:rPr>
                <w:spacing w:val="-2"/>
                <w:sz w:val="22"/>
              </w:rPr>
              <w:t>829600.7757</w:t>
            </w:r>
          </w:p>
        </w:tc>
        <w:tc>
          <w:tcPr>
            <w:tcW w:w="1371" w:type="dxa"/>
          </w:tcPr>
          <w:p>
            <w:pPr>
              <w:pStyle w:val="TableParagraph"/>
              <w:ind w:right="1"/>
              <w:rPr>
                <w:sz w:val="22"/>
              </w:rPr>
            </w:pPr>
            <w:r>
              <w:rPr>
                <w:spacing w:val="-2"/>
                <w:sz w:val="22"/>
              </w:rPr>
              <w:t>1001538.322</w:t>
            </w:r>
          </w:p>
        </w:tc>
      </w:tr>
    </w:tbl>
    <w:p>
      <w:pPr>
        <w:pStyle w:val="BodyText"/>
        <w:jc w:val="left"/>
        <w:rPr>
          <w:b/>
        </w:rPr>
      </w:pPr>
    </w:p>
    <w:p>
      <w:pPr>
        <w:pStyle w:val="BodyText"/>
        <w:spacing w:before="33"/>
        <w:jc w:val="left"/>
        <w:rPr>
          <w:b/>
        </w:rPr>
      </w:pPr>
    </w:p>
    <w:p>
      <w:pPr>
        <w:spacing w:before="0" w:after="4"/>
        <w:ind w:left="305" w:right="0" w:firstLine="0"/>
        <w:jc w:val="left"/>
        <w:rPr>
          <w:b/>
          <w:sz w:val="24"/>
        </w:rPr>
      </w:pPr>
      <w:r>
        <w:rPr>
          <w:b/>
          <w:sz w:val="24"/>
        </w:rPr>
        <w:t>Three</w:t>
      </w:r>
      <w:r>
        <w:rPr>
          <w:b/>
          <w:spacing w:val="-3"/>
          <w:sz w:val="24"/>
        </w:rPr>
        <w:t> </w:t>
      </w:r>
      <w:r>
        <w:rPr>
          <w:b/>
          <w:sz w:val="24"/>
        </w:rPr>
        <w:t>Bedroom</w:t>
      </w:r>
      <w:r>
        <w:rPr>
          <w:b/>
          <w:spacing w:val="-4"/>
          <w:sz w:val="24"/>
        </w:rPr>
        <w:t> </w:t>
      </w:r>
      <w:r>
        <w:rPr>
          <w:b/>
          <w:spacing w:val="-2"/>
          <w:sz w:val="24"/>
        </w:rPr>
        <w:t>Apartments</w:t>
      </w:r>
    </w:p>
    <w:tbl>
      <w:tblPr>
        <w:tblW w:w="0" w:type="auto"/>
        <w:jc w:val="left"/>
        <w:tblInd w:w="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9"/>
        <w:gridCol w:w="2953"/>
        <w:gridCol w:w="876"/>
        <w:gridCol w:w="876"/>
        <w:gridCol w:w="877"/>
        <w:gridCol w:w="1388"/>
        <w:gridCol w:w="1372"/>
      </w:tblGrid>
      <w:tr>
        <w:trPr>
          <w:trHeight w:val="505" w:hRule="atLeast"/>
        </w:trPr>
        <w:tc>
          <w:tcPr>
            <w:tcW w:w="559" w:type="dxa"/>
          </w:tcPr>
          <w:p>
            <w:pPr>
              <w:pStyle w:val="TableParagraph"/>
              <w:spacing w:line="251" w:lineRule="exact"/>
              <w:ind w:left="107"/>
              <w:jc w:val="left"/>
              <w:rPr>
                <w:b/>
                <w:sz w:val="22"/>
              </w:rPr>
            </w:pPr>
            <w:r>
              <w:rPr>
                <w:b/>
                <w:spacing w:val="-5"/>
                <w:sz w:val="22"/>
              </w:rPr>
              <w:t>S/N</w:t>
            </w:r>
          </w:p>
        </w:tc>
        <w:tc>
          <w:tcPr>
            <w:tcW w:w="2953" w:type="dxa"/>
          </w:tcPr>
          <w:p>
            <w:pPr>
              <w:pStyle w:val="TableParagraph"/>
              <w:spacing w:line="251" w:lineRule="exact"/>
              <w:ind w:left="107"/>
              <w:jc w:val="left"/>
              <w:rPr>
                <w:b/>
                <w:sz w:val="22"/>
              </w:rPr>
            </w:pPr>
            <w:r>
              <w:rPr>
                <w:b/>
                <w:spacing w:val="-4"/>
                <w:sz w:val="22"/>
              </w:rPr>
              <w:t>Firm</w:t>
            </w:r>
          </w:p>
        </w:tc>
        <w:tc>
          <w:tcPr>
            <w:tcW w:w="876" w:type="dxa"/>
          </w:tcPr>
          <w:p>
            <w:pPr>
              <w:pStyle w:val="TableParagraph"/>
              <w:spacing w:line="254" w:lineRule="exact"/>
              <w:ind w:left="218" w:right="194" w:hanging="15"/>
              <w:jc w:val="left"/>
              <w:rPr>
                <w:b/>
                <w:sz w:val="22"/>
              </w:rPr>
            </w:pPr>
            <w:r>
              <w:rPr>
                <w:b/>
                <w:spacing w:val="-4"/>
                <w:sz w:val="22"/>
              </w:rPr>
              <w:t>Year 2008</w:t>
            </w:r>
          </w:p>
        </w:tc>
        <w:tc>
          <w:tcPr>
            <w:tcW w:w="876" w:type="dxa"/>
          </w:tcPr>
          <w:p>
            <w:pPr>
              <w:pStyle w:val="TableParagraph"/>
              <w:spacing w:line="254" w:lineRule="exact"/>
              <w:ind w:left="218" w:right="194" w:hanging="15"/>
              <w:jc w:val="left"/>
              <w:rPr>
                <w:b/>
                <w:sz w:val="22"/>
              </w:rPr>
            </w:pPr>
            <w:r>
              <w:rPr>
                <w:b/>
                <w:spacing w:val="-4"/>
                <w:sz w:val="22"/>
              </w:rPr>
              <w:t>Year 2013</w:t>
            </w:r>
          </w:p>
        </w:tc>
        <w:tc>
          <w:tcPr>
            <w:tcW w:w="877" w:type="dxa"/>
          </w:tcPr>
          <w:p>
            <w:pPr>
              <w:pStyle w:val="TableParagraph"/>
              <w:spacing w:line="254" w:lineRule="exact"/>
              <w:ind w:left="218" w:right="195" w:hanging="15"/>
              <w:jc w:val="left"/>
              <w:rPr>
                <w:b/>
                <w:sz w:val="22"/>
              </w:rPr>
            </w:pPr>
            <w:r>
              <w:rPr>
                <w:b/>
                <w:spacing w:val="-4"/>
                <w:sz w:val="22"/>
              </w:rPr>
              <w:t>Year 2018</w:t>
            </w:r>
          </w:p>
        </w:tc>
        <w:tc>
          <w:tcPr>
            <w:tcW w:w="1388" w:type="dxa"/>
          </w:tcPr>
          <w:p>
            <w:pPr>
              <w:pStyle w:val="TableParagraph"/>
              <w:spacing w:line="251" w:lineRule="exact"/>
              <w:ind w:left="9"/>
              <w:rPr>
                <w:b/>
                <w:sz w:val="22"/>
              </w:rPr>
            </w:pPr>
            <w:r>
              <w:rPr>
                <w:b/>
                <w:spacing w:val="-10"/>
                <w:sz w:val="22"/>
              </w:rPr>
              <w:t>X</w:t>
            </w:r>
          </w:p>
        </w:tc>
        <w:tc>
          <w:tcPr>
            <w:tcW w:w="1372" w:type="dxa"/>
          </w:tcPr>
          <w:p>
            <w:pPr>
              <w:pStyle w:val="TableParagraph"/>
              <w:spacing w:line="251" w:lineRule="exact"/>
              <w:ind w:left="8" w:right="3"/>
              <w:rPr>
                <w:b/>
                <w:sz w:val="22"/>
              </w:rPr>
            </w:pPr>
            <w:r>
              <w:rPr>
                <w:b/>
                <w:spacing w:val="-10"/>
                <w:sz w:val="22"/>
              </w:rPr>
              <w:t>Y</w:t>
            </w:r>
          </w:p>
        </w:tc>
      </w:tr>
      <w:tr>
        <w:trPr>
          <w:trHeight w:val="297" w:hRule="atLeast"/>
        </w:trPr>
        <w:tc>
          <w:tcPr>
            <w:tcW w:w="559" w:type="dxa"/>
          </w:tcPr>
          <w:p>
            <w:pPr>
              <w:pStyle w:val="TableParagraph"/>
              <w:spacing w:line="245" w:lineRule="exact"/>
              <w:ind w:left="107"/>
              <w:jc w:val="left"/>
              <w:rPr>
                <w:sz w:val="22"/>
              </w:rPr>
            </w:pPr>
            <w:r>
              <w:rPr>
                <w:spacing w:val="-10"/>
                <w:sz w:val="22"/>
              </w:rPr>
              <w:t>1</w:t>
            </w:r>
          </w:p>
        </w:tc>
        <w:tc>
          <w:tcPr>
            <w:tcW w:w="2953" w:type="dxa"/>
          </w:tcPr>
          <w:p>
            <w:pPr>
              <w:pStyle w:val="TableParagraph"/>
              <w:spacing w:line="245"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spacing w:line="245" w:lineRule="exact"/>
              <w:ind w:left="12"/>
              <w:rPr>
                <w:sz w:val="22"/>
              </w:rPr>
            </w:pPr>
            <w:r>
              <w:rPr>
                <w:spacing w:val="-2"/>
                <w:sz w:val="22"/>
              </w:rPr>
              <w:t>80000</w:t>
            </w:r>
          </w:p>
        </w:tc>
        <w:tc>
          <w:tcPr>
            <w:tcW w:w="876" w:type="dxa"/>
          </w:tcPr>
          <w:p>
            <w:pPr>
              <w:pStyle w:val="TableParagraph"/>
              <w:spacing w:line="245" w:lineRule="exact"/>
              <w:ind w:left="12"/>
              <w:rPr>
                <w:sz w:val="22"/>
              </w:rPr>
            </w:pPr>
            <w:r>
              <w:rPr>
                <w:spacing w:val="-2"/>
                <w:sz w:val="22"/>
              </w:rPr>
              <w:t>100000</w:t>
            </w:r>
          </w:p>
        </w:tc>
        <w:tc>
          <w:tcPr>
            <w:tcW w:w="877" w:type="dxa"/>
          </w:tcPr>
          <w:p>
            <w:pPr>
              <w:pStyle w:val="TableParagraph"/>
              <w:spacing w:line="245" w:lineRule="exact"/>
              <w:ind w:left="11"/>
              <w:rPr>
                <w:sz w:val="22"/>
              </w:rPr>
            </w:pPr>
            <w:r>
              <w:rPr>
                <w:spacing w:val="-2"/>
                <w:sz w:val="22"/>
              </w:rPr>
              <w:t>170000</w:t>
            </w:r>
          </w:p>
        </w:tc>
        <w:tc>
          <w:tcPr>
            <w:tcW w:w="1388" w:type="dxa"/>
          </w:tcPr>
          <w:p>
            <w:pPr>
              <w:pStyle w:val="TableParagraph"/>
              <w:spacing w:line="245" w:lineRule="exact"/>
              <w:ind w:left="9" w:right="1"/>
              <w:rPr>
                <w:sz w:val="22"/>
              </w:rPr>
            </w:pPr>
            <w:r>
              <w:rPr>
                <w:spacing w:val="-2"/>
                <w:sz w:val="22"/>
              </w:rPr>
              <w:t>828804.2286</w:t>
            </w:r>
          </w:p>
        </w:tc>
        <w:tc>
          <w:tcPr>
            <w:tcW w:w="1372" w:type="dxa"/>
          </w:tcPr>
          <w:p>
            <w:pPr>
              <w:pStyle w:val="TableParagraph"/>
              <w:spacing w:line="245" w:lineRule="exact"/>
              <w:ind w:left="8"/>
              <w:rPr>
                <w:sz w:val="22"/>
              </w:rPr>
            </w:pPr>
            <w:r>
              <w:rPr>
                <w:spacing w:val="-2"/>
                <w:sz w:val="22"/>
              </w:rPr>
              <w:t>1005732.753</w:t>
            </w:r>
          </w:p>
        </w:tc>
      </w:tr>
      <w:tr>
        <w:trPr>
          <w:trHeight w:val="299" w:hRule="atLeast"/>
        </w:trPr>
        <w:tc>
          <w:tcPr>
            <w:tcW w:w="559" w:type="dxa"/>
          </w:tcPr>
          <w:p>
            <w:pPr>
              <w:pStyle w:val="TableParagraph"/>
              <w:ind w:left="107"/>
              <w:jc w:val="left"/>
              <w:rPr>
                <w:sz w:val="22"/>
              </w:rPr>
            </w:pPr>
            <w:r>
              <w:rPr>
                <w:spacing w:val="-10"/>
                <w:sz w:val="22"/>
              </w:rPr>
              <w:t>2</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2"/>
                <w:sz w:val="22"/>
              </w:rPr>
              <w:t> Associates</w:t>
            </w:r>
          </w:p>
        </w:tc>
        <w:tc>
          <w:tcPr>
            <w:tcW w:w="876" w:type="dxa"/>
          </w:tcPr>
          <w:p>
            <w:pPr>
              <w:pStyle w:val="TableParagraph"/>
              <w:ind w:left="12"/>
              <w:rPr>
                <w:sz w:val="22"/>
              </w:rPr>
            </w:pPr>
            <w:r>
              <w:rPr>
                <w:spacing w:val="-2"/>
                <w:sz w:val="22"/>
              </w:rPr>
              <w:t>60000</w:t>
            </w:r>
          </w:p>
        </w:tc>
        <w:tc>
          <w:tcPr>
            <w:tcW w:w="876" w:type="dxa"/>
          </w:tcPr>
          <w:p>
            <w:pPr>
              <w:pStyle w:val="TableParagraph"/>
              <w:ind w:left="12"/>
              <w:rPr>
                <w:sz w:val="22"/>
              </w:rPr>
            </w:pPr>
            <w:r>
              <w:rPr>
                <w:spacing w:val="-2"/>
                <w:sz w:val="22"/>
              </w:rPr>
              <w:t>75000</w:t>
            </w:r>
          </w:p>
        </w:tc>
        <w:tc>
          <w:tcPr>
            <w:tcW w:w="877" w:type="dxa"/>
          </w:tcPr>
          <w:p>
            <w:pPr>
              <w:pStyle w:val="TableParagraph"/>
              <w:ind w:left="11"/>
              <w:rPr>
                <w:sz w:val="22"/>
              </w:rPr>
            </w:pPr>
            <w:r>
              <w:rPr>
                <w:spacing w:val="-2"/>
                <w:sz w:val="22"/>
              </w:rPr>
              <w:t>80000</w:t>
            </w:r>
          </w:p>
        </w:tc>
        <w:tc>
          <w:tcPr>
            <w:tcW w:w="1388" w:type="dxa"/>
          </w:tcPr>
          <w:p>
            <w:pPr>
              <w:pStyle w:val="TableParagraph"/>
              <w:ind w:left="9" w:right="1"/>
              <w:rPr>
                <w:sz w:val="22"/>
              </w:rPr>
            </w:pPr>
            <w:r>
              <w:rPr>
                <w:spacing w:val="-2"/>
                <w:sz w:val="22"/>
              </w:rPr>
              <w:t>829639.1111</w:t>
            </w:r>
          </w:p>
        </w:tc>
        <w:tc>
          <w:tcPr>
            <w:tcW w:w="1372" w:type="dxa"/>
          </w:tcPr>
          <w:p>
            <w:pPr>
              <w:pStyle w:val="TableParagraph"/>
              <w:ind w:left="8"/>
              <w:rPr>
                <w:sz w:val="22"/>
              </w:rPr>
            </w:pPr>
            <w:r>
              <w:rPr>
                <w:spacing w:val="-2"/>
                <w:sz w:val="22"/>
              </w:rPr>
              <w:t>1005644.521</w:t>
            </w:r>
          </w:p>
        </w:tc>
      </w:tr>
      <w:tr>
        <w:trPr>
          <w:trHeight w:val="299" w:hRule="atLeast"/>
        </w:trPr>
        <w:tc>
          <w:tcPr>
            <w:tcW w:w="559" w:type="dxa"/>
          </w:tcPr>
          <w:p>
            <w:pPr>
              <w:pStyle w:val="TableParagraph"/>
              <w:ind w:left="107"/>
              <w:jc w:val="left"/>
              <w:rPr>
                <w:sz w:val="22"/>
              </w:rPr>
            </w:pPr>
            <w:r>
              <w:rPr>
                <w:spacing w:val="-10"/>
                <w:sz w:val="22"/>
              </w:rPr>
              <w:t>3</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60000</w:t>
            </w:r>
          </w:p>
        </w:tc>
        <w:tc>
          <w:tcPr>
            <w:tcW w:w="876" w:type="dxa"/>
          </w:tcPr>
          <w:p>
            <w:pPr>
              <w:pStyle w:val="TableParagraph"/>
              <w:ind w:left="12"/>
              <w:rPr>
                <w:sz w:val="22"/>
              </w:rPr>
            </w:pPr>
            <w:r>
              <w:rPr>
                <w:spacing w:val="-2"/>
                <w:sz w:val="22"/>
              </w:rPr>
              <w:t>75000</w:t>
            </w:r>
          </w:p>
        </w:tc>
        <w:tc>
          <w:tcPr>
            <w:tcW w:w="877" w:type="dxa"/>
          </w:tcPr>
          <w:p>
            <w:pPr>
              <w:pStyle w:val="TableParagraph"/>
              <w:ind w:left="11"/>
              <w:rPr>
                <w:sz w:val="22"/>
              </w:rPr>
            </w:pPr>
            <w:r>
              <w:rPr>
                <w:spacing w:val="-2"/>
                <w:sz w:val="22"/>
              </w:rPr>
              <w:t>80000</w:t>
            </w:r>
          </w:p>
        </w:tc>
        <w:tc>
          <w:tcPr>
            <w:tcW w:w="1388" w:type="dxa"/>
          </w:tcPr>
          <w:p>
            <w:pPr>
              <w:pStyle w:val="TableParagraph"/>
              <w:ind w:left="9" w:right="1"/>
              <w:rPr>
                <w:sz w:val="22"/>
              </w:rPr>
            </w:pPr>
            <w:r>
              <w:rPr>
                <w:spacing w:val="-2"/>
                <w:sz w:val="22"/>
              </w:rPr>
              <w:t>829795.789</w:t>
            </w:r>
          </w:p>
        </w:tc>
        <w:tc>
          <w:tcPr>
            <w:tcW w:w="1372" w:type="dxa"/>
          </w:tcPr>
          <w:p>
            <w:pPr>
              <w:pStyle w:val="TableParagraph"/>
              <w:ind w:left="8"/>
              <w:rPr>
                <w:sz w:val="22"/>
              </w:rPr>
            </w:pPr>
            <w:r>
              <w:rPr>
                <w:spacing w:val="-2"/>
                <w:sz w:val="22"/>
              </w:rPr>
              <w:t>1006112.021</w:t>
            </w:r>
          </w:p>
        </w:tc>
      </w:tr>
      <w:tr>
        <w:trPr>
          <w:trHeight w:val="302" w:hRule="atLeast"/>
        </w:trPr>
        <w:tc>
          <w:tcPr>
            <w:tcW w:w="559" w:type="dxa"/>
          </w:tcPr>
          <w:p>
            <w:pPr>
              <w:pStyle w:val="TableParagraph"/>
              <w:spacing w:line="249" w:lineRule="exact"/>
              <w:ind w:left="107"/>
              <w:jc w:val="left"/>
              <w:rPr>
                <w:sz w:val="22"/>
              </w:rPr>
            </w:pPr>
            <w:r>
              <w:rPr>
                <w:spacing w:val="-10"/>
                <w:sz w:val="22"/>
              </w:rPr>
              <w:t>4</w:t>
            </w:r>
          </w:p>
        </w:tc>
        <w:tc>
          <w:tcPr>
            <w:tcW w:w="2953" w:type="dxa"/>
          </w:tcPr>
          <w:p>
            <w:pPr>
              <w:pStyle w:val="TableParagraph"/>
              <w:spacing w:line="249" w:lineRule="exact"/>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76" w:type="dxa"/>
          </w:tcPr>
          <w:p>
            <w:pPr>
              <w:pStyle w:val="TableParagraph"/>
              <w:spacing w:line="249" w:lineRule="exact"/>
              <w:ind w:left="12"/>
              <w:rPr>
                <w:sz w:val="22"/>
              </w:rPr>
            </w:pPr>
            <w:r>
              <w:rPr>
                <w:spacing w:val="-2"/>
                <w:sz w:val="22"/>
              </w:rPr>
              <w:t>80000</w:t>
            </w:r>
          </w:p>
        </w:tc>
        <w:tc>
          <w:tcPr>
            <w:tcW w:w="876" w:type="dxa"/>
          </w:tcPr>
          <w:p>
            <w:pPr>
              <w:pStyle w:val="TableParagraph"/>
              <w:spacing w:line="249" w:lineRule="exact"/>
              <w:ind w:left="12"/>
              <w:rPr>
                <w:sz w:val="22"/>
              </w:rPr>
            </w:pPr>
            <w:r>
              <w:rPr>
                <w:spacing w:val="-2"/>
                <w:sz w:val="22"/>
              </w:rPr>
              <w:t>110000</w:t>
            </w:r>
          </w:p>
        </w:tc>
        <w:tc>
          <w:tcPr>
            <w:tcW w:w="877" w:type="dxa"/>
          </w:tcPr>
          <w:p>
            <w:pPr>
              <w:pStyle w:val="TableParagraph"/>
              <w:spacing w:line="249" w:lineRule="exact"/>
              <w:ind w:left="11"/>
              <w:rPr>
                <w:sz w:val="22"/>
              </w:rPr>
            </w:pPr>
            <w:r>
              <w:rPr>
                <w:spacing w:val="-2"/>
                <w:sz w:val="22"/>
              </w:rPr>
              <w:t>160000</w:t>
            </w:r>
          </w:p>
        </w:tc>
        <w:tc>
          <w:tcPr>
            <w:tcW w:w="1388" w:type="dxa"/>
          </w:tcPr>
          <w:p>
            <w:pPr>
              <w:pStyle w:val="TableParagraph"/>
              <w:spacing w:line="249" w:lineRule="exact"/>
              <w:ind w:left="9" w:right="1"/>
              <w:rPr>
                <w:sz w:val="22"/>
              </w:rPr>
            </w:pPr>
            <w:r>
              <w:rPr>
                <w:spacing w:val="-2"/>
                <w:sz w:val="22"/>
              </w:rPr>
              <w:t>829750.3258</w:t>
            </w:r>
          </w:p>
        </w:tc>
        <w:tc>
          <w:tcPr>
            <w:tcW w:w="1372" w:type="dxa"/>
          </w:tcPr>
          <w:p>
            <w:pPr>
              <w:pStyle w:val="TableParagraph"/>
              <w:spacing w:line="249" w:lineRule="exact"/>
              <w:ind w:left="8"/>
              <w:rPr>
                <w:sz w:val="22"/>
              </w:rPr>
            </w:pPr>
            <w:r>
              <w:rPr>
                <w:spacing w:val="-2"/>
                <w:sz w:val="22"/>
              </w:rPr>
              <w:t>1006802.958</w:t>
            </w:r>
          </w:p>
        </w:tc>
      </w:tr>
    </w:tbl>
    <w:p>
      <w:pPr>
        <w:spacing w:after="0" w:line="249" w:lineRule="exact"/>
        <w:rPr>
          <w:sz w:val="22"/>
        </w:rPr>
        <w:sectPr>
          <w:type w:val="continuous"/>
          <w:pgSz w:w="11910" w:h="16840"/>
          <w:pgMar w:header="0" w:footer="1022" w:top="1380" w:bottom="1527" w:left="1680" w:right="900"/>
        </w:sectPr>
      </w:pPr>
    </w:p>
    <w:tbl>
      <w:tblPr>
        <w:tblW w:w="0" w:type="auto"/>
        <w:jc w:val="left"/>
        <w:tblInd w:w="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9"/>
        <w:gridCol w:w="2953"/>
        <w:gridCol w:w="876"/>
        <w:gridCol w:w="876"/>
        <w:gridCol w:w="877"/>
        <w:gridCol w:w="1388"/>
        <w:gridCol w:w="1372"/>
      </w:tblGrid>
      <w:tr>
        <w:trPr>
          <w:trHeight w:val="299" w:hRule="atLeast"/>
        </w:trPr>
        <w:tc>
          <w:tcPr>
            <w:tcW w:w="559" w:type="dxa"/>
          </w:tcPr>
          <w:p>
            <w:pPr>
              <w:pStyle w:val="TableParagraph"/>
              <w:ind w:left="107"/>
              <w:jc w:val="left"/>
              <w:rPr>
                <w:sz w:val="22"/>
              </w:rPr>
            </w:pPr>
            <w:r>
              <w:rPr>
                <w:spacing w:val="-10"/>
                <w:sz w:val="22"/>
              </w:rPr>
              <w:t>5</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100000</w:t>
            </w:r>
          </w:p>
        </w:tc>
        <w:tc>
          <w:tcPr>
            <w:tcW w:w="876" w:type="dxa"/>
          </w:tcPr>
          <w:p>
            <w:pPr>
              <w:pStyle w:val="TableParagraph"/>
              <w:ind w:left="12"/>
              <w:rPr>
                <w:sz w:val="22"/>
              </w:rPr>
            </w:pPr>
            <w:r>
              <w:rPr>
                <w:spacing w:val="-2"/>
                <w:sz w:val="22"/>
              </w:rPr>
              <w:t>140000</w:t>
            </w:r>
          </w:p>
        </w:tc>
        <w:tc>
          <w:tcPr>
            <w:tcW w:w="877" w:type="dxa"/>
          </w:tcPr>
          <w:p>
            <w:pPr>
              <w:pStyle w:val="TableParagraph"/>
              <w:ind w:left="11"/>
              <w:rPr>
                <w:sz w:val="22"/>
              </w:rPr>
            </w:pPr>
            <w:r>
              <w:rPr>
                <w:spacing w:val="-2"/>
                <w:sz w:val="22"/>
              </w:rPr>
              <w:t>200000</w:t>
            </w:r>
          </w:p>
        </w:tc>
        <w:tc>
          <w:tcPr>
            <w:tcW w:w="1388" w:type="dxa"/>
          </w:tcPr>
          <w:p>
            <w:pPr>
              <w:pStyle w:val="TableParagraph"/>
              <w:ind w:left="9" w:right="1"/>
              <w:rPr>
                <w:sz w:val="22"/>
              </w:rPr>
            </w:pPr>
            <w:r>
              <w:rPr>
                <w:spacing w:val="-2"/>
                <w:sz w:val="22"/>
              </w:rPr>
              <w:t>831359.2539</w:t>
            </w:r>
          </w:p>
        </w:tc>
        <w:tc>
          <w:tcPr>
            <w:tcW w:w="1372" w:type="dxa"/>
          </w:tcPr>
          <w:p>
            <w:pPr>
              <w:pStyle w:val="TableParagraph"/>
              <w:ind w:left="8"/>
              <w:rPr>
                <w:sz w:val="22"/>
              </w:rPr>
            </w:pPr>
            <w:r>
              <w:rPr>
                <w:spacing w:val="-2"/>
                <w:sz w:val="22"/>
              </w:rPr>
              <w:t>1007220.832</w:t>
            </w:r>
          </w:p>
        </w:tc>
      </w:tr>
      <w:tr>
        <w:trPr>
          <w:trHeight w:val="300" w:hRule="atLeast"/>
        </w:trPr>
        <w:tc>
          <w:tcPr>
            <w:tcW w:w="559" w:type="dxa"/>
          </w:tcPr>
          <w:p>
            <w:pPr>
              <w:pStyle w:val="TableParagraph"/>
              <w:ind w:left="107"/>
              <w:jc w:val="left"/>
              <w:rPr>
                <w:sz w:val="22"/>
              </w:rPr>
            </w:pPr>
            <w:r>
              <w:rPr>
                <w:spacing w:val="-10"/>
                <w:sz w:val="22"/>
              </w:rPr>
              <w:t>6</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100000</w:t>
            </w:r>
          </w:p>
        </w:tc>
        <w:tc>
          <w:tcPr>
            <w:tcW w:w="876" w:type="dxa"/>
          </w:tcPr>
          <w:p>
            <w:pPr>
              <w:pStyle w:val="TableParagraph"/>
              <w:ind w:left="12"/>
              <w:rPr>
                <w:sz w:val="22"/>
              </w:rPr>
            </w:pPr>
            <w:r>
              <w:rPr>
                <w:spacing w:val="-2"/>
                <w:sz w:val="22"/>
              </w:rPr>
              <w:t>140000</w:t>
            </w:r>
          </w:p>
        </w:tc>
        <w:tc>
          <w:tcPr>
            <w:tcW w:w="877" w:type="dxa"/>
          </w:tcPr>
          <w:p>
            <w:pPr>
              <w:pStyle w:val="TableParagraph"/>
              <w:ind w:left="11"/>
              <w:rPr>
                <w:sz w:val="22"/>
              </w:rPr>
            </w:pPr>
            <w:r>
              <w:rPr>
                <w:spacing w:val="-2"/>
                <w:sz w:val="22"/>
              </w:rPr>
              <w:t>200000</w:t>
            </w:r>
          </w:p>
        </w:tc>
        <w:tc>
          <w:tcPr>
            <w:tcW w:w="1388" w:type="dxa"/>
          </w:tcPr>
          <w:p>
            <w:pPr>
              <w:pStyle w:val="TableParagraph"/>
              <w:ind w:left="9" w:right="1"/>
              <w:rPr>
                <w:sz w:val="22"/>
              </w:rPr>
            </w:pPr>
            <w:r>
              <w:rPr>
                <w:spacing w:val="-2"/>
                <w:sz w:val="22"/>
              </w:rPr>
              <w:t>832168.1176</w:t>
            </w:r>
          </w:p>
        </w:tc>
        <w:tc>
          <w:tcPr>
            <w:tcW w:w="1372" w:type="dxa"/>
          </w:tcPr>
          <w:p>
            <w:pPr>
              <w:pStyle w:val="TableParagraph"/>
              <w:ind w:left="8"/>
              <w:rPr>
                <w:sz w:val="22"/>
              </w:rPr>
            </w:pPr>
            <w:r>
              <w:rPr>
                <w:spacing w:val="-2"/>
                <w:sz w:val="22"/>
              </w:rPr>
              <w:t>1007336.298</w:t>
            </w:r>
          </w:p>
        </w:tc>
      </w:tr>
      <w:tr>
        <w:trPr>
          <w:trHeight w:val="299" w:hRule="atLeast"/>
        </w:trPr>
        <w:tc>
          <w:tcPr>
            <w:tcW w:w="559" w:type="dxa"/>
          </w:tcPr>
          <w:p>
            <w:pPr>
              <w:pStyle w:val="TableParagraph"/>
              <w:ind w:left="107"/>
              <w:jc w:val="left"/>
              <w:rPr>
                <w:sz w:val="22"/>
              </w:rPr>
            </w:pPr>
            <w:r>
              <w:rPr>
                <w:spacing w:val="-10"/>
                <w:sz w:val="22"/>
              </w:rPr>
              <w:t>7</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80000</w:t>
            </w:r>
          </w:p>
        </w:tc>
        <w:tc>
          <w:tcPr>
            <w:tcW w:w="876" w:type="dxa"/>
          </w:tcPr>
          <w:p>
            <w:pPr>
              <w:pStyle w:val="TableParagraph"/>
              <w:ind w:left="12"/>
              <w:rPr>
                <w:sz w:val="22"/>
              </w:rPr>
            </w:pPr>
            <w:r>
              <w:rPr>
                <w:spacing w:val="-2"/>
                <w:sz w:val="22"/>
              </w:rPr>
              <w:t>120000</w:t>
            </w:r>
          </w:p>
        </w:tc>
        <w:tc>
          <w:tcPr>
            <w:tcW w:w="877" w:type="dxa"/>
          </w:tcPr>
          <w:p>
            <w:pPr>
              <w:pStyle w:val="TableParagraph"/>
              <w:ind w:left="11"/>
              <w:rPr>
                <w:sz w:val="22"/>
              </w:rPr>
            </w:pPr>
            <w:r>
              <w:rPr>
                <w:spacing w:val="-2"/>
                <w:sz w:val="22"/>
              </w:rPr>
              <w:t>170000</w:t>
            </w:r>
          </w:p>
        </w:tc>
        <w:tc>
          <w:tcPr>
            <w:tcW w:w="1388" w:type="dxa"/>
          </w:tcPr>
          <w:p>
            <w:pPr>
              <w:pStyle w:val="TableParagraph"/>
              <w:ind w:left="9" w:right="1"/>
              <w:rPr>
                <w:sz w:val="22"/>
              </w:rPr>
            </w:pPr>
            <w:r>
              <w:rPr>
                <w:spacing w:val="-2"/>
                <w:sz w:val="22"/>
              </w:rPr>
              <w:t>830681.9249</w:t>
            </w:r>
          </w:p>
        </w:tc>
        <w:tc>
          <w:tcPr>
            <w:tcW w:w="1372" w:type="dxa"/>
          </w:tcPr>
          <w:p>
            <w:pPr>
              <w:pStyle w:val="TableParagraph"/>
              <w:ind w:left="8"/>
              <w:rPr>
                <w:sz w:val="22"/>
              </w:rPr>
            </w:pPr>
            <w:r>
              <w:rPr>
                <w:spacing w:val="-2"/>
                <w:sz w:val="22"/>
              </w:rPr>
              <w:t>1007379.693</w:t>
            </w:r>
          </w:p>
        </w:tc>
      </w:tr>
      <w:tr>
        <w:trPr>
          <w:trHeight w:val="299" w:hRule="atLeast"/>
        </w:trPr>
        <w:tc>
          <w:tcPr>
            <w:tcW w:w="559" w:type="dxa"/>
          </w:tcPr>
          <w:p>
            <w:pPr>
              <w:pStyle w:val="TableParagraph"/>
              <w:ind w:left="107"/>
              <w:jc w:val="left"/>
              <w:rPr>
                <w:sz w:val="22"/>
              </w:rPr>
            </w:pPr>
            <w:r>
              <w:rPr>
                <w:spacing w:val="-10"/>
                <w:sz w:val="22"/>
              </w:rPr>
              <w:t>8</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70000</w:t>
            </w:r>
          </w:p>
        </w:tc>
        <w:tc>
          <w:tcPr>
            <w:tcW w:w="876" w:type="dxa"/>
          </w:tcPr>
          <w:p>
            <w:pPr>
              <w:pStyle w:val="TableParagraph"/>
              <w:ind w:left="12"/>
              <w:rPr>
                <w:sz w:val="22"/>
              </w:rPr>
            </w:pPr>
            <w:r>
              <w:rPr>
                <w:spacing w:val="-2"/>
                <w:sz w:val="22"/>
              </w:rPr>
              <w:t>110000</w:t>
            </w:r>
          </w:p>
        </w:tc>
        <w:tc>
          <w:tcPr>
            <w:tcW w:w="877" w:type="dxa"/>
          </w:tcPr>
          <w:p>
            <w:pPr>
              <w:pStyle w:val="TableParagraph"/>
              <w:ind w:left="11"/>
              <w:rPr>
                <w:sz w:val="22"/>
              </w:rPr>
            </w:pPr>
            <w:r>
              <w:rPr>
                <w:spacing w:val="-2"/>
                <w:sz w:val="22"/>
              </w:rPr>
              <w:t>160000</w:t>
            </w:r>
          </w:p>
        </w:tc>
        <w:tc>
          <w:tcPr>
            <w:tcW w:w="1388" w:type="dxa"/>
          </w:tcPr>
          <w:p>
            <w:pPr>
              <w:pStyle w:val="TableParagraph"/>
              <w:ind w:left="9" w:right="1"/>
              <w:rPr>
                <w:sz w:val="22"/>
              </w:rPr>
            </w:pPr>
            <w:r>
              <w:rPr>
                <w:spacing w:val="-2"/>
                <w:sz w:val="22"/>
              </w:rPr>
              <w:t>829266.3214</w:t>
            </w:r>
          </w:p>
        </w:tc>
        <w:tc>
          <w:tcPr>
            <w:tcW w:w="1372" w:type="dxa"/>
          </w:tcPr>
          <w:p>
            <w:pPr>
              <w:pStyle w:val="TableParagraph"/>
              <w:ind w:left="8"/>
              <w:rPr>
                <w:sz w:val="22"/>
              </w:rPr>
            </w:pPr>
            <w:r>
              <w:rPr>
                <w:spacing w:val="-2"/>
                <w:sz w:val="22"/>
              </w:rPr>
              <w:t>1007271.179</w:t>
            </w:r>
          </w:p>
        </w:tc>
      </w:tr>
      <w:tr>
        <w:trPr>
          <w:trHeight w:val="302" w:hRule="atLeast"/>
        </w:trPr>
        <w:tc>
          <w:tcPr>
            <w:tcW w:w="559" w:type="dxa"/>
          </w:tcPr>
          <w:p>
            <w:pPr>
              <w:pStyle w:val="TableParagraph"/>
              <w:spacing w:line="249" w:lineRule="exact"/>
              <w:ind w:left="107"/>
              <w:jc w:val="left"/>
              <w:rPr>
                <w:sz w:val="22"/>
              </w:rPr>
            </w:pPr>
            <w:r>
              <w:rPr>
                <w:spacing w:val="-10"/>
                <w:sz w:val="22"/>
              </w:rPr>
              <w:t>9</w:t>
            </w:r>
          </w:p>
        </w:tc>
        <w:tc>
          <w:tcPr>
            <w:tcW w:w="2953" w:type="dxa"/>
          </w:tcPr>
          <w:p>
            <w:pPr>
              <w:pStyle w:val="TableParagraph"/>
              <w:spacing w:line="249" w:lineRule="exact"/>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spacing w:line="249" w:lineRule="exact"/>
              <w:ind w:left="12"/>
              <w:rPr>
                <w:sz w:val="22"/>
              </w:rPr>
            </w:pPr>
            <w:r>
              <w:rPr>
                <w:spacing w:val="-2"/>
                <w:sz w:val="22"/>
              </w:rPr>
              <w:t>80000</w:t>
            </w:r>
          </w:p>
        </w:tc>
        <w:tc>
          <w:tcPr>
            <w:tcW w:w="876" w:type="dxa"/>
          </w:tcPr>
          <w:p>
            <w:pPr>
              <w:pStyle w:val="TableParagraph"/>
              <w:spacing w:line="249" w:lineRule="exact"/>
              <w:ind w:left="12"/>
              <w:rPr>
                <w:sz w:val="22"/>
              </w:rPr>
            </w:pPr>
            <w:r>
              <w:rPr>
                <w:spacing w:val="-2"/>
                <w:sz w:val="22"/>
              </w:rPr>
              <w:t>120000</w:t>
            </w:r>
          </w:p>
        </w:tc>
        <w:tc>
          <w:tcPr>
            <w:tcW w:w="877" w:type="dxa"/>
          </w:tcPr>
          <w:p>
            <w:pPr>
              <w:pStyle w:val="TableParagraph"/>
              <w:spacing w:line="249" w:lineRule="exact"/>
              <w:ind w:left="11"/>
              <w:rPr>
                <w:sz w:val="22"/>
              </w:rPr>
            </w:pPr>
            <w:r>
              <w:rPr>
                <w:spacing w:val="-2"/>
                <w:sz w:val="22"/>
              </w:rPr>
              <w:t>160000</w:t>
            </w:r>
          </w:p>
        </w:tc>
        <w:tc>
          <w:tcPr>
            <w:tcW w:w="1388" w:type="dxa"/>
          </w:tcPr>
          <w:p>
            <w:pPr>
              <w:pStyle w:val="TableParagraph"/>
              <w:spacing w:line="249" w:lineRule="exact"/>
              <w:ind w:left="9" w:right="1"/>
              <w:rPr>
                <w:sz w:val="22"/>
              </w:rPr>
            </w:pPr>
            <w:r>
              <w:rPr>
                <w:spacing w:val="-2"/>
                <w:sz w:val="22"/>
              </w:rPr>
              <w:t>828207.7618</w:t>
            </w:r>
          </w:p>
        </w:tc>
        <w:tc>
          <w:tcPr>
            <w:tcW w:w="1372" w:type="dxa"/>
          </w:tcPr>
          <w:p>
            <w:pPr>
              <w:pStyle w:val="TableParagraph"/>
              <w:spacing w:line="249" w:lineRule="exact"/>
              <w:ind w:left="8"/>
              <w:rPr>
                <w:sz w:val="22"/>
              </w:rPr>
            </w:pPr>
            <w:r>
              <w:rPr>
                <w:spacing w:val="-2"/>
                <w:sz w:val="22"/>
              </w:rPr>
              <w:t>1006488.254</w:t>
            </w:r>
          </w:p>
        </w:tc>
      </w:tr>
      <w:tr>
        <w:trPr>
          <w:trHeight w:val="299" w:hRule="atLeast"/>
        </w:trPr>
        <w:tc>
          <w:tcPr>
            <w:tcW w:w="559" w:type="dxa"/>
          </w:tcPr>
          <w:p>
            <w:pPr>
              <w:pStyle w:val="TableParagraph"/>
              <w:ind w:left="107"/>
              <w:jc w:val="left"/>
              <w:rPr>
                <w:sz w:val="22"/>
              </w:rPr>
            </w:pPr>
            <w:r>
              <w:rPr>
                <w:spacing w:val="-5"/>
                <w:sz w:val="22"/>
              </w:rPr>
              <w:t>10</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80000</w:t>
            </w:r>
          </w:p>
        </w:tc>
        <w:tc>
          <w:tcPr>
            <w:tcW w:w="876" w:type="dxa"/>
          </w:tcPr>
          <w:p>
            <w:pPr>
              <w:pStyle w:val="TableParagraph"/>
              <w:ind w:left="12"/>
              <w:rPr>
                <w:sz w:val="22"/>
              </w:rPr>
            </w:pPr>
            <w:r>
              <w:rPr>
                <w:spacing w:val="-2"/>
                <w:sz w:val="22"/>
              </w:rPr>
              <w:t>100000</w:t>
            </w:r>
          </w:p>
        </w:tc>
        <w:tc>
          <w:tcPr>
            <w:tcW w:w="877" w:type="dxa"/>
          </w:tcPr>
          <w:p>
            <w:pPr>
              <w:pStyle w:val="TableParagraph"/>
              <w:ind w:left="11"/>
              <w:rPr>
                <w:sz w:val="22"/>
              </w:rPr>
            </w:pPr>
            <w:r>
              <w:rPr>
                <w:spacing w:val="-2"/>
                <w:sz w:val="22"/>
              </w:rPr>
              <w:t>170000</w:t>
            </w:r>
          </w:p>
        </w:tc>
        <w:tc>
          <w:tcPr>
            <w:tcW w:w="1388" w:type="dxa"/>
          </w:tcPr>
          <w:p>
            <w:pPr>
              <w:pStyle w:val="TableParagraph"/>
              <w:ind w:left="9" w:right="1"/>
              <w:rPr>
                <w:sz w:val="22"/>
              </w:rPr>
            </w:pPr>
            <w:r>
              <w:rPr>
                <w:spacing w:val="-2"/>
                <w:sz w:val="22"/>
              </w:rPr>
              <w:t>827487.3198</w:t>
            </w:r>
          </w:p>
        </w:tc>
        <w:tc>
          <w:tcPr>
            <w:tcW w:w="1372" w:type="dxa"/>
          </w:tcPr>
          <w:p>
            <w:pPr>
              <w:pStyle w:val="TableParagraph"/>
              <w:ind w:left="8"/>
              <w:rPr>
                <w:sz w:val="22"/>
              </w:rPr>
            </w:pPr>
            <w:r>
              <w:rPr>
                <w:spacing w:val="-2"/>
                <w:sz w:val="22"/>
              </w:rPr>
              <w:t>1006856.168</w:t>
            </w:r>
          </w:p>
        </w:tc>
      </w:tr>
      <w:tr>
        <w:trPr>
          <w:trHeight w:val="299" w:hRule="atLeast"/>
        </w:trPr>
        <w:tc>
          <w:tcPr>
            <w:tcW w:w="559" w:type="dxa"/>
          </w:tcPr>
          <w:p>
            <w:pPr>
              <w:pStyle w:val="TableParagraph"/>
              <w:ind w:left="107"/>
              <w:jc w:val="left"/>
              <w:rPr>
                <w:sz w:val="22"/>
              </w:rPr>
            </w:pPr>
            <w:r>
              <w:rPr>
                <w:spacing w:val="-5"/>
                <w:sz w:val="22"/>
              </w:rPr>
              <w:t>11</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90000</w:t>
            </w:r>
          </w:p>
        </w:tc>
        <w:tc>
          <w:tcPr>
            <w:tcW w:w="876" w:type="dxa"/>
          </w:tcPr>
          <w:p>
            <w:pPr>
              <w:pStyle w:val="TableParagraph"/>
              <w:ind w:left="12"/>
              <w:rPr>
                <w:sz w:val="22"/>
              </w:rPr>
            </w:pPr>
            <w:r>
              <w:rPr>
                <w:spacing w:val="-2"/>
                <w:sz w:val="22"/>
              </w:rPr>
              <w:t>130000</w:t>
            </w:r>
          </w:p>
        </w:tc>
        <w:tc>
          <w:tcPr>
            <w:tcW w:w="877" w:type="dxa"/>
          </w:tcPr>
          <w:p>
            <w:pPr>
              <w:pStyle w:val="TableParagraph"/>
              <w:ind w:left="11"/>
              <w:rPr>
                <w:sz w:val="22"/>
              </w:rPr>
            </w:pPr>
            <w:r>
              <w:rPr>
                <w:spacing w:val="-2"/>
                <w:sz w:val="22"/>
              </w:rPr>
              <w:t>180000</w:t>
            </w:r>
          </w:p>
        </w:tc>
        <w:tc>
          <w:tcPr>
            <w:tcW w:w="1388" w:type="dxa"/>
          </w:tcPr>
          <w:p>
            <w:pPr>
              <w:pStyle w:val="TableParagraph"/>
              <w:ind w:left="9" w:right="1"/>
              <w:rPr>
                <w:sz w:val="22"/>
              </w:rPr>
            </w:pPr>
            <w:r>
              <w:rPr>
                <w:spacing w:val="-2"/>
                <w:sz w:val="22"/>
              </w:rPr>
              <w:t>833617.6652</w:t>
            </w:r>
          </w:p>
        </w:tc>
        <w:tc>
          <w:tcPr>
            <w:tcW w:w="1372" w:type="dxa"/>
          </w:tcPr>
          <w:p>
            <w:pPr>
              <w:pStyle w:val="TableParagraph"/>
              <w:ind w:left="8"/>
              <w:rPr>
                <w:sz w:val="22"/>
              </w:rPr>
            </w:pPr>
            <w:r>
              <w:rPr>
                <w:spacing w:val="-2"/>
                <w:sz w:val="22"/>
              </w:rPr>
              <w:t>1005810.734</w:t>
            </w:r>
          </w:p>
        </w:tc>
      </w:tr>
      <w:tr>
        <w:trPr>
          <w:trHeight w:val="299" w:hRule="atLeast"/>
        </w:trPr>
        <w:tc>
          <w:tcPr>
            <w:tcW w:w="559" w:type="dxa"/>
          </w:tcPr>
          <w:p>
            <w:pPr>
              <w:pStyle w:val="TableParagraph"/>
              <w:ind w:left="107"/>
              <w:jc w:val="left"/>
              <w:rPr>
                <w:sz w:val="22"/>
              </w:rPr>
            </w:pPr>
            <w:r>
              <w:rPr>
                <w:spacing w:val="-5"/>
                <w:sz w:val="22"/>
              </w:rPr>
              <w:t>12</w:t>
            </w:r>
          </w:p>
        </w:tc>
        <w:tc>
          <w:tcPr>
            <w:tcW w:w="2953" w:type="dxa"/>
          </w:tcPr>
          <w:p>
            <w:pPr>
              <w:pStyle w:val="TableParagraph"/>
              <w:ind w:left="107"/>
              <w:jc w:val="left"/>
              <w:rPr>
                <w:sz w:val="22"/>
              </w:rPr>
            </w:pPr>
            <w:r>
              <w:rPr>
                <w:sz w:val="22"/>
              </w:rPr>
              <w:t>Okoh</w:t>
            </w:r>
            <w:r>
              <w:rPr>
                <w:spacing w:val="-4"/>
                <w:sz w:val="22"/>
              </w:rPr>
              <w:t> </w:t>
            </w:r>
            <w:r>
              <w:rPr>
                <w:sz w:val="22"/>
              </w:rPr>
              <w:t>Okuoma</w:t>
            </w:r>
            <w:r>
              <w:rPr>
                <w:spacing w:val="-3"/>
                <w:sz w:val="22"/>
              </w:rPr>
              <w:t> </w:t>
            </w:r>
            <w:r>
              <w:rPr>
                <w:sz w:val="22"/>
              </w:rPr>
              <w:t>&amp;</w:t>
            </w:r>
            <w:r>
              <w:rPr>
                <w:spacing w:val="-3"/>
                <w:sz w:val="22"/>
              </w:rPr>
              <w:t> </w:t>
            </w:r>
            <w:r>
              <w:rPr>
                <w:spacing w:val="-5"/>
                <w:sz w:val="22"/>
              </w:rPr>
              <w:t>Co.</w:t>
            </w:r>
          </w:p>
        </w:tc>
        <w:tc>
          <w:tcPr>
            <w:tcW w:w="876" w:type="dxa"/>
          </w:tcPr>
          <w:p>
            <w:pPr>
              <w:pStyle w:val="TableParagraph"/>
              <w:ind w:left="12"/>
              <w:rPr>
                <w:sz w:val="22"/>
              </w:rPr>
            </w:pPr>
            <w:r>
              <w:rPr>
                <w:spacing w:val="-2"/>
                <w:sz w:val="22"/>
              </w:rPr>
              <w:t>90000</w:t>
            </w:r>
          </w:p>
        </w:tc>
        <w:tc>
          <w:tcPr>
            <w:tcW w:w="876" w:type="dxa"/>
          </w:tcPr>
          <w:p>
            <w:pPr>
              <w:pStyle w:val="TableParagraph"/>
              <w:ind w:left="12"/>
              <w:rPr>
                <w:sz w:val="22"/>
              </w:rPr>
            </w:pPr>
            <w:r>
              <w:rPr>
                <w:spacing w:val="-2"/>
                <w:sz w:val="22"/>
              </w:rPr>
              <w:t>130000</w:t>
            </w:r>
          </w:p>
        </w:tc>
        <w:tc>
          <w:tcPr>
            <w:tcW w:w="877" w:type="dxa"/>
          </w:tcPr>
          <w:p>
            <w:pPr>
              <w:pStyle w:val="TableParagraph"/>
              <w:ind w:left="11"/>
              <w:rPr>
                <w:sz w:val="22"/>
              </w:rPr>
            </w:pPr>
            <w:r>
              <w:rPr>
                <w:spacing w:val="-2"/>
                <w:sz w:val="22"/>
              </w:rPr>
              <w:t>190000</w:t>
            </w:r>
          </w:p>
        </w:tc>
        <w:tc>
          <w:tcPr>
            <w:tcW w:w="1388" w:type="dxa"/>
          </w:tcPr>
          <w:p>
            <w:pPr>
              <w:pStyle w:val="TableParagraph"/>
              <w:ind w:left="9" w:right="1"/>
              <w:rPr>
                <w:sz w:val="22"/>
              </w:rPr>
            </w:pPr>
            <w:r>
              <w:rPr>
                <w:spacing w:val="-2"/>
                <w:sz w:val="22"/>
              </w:rPr>
              <w:t>833414.1797</w:t>
            </w:r>
          </w:p>
        </w:tc>
        <w:tc>
          <w:tcPr>
            <w:tcW w:w="1372" w:type="dxa"/>
          </w:tcPr>
          <w:p>
            <w:pPr>
              <w:pStyle w:val="TableParagraph"/>
              <w:ind w:left="8"/>
              <w:rPr>
                <w:sz w:val="22"/>
              </w:rPr>
            </w:pPr>
            <w:r>
              <w:rPr>
                <w:spacing w:val="-2"/>
                <w:sz w:val="22"/>
              </w:rPr>
              <w:t>1005087.285</w:t>
            </w:r>
          </w:p>
        </w:tc>
      </w:tr>
      <w:tr>
        <w:trPr>
          <w:trHeight w:val="299" w:hRule="atLeast"/>
        </w:trPr>
        <w:tc>
          <w:tcPr>
            <w:tcW w:w="559" w:type="dxa"/>
          </w:tcPr>
          <w:p>
            <w:pPr>
              <w:pStyle w:val="TableParagraph"/>
              <w:ind w:left="107"/>
              <w:jc w:val="left"/>
              <w:rPr>
                <w:sz w:val="22"/>
              </w:rPr>
            </w:pPr>
            <w:r>
              <w:rPr>
                <w:spacing w:val="-5"/>
                <w:sz w:val="22"/>
              </w:rPr>
              <w:t>13</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55000</w:t>
            </w:r>
          </w:p>
        </w:tc>
        <w:tc>
          <w:tcPr>
            <w:tcW w:w="876" w:type="dxa"/>
          </w:tcPr>
          <w:p>
            <w:pPr>
              <w:pStyle w:val="TableParagraph"/>
              <w:ind w:left="12"/>
              <w:rPr>
                <w:sz w:val="22"/>
              </w:rPr>
            </w:pPr>
            <w:r>
              <w:rPr>
                <w:spacing w:val="-2"/>
                <w:sz w:val="22"/>
              </w:rPr>
              <w:t>75000</w:t>
            </w:r>
          </w:p>
        </w:tc>
        <w:tc>
          <w:tcPr>
            <w:tcW w:w="877" w:type="dxa"/>
          </w:tcPr>
          <w:p>
            <w:pPr>
              <w:pStyle w:val="TableParagraph"/>
              <w:ind w:left="11"/>
              <w:rPr>
                <w:sz w:val="22"/>
              </w:rPr>
            </w:pPr>
            <w:r>
              <w:rPr>
                <w:spacing w:val="-2"/>
                <w:sz w:val="22"/>
              </w:rPr>
              <w:t>75000</w:t>
            </w:r>
          </w:p>
        </w:tc>
        <w:tc>
          <w:tcPr>
            <w:tcW w:w="1388" w:type="dxa"/>
          </w:tcPr>
          <w:p>
            <w:pPr>
              <w:pStyle w:val="TableParagraph"/>
              <w:ind w:left="9" w:right="1"/>
              <w:rPr>
                <w:sz w:val="22"/>
              </w:rPr>
            </w:pPr>
            <w:r>
              <w:rPr>
                <w:spacing w:val="-2"/>
                <w:sz w:val="22"/>
              </w:rPr>
              <w:t>832652.3295</w:t>
            </w:r>
          </w:p>
        </w:tc>
        <w:tc>
          <w:tcPr>
            <w:tcW w:w="1372" w:type="dxa"/>
          </w:tcPr>
          <w:p>
            <w:pPr>
              <w:pStyle w:val="TableParagraph"/>
              <w:ind w:left="8"/>
              <w:rPr>
                <w:sz w:val="22"/>
              </w:rPr>
            </w:pPr>
            <w:r>
              <w:rPr>
                <w:spacing w:val="-2"/>
                <w:sz w:val="22"/>
              </w:rPr>
              <w:t>1004870.568</w:t>
            </w:r>
          </w:p>
        </w:tc>
      </w:tr>
      <w:tr>
        <w:trPr>
          <w:trHeight w:val="299" w:hRule="atLeast"/>
        </w:trPr>
        <w:tc>
          <w:tcPr>
            <w:tcW w:w="559" w:type="dxa"/>
          </w:tcPr>
          <w:p>
            <w:pPr>
              <w:pStyle w:val="TableParagraph"/>
              <w:ind w:left="107"/>
              <w:jc w:val="left"/>
              <w:rPr>
                <w:sz w:val="22"/>
              </w:rPr>
            </w:pPr>
            <w:r>
              <w:rPr>
                <w:spacing w:val="-5"/>
                <w:sz w:val="22"/>
              </w:rPr>
              <w:t>14</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100000</w:t>
            </w:r>
          </w:p>
        </w:tc>
        <w:tc>
          <w:tcPr>
            <w:tcW w:w="876" w:type="dxa"/>
          </w:tcPr>
          <w:p>
            <w:pPr>
              <w:pStyle w:val="TableParagraph"/>
              <w:ind w:left="12"/>
              <w:rPr>
                <w:sz w:val="22"/>
              </w:rPr>
            </w:pPr>
            <w:r>
              <w:rPr>
                <w:spacing w:val="-2"/>
                <w:sz w:val="22"/>
              </w:rPr>
              <w:t>140000</w:t>
            </w:r>
          </w:p>
        </w:tc>
        <w:tc>
          <w:tcPr>
            <w:tcW w:w="877" w:type="dxa"/>
          </w:tcPr>
          <w:p>
            <w:pPr>
              <w:pStyle w:val="TableParagraph"/>
              <w:ind w:left="11"/>
              <w:rPr>
                <w:sz w:val="22"/>
              </w:rPr>
            </w:pPr>
            <w:r>
              <w:rPr>
                <w:spacing w:val="-2"/>
                <w:sz w:val="22"/>
              </w:rPr>
              <w:t>200000</w:t>
            </w:r>
          </w:p>
        </w:tc>
        <w:tc>
          <w:tcPr>
            <w:tcW w:w="1388" w:type="dxa"/>
          </w:tcPr>
          <w:p>
            <w:pPr>
              <w:pStyle w:val="TableParagraph"/>
              <w:ind w:left="9" w:right="1"/>
              <w:rPr>
                <w:sz w:val="22"/>
              </w:rPr>
            </w:pPr>
            <w:r>
              <w:rPr>
                <w:spacing w:val="-2"/>
                <w:sz w:val="22"/>
              </w:rPr>
              <w:t>833069.8666</w:t>
            </w:r>
          </w:p>
        </w:tc>
        <w:tc>
          <w:tcPr>
            <w:tcW w:w="1372" w:type="dxa"/>
          </w:tcPr>
          <w:p>
            <w:pPr>
              <w:pStyle w:val="TableParagraph"/>
              <w:ind w:left="8"/>
              <w:rPr>
                <w:sz w:val="22"/>
              </w:rPr>
            </w:pPr>
            <w:r>
              <w:rPr>
                <w:spacing w:val="-2"/>
                <w:sz w:val="22"/>
              </w:rPr>
              <w:t>1004650.678</w:t>
            </w:r>
          </w:p>
        </w:tc>
      </w:tr>
      <w:tr>
        <w:trPr>
          <w:trHeight w:val="302" w:hRule="atLeast"/>
        </w:trPr>
        <w:tc>
          <w:tcPr>
            <w:tcW w:w="559" w:type="dxa"/>
          </w:tcPr>
          <w:p>
            <w:pPr>
              <w:pStyle w:val="TableParagraph"/>
              <w:spacing w:line="249" w:lineRule="exact"/>
              <w:ind w:left="107"/>
              <w:jc w:val="left"/>
              <w:rPr>
                <w:sz w:val="22"/>
              </w:rPr>
            </w:pPr>
            <w:r>
              <w:rPr>
                <w:spacing w:val="-5"/>
                <w:sz w:val="22"/>
              </w:rPr>
              <w:t>15</w:t>
            </w:r>
          </w:p>
        </w:tc>
        <w:tc>
          <w:tcPr>
            <w:tcW w:w="2953"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spacing w:line="249" w:lineRule="exact"/>
              <w:ind w:left="12"/>
              <w:rPr>
                <w:sz w:val="22"/>
              </w:rPr>
            </w:pPr>
            <w:r>
              <w:rPr>
                <w:spacing w:val="-2"/>
                <w:sz w:val="22"/>
              </w:rPr>
              <w:t>50000</w:t>
            </w:r>
          </w:p>
        </w:tc>
        <w:tc>
          <w:tcPr>
            <w:tcW w:w="876" w:type="dxa"/>
          </w:tcPr>
          <w:p>
            <w:pPr>
              <w:pStyle w:val="TableParagraph"/>
              <w:spacing w:line="249" w:lineRule="exact"/>
              <w:ind w:left="12"/>
              <w:rPr>
                <w:sz w:val="22"/>
              </w:rPr>
            </w:pPr>
            <w:r>
              <w:rPr>
                <w:spacing w:val="-2"/>
                <w:sz w:val="22"/>
              </w:rPr>
              <w:t>70000</w:t>
            </w:r>
          </w:p>
        </w:tc>
        <w:tc>
          <w:tcPr>
            <w:tcW w:w="877" w:type="dxa"/>
          </w:tcPr>
          <w:p>
            <w:pPr>
              <w:pStyle w:val="TableParagraph"/>
              <w:spacing w:line="249" w:lineRule="exact"/>
              <w:ind w:left="11"/>
              <w:rPr>
                <w:sz w:val="22"/>
              </w:rPr>
            </w:pPr>
            <w:r>
              <w:rPr>
                <w:spacing w:val="-2"/>
                <w:sz w:val="22"/>
              </w:rPr>
              <w:t>80000</w:t>
            </w:r>
          </w:p>
        </w:tc>
        <w:tc>
          <w:tcPr>
            <w:tcW w:w="1388" w:type="dxa"/>
          </w:tcPr>
          <w:p>
            <w:pPr>
              <w:pStyle w:val="TableParagraph"/>
              <w:spacing w:line="249" w:lineRule="exact"/>
              <w:ind w:left="9" w:right="1"/>
              <w:rPr>
                <w:sz w:val="22"/>
              </w:rPr>
            </w:pPr>
            <w:r>
              <w:rPr>
                <w:spacing w:val="-2"/>
                <w:sz w:val="22"/>
              </w:rPr>
              <w:t>831733.4645</w:t>
            </w:r>
          </w:p>
        </w:tc>
        <w:tc>
          <w:tcPr>
            <w:tcW w:w="1372" w:type="dxa"/>
          </w:tcPr>
          <w:p>
            <w:pPr>
              <w:pStyle w:val="TableParagraph"/>
              <w:spacing w:line="249" w:lineRule="exact"/>
              <w:ind w:left="8"/>
              <w:rPr>
                <w:sz w:val="22"/>
              </w:rPr>
            </w:pPr>
            <w:r>
              <w:rPr>
                <w:spacing w:val="-2"/>
                <w:sz w:val="22"/>
              </w:rPr>
              <w:t>1003863.161</w:t>
            </w:r>
          </w:p>
        </w:tc>
      </w:tr>
      <w:tr>
        <w:trPr>
          <w:trHeight w:val="299" w:hRule="atLeast"/>
        </w:trPr>
        <w:tc>
          <w:tcPr>
            <w:tcW w:w="559" w:type="dxa"/>
          </w:tcPr>
          <w:p>
            <w:pPr>
              <w:pStyle w:val="TableParagraph"/>
              <w:ind w:left="107"/>
              <w:jc w:val="left"/>
              <w:rPr>
                <w:sz w:val="22"/>
              </w:rPr>
            </w:pPr>
            <w:r>
              <w:rPr>
                <w:spacing w:val="-5"/>
                <w:sz w:val="22"/>
              </w:rPr>
              <w:t>16</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120000</w:t>
            </w:r>
          </w:p>
        </w:tc>
        <w:tc>
          <w:tcPr>
            <w:tcW w:w="876" w:type="dxa"/>
          </w:tcPr>
          <w:p>
            <w:pPr>
              <w:pStyle w:val="TableParagraph"/>
              <w:ind w:left="12"/>
              <w:rPr>
                <w:sz w:val="22"/>
              </w:rPr>
            </w:pPr>
            <w:r>
              <w:rPr>
                <w:spacing w:val="-2"/>
                <w:sz w:val="22"/>
              </w:rPr>
              <w:t>150000</w:t>
            </w:r>
          </w:p>
        </w:tc>
        <w:tc>
          <w:tcPr>
            <w:tcW w:w="877" w:type="dxa"/>
          </w:tcPr>
          <w:p>
            <w:pPr>
              <w:pStyle w:val="TableParagraph"/>
              <w:ind w:left="11"/>
              <w:rPr>
                <w:sz w:val="22"/>
              </w:rPr>
            </w:pPr>
            <w:r>
              <w:rPr>
                <w:spacing w:val="-2"/>
                <w:sz w:val="22"/>
              </w:rPr>
              <w:t>250000</w:t>
            </w:r>
          </w:p>
        </w:tc>
        <w:tc>
          <w:tcPr>
            <w:tcW w:w="1388" w:type="dxa"/>
          </w:tcPr>
          <w:p>
            <w:pPr>
              <w:pStyle w:val="TableParagraph"/>
              <w:ind w:left="9" w:right="1"/>
              <w:rPr>
                <w:sz w:val="22"/>
              </w:rPr>
            </w:pPr>
            <w:r>
              <w:rPr>
                <w:spacing w:val="-2"/>
                <w:sz w:val="22"/>
              </w:rPr>
              <w:t>828303.5076</w:t>
            </w:r>
          </w:p>
        </w:tc>
        <w:tc>
          <w:tcPr>
            <w:tcW w:w="1372" w:type="dxa"/>
          </w:tcPr>
          <w:p>
            <w:pPr>
              <w:pStyle w:val="TableParagraph"/>
              <w:ind w:left="8"/>
              <w:rPr>
                <w:sz w:val="22"/>
              </w:rPr>
            </w:pPr>
            <w:r>
              <w:rPr>
                <w:spacing w:val="-2"/>
                <w:sz w:val="22"/>
              </w:rPr>
              <w:t>1003441.944</w:t>
            </w:r>
          </w:p>
        </w:tc>
      </w:tr>
      <w:tr>
        <w:trPr>
          <w:trHeight w:val="300" w:hRule="atLeast"/>
        </w:trPr>
        <w:tc>
          <w:tcPr>
            <w:tcW w:w="559" w:type="dxa"/>
          </w:tcPr>
          <w:p>
            <w:pPr>
              <w:pStyle w:val="TableParagraph"/>
              <w:ind w:left="107"/>
              <w:jc w:val="left"/>
              <w:rPr>
                <w:sz w:val="22"/>
              </w:rPr>
            </w:pPr>
            <w:r>
              <w:rPr>
                <w:spacing w:val="-5"/>
                <w:sz w:val="22"/>
              </w:rPr>
              <w:t>17</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100000</w:t>
            </w:r>
          </w:p>
        </w:tc>
        <w:tc>
          <w:tcPr>
            <w:tcW w:w="876" w:type="dxa"/>
          </w:tcPr>
          <w:p>
            <w:pPr>
              <w:pStyle w:val="TableParagraph"/>
              <w:ind w:left="12"/>
              <w:rPr>
                <w:sz w:val="22"/>
              </w:rPr>
            </w:pPr>
            <w:r>
              <w:rPr>
                <w:spacing w:val="-2"/>
                <w:sz w:val="22"/>
              </w:rPr>
              <w:t>140000</w:t>
            </w:r>
          </w:p>
        </w:tc>
        <w:tc>
          <w:tcPr>
            <w:tcW w:w="877" w:type="dxa"/>
          </w:tcPr>
          <w:p>
            <w:pPr>
              <w:pStyle w:val="TableParagraph"/>
              <w:ind w:left="11"/>
              <w:rPr>
                <w:sz w:val="22"/>
              </w:rPr>
            </w:pPr>
            <w:r>
              <w:rPr>
                <w:spacing w:val="-2"/>
                <w:sz w:val="22"/>
              </w:rPr>
              <w:t>210000</w:t>
            </w:r>
          </w:p>
        </w:tc>
        <w:tc>
          <w:tcPr>
            <w:tcW w:w="1388" w:type="dxa"/>
          </w:tcPr>
          <w:p>
            <w:pPr>
              <w:pStyle w:val="TableParagraph"/>
              <w:ind w:left="9" w:right="1"/>
              <w:rPr>
                <w:sz w:val="22"/>
              </w:rPr>
            </w:pPr>
            <w:r>
              <w:rPr>
                <w:spacing w:val="-2"/>
                <w:sz w:val="22"/>
              </w:rPr>
              <w:t>827616.0103</w:t>
            </w:r>
          </w:p>
        </w:tc>
        <w:tc>
          <w:tcPr>
            <w:tcW w:w="1372" w:type="dxa"/>
          </w:tcPr>
          <w:p>
            <w:pPr>
              <w:pStyle w:val="TableParagraph"/>
              <w:ind w:left="8"/>
              <w:rPr>
                <w:sz w:val="22"/>
              </w:rPr>
            </w:pPr>
            <w:r>
              <w:rPr>
                <w:spacing w:val="-2"/>
                <w:sz w:val="22"/>
              </w:rPr>
              <w:t>1003532.637</w:t>
            </w:r>
          </w:p>
        </w:tc>
      </w:tr>
      <w:tr>
        <w:trPr>
          <w:trHeight w:val="299" w:hRule="atLeast"/>
        </w:trPr>
        <w:tc>
          <w:tcPr>
            <w:tcW w:w="559" w:type="dxa"/>
          </w:tcPr>
          <w:p>
            <w:pPr>
              <w:pStyle w:val="TableParagraph"/>
              <w:ind w:left="107"/>
              <w:jc w:val="left"/>
              <w:rPr>
                <w:sz w:val="22"/>
              </w:rPr>
            </w:pPr>
            <w:r>
              <w:rPr>
                <w:spacing w:val="-5"/>
                <w:sz w:val="22"/>
              </w:rPr>
              <w:t>18</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120000</w:t>
            </w:r>
          </w:p>
        </w:tc>
        <w:tc>
          <w:tcPr>
            <w:tcW w:w="876" w:type="dxa"/>
          </w:tcPr>
          <w:p>
            <w:pPr>
              <w:pStyle w:val="TableParagraph"/>
              <w:ind w:left="12"/>
              <w:rPr>
                <w:sz w:val="22"/>
              </w:rPr>
            </w:pPr>
            <w:r>
              <w:rPr>
                <w:spacing w:val="-2"/>
                <w:sz w:val="22"/>
              </w:rPr>
              <w:t>150000</w:t>
            </w:r>
          </w:p>
        </w:tc>
        <w:tc>
          <w:tcPr>
            <w:tcW w:w="877" w:type="dxa"/>
          </w:tcPr>
          <w:p>
            <w:pPr>
              <w:pStyle w:val="TableParagraph"/>
              <w:ind w:left="11"/>
              <w:rPr>
                <w:sz w:val="22"/>
              </w:rPr>
            </w:pPr>
            <w:r>
              <w:rPr>
                <w:spacing w:val="-2"/>
                <w:sz w:val="22"/>
              </w:rPr>
              <w:t>250000</w:t>
            </w:r>
          </w:p>
        </w:tc>
        <w:tc>
          <w:tcPr>
            <w:tcW w:w="1388" w:type="dxa"/>
          </w:tcPr>
          <w:p>
            <w:pPr>
              <w:pStyle w:val="TableParagraph"/>
              <w:ind w:left="9" w:right="1"/>
              <w:rPr>
                <w:sz w:val="22"/>
              </w:rPr>
            </w:pPr>
            <w:r>
              <w:rPr>
                <w:spacing w:val="-2"/>
                <w:sz w:val="22"/>
              </w:rPr>
              <w:t>828126.6356</w:t>
            </w:r>
          </w:p>
        </w:tc>
        <w:tc>
          <w:tcPr>
            <w:tcW w:w="1372" w:type="dxa"/>
          </w:tcPr>
          <w:p>
            <w:pPr>
              <w:pStyle w:val="TableParagraph"/>
              <w:ind w:left="8"/>
              <w:rPr>
                <w:sz w:val="22"/>
              </w:rPr>
            </w:pPr>
            <w:r>
              <w:rPr>
                <w:spacing w:val="-2"/>
                <w:sz w:val="22"/>
              </w:rPr>
              <w:t>1003852.891</w:t>
            </w:r>
          </w:p>
        </w:tc>
      </w:tr>
      <w:tr>
        <w:trPr>
          <w:trHeight w:val="299" w:hRule="atLeast"/>
        </w:trPr>
        <w:tc>
          <w:tcPr>
            <w:tcW w:w="559" w:type="dxa"/>
          </w:tcPr>
          <w:p>
            <w:pPr>
              <w:pStyle w:val="TableParagraph"/>
              <w:ind w:left="107"/>
              <w:jc w:val="left"/>
              <w:rPr>
                <w:sz w:val="22"/>
              </w:rPr>
            </w:pPr>
            <w:r>
              <w:rPr>
                <w:spacing w:val="-5"/>
                <w:sz w:val="22"/>
              </w:rPr>
              <w:t>19</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100000</w:t>
            </w:r>
          </w:p>
        </w:tc>
        <w:tc>
          <w:tcPr>
            <w:tcW w:w="876" w:type="dxa"/>
          </w:tcPr>
          <w:p>
            <w:pPr>
              <w:pStyle w:val="TableParagraph"/>
              <w:ind w:left="12"/>
              <w:rPr>
                <w:sz w:val="22"/>
              </w:rPr>
            </w:pPr>
            <w:r>
              <w:rPr>
                <w:spacing w:val="-2"/>
                <w:sz w:val="22"/>
              </w:rPr>
              <w:t>120000</w:t>
            </w:r>
          </w:p>
        </w:tc>
        <w:tc>
          <w:tcPr>
            <w:tcW w:w="877" w:type="dxa"/>
          </w:tcPr>
          <w:p>
            <w:pPr>
              <w:pStyle w:val="TableParagraph"/>
              <w:ind w:left="11"/>
              <w:rPr>
                <w:sz w:val="22"/>
              </w:rPr>
            </w:pPr>
            <w:r>
              <w:rPr>
                <w:spacing w:val="-2"/>
                <w:sz w:val="22"/>
              </w:rPr>
              <w:t>200000</w:t>
            </w:r>
          </w:p>
        </w:tc>
        <w:tc>
          <w:tcPr>
            <w:tcW w:w="1388" w:type="dxa"/>
          </w:tcPr>
          <w:p>
            <w:pPr>
              <w:pStyle w:val="TableParagraph"/>
              <w:ind w:left="9" w:right="1"/>
              <w:rPr>
                <w:sz w:val="22"/>
              </w:rPr>
            </w:pPr>
            <w:r>
              <w:rPr>
                <w:spacing w:val="-2"/>
                <w:sz w:val="22"/>
              </w:rPr>
              <w:t>829625.9624</w:t>
            </w:r>
          </w:p>
        </w:tc>
        <w:tc>
          <w:tcPr>
            <w:tcW w:w="1372" w:type="dxa"/>
          </w:tcPr>
          <w:p>
            <w:pPr>
              <w:pStyle w:val="TableParagraph"/>
              <w:ind w:left="8"/>
              <w:rPr>
                <w:sz w:val="22"/>
              </w:rPr>
            </w:pPr>
            <w:r>
              <w:rPr>
                <w:spacing w:val="-2"/>
                <w:sz w:val="22"/>
              </w:rPr>
              <w:t>1003010.221</w:t>
            </w:r>
          </w:p>
        </w:tc>
      </w:tr>
      <w:tr>
        <w:trPr>
          <w:trHeight w:val="299" w:hRule="atLeast"/>
        </w:trPr>
        <w:tc>
          <w:tcPr>
            <w:tcW w:w="559" w:type="dxa"/>
          </w:tcPr>
          <w:p>
            <w:pPr>
              <w:pStyle w:val="TableParagraph"/>
              <w:ind w:left="107"/>
              <w:jc w:val="left"/>
              <w:rPr>
                <w:sz w:val="22"/>
              </w:rPr>
            </w:pPr>
            <w:r>
              <w:rPr>
                <w:spacing w:val="-5"/>
                <w:sz w:val="22"/>
              </w:rPr>
              <w:t>20</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60000</w:t>
            </w:r>
          </w:p>
        </w:tc>
        <w:tc>
          <w:tcPr>
            <w:tcW w:w="876" w:type="dxa"/>
          </w:tcPr>
          <w:p>
            <w:pPr>
              <w:pStyle w:val="TableParagraph"/>
              <w:ind w:left="12"/>
              <w:rPr>
                <w:sz w:val="22"/>
              </w:rPr>
            </w:pPr>
            <w:r>
              <w:rPr>
                <w:spacing w:val="-2"/>
                <w:sz w:val="22"/>
              </w:rPr>
              <w:t>75000</w:t>
            </w:r>
          </w:p>
        </w:tc>
        <w:tc>
          <w:tcPr>
            <w:tcW w:w="877" w:type="dxa"/>
          </w:tcPr>
          <w:p>
            <w:pPr>
              <w:pStyle w:val="TableParagraph"/>
              <w:ind w:left="11"/>
              <w:rPr>
                <w:sz w:val="22"/>
              </w:rPr>
            </w:pPr>
            <w:r>
              <w:rPr>
                <w:spacing w:val="-2"/>
                <w:sz w:val="22"/>
              </w:rPr>
              <w:t>80000</w:t>
            </w:r>
          </w:p>
        </w:tc>
        <w:tc>
          <w:tcPr>
            <w:tcW w:w="1388" w:type="dxa"/>
          </w:tcPr>
          <w:p>
            <w:pPr>
              <w:pStyle w:val="TableParagraph"/>
              <w:ind w:left="9" w:right="1"/>
              <w:rPr>
                <w:sz w:val="22"/>
              </w:rPr>
            </w:pPr>
            <w:r>
              <w:rPr>
                <w:spacing w:val="-2"/>
                <w:sz w:val="22"/>
              </w:rPr>
              <w:t>830102.9732</w:t>
            </w:r>
          </w:p>
        </w:tc>
        <w:tc>
          <w:tcPr>
            <w:tcW w:w="1372" w:type="dxa"/>
          </w:tcPr>
          <w:p>
            <w:pPr>
              <w:pStyle w:val="TableParagraph"/>
              <w:ind w:left="8"/>
              <w:rPr>
                <w:sz w:val="22"/>
              </w:rPr>
            </w:pPr>
            <w:r>
              <w:rPr>
                <w:spacing w:val="-2"/>
                <w:sz w:val="22"/>
              </w:rPr>
              <w:t>1003307.246</w:t>
            </w:r>
          </w:p>
        </w:tc>
      </w:tr>
      <w:tr>
        <w:trPr>
          <w:trHeight w:val="301" w:hRule="atLeast"/>
        </w:trPr>
        <w:tc>
          <w:tcPr>
            <w:tcW w:w="559" w:type="dxa"/>
          </w:tcPr>
          <w:p>
            <w:pPr>
              <w:pStyle w:val="TableParagraph"/>
              <w:spacing w:line="249" w:lineRule="exact"/>
              <w:ind w:left="107"/>
              <w:jc w:val="left"/>
              <w:rPr>
                <w:sz w:val="22"/>
              </w:rPr>
            </w:pPr>
            <w:r>
              <w:rPr>
                <w:spacing w:val="-5"/>
                <w:sz w:val="22"/>
              </w:rPr>
              <w:t>21</w:t>
            </w:r>
          </w:p>
        </w:tc>
        <w:tc>
          <w:tcPr>
            <w:tcW w:w="2953" w:type="dxa"/>
          </w:tcPr>
          <w:p>
            <w:pPr>
              <w:pStyle w:val="TableParagraph"/>
              <w:spacing w:line="249" w:lineRule="exact"/>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spacing w:line="249" w:lineRule="exact"/>
              <w:ind w:left="12"/>
              <w:rPr>
                <w:sz w:val="22"/>
              </w:rPr>
            </w:pPr>
            <w:r>
              <w:rPr>
                <w:spacing w:val="-2"/>
                <w:sz w:val="22"/>
              </w:rPr>
              <w:t>60000</w:t>
            </w:r>
          </w:p>
        </w:tc>
        <w:tc>
          <w:tcPr>
            <w:tcW w:w="876" w:type="dxa"/>
          </w:tcPr>
          <w:p>
            <w:pPr>
              <w:pStyle w:val="TableParagraph"/>
              <w:spacing w:line="249" w:lineRule="exact"/>
              <w:ind w:left="12"/>
              <w:rPr>
                <w:sz w:val="22"/>
              </w:rPr>
            </w:pPr>
            <w:r>
              <w:rPr>
                <w:spacing w:val="-2"/>
                <w:sz w:val="22"/>
              </w:rPr>
              <w:t>60000</w:t>
            </w:r>
          </w:p>
        </w:tc>
        <w:tc>
          <w:tcPr>
            <w:tcW w:w="877" w:type="dxa"/>
          </w:tcPr>
          <w:p>
            <w:pPr>
              <w:pStyle w:val="TableParagraph"/>
              <w:spacing w:line="249" w:lineRule="exact"/>
              <w:ind w:left="11"/>
              <w:rPr>
                <w:sz w:val="22"/>
              </w:rPr>
            </w:pPr>
            <w:r>
              <w:rPr>
                <w:spacing w:val="-2"/>
                <w:sz w:val="22"/>
              </w:rPr>
              <w:t>80000</w:t>
            </w:r>
          </w:p>
        </w:tc>
        <w:tc>
          <w:tcPr>
            <w:tcW w:w="1388" w:type="dxa"/>
          </w:tcPr>
          <w:p>
            <w:pPr>
              <w:pStyle w:val="TableParagraph"/>
              <w:spacing w:line="249" w:lineRule="exact"/>
              <w:ind w:left="9" w:right="1"/>
              <w:rPr>
                <w:sz w:val="22"/>
              </w:rPr>
            </w:pPr>
            <w:r>
              <w:rPr>
                <w:spacing w:val="-2"/>
                <w:sz w:val="22"/>
              </w:rPr>
              <w:t>829912.2248</w:t>
            </w:r>
          </w:p>
        </w:tc>
        <w:tc>
          <w:tcPr>
            <w:tcW w:w="1372" w:type="dxa"/>
          </w:tcPr>
          <w:p>
            <w:pPr>
              <w:pStyle w:val="TableParagraph"/>
              <w:spacing w:line="249" w:lineRule="exact"/>
              <w:ind w:left="8"/>
              <w:rPr>
                <w:sz w:val="22"/>
              </w:rPr>
            </w:pPr>
            <w:r>
              <w:rPr>
                <w:spacing w:val="-2"/>
                <w:sz w:val="22"/>
              </w:rPr>
              <w:t>1003185.034</w:t>
            </w:r>
          </w:p>
        </w:tc>
      </w:tr>
      <w:tr>
        <w:trPr>
          <w:trHeight w:val="299" w:hRule="atLeast"/>
        </w:trPr>
        <w:tc>
          <w:tcPr>
            <w:tcW w:w="559" w:type="dxa"/>
          </w:tcPr>
          <w:p>
            <w:pPr>
              <w:pStyle w:val="TableParagraph"/>
              <w:ind w:left="107"/>
              <w:jc w:val="left"/>
              <w:rPr>
                <w:sz w:val="22"/>
              </w:rPr>
            </w:pPr>
            <w:r>
              <w:rPr>
                <w:spacing w:val="-5"/>
                <w:sz w:val="22"/>
              </w:rPr>
              <w:t>22</w:t>
            </w:r>
          </w:p>
        </w:tc>
        <w:tc>
          <w:tcPr>
            <w:tcW w:w="2953" w:type="dxa"/>
          </w:tcPr>
          <w:p>
            <w:pPr>
              <w:pStyle w:val="TableParagraph"/>
              <w:ind w:left="107"/>
              <w:jc w:val="left"/>
              <w:rPr>
                <w:sz w:val="22"/>
              </w:rPr>
            </w:pPr>
            <w:r>
              <w:rPr>
                <w:sz w:val="22"/>
              </w:rPr>
              <w:t>Pat</w:t>
            </w:r>
            <w:r>
              <w:rPr>
                <w:spacing w:val="-2"/>
                <w:sz w:val="22"/>
              </w:rPr>
              <w:t> </w:t>
            </w:r>
            <w:r>
              <w:rPr>
                <w:sz w:val="22"/>
              </w:rPr>
              <w:t>Egbeduma</w:t>
            </w:r>
            <w:r>
              <w:rPr>
                <w:spacing w:val="-2"/>
                <w:sz w:val="22"/>
              </w:rPr>
              <w:t> </w:t>
            </w:r>
            <w:r>
              <w:rPr>
                <w:sz w:val="22"/>
              </w:rPr>
              <w:t>&amp;</w:t>
            </w:r>
            <w:r>
              <w:rPr>
                <w:spacing w:val="-3"/>
                <w:sz w:val="22"/>
              </w:rPr>
              <w:t> </w:t>
            </w:r>
            <w:r>
              <w:rPr>
                <w:spacing w:val="-2"/>
                <w:sz w:val="22"/>
              </w:rPr>
              <w:t>Partners</w:t>
            </w:r>
          </w:p>
        </w:tc>
        <w:tc>
          <w:tcPr>
            <w:tcW w:w="876" w:type="dxa"/>
          </w:tcPr>
          <w:p>
            <w:pPr>
              <w:pStyle w:val="TableParagraph"/>
              <w:ind w:left="12"/>
              <w:rPr>
                <w:sz w:val="22"/>
              </w:rPr>
            </w:pPr>
            <w:r>
              <w:rPr>
                <w:spacing w:val="-2"/>
                <w:sz w:val="22"/>
              </w:rPr>
              <w:t>100000</w:t>
            </w:r>
          </w:p>
        </w:tc>
        <w:tc>
          <w:tcPr>
            <w:tcW w:w="876" w:type="dxa"/>
          </w:tcPr>
          <w:p>
            <w:pPr>
              <w:pStyle w:val="TableParagraph"/>
              <w:ind w:left="12"/>
              <w:rPr>
                <w:sz w:val="22"/>
              </w:rPr>
            </w:pPr>
            <w:r>
              <w:rPr>
                <w:spacing w:val="-2"/>
                <w:sz w:val="22"/>
              </w:rPr>
              <w:t>130000</w:t>
            </w:r>
          </w:p>
        </w:tc>
        <w:tc>
          <w:tcPr>
            <w:tcW w:w="877" w:type="dxa"/>
          </w:tcPr>
          <w:p>
            <w:pPr>
              <w:pStyle w:val="TableParagraph"/>
              <w:ind w:left="11"/>
              <w:rPr>
                <w:sz w:val="22"/>
              </w:rPr>
            </w:pPr>
            <w:r>
              <w:rPr>
                <w:spacing w:val="-2"/>
                <w:sz w:val="22"/>
              </w:rPr>
              <w:t>200000</w:t>
            </w:r>
          </w:p>
        </w:tc>
        <w:tc>
          <w:tcPr>
            <w:tcW w:w="1388" w:type="dxa"/>
          </w:tcPr>
          <w:p>
            <w:pPr>
              <w:pStyle w:val="TableParagraph"/>
              <w:ind w:left="9" w:right="1"/>
              <w:rPr>
                <w:sz w:val="22"/>
              </w:rPr>
            </w:pPr>
            <w:r>
              <w:rPr>
                <w:spacing w:val="-2"/>
                <w:sz w:val="22"/>
              </w:rPr>
              <w:t>831164.2534</w:t>
            </w:r>
          </w:p>
        </w:tc>
        <w:tc>
          <w:tcPr>
            <w:tcW w:w="1372" w:type="dxa"/>
          </w:tcPr>
          <w:p>
            <w:pPr>
              <w:pStyle w:val="TableParagraph"/>
              <w:ind w:left="8"/>
              <w:rPr>
                <w:sz w:val="22"/>
              </w:rPr>
            </w:pPr>
            <w:r>
              <w:rPr>
                <w:spacing w:val="-2"/>
                <w:sz w:val="22"/>
              </w:rPr>
              <w:t>1002556.526</w:t>
            </w:r>
          </w:p>
        </w:tc>
      </w:tr>
      <w:tr>
        <w:trPr>
          <w:trHeight w:val="299" w:hRule="atLeast"/>
        </w:trPr>
        <w:tc>
          <w:tcPr>
            <w:tcW w:w="559" w:type="dxa"/>
          </w:tcPr>
          <w:p>
            <w:pPr>
              <w:pStyle w:val="TableParagraph"/>
              <w:ind w:left="107"/>
              <w:jc w:val="left"/>
              <w:rPr>
                <w:sz w:val="22"/>
              </w:rPr>
            </w:pPr>
            <w:r>
              <w:rPr>
                <w:spacing w:val="-5"/>
                <w:sz w:val="22"/>
              </w:rPr>
              <w:t>23</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120000</w:t>
            </w:r>
          </w:p>
        </w:tc>
        <w:tc>
          <w:tcPr>
            <w:tcW w:w="876" w:type="dxa"/>
          </w:tcPr>
          <w:p>
            <w:pPr>
              <w:pStyle w:val="TableParagraph"/>
              <w:ind w:left="12"/>
              <w:rPr>
                <w:sz w:val="22"/>
              </w:rPr>
            </w:pPr>
            <w:r>
              <w:rPr>
                <w:spacing w:val="-2"/>
                <w:sz w:val="22"/>
              </w:rPr>
              <w:t>140000</w:t>
            </w:r>
          </w:p>
        </w:tc>
        <w:tc>
          <w:tcPr>
            <w:tcW w:w="877" w:type="dxa"/>
          </w:tcPr>
          <w:p>
            <w:pPr>
              <w:pStyle w:val="TableParagraph"/>
              <w:ind w:left="11"/>
              <w:rPr>
                <w:sz w:val="22"/>
              </w:rPr>
            </w:pPr>
            <w:r>
              <w:rPr>
                <w:spacing w:val="-2"/>
                <w:sz w:val="22"/>
              </w:rPr>
              <w:t>200000</w:t>
            </w:r>
          </w:p>
        </w:tc>
        <w:tc>
          <w:tcPr>
            <w:tcW w:w="1388" w:type="dxa"/>
          </w:tcPr>
          <w:p>
            <w:pPr>
              <w:pStyle w:val="TableParagraph"/>
              <w:ind w:left="9" w:right="1"/>
              <w:rPr>
                <w:sz w:val="22"/>
              </w:rPr>
            </w:pPr>
            <w:r>
              <w:rPr>
                <w:spacing w:val="-2"/>
                <w:sz w:val="22"/>
              </w:rPr>
              <w:t>831286.4068</w:t>
            </w:r>
          </w:p>
        </w:tc>
        <w:tc>
          <w:tcPr>
            <w:tcW w:w="1372" w:type="dxa"/>
          </w:tcPr>
          <w:p>
            <w:pPr>
              <w:pStyle w:val="TableParagraph"/>
              <w:ind w:left="8"/>
              <w:rPr>
                <w:sz w:val="22"/>
              </w:rPr>
            </w:pPr>
            <w:r>
              <w:rPr>
                <w:spacing w:val="-2"/>
                <w:sz w:val="22"/>
              </w:rPr>
              <w:t>1002025.588</w:t>
            </w:r>
          </w:p>
        </w:tc>
      </w:tr>
      <w:tr>
        <w:trPr>
          <w:trHeight w:val="299" w:hRule="atLeast"/>
        </w:trPr>
        <w:tc>
          <w:tcPr>
            <w:tcW w:w="559" w:type="dxa"/>
          </w:tcPr>
          <w:p>
            <w:pPr>
              <w:pStyle w:val="TableParagraph"/>
              <w:ind w:left="107"/>
              <w:jc w:val="left"/>
              <w:rPr>
                <w:sz w:val="22"/>
              </w:rPr>
            </w:pPr>
            <w:r>
              <w:rPr>
                <w:spacing w:val="-5"/>
                <w:sz w:val="22"/>
              </w:rPr>
              <w:t>24</w:t>
            </w:r>
          </w:p>
        </w:tc>
        <w:tc>
          <w:tcPr>
            <w:tcW w:w="2953" w:type="dxa"/>
          </w:tcPr>
          <w:p>
            <w:pPr>
              <w:pStyle w:val="TableParagraph"/>
              <w:ind w:left="107"/>
              <w:jc w:val="left"/>
              <w:rPr>
                <w:sz w:val="22"/>
              </w:rPr>
            </w:pPr>
            <w:r>
              <w:rPr>
                <w:sz w:val="22"/>
              </w:rPr>
              <w:t>Usman</w:t>
            </w:r>
            <w:r>
              <w:rPr>
                <w:spacing w:val="-3"/>
                <w:sz w:val="22"/>
              </w:rPr>
              <w:t> </w:t>
            </w:r>
            <w:r>
              <w:rPr>
                <w:sz w:val="22"/>
              </w:rPr>
              <w:t>Maishera</w:t>
            </w:r>
            <w:r>
              <w:rPr>
                <w:spacing w:val="-2"/>
                <w:sz w:val="22"/>
              </w:rPr>
              <w:t> </w:t>
            </w:r>
            <w:r>
              <w:rPr>
                <w:sz w:val="22"/>
              </w:rPr>
              <w:t>&amp;</w:t>
            </w:r>
            <w:r>
              <w:rPr>
                <w:spacing w:val="-3"/>
                <w:sz w:val="22"/>
              </w:rPr>
              <w:t> </w:t>
            </w:r>
            <w:r>
              <w:rPr>
                <w:spacing w:val="-2"/>
                <w:sz w:val="22"/>
              </w:rPr>
              <w:t>Associates</w:t>
            </w:r>
          </w:p>
        </w:tc>
        <w:tc>
          <w:tcPr>
            <w:tcW w:w="876" w:type="dxa"/>
          </w:tcPr>
          <w:p>
            <w:pPr>
              <w:pStyle w:val="TableParagraph"/>
              <w:ind w:left="12"/>
              <w:rPr>
                <w:sz w:val="22"/>
              </w:rPr>
            </w:pPr>
            <w:r>
              <w:rPr>
                <w:spacing w:val="-2"/>
                <w:sz w:val="22"/>
              </w:rPr>
              <w:t>100000</w:t>
            </w:r>
          </w:p>
        </w:tc>
        <w:tc>
          <w:tcPr>
            <w:tcW w:w="876" w:type="dxa"/>
          </w:tcPr>
          <w:p>
            <w:pPr>
              <w:pStyle w:val="TableParagraph"/>
              <w:ind w:left="12"/>
              <w:rPr>
                <w:sz w:val="22"/>
              </w:rPr>
            </w:pPr>
            <w:r>
              <w:rPr>
                <w:spacing w:val="-2"/>
                <w:sz w:val="22"/>
              </w:rPr>
              <w:t>130000</w:t>
            </w:r>
          </w:p>
        </w:tc>
        <w:tc>
          <w:tcPr>
            <w:tcW w:w="877" w:type="dxa"/>
          </w:tcPr>
          <w:p>
            <w:pPr>
              <w:pStyle w:val="TableParagraph"/>
              <w:ind w:left="11"/>
              <w:rPr>
                <w:sz w:val="22"/>
              </w:rPr>
            </w:pPr>
            <w:r>
              <w:rPr>
                <w:spacing w:val="-2"/>
                <w:sz w:val="22"/>
              </w:rPr>
              <w:t>180000</w:t>
            </w:r>
          </w:p>
        </w:tc>
        <w:tc>
          <w:tcPr>
            <w:tcW w:w="1388" w:type="dxa"/>
          </w:tcPr>
          <w:p>
            <w:pPr>
              <w:pStyle w:val="TableParagraph"/>
              <w:ind w:left="9" w:right="1"/>
              <w:rPr>
                <w:sz w:val="22"/>
              </w:rPr>
            </w:pPr>
            <w:r>
              <w:rPr>
                <w:spacing w:val="-2"/>
                <w:sz w:val="22"/>
              </w:rPr>
              <w:t>830570.7446</w:t>
            </w:r>
          </w:p>
        </w:tc>
        <w:tc>
          <w:tcPr>
            <w:tcW w:w="1372" w:type="dxa"/>
          </w:tcPr>
          <w:p>
            <w:pPr>
              <w:pStyle w:val="TableParagraph"/>
              <w:ind w:left="8"/>
              <w:rPr>
                <w:sz w:val="22"/>
              </w:rPr>
            </w:pPr>
            <w:r>
              <w:rPr>
                <w:spacing w:val="-2"/>
                <w:sz w:val="22"/>
              </w:rPr>
              <w:t>1002790.528</w:t>
            </w:r>
          </w:p>
        </w:tc>
      </w:tr>
    </w:tbl>
    <w:sectPr>
      <w:type w:val="continuous"/>
      <w:pgSz w:w="11910" w:h="16840"/>
      <w:pgMar w:header="0" w:footer="1022" w:top="1380" w:bottom="1220" w:left="1680" w:right="9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Cambria Math">
    <w:altName w:val="Cambria Math"/>
    <w:charset w:val="1"/>
    <w:family w:val="roman"/>
    <w:pitch w:val="variable"/>
  </w:font>
  <w:font w:name="MS Gothic">
    <w:altName w:val="MS Gothic"/>
    <w:charset w:val="1"/>
    <w:family w:val="modern"/>
    <w:pitch w:val="default"/>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jc w:val="left"/>
      <w:rPr>
        <w:sz w:val="20"/>
      </w:rPr>
    </w:pPr>
    <w:r>
      <w:rPr/>
      <mc:AlternateContent>
        <mc:Choice Requires="wps">
          <w:drawing>
            <wp:anchor distT="0" distB="0" distL="0" distR="0" allowOverlap="1" layoutInCell="1" locked="0" behindDoc="1" simplePos="0" relativeHeight="484316672">
              <wp:simplePos x="0" y="0"/>
              <wp:positionH relativeFrom="page">
                <wp:posOffset>3816984</wp:posOffset>
              </wp:positionH>
              <wp:positionV relativeFrom="page">
                <wp:posOffset>9903690</wp:posOffset>
              </wp:positionV>
              <wp:extent cx="299720" cy="180975"/>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299720" cy="180975"/>
                      </a:xfrm>
                      <a:prstGeom prst="rect">
                        <a:avLst/>
                      </a:prstGeom>
                    </wps:spPr>
                    <wps:txbx>
                      <w:txbxContent>
                        <w:p>
                          <w:pPr>
                            <w:spacing w:before="11"/>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100</w:t>
                          </w:r>
                          <w:r>
                            <w:rPr>
                              <w:spacing w:val="-5"/>
                              <w:sz w:val="22"/>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00.549988pt;margin-top:779.818115pt;width:23.6pt;height:14.25pt;mso-position-horizontal-relative:page;mso-position-vertical-relative:page;z-index:-18999808" type="#_x0000_t202" id="docshape1" filled="false" stroked="false">
              <v:textbox inset="0,0,0,0">
                <w:txbxContent>
                  <w:p>
                    <w:pPr>
                      <w:spacing w:before="11"/>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100</w:t>
                    </w:r>
                    <w:r>
                      <w:rPr>
                        <w:spacing w:val="-5"/>
                        <w:sz w:val="22"/>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7">
    <w:multiLevelType w:val="hybridMultilevel"/>
    <w:lvl w:ilvl="0">
      <w:start w:val="1"/>
      <w:numFmt w:val="lowerRoman"/>
      <w:lvlText w:val="%1."/>
      <w:lvlJc w:val="left"/>
      <w:pPr>
        <w:ind w:left="1025"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50" w:hanging="720"/>
      </w:pPr>
      <w:rPr>
        <w:rFonts w:hint="default"/>
        <w:lang w:val="en-US" w:eastAsia="en-US" w:bidi="ar-SA"/>
      </w:rPr>
    </w:lvl>
    <w:lvl w:ilvl="2">
      <w:start w:val="0"/>
      <w:numFmt w:val="bullet"/>
      <w:lvlText w:val="•"/>
      <w:lvlJc w:val="left"/>
      <w:pPr>
        <w:ind w:left="2681" w:hanging="720"/>
      </w:pPr>
      <w:rPr>
        <w:rFonts w:hint="default"/>
        <w:lang w:val="en-US" w:eastAsia="en-US" w:bidi="ar-SA"/>
      </w:rPr>
    </w:lvl>
    <w:lvl w:ilvl="3">
      <w:start w:val="0"/>
      <w:numFmt w:val="bullet"/>
      <w:lvlText w:val="•"/>
      <w:lvlJc w:val="left"/>
      <w:pPr>
        <w:ind w:left="3511" w:hanging="720"/>
      </w:pPr>
      <w:rPr>
        <w:rFonts w:hint="default"/>
        <w:lang w:val="en-US" w:eastAsia="en-US" w:bidi="ar-SA"/>
      </w:rPr>
    </w:lvl>
    <w:lvl w:ilvl="4">
      <w:start w:val="0"/>
      <w:numFmt w:val="bullet"/>
      <w:lvlText w:val="•"/>
      <w:lvlJc w:val="left"/>
      <w:pPr>
        <w:ind w:left="4342" w:hanging="720"/>
      </w:pPr>
      <w:rPr>
        <w:rFonts w:hint="default"/>
        <w:lang w:val="en-US" w:eastAsia="en-US" w:bidi="ar-SA"/>
      </w:rPr>
    </w:lvl>
    <w:lvl w:ilvl="5">
      <w:start w:val="0"/>
      <w:numFmt w:val="bullet"/>
      <w:lvlText w:val="•"/>
      <w:lvlJc w:val="left"/>
      <w:pPr>
        <w:ind w:left="5173" w:hanging="720"/>
      </w:pPr>
      <w:rPr>
        <w:rFonts w:hint="default"/>
        <w:lang w:val="en-US" w:eastAsia="en-US" w:bidi="ar-SA"/>
      </w:rPr>
    </w:lvl>
    <w:lvl w:ilvl="6">
      <w:start w:val="0"/>
      <w:numFmt w:val="bullet"/>
      <w:lvlText w:val="•"/>
      <w:lvlJc w:val="left"/>
      <w:pPr>
        <w:ind w:left="6003" w:hanging="720"/>
      </w:pPr>
      <w:rPr>
        <w:rFonts w:hint="default"/>
        <w:lang w:val="en-US" w:eastAsia="en-US" w:bidi="ar-SA"/>
      </w:rPr>
    </w:lvl>
    <w:lvl w:ilvl="7">
      <w:start w:val="0"/>
      <w:numFmt w:val="bullet"/>
      <w:lvlText w:val="•"/>
      <w:lvlJc w:val="left"/>
      <w:pPr>
        <w:ind w:left="6834" w:hanging="720"/>
      </w:pPr>
      <w:rPr>
        <w:rFonts w:hint="default"/>
        <w:lang w:val="en-US" w:eastAsia="en-US" w:bidi="ar-SA"/>
      </w:rPr>
    </w:lvl>
    <w:lvl w:ilvl="8">
      <w:start w:val="0"/>
      <w:numFmt w:val="bullet"/>
      <w:lvlText w:val="•"/>
      <w:lvlJc w:val="left"/>
      <w:pPr>
        <w:ind w:left="7665" w:hanging="720"/>
      </w:pPr>
      <w:rPr>
        <w:rFonts w:hint="default"/>
        <w:lang w:val="en-US" w:eastAsia="en-US" w:bidi="ar-SA"/>
      </w:rPr>
    </w:lvl>
  </w:abstractNum>
  <w:abstractNum w:abstractNumId="16">
    <w:multiLevelType w:val="hybridMultilevel"/>
    <w:lvl w:ilvl="0">
      <w:start w:val="5"/>
      <w:numFmt w:val="decimal"/>
      <w:lvlText w:val="%1"/>
      <w:lvlJc w:val="left"/>
      <w:pPr>
        <w:ind w:left="1865" w:hanging="1561"/>
        <w:jc w:val="left"/>
      </w:pPr>
      <w:rPr>
        <w:rFonts w:hint="default"/>
        <w:lang w:val="en-US" w:eastAsia="en-US" w:bidi="ar-SA"/>
      </w:rPr>
    </w:lvl>
    <w:lvl w:ilvl="1">
      <w:start w:val="0"/>
      <w:numFmt w:val="decimal"/>
      <w:lvlText w:val="%1.%2"/>
      <w:lvlJc w:val="left"/>
      <w:pPr>
        <w:ind w:left="1865" w:hanging="1561"/>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0"/>
      <w:numFmt w:val="bullet"/>
      <w:lvlText w:val="•"/>
      <w:lvlJc w:val="left"/>
      <w:pPr>
        <w:ind w:left="3353" w:hanging="1561"/>
      </w:pPr>
      <w:rPr>
        <w:rFonts w:hint="default"/>
        <w:lang w:val="en-US" w:eastAsia="en-US" w:bidi="ar-SA"/>
      </w:rPr>
    </w:lvl>
    <w:lvl w:ilvl="3">
      <w:start w:val="0"/>
      <w:numFmt w:val="bullet"/>
      <w:lvlText w:val="•"/>
      <w:lvlJc w:val="left"/>
      <w:pPr>
        <w:ind w:left="4099" w:hanging="1561"/>
      </w:pPr>
      <w:rPr>
        <w:rFonts w:hint="default"/>
        <w:lang w:val="en-US" w:eastAsia="en-US" w:bidi="ar-SA"/>
      </w:rPr>
    </w:lvl>
    <w:lvl w:ilvl="4">
      <w:start w:val="0"/>
      <w:numFmt w:val="bullet"/>
      <w:lvlText w:val="•"/>
      <w:lvlJc w:val="left"/>
      <w:pPr>
        <w:ind w:left="4846" w:hanging="1561"/>
      </w:pPr>
      <w:rPr>
        <w:rFonts w:hint="default"/>
        <w:lang w:val="en-US" w:eastAsia="en-US" w:bidi="ar-SA"/>
      </w:rPr>
    </w:lvl>
    <w:lvl w:ilvl="5">
      <w:start w:val="0"/>
      <w:numFmt w:val="bullet"/>
      <w:lvlText w:val="•"/>
      <w:lvlJc w:val="left"/>
      <w:pPr>
        <w:ind w:left="5593" w:hanging="1561"/>
      </w:pPr>
      <w:rPr>
        <w:rFonts w:hint="default"/>
        <w:lang w:val="en-US" w:eastAsia="en-US" w:bidi="ar-SA"/>
      </w:rPr>
    </w:lvl>
    <w:lvl w:ilvl="6">
      <w:start w:val="0"/>
      <w:numFmt w:val="bullet"/>
      <w:lvlText w:val="•"/>
      <w:lvlJc w:val="left"/>
      <w:pPr>
        <w:ind w:left="6339" w:hanging="1561"/>
      </w:pPr>
      <w:rPr>
        <w:rFonts w:hint="default"/>
        <w:lang w:val="en-US" w:eastAsia="en-US" w:bidi="ar-SA"/>
      </w:rPr>
    </w:lvl>
    <w:lvl w:ilvl="7">
      <w:start w:val="0"/>
      <w:numFmt w:val="bullet"/>
      <w:lvlText w:val="•"/>
      <w:lvlJc w:val="left"/>
      <w:pPr>
        <w:ind w:left="7086" w:hanging="1561"/>
      </w:pPr>
      <w:rPr>
        <w:rFonts w:hint="default"/>
        <w:lang w:val="en-US" w:eastAsia="en-US" w:bidi="ar-SA"/>
      </w:rPr>
    </w:lvl>
    <w:lvl w:ilvl="8">
      <w:start w:val="0"/>
      <w:numFmt w:val="bullet"/>
      <w:lvlText w:val="•"/>
      <w:lvlJc w:val="left"/>
      <w:pPr>
        <w:ind w:left="7833" w:hanging="1561"/>
      </w:pPr>
      <w:rPr>
        <w:rFonts w:hint="default"/>
        <w:lang w:val="en-US" w:eastAsia="en-US" w:bidi="ar-SA"/>
      </w:rPr>
    </w:lvl>
  </w:abstractNum>
  <w:abstractNum w:abstractNumId="15">
    <w:multiLevelType w:val="hybridMultilevel"/>
    <w:lvl w:ilvl="0">
      <w:start w:val="4"/>
      <w:numFmt w:val="decimal"/>
      <w:lvlText w:val="%1"/>
      <w:lvlJc w:val="left"/>
      <w:pPr>
        <w:ind w:left="2945" w:hanging="2641"/>
        <w:jc w:val="left"/>
      </w:pPr>
      <w:rPr>
        <w:rFonts w:hint="default"/>
        <w:lang w:val="en-US" w:eastAsia="en-US" w:bidi="ar-SA"/>
      </w:rPr>
    </w:lvl>
    <w:lvl w:ilvl="1">
      <w:start w:val="0"/>
      <w:numFmt w:val="decimal"/>
      <w:lvlText w:val="%1.%2"/>
      <w:lvlJc w:val="left"/>
      <w:pPr>
        <w:ind w:left="2945" w:hanging="2641"/>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1"/>
      <w:numFmt w:val="decimal"/>
      <w:lvlText w:val="%1.%2.%3"/>
      <w:lvlJc w:val="left"/>
      <w:pPr>
        <w:ind w:left="1025"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3">
      <w:start w:val="0"/>
      <w:numFmt w:val="bullet"/>
      <w:lvlText w:val="•"/>
      <w:lvlJc w:val="left"/>
      <w:pPr>
        <w:ind w:left="4359" w:hanging="720"/>
      </w:pPr>
      <w:rPr>
        <w:rFonts w:hint="default"/>
        <w:lang w:val="en-US" w:eastAsia="en-US" w:bidi="ar-SA"/>
      </w:rPr>
    </w:lvl>
    <w:lvl w:ilvl="4">
      <w:start w:val="0"/>
      <w:numFmt w:val="bullet"/>
      <w:lvlText w:val="•"/>
      <w:lvlJc w:val="left"/>
      <w:pPr>
        <w:ind w:left="5068" w:hanging="720"/>
      </w:pPr>
      <w:rPr>
        <w:rFonts w:hint="default"/>
        <w:lang w:val="en-US" w:eastAsia="en-US" w:bidi="ar-SA"/>
      </w:rPr>
    </w:lvl>
    <w:lvl w:ilvl="5">
      <w:start w:val="0"/>
      <w:numFmt w:val="bullet"/>
      <w:lvlText w:val="•"/>
      <w:lvlJc w:val="left"/>
      <w:pPr>
        <w:ind w:left="5778" w:hanging="720"/>
      </w:pPr>
      <w:rPr>
        <w:rFonts w:hint="default"/>
        <w:lang w:val="en-US" w:eastAsia="en-US" w:bidi="ar-SA"/>
      </w:rPr>
    </w:lvl>
    <w:lvl w:ilvl="6">
      <w:start w:val="0"/>
      <w:numFmt w:val="bullet"/>
      <w:lvlText w:val="•"/>
      <w:lvlJc w:val="left"/>
      <w:pPr>
        <w:ind w:left="6488" w:hanging="720"/>
      </w:pPr>
      <w:rPr>
        <w:rFonts w:hint="default"/>
        <w:lang w:val="en-US" w:eastAsia="en-US" w:bidi="ar-SA"/>
      </w:rPr>
    </w:lvl>
    <w:lvl w:ilvl="7">
      <w:start w:val="0"/>
      <w:numFmt w:val="bullet"/>
      <w:lvlText w:val="•"/>
      <w:lvlJc w:val="left"/>
      <w:pPr>
        <w:ind w:left="7197" w:hanging="720"/>
      </w:pPr>
      <w:rPr>
        <w:rFonts w:hint="default"/>
        <w:lang w:val="en-US" w:eastAsia="en-US" w:bidi="ar-SA"/>
      </w:rPr>
    </w:lvl>
    <w:lvl w:ilvl="8">
      <w:start w:val="0"/>
      <w:numFmt w:val="bullet"/>
      <w:lvlText w:val="•"/>
      <w:lvlJc w:val="left"/>
      <w:pPr>
        <w:ind w:left="7907" w:hanging="720"/>
      </w:pPr>
      <w:rPr>
        <w:rFonts w:hint="default"/>
        <w:lang w:val="en-US" w:eastAsia="en-US" w:bidi="ar-SA"/>
      </w:rPr>
    </w:lvl>
  </w:abstractNum>
  <w:abstractNum w:abstractNumId="14">
    <w:multiLevelType w:val="hybridMultilevel"/>
    <w:lvl w:ilvl="0">
      <w:start w:val="1"/>
      <w:numFmt w:val="lowerRoman"/>
      <w:lvlText w:val="%1."/>
      <w:lvlJc w:val="left"/>
      <w:pPr>
        <w:ind w:left="251" w:hanging="188"/>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514" w:hanging="188"/>
      </w:pPr>
      <w:rPr>
        <w:rFonts w:hint="default"/>
        <w:lang w:val="en-US" w:eastAsia="en-US" w:bidi="ar-SA"/>
      </w:rPr>
    </w:lvl>
    <w:lvl w:ilvl="2">
      <w:start w:val="0"/>
      <w:numFmt w:val="bullet"/>
      <w:lvlText w:val="•"/>
      <w:lvlJc w:val="left"/>
      <w:pPr>
        <w:ind w:left="768" w:hanging="188"/>
      </w:pPr>
      <w:rPr>
        <w:rFonts w:hint="default"/>
        <w:lang w:val="en-US" w:eastAsia="en-US" w:bidi="ar-SA"/>
      </w:rPr>
    </w:lvl>
    <w:lvl w:ilvl="3">
      <w:start w:val="0"/>
      <w:numFmt w:val="bullet"/>
      <w:lvlText w:val="•"/>
      <w:lvlJc w:val="left"/>
      <w:pPr>
        <w:ind w:left="1022" w:hanging="188"/>
      </w:pPr>
      <w:rPr>
        <w:rFonts w:hint="default"/>
        <w:lang w:val="en-US" w:eastAsia="en-US" w:bidi="ar-SA"/>
      </w:rPr>
    </w:lvl>
    <w:lvl w:ilvl="4">
      <w:start w:val="0"/>
      <w:numFmt w:val="bullet"/>
      <w:lvlText w:val="•"/>
      <w:lvlJc w:val="left"/>
      <w:pPr>
        <w:ind w:left="1276" w:hanging="188"/>
      </w:pPr>
      <w:rPr>
        <w:rFonts w:hint="default"/>
        <w:lang w:val="en-US" w:eastAsia="en-US" w:bidi="ar-SA"/>
      </w:rPr>
    </w:lvl>
    <w:lvl w:ilvl="5">
      <w:start w:val="0"/>
      <w:numFmt w:val="bullet"/>
      <w:lvlText w:val="•"/>
      <w:lvlJc w:val="left"/>
      <w:pPr>
        <w:ind w:left="1531" w:hanging="188"/>
      </w:pPr>
      <w:rPr>
        <w:rFonts w:hint="default"/>
        <w:lang w:val="en-US" w:eastAsia="en-US" w:bidi="ar-SA"/>
      </w:rPr>
    </w:lvl>
    <w:lvl w:ilvl="6">
      <w:start w:val="0"/>
      <w:numFmt w:val="bullet"/>
      <w:lvlText w:val="•"/>
      <w:lvlJc w:val="left"/>
      <w:pPr>
        <w:ind w:left="1785" w:hanging="188"/>
      </w:pPr>
      <w:rPr>
        <w:rFonts w:hint="default"/>
        <w:lang w:val="en-US" w:eastAsia="en-US" w:bidi="ar-SA"/>
      </w:rPr>
    </w:lvl>
    <w:lvl w:ilvl="7">
      <w:start w:val="0"/>
      <w:numFmt w:val="bullet"/>
      <w:lvlText w:val="•"/>
      <w:lvlJc w:val="left"/>
      <w:pPr>
        <w:ind w:left="2039" w:hanging="188"/>
      </w:pPr>
      <w:rPr>
        <w:rFonts w:hint="default"/>
        <w:lang w:val="en-US" w:eastAsia="en-US" w:bidi="ar-SA"/>
      </w:rPr>
    </w:lvl>
    <w:lvl w:ilvl="8">
      <w:start w:val="0"/>
      <w:numFmt w:val="bullet"/>
      <w:lvlText w:val="•"/>
      <w:lvlJc w:val="left"/>
      <w:pPr>
        <w:ind w:left="2293" w:hanging="188"/>
      </w:pPr>
      <w:rPr>
        <w:rFonts w:hint="default"/>
        <w:lang w:val="en-US" w:eastAsia="en-US" w:bidi="ar-SA"/>
      </w:rPr>
    </w:lvl>
  </w:abstractNum>
  <w:abstractNum w:abstractNumId="13">
    <w:multiLevelType w:val="hybridMultilevel"/>
    <w:lvl w:ilvl="0">
      <w:start w:val="1"/>
      <w:numFmt w:val="lowerRoman"/>
      <w:lvlText w:val="%1."/>
      <w:lvlJc w:val="left"/>
      <w:pPr>
        <w:ind w:left="114" w:hanging="187"/>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377" w:hanging="187"/>
      </w:pPr>
      <w:rPr>
        <w:rFonts w:hint="default"/>
        <w:lang w:val="en-US" w:eastAsia="en-US" w:bidi="ar-SA"/>
      </w:rPr>
    </w:lvl>
    <w:lvl w:ilvl="2">
      <w:start w:val="0"/>
      <w:numFmt w:val="bullet"/>
      <w:lvlText w:val="•"/>
      <w:lvlJc w:val="left"/>
      <w:pPr>
        <w:ind w:left="635" w:hanging="187"/>
      </w:pPr>
      <w:rPr>
        <w:rFonts w:hint="default"/>
        <w:lang w:val="en-US" w:eastAsia="en-US" w:bidi="ar-SA"/>
      </w:rPr>
    </w:lvl>
    <w:lvl w:ilvl="3">
      <w:start w:val="0"/>
      <w:numFmt w:val="bullet"/>
      <w:lvlText w:val="•"/>
      <w:lvlJc w:val="left"/>
      <w:pPr>
        <w:ind w:left="893" w:hanging="187"/>
      </w:pPr>
      <w:rPr>
        <w:rFonts w:hint="default"/>
        <w:lang w:val="en-US" w:eastAsia="en-US" w:bidi="ar-SA"/>
      </w:rPr>
    </w:lvl>
    <w:lvl w:ilvl="4">
      <w:start w:val="0"/>
      <w:numFmt w:val="bullet"/>
      <w:lvlText w:val="•"/>
      <w:lvlJc w:val="left"/>
      <w:pPr>
        <w:ind w:left="1151" w:hanging="187"/>
      </w:pPr>
      <w:rPr>
        <w:rFonts w:hint="default"/>
        <w:lang w:val="en-US" w:eastAsia="en-US" w:bidi="ar-SA"/>
      </w:rPr>
    </w:lvl>
    <w:lvl w:ilvl="5">
      <w:start w:val="0"/>
      <w:numFmt w:val="bullet"/>
      <w:lvlText w:val="•"/>
      <w:lvlJc w:val="left"/>
      <w:pPr>
        <w:ind w:left="1409" w:hanging="187"/>
      </w:pPr>
      <w:rPr>
        <w:rFonts w:hint="default"/>
        <w:lang w:val="en-US" w:eastAsia="en-US" w:bidi="ar-SA"/>
      </w:rPr>
    </w:lvl>
    <w:lvl w:ilvl="6">
      <w:start w:val="0"/>
      <w:numFmt w:val="bullet"/>
      <w:lvlText w:val="•"/>
      <w:lvlJc w:val="left"/>
      <w:pPr>
        <w:ind w:left="1667" w:hanging="187"/>
      </w:pPr>
      <w:rPr>
        <w:rFonts w:hint="default"/>
        <w:lang w:val="en-US" w:eastAsia="en-US" w:bidi="ar-SA"/>
      </w:rPr>
    </w:lvl>
    <w:lvl w:ilvl="7">
      <w:start w:val="0"/>
      <w:numFmt w:val="bullet"/>
      <w:lvlText w:val="•"/>
      <w:lvlJc w:val="left"/>
      <w:pPr>
        <w:ind w:left="1925" w:hanging="187"/>
      </w:pPr>
      <w:rPr>
        <w:rFonts w:hint="default"/>
        <w:lang w:val="en-US" w:eastAsia="en-US" w:bidi="ar-SA"/>
      </w:rPr>
    </w:lvl>
    <w:lvl w:ilvl="8">
      <w:start w:val="0"/>
      <w:numFmt w:val="bullet"/>
      <w:lvlText w:val="•"/>
      <w:lvlJc w:val="left"/>
      <w:pPr>
        <w:ind w:left="2183" w:hanging="187"/>
      </w:pPr>
      <w:rPr>
        <w:rFonts w:hint="default"/>
        <w:lang w:val="en-US" w:eastAsia="en-US" w:bidi="ar-SA"/>
      </w:rPr>
    </w:lvl>
  </w:abstractNum>
  <w:abstractNum w:abstractNumId="12">
    <w:multiLevelType w:val="hybridMultilevel"/>
    <w:lvl w:ilvl="0">
      <w:start w:val="1"/>
      <w:numFmt w:val="lowerRoman"/>
      <w:lvlText w:val="%1."/>
      <w:lvlJc w:val="left"/>
      <w:pPr>
        <w:ind w:left="114" w:hanging="187"/>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377" w:hanging="187"/>
      </w:pPr>
      <w:rPr>
        <w:rFonts w:hint="default"/>
        <w:lang w:val="en-US" w:eastAsia="en-US" w:bidi="ar-SA"/>
      </w:rPr>
    </w:lvl>
    <w:lvl w:ilvl="2">
      <w:start w:val="0"/>
      <w:numFmt w:val="bullet"/>
      <w:lvlText w:val="•"/>
      <w:lvlJc w:val="left"/>
      <w:pPr>
        <w:ind w:left="635" w:hanging="187"/>
      </w:pPr>
      <w:rPr>
        <w:rFonts w:hint="default"/>
        <w:lang w:val="en-US" w:eastAsia="en-US" w:bidi="ar-SA"/>
      </w:rPr>
    </w:lvl>
    <w:lvl w:ilvl="3">
      <w:start w:val="0"/>
      <w:numFmt w:val="bullet"/>
      <w:lvlText w:val="•"/>
      <w:lvlJc w:val="left"/>
      <w:pPr>
        <w:ind w:left="893" w:hanging="187"/>
      </w:pPr>
      <w:rPr>
        <w:rFonts w:hint="default"/>
        <w:lang w:val="en-US" w:eastAsia="en-US" w:bidi="ar-SA"/>
      </w:rPr>
    </w:lvl>
    <w:lvl w:ilvl="4">
      <w:start w:val="0"/>
      <w:numFmt w:val="bullet"/>
      <w:lvlText w:val="•"/>
      <w:lvlJc w:val="left"/>
      <w:pPr>
        <w:ind w:left="1151" w:hanging="187"/>
      </w:pPr>
      <w:rPr>
        <w:rFonts w:hint="default"/>
        <w:lang w:val="en-US" w:eastAsia="en-US" w:bidi="ar-SA"/>
      </w:rPr>
    </w:lvl>
    <w:lvl w:ilvl="5">
      <w:start w:val="0"/>
      <w:numFmt w:val="bullet"/>
      <w:lvlText w:val="•"/>
      <w:lvlJc w:val="left"/>
      <w:pPr>
        <w:ind w:left="1409" w:hanging="187"/>
      </w:pPr>
      <w:rPr>
        <w:rFonts w:hint="default"/>
        <w:lang w:val="en-US" w:eastAsia="en-US" w:bidi="ar-SA"/>
      </w:rPr>
    </w:lvl>
    <w:lvl w:ilvl="6">
      <w:start w:val="0"/>
      <w:numFmt w:val="bullet"/>
      <w:lvlText w:val="•"/>
      <w:lvlJc w:val="left"/>
      <w:pPr>
        <w:ind w:left="1667" w:hanging="187"/>
      </w:pPr>
      <w:rPr>
        <w:rFonts w:hint="default"/>
        <w:lang w:val="en-US" w:eastAsia="en-US" w:bidi="ar-SA"/>
      </w:rPr>
    </w:lvl>
    <w:lvl w:ilvl="7">
      <w:start w:val="0"/>
      <w:numFmt w:val="bullet"/>
      <w:lvlText w:val="•"/>
      <w:lvlJc w:val="left"/>
      <w:pPr>
        <w:ind w:left="1925" w:hanging="187"/>
      </w:pPr>
      <w:rPr>
        <w:rFonts w:hint="default"/>
        <w:lang w:val="en-US" w:eastAsia="en-US" w:bidi="ar-SA"/>
      </w:rPr>
    </w:lvl>
    <w:lvl w:ilvl="8">
      <w:start w:val="0"/>
      <w:numFmt w:val="bullet"/>
      <w:lvlText w:val="•"/>
      <w:lvlJc w:val="left"/>
      <w:pPr>
        <w:ind w:left="2183" w:hanging="187"/>
      </w:pPr>
      <w:rPr>
        <w:rFonts w:hint="default"/>
        <w:lang w:val="en-US" w:eastAsia="en-US" w:bidi="ar-SA"/>
      </w:rPr>
    </w:lvl>
  </w:abstractNum>
  <w:abstractNum w:abstractNumId="11">
    <w:multiLevelType w:val="hybridMultilevel"/>
    <w:lvl w:ilvl="0">
      <w:start w:val="1"/>
      <w:numFmt w:val="lowerRoman"/>
      <w:lvlText w:val="%1."/>
      <w:lvlJc w:val="left"/>
      <w:pPr>
        <w:ind w:left="114" w:hanging="187"/>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377" w:hanging="187"/>
      </w:pPr>
      <w:rPr>
        <w:rFonts w:hint="default"/>
        <w:lang w:val="en-US" w:eastAsia="en-US" w:bidi="ar-SA"/>
      </w:rPr>
    </w:lvl>
    <w:lvl w:ilvl="2">
      <w:start w:val="0"/>
      <w:numFmt w:val="bullet"/>
      <w:lvlText w:val="•"/>
      <w:lvlJc w:val="left"/>
      <w:pPr>
        <w:ind w:left="635" w:hanging="187"/>
      </w:pPr>
      <w:rPr>
        <w:rFonts w:hint="default"/>
        <w:lang w:val="en-US" w:eastAsia="en-US" w:bidi="ar-SA"/>
      </w:rPr>
    </w:lvl>
    <w:lvl w:ilvl="3">
      <w:start w:val="0"/>
      <w:numFmt w:val="bullet"/>
      <w:lvlText w:val="•"/>
      <w:lvlJc w:val="left"/>
      <w:pPr>
        <w:ind w:left="893" w:hanging="187"/>
      </w:pPr>
      <w:rPr>
        <w:rFonts w:hint="default"/>
        <w:lang w:val="en-US" w:eastAsia="en-US" w:bidi="ar-SA"/>
      </w:rPr>
    </w:lvl>
    <w:lvl w:ilvl="4">
      <w:start w:val="0"/>
      <w:numFmt w:val="bullet"/>
      <w:lvlText w:val="•"/>
      <w:lvlJc w:val="left"/>
      <w:pPr>
        <w:ind w:left="1151" w:hanging="187"/>
      </w:pPr>
      <w:rPr>
        <w:rFonts w:hint="default"/>
        <w:lang w:val="en-US" w:eastAsia="en-US" w:bidi="ar-SA"/>
      </w:rPr>
    </w:lvl>
    <w:lvl w:ilvl="5">
      <w:start w:val="0"/>
      <w:numFmt w:val="bullet"/>
      <w:lvlText w:val="•"/>
      <w:lvlJc w:val="left"/>
      <w:pPr>
        <w:ind w:left="1409" w:hanging="187"/>
      </w:pPr>
      <w:rPr>
        <w:rFonts w:hint="default"/>
        <w:lang w:val="en-US" w:eastAsia="en-US" w:bidi="ar-SA"/>
      </w:rPr>
    </w:lvl>
    <w:lvl w:ilvl="6">
      <w:start w:val="0"/>
      <w:numFmt w:val="bullet"/>
      <w:lvlText w:val="•"/>
      <w:lvlJc w:val="left"/>
      <w:pPr>
        <w:ind w:left="1667" w:hanging="187"/>
      </w:pPr>
      <w:rPr>
        <w:rFonts w:hint="default"/>
        <w:lang w:val="en-US" w:eastAsia="en-US" w:bidi="ar-SA"/>
      </w:rPr>
    </w:lvl>
    <w:lvl w:ilvl="7">
      <w:start w:val="0"/>
      <w:numFmt w:val="bullet"/>
      <w:lvlText w:val="•"/>
      <w:lvlJc w:val="left"/>
      <w:pPr>
        <w:ind w:left="1925" w:hanging="187"/>
      </w:pPr>
      <w:rPr>
        <w:rFonts w:hint="default"/>
        <w:lang w:val="en-US" w:eastAsia="en-US" w:bidi="ar-SA"/>
      </w:rPr>
    </w:lvl>
    <w:lvl w:ilvl="8">
      <w:start w:val="0"/>
      <w:numFmt w:val="bullet"/>
      <w:lvlText w:val="•"/>
      <w:lvlJc w:val="left"/>
      <w:pPr>
        <w:ind w:left="2183" w:hanging="187"/>
      </w:pPr>
      <w:rPr>
        <w:rFonts w:hint="default"/>
        <w:lang w:val="en-US" w:eastAsia="en-US" w:bidi="ar-SA"/>
      </w:rPr>
    </w:lvl>
  </w:abstractNum>
  <w:abstractNum w:abstractNumId="10">
    <w:multiLevelType w:val="hybridMultilevel"/>
    <w:lvl w:ilvl="0">
      <w:start w:val="1"/>
      <w:numFmt w:val="lowerRoman"/>
      <w:lvlText w:val="%1."/>
      <w:lvlJc w:val="left"/>
      <w:pPr>
        <w:ind w:left="107" w:hanging="187"/>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355" w:hanging="187"/>
      </w:pPr>
      <w:rPr>
        <w:rFonts w:hint="default"/>
        <w:lang w:val="en-US" w:eastAsia="en-US" w:bidi="ar-SA"/>
      </w:rPr>
    </w:lvl>
    <w:lvl w:ilvl="2">
      <w:start w:val="0"/>
      <w:numFmt w:val="bullet"/>
      <w:lvlText w:val="•"/>
      <w:lvlJc w:val="left"/>
      <w:pPr>
        <w:ind w:left="610" w:hanging="187"/>
      </w:pPr>
      <w:rPr>
        <w:rFonts w:hint="default"/>
        <w:lang w:val="en-US" w:eastAsia="en-US" w:bidi="ar-SA"/>
      </w:rPr>
    </w:lvl>
    <w:lvl w:ilvl="3">
      <w:start w:val="0"/>
      <w:numFmt w:val="bullet"/>
      <w:lvlText w:val="•"/>
      <w:lvlJc w:val="left"/>
      <w:pPr>
        <w:ind w:left="865" w:hanging="187"/>
      </w:pPr>
      <w:rPr>
        <w:rFonts w:hint="default"/>
        <w:lang w:val="en-US" w:eastAsia="en-US" w:bidi="ar-SA"/>
      </w:rPr>
    </w:lvl>
    <w:lvl w:ilvl="4">
      <w:start w:val="0"/>
      <w:numFmt w:val="bullet"/>
      <w:lvlText w:val="•"/>
      <w:lvlJc w:val="left"/>
      <w:pPr>
        <w:ind w:left="1121" w:hanging="187"/>
      </w:pPr>
      <w:rPr>
        <w:rFonts w:hint="default"/>
        <w:lang w:val="en-US" w:eastAsia="en-US" w:bidi="ar-SA"/>
      </w:rPr>
    </w:lvl>
    <w:lvl w:ilvl="5">
      <w:start w:val="0"/>
      <w:numFmt w:val="bullet"/>
      <w:lvlText w:val="•"/>
      <w:lvlJc w:val="left"/>
      <w:pPr>
        <w:ind w:left="1376" w:hanging="187"/>
      </w:pPr>
      <w:rPr>
        <w:rFonts w:hint="default"/>
        <w:lang w:val="en-US" w:eastAsia="en-US" w:bidi="ar-SA"/>
      </w:rPr>
    </w:lvl>
    <w:lvl w:ilvl="6">
      <w:start w:val="0"/>
      <w:numFmt w:val="bullet"/>
      <w:lvlText w:val="•"/>
      <w:lvlJc w:val="left"/>
      <w:pPr>
        <w:ind w:left="1631" w:hanging="187"/>
      </w:pPr>
      <w:rPr>
        <w:rFonts w:hint="default"/>
        <w:lang w:val="en-US" w:eastAsia="en-US" w:bidi="ar-SA"/>
      </w:rPr>
    </w:lvl>
    <w:lvl w:ilvl="7">
      <w:start w:val="0"/>
      <w:numFmt w:val="bullet"/>
      <w:lvlText w:val="•"/>
      <w:lvlJc w:val="left"/>
      <w:pPr>
        <w:ind w:left="1887" w:hanging="187"/>
      </w:pPr>
      <w:rPr>
        <w:rFonts w:hint="default"/>
        <w:lang w:val="en-US" w:eastAsia="en-US" w:bidi="ar-SA"/>
      </w:rPr>
    </w:lvl>
    <w:lvl w:ilvl="8">
      <w:start w:val="0"/>
      <w:numFmt w:val="bullet"/>
      <w:lvlText w:val="•"/>
      <w:lvlJc w:val="left"/>
      <w:pPr>
        <w:ind w:left="2142" w:hanging="187"/>
      </w:pPr>
      <w:rPr>
        <w:rFonts w:hint="default"/>
        <w:lang w:val="en-US" w:eastAsia="en-US" w:bidi="ar-SA"/>
      </w:rPr>
    </w:lvl>
  </w:abstractNum>
  <w:abstractNum w:abstractNumId="6">
    <w:multiLevelType w:val="hybridMultilevel"/>
    <w:lvl w:ilvl="0">
      <w:start w:val="1"/>
      <w:numFmt w:val="lowerRoman"/>
      <w:lvlText w:val="%1."/>
      <w:lvlJc w:val="left"/>
      <w:pPr>
        <w:ind w:left="1025" w:hanging="488"/>
        <w:jc w:val="righ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50" w:hanging="488"/>
      </w:pPr>
      <w:rPr>
        <w:rFonts w:hint="default"/>
        <w:lang w:val="en-US" w:eastAsia="en-US" w:bidi="ar-SA"/>
      </w:rPr>
    </w:lvl>
    <w:lvl w:ilvl="2">
      <w:start w:val="0"/>
      <w:numFmt w:val="bullet"/>
      <w:lvlText w:val="•"/>
      <w:lvlJc w:val="left"/>
      <w:pPr>
        <w:ind w:left="2681" w:hanging="488"/>
      </w:pPr>
      <w:rPr>
        <w:rFonts w:hint="default"/>
        <w:lang w:val="en-US" w:eastAsia="en-US" w:bidi="ar-SA"/>
      </w:rPr>
    </w:lvl>
    <w:lvl w:ilvl="3">
      <w:start w:val="0"/>
      <w:numFmt w:val="bullet"/>
      <w:lvlText w:val="•"/>
      <w:lvlJc w:val="left"/>
      <w:pPr>
        <w:ind w:left="3511" w:hanging="488"/>
      </w:pPr>
      <w:rPr>
        <w:rFonts w:hint="default"/>
        <w:lang w:val="en-US" w:eastAsia="en-US" w:bidi="ar-SA"/>
      </w:rPr>
    </w:lvl>
    <w:lvl w:ilvl="4">
      <w:start w:val="0"/>
      <w:numFmt w:val="bullet"/>
      <w:lvlText w:val="•"/>
      <w:lvlJc w:val="left"/>
      <w:pPr>
        <w:ind w:left="4342" w:hanging="488"/>
      </w:pPr>
      <w:rPr>
        <w:rFonts w:hint="default"/>
        <w:lang w:val="en-US" w:eastAsia="en-US" w:bidi="ar-SA"/>
      </w:rPr>
    </w:lvl>
    <w:lvl w:ilvl="5">
      <w:start w:val="0"/>
      <w:numFmt w:val="bullet"/>
      <w:lvlText w:val="•"/>
      <w:lvlJc w:val="left"/>
      <w:pPr>
        <w:ind w:left="5173" w:hanging="488"/>
      </w:pPr>
      <w:rPr>
        <w:rFonts w:hint="default"/>
        <w:lang w:val="en-US" w:eastAsia="en-US" w:bidi="ar-SA"/>
      </w:rPr>
    </w:lvl>
    <w:lvl w:ilvl="6">
      <w:start w:val="0"/>
      <w:numFmt w:val="bullet"/>
      <w:lvlText w:val="•"/>
      <w:lvlJc w:val="left"/>
      <w:pPr>
        <w:ind w:left="6003" w:hanging="488"/>
      </w:pPr>
      <w:rPr>
        <w:rFonts w:hint="default"/>
        <w:lang w:val="en-US" w:eastAsia="en-US" w:bidi="ar-SA"/>
      </w:rPr>
    </w:lvl>
    <w:lvl w:ilvl="7">
      <w:start w:val="0"/>
      <w:numFmt w:val="bullet"/>
      <w:lvlText w:val="•"/>
      <w:lvlJc w:val="left"/>
      <w:pPr>
        <w:ind w:left="6834" w:hanging="488"/>
      </w:pPr>
      <w:rPr>
        <w:rFonts w:hint="default"/>
        <w:lang w:val="en-US" w:eastAsia="en-US" w:bidi="ar-SA"/>
      </w:rPr>
    </w:lvl>
    <w:lvl w:ilvl="8">
      <w:start w:val="0"/>
      <w:numFmt w:val="bullet"/>
      <w:lvlText w:val="•"/>
      <w:lvlJc w:val="left"/>
      <w:pPr>
        <w:ind w:left="7665" w:hanging="488"/>
      </w:pPr>
      <w:rPr>
        <w:rFonts w:hint="default"/>
        <w:lang w:val="en-US" w:eastAsia="en-US" w:bidi="ar-SA"/>
      </w:rPr>
    </w:lvl>
  </w:abstractNum>
  <w:abstractNum w:abstractNumId="9">
    <w:multiLevelType w:val="hybridMultilevel"/>
    <w:lvl w:ilvl="0">
      <w:start w:val="1"/>
      <w:numFmt w:val="lowerRoman"/>
      <w:lvlText w:val="%1."/>
      <w:lvlJc w:val="left"/>
      <w:pPr>
        <w:ind w:left="1025" w:hanging="488"/>
        <w:jc w:val="righ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50" w:hanging="488"/>
      </w:pPr>
      <w:rPr>
        <w:rFonts w:hint="default"/>
        <w:lang w:val="en-US" w:eastAsia="en-US" w:bidi="ar-SA"/>
      </w:rPr>
    </w:lvl>
    <w:lvl w:ilvl="2">
      <w:start w:val="0"/>
      <w:numFmt w:val="bullet"/>
      <w:lvlText w:val="•"/>
      <w:lvlJc w:val="left"/>
      <w:pPr>
        <w:ind w:left="2681" w:hanging="488"/>
      </w:pPr>
      <w:rPr>
        <w:rFonts w:hint="default"/>
        <w:lang w:val="en-US" w:eastAsia="en-US" w:bidi="ar-SA"/>
      </w:rPr>
    </w:lvl>
    <w:lvl w:ilvl="3">
      <w:start w:val="0"/>
      <w:numFmt w:val="bullet"/>
      <w:lvlText w:val="•"/>
      <w:lvlJc w:val="left"/>
      <w:pPr>
        <w:ind w:left="3511" w:hanging="488"/>
      </w:pPr>
      <w:rPr>
        <w:rFonts w:hint="default"/>
        <w:lang w:val="en-US" w:eastAsia="en-US" w:bidi="ar-SA"/>
      </w:rPr>
    </w:lvl>
    <w:lvl w:ilvl="4">
      <w:start w:val="0"/>
      <w:numFmt w:val="bullet"/>
      <w:lvlText w:val="•"/>
      <w:lvlJc w:val="left"/>
      <w:pPr>
        <w:ind w:left="4342" w:hanging="488"/>
      </w:pPr>
      <w:rPr>
        <w:rFonts w:hint="default"/>
        <w:lang w:val="en-US" w:eastAsia="en-US" w:bidi="ar-SA"/>
      </w:rPr>
    </w:lvl>
    <w:lvl w:ilvl="5">
      <w:start w:val="0"/>
      <w:numFmt w:val="bullet"/>
      <w:lvlText w:val="•"/>
      <w:lvlJc w:val="left"/>
      <w:pPr>
        <w:ind w:left="5173" w:hanging="488"/>
      </w:pPr>
      <w:rPr>
        <w:rFonts w:hint="default"/>
        <w:lang w:val="en-US" w:eastAsia="en-US" w:bidi="ar-SA"/>
      </w:rPr>
    </w:lvl>
    <w:lvl w:ilvl="6">
      <w:start w:val="0"/>
      <w:numFmt w:val="bullet"/>
      <w:lvlText w:val="•"/>
      <w:lvlJc w:val="left"/>
      <w:pPr>
        <w:ind w:left="6003" w:hanging="488"/>
      </w:pPr>
      <w:rPr>
        <w:rFonts w:hint="default"/>
        <w:lang w:val="en-US" w:eastAsia="en-US" w:bidi="ar-SA"/>
      </w:rPr>
    </w:lvl>
    <w:lvl w:ilvl="7">
      <w:start w:val="0"/>
      <w:numFmt w:val="bullet"/>
      <w:lvlText w:val="•"/>
      <w:lvlJc w:val="left"/>
      <w:pPr>
        <w:ind w:left="6834" w:hanging="488"/>
      </w:pPr>
      <w:rPr>
        <w:rFonts w:hint="default"/>
        <w:lang w:val="en-US" w:eastAsia="en-US" w:bidi="ar-SA"/>
      </w:rPr>
    </w:lvl>
    <w:lvl w:ilvl="8">
      <w:start w:val="0"/>
      <w:numFmt w:val="bullet"/>
      <w:lvlText w:val="•"/>
      <w:lvlJc w:val="left"/>
      <w:pPr>
        <w:ind w:left="7665" w:hanging="488"/>
      </w:pPr>
      <w:rPr>
        <w:rFonts w:hint="default"/>
        <w:lang w:val="en-US" w:eastAsia="en-US" w:bidi="ar-SA"/>
      </w:rPr>
    </w:lvl>
  </w:abstractNum>
  <w:abstractNum w:abstractNumId="8">
    <w:multiLevelType w:val="hybridMultilevel"/>
    <w:lvl w:ilvl="0">
      <w:start w:val="1"/>
      <w:numFmt w:val="lowerRoman"/>
      <w:lvlText w:val="%1."/>
      <w:lvlJc w:val="left"/>
      <w:pPr>
        <w:ind w:left="1025" w:hanging="488"/>
        <w:jc w:val="righ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50" w:hanging="488"/>
      </w:pPr>
      <w:rPr>
        <w:rFonts w:hint="default"/>
        <w:lang w:val="en-US" w:eastAsia="en-US" w:bidi="ar-SA"/>
      </w:rPr>
    </w:lvl>
    <w:lvl w:ilvl="2">
      <w:start w:val="0"/>
      <w:numFmt w:val="bullet"/>
      <w:lvlText w:val="•"/>
      <w:lvlJc w:val="left"/>
      <w:pPr>
        <w:ind w:left="2681" w:hanging="488"/>
      </w:pPr>
      <w:rPr>
        <w:rFonts w:hint="default"/>
        <w:lang w:val="en-US" w:eastAsia="en-US" w:bidi="ar-SA"/>
      </w:rPr>
    </w:lvl>
    <w:lvl w:ilvl="3">
      <w:start w:val="0"/>
      <w:numFmt w:val="bullet"/>
      <w:lvlText w:val="•"/>
      <w:lvlJc w:val="left"/>
      <w:pPr>
        <w:ind w:left="3511" w:hanging="488"/>
      </w:pPr>
      <w:rPr>
        <w:rFonts w:hint="default"/>
        <w:lang w:val="en-US" w:eastAsia="en-US" w:bidi="ar-SA"/>
      </w:rPr>
    </w:lvl>
    <w:lvl w:ilvl="4">
      <w:start w:val="0"/>
      <w:numFmt w:val="bullet"/>
      <w:lvlText w:val="•"/>
      <w:lvlJc w:val="left"/>
      <w:pPr>
        <w:ind w:left="4342" w:hanging="488"/>
      </w:pPr>
      <w:rPr>
        <w:rFonts w:hint="default"/>
        <w:lang w:val="en-US" w:eastAsia="en-US" w:bidi="ar-SA"/>
      </w:rPr>
    </w:lvl>
    <w:lvl w:ilvl="5">
      <w:start w:val="0"/>
      <w:numFmt w:val="bullet"/>
      <w:lvlText w:val="•"/>
      <w:lvlJc w:val="left"/>
      <w:pPr>
        <w:ind w:left="5173" w:hanging="488"/>
      </w:pPr>
      <w:rPr>
        <w:rFonts w:hint="default"/>
        <w:lang w:val="en-US" w:eastAsia="en-US" w:bidi="ar-SA"/>
      </w:rPr>
    </w:lvl>
    <w:lvl w:ilvl="6">
      <w:start w:val="0"/>
      <w:numFmt w:val="bullet"/>
      <w:lvlText w:val="•"/>
      <w:lvlJc w:val="left"/>
      <w:pPr>
        <w:ind w:left="6003" w:hanging="488"/>
      </w:pPr>
      <w:rPr>
        <w:rFonts w:hint="default"/>
        <w:lang w:val="en-US" w:eastAsia="en-US" w:bidi="ar-SA"/>
      </w:rPr>
    </w:lvl>
    <w:lvl w:ilvl="7">
      <w:start w:val="0"/>
      <w:numFmt w:val="bullet"/>
      <w:lvlText w:val="•"/>
      <w:lvlJc w:val="left"/>
      <w:pPr>
        <w:ind w:left="6834" w:hanging="488"/>
      </w:pPr>
      <w:rPr>
        <w:rFonts w:hint="default"/>
        <w:lang w:val="en-US" w:eastAsia="en-US" w:bidi="ar-SA"/>
      </w:rPr>
    </w:lvl>
    <w:lvl w:ilvl="8">
      <w:start w:val="0"/>
      <w:numFmt w:val="bullet"/>
      <w:lvlText w:val="•"/>
      <w:lvlJc w:val="left"/>
      <w:pPr>
        <w:ind w:left="7665" w:hanging="488"/>
      </w:pPr>
      <w:rPr>
        <w:rFonts w:hint="default"/>
        <w:lang w:val="en-US" w:eastAsia="en-US" w:bidi="ar-SA"/>
      </w:rPr>
    </w:lvl>
  </w:abstractNum>
  <w:abstractNum w:abstractNumId="7">
    <w:multiLevelType w:val="hybridMultilevel"/>
    <w:lvl w:ilvl="0">
      <w:start w:val="1"/>
      <w:numFmt w:val="lowerRoman"/>
      <w:lvlText w:val="%1."/>
      <w:lvlJc w:val="left"/>
      <w:pPr>
        <w:ind w:left="1025" w:hanging="488"/>
        <w:jc w:val="righ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50" w:hanging="488"/>
      </w:pPr>
      <w:rPr>
        <w:rFonts w:hint="default"/>
        <w:lang w:val="en-US" w:eastAsia="en-US" w:bidi="ar-SA"/>
      </w:rPr>
    </w:lvl>
    <w:lvl w:ilvl="2">
      <w:start w:val="0"/>
      <w:numFmt w:val="bullet"/>
      <w:lvlText w:val="•"/>
      <w:lvlJc w:val="left"/>
      <w:pPr>
        <w:ind w:left="2681" w:hanging="488"/>
      </w:pPr>
      <w:rPr>
        <w:rFonts w:hint="default"/>
        <w:lang w:val="en-US" w:eastAsia="en-US" w:bidi="ar-SA"/>
      </w:rPr>
    </w:lvl>
    <w:lvl w:ilvl="3">
      <w:start w:val="0"/>
      <w:numFmt w:val="bullet"/>
      <w:lvlText w:val="•"/>
      <w:lvlJc w:val="left"/>
      <w:pPr>
        <w:ind w:left="3511" w:hanging="488"/>
      </w:pPr>
      <w:rPr>
        <w:rFonts w:hint="default"/>
        <w:lang w:val="en-US" w:eastAsia="en-US" w:bidi="ar-SA"/>
      </w:rPr>
    </w:lvl>
    <w:lvl w:ilvl="4">
      <w:start w:val="0"/>
      <w:numFmt w:val="bullet"/>
      <w:lvlText w:val="•"/>
      <w:lvlJc w:val="left"/>
      <w:pPr>
        <w:ind w:left="4342" w:hanging="488"/>
      </w:pPr>
      <w:rPr>
        <w:rFonts w:hint="default"/>
        <w:lang w:val="en-US" w:eastAsia="en-US" w:bidi="ar-SA"/>
      </w:rPr>
    </w:lvl>
    <w:lvl w:ilvl="5">
      <w:start w:val="0"/>
      <w:numFmt w:val="bullet"/>
      <w:lvlText w:val="•"/>
      <w:lvlJc w:val="left"/>
      <w:pPr>
        <w:ind w:left="5173" w:hanging="488"/>
      </w:pPr>
      <w:rPr>
        <w:rFonts w:hint="default"/>
        <w:lang w:val="en-US" w:eastAsia="en-US" w:bidi="ar-SA"/>
      </w:rPr>
    </w:lvl>
    <w:lvl w:ilvl="6">
      <w:start w:val="0"/>
      <w:numFmt w:val="bullet"/>
      <w:lvlText w:val="•"/>
      <w:lvlJc w:val="left"/>
      <w:pPr>
        <w:ind w:left="6003" w:hanging="488"/>
      </w:pPr>
      <w:rPr>
        <w:rFonts w:hint="default"/>
        <w:lang w:val="en-US" w:eastAsia="en-US" w:bidi="ar-SA"/>
      </w:rPr>
    </w:lvl>
    <w:lvl w:ilvl="7">
      <w:start w:val="0"/>
      <w:numFmt w:val="bullet"/>
      <w:lvlText w:val="•"/>
      <w:lvlJc w:val="left"/>
      <w:pPr>
        <w:ind w:left="6834" w:hanging="488"/>
      </w:pPr>
      <w:rPr>
        <w:rFonts w:hint="default"/>
        <w:lang w:val="en-US" w:eastAsia="en-US" w:bidi="ar-SA"/>
      </w:rPr>
    </w:lvl>
    <w:lvl w:ilvl="8">
      <w:start w:val="0"/>
      <w:numFmt w:val="bullet"/>
      <w:lvlText w:val="•"/>
      <w:lvlJc w:val="left"/>
      <w:pPr>
        <w:ind w:left="7665" w:hanging="488"/>
      </w:pPr>
      <w:rPr>
        <w:rFonts w:hint="default"/>
        <w:lang w:val="en-US" w:eastAsia="en-US" w:bidi="ar-SA"/>
      </w:rPr>
    </w:lvl>
  </w:abstractNum>
  <w:abstractNum w:abstractNumId="5">
    <w:multiLevelType w:val="hybridMultilevel"/>
    <w:lvl w:ilvl="0">
      <w:start w:val="3"/>
      <w:numFmt w:val="decimal"/>
      <w:lvlText w:val="%1"/>
      <w:lvlJc w:val="left"/>
      <w:pPr>
        <w:ind w:left="2705" w:hanging="2401"/>
        <w:jc w:val="left"/>
      </w:pPr>
      <w:rPr>
        <w:rFonts w:hint="default"/>
        <w:lang w:val="en-US" w:eastAsia="en-US" w:bidi="ar-SA"/>
      </w:rPr>
    </w:lvl>
    <w:lvl w:ilvl="1">
      <w:start w:val="0"/>
      <w:numFmt w:val="decimal"/>
      <w:lvlText w:val="%1.%2"/>
      <w:lvlJc w:val="left"/>
      <w:pPr>
        <w:ind w:left="2705" w:hanging="2401"/>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1"/>
      <w:numFmt w:val="decimal"/>
      <w:lvlText w:val="%1.%2.%3"/>
      <w:lvlJc w:val="left"/>
      <w:pPr>
        <w:ind w:left="1025"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3">
      <w:start w:val="0"/>
      <w:numFmt w:val="bullet"/>
      <w:lvlText w:val="•"/>
      <w:lvlJc w:val="left"/>
      <w:pPr>
        <w:ind w:left="4172" w:hanging="720"/>
      </w:pPr>
      <w:rPr>
        <w:rFonts w:hint="default"/>
        <w:lang w:val="en-US" w:eastAsia="en-US" w:bidi="ar-SA"/>
      </w:rPr>
    </w:lvl>
    <w:lvl w:ilvl="4">
      <w:start w:val="0"/>
      <w:numFmt w:val="bullet"/>
      <w:lvlText w:val="•"/>
      <w:lvlJc w:val="left"/>
      <w:pPr>
        <w:ind w:left="4908" w:hanging="720"/>
      </w:pPr>
      <w:rPr>
        <w:rFonts w:hint="default"/>
        <w:lang w:val="en-US" w:eastAsia="en-US" w:bidi="ar-SA"/>
      </w:rPr>
    </w:lvl>
    <w:lvl w:ilvl="5">
      <w:start w:val="0"/>
      <w:numFmt w:val="bullet"/>
      <w:lvlText w:val="•"/>
      <w:lvlJc w:val="left"/>
      <w:pPr>
        <w:ind w:left="5645" w:hanging="720"/>
      </w:pPr>
      <w:rPr>
        <w:rFonts w:hint="default"/>
        <w:lang w:val="en-US" w:eastAsia="en-US" w:bidi="ar-SA"/>
      </w:rPr>
    </w:lvl>
    <w:lvl w:ilvl="6">
      <w:start w:val="0"/>
      <w:numFmt w:val="bullet"/>
      <w:lvlText w:val="•"/>
      <w:lvlJc w:val="left"/>
      <w:pPr>
        <w:ind w:left="6381" w:hanging="720"/>
      </w:pPr>
      <w:rPr>
        <w:rFonts w:hint="default"/>
        <w:lang w:val="en-US" w:eastAsia="en-US" w:bidi="ar-SA"/>
      </w:rPr>
    </w:lvl>
    <w:lvl w:ilvl="7">
      <w:start w:val="0"/>
      <w:numFmt w:val="bullet"/>
      <w:lvlText w:val="•"/>
      <w:lvlJc w:val="left"/>
      <w:pPr>
        <w:ind w:left="7117" w:hanging="720"/>
      </w:pPr>
      <w:rPr>
        <w:rFonts w:hint="default"/>
        <w:lang w:val="en-US" w:eastAsia="en-US" w:bidi="ar-SA"/>
      </w:rPr>
    </w:lvl>
    <w:lvl w:ilvl="8">
      <w:start w:val="0"/>
      <w:numFmt w:val="bullet"/>
      <w:lvlText w:val="•"/>
      <w:lvlJc w:val="left"/>
      <w:pPr>
        <w:ind w:left="7853" w:hanging="720"/>
      </w:pPr>
      <w:rPr>
        <w:rFonts w:hint="default"/>
        <w:lang w:val="en-US" w:eastAsia="en-US" w:bidi="ar-SA"/>
      </w:rPr>
    </w:lvl>
  </w:abstractNum>
  <w:abstractNum w:abstractNumId="4">
    <w:multiLevelType w:val="hybridMultilevel"/>
    <w:lvl w:ilvl="0">
      <w:start w:val="2"/>
      <w:numFmt w:val="decimal"/>
      <w:lvlText w:val="%1"/>
      <w:lvlJc w:val="left"/>
      <w:pPr>
        <w:ind w:left="3185" w:hanging="2881"/>
        <w:jc w:val="left"/>
      </w:pPr>
      <w:rPr>
        <w:rFonts w:hint="default"/>
        <w:lang w:val="en-US" w:eastAsia="en-US" w:bidi="ar-SA"/>
      </w:rPr>
    </w:lvl>
    <w:lvl w:ilvl="1">
      <w:start w:val="0"/>
      <w:numFmt w:val="decimal"/>
      <w:lvlText w:val="%1.%2"/>
      <w:lvlJc w:val="left"/>
      <w:pPr>
        <w:ind w:left="3185" w:hanging="2881"/>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1"/>
      <w:numFmt w:val="decimal"/>
      <w:lvlText w:val="%1.%2.%3"/>
      <w:lvlJc w:val="left"/>
      <w:pPr>
        <w:ind w:left="1025"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3">
      <w:start w:val="1"/>
      <w:numFmt w:val="decimal"/>
      <w:lvlText w:val="%1.%2.%3.%4"/>
      <w:lvlJc w:val="left"/>
      <w:pPr>
        <w:ind w:left="1025"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4">
      <w:start w:val="0"/>
      <w:numFmt w:val="bullet"/>
      <w:lvlText w:val="•"/>
      <w:lvlJc w:val="left"/>
      <w:pPr>
        <w:ind w:left="5228" w:hanging="720"/>
      </w:pPr>
      <w:rPr>
        <w:rFonts w:hint="default"/>
        <w:lang w:val="en-US" w:eastAsia="en-US" w:bidi="ar-SA"/>
      </w:rPr>
    </w:lvl>
    <w:lvl w:ilvl="5">
      <w:start w:val="0"/>
      <w:numFmt w:val="bullet"/>
      <w:lvlText w:val="•"/>
      <w:lvlJc w:val="left"/>
      <w:pPr>
        <w:ind w:left="5911" w:hanging="720"/>
      </w:pPr>
      <w:rPr>
        <w:rFonts w:hint="default"/>
        <w:lang w:val="en-US" w:eastAsia="en-US" w:bidi="ar-SA"/>
      </w:rPr>
    </w:lvl>
    <w:lvl w:ilvl="6">
      <w:start w:val="0"/>
      <w:numFmt w:val="bullet"/>
      <w:lvlText w:val="•"/>
      <w:lvlJc w:val="left"/>
      <w:pPr>
        <w:ind w:left="6594" w:hanging="720"/>
      </w:pPr>
      <w:rPr>
        <w:rFonts w:hint="default"/>
        <w:lang w:val="en-US" w:eastAsia="en-US" w:bidi="ar-SA"/>
      </w:rPr>
    </w:lvl>
    <w:lvl w:ilvl="7">
      <w:start w:val="0"/>
      <w:numFmt w:val="bullet"/>
      <w:lvlText w:val="•"/>
      <w:lvlJc w:val="left"/>
      <w:pPr>
        <w:ind w:left="7277" w:hanging="720"/>
      </w:pPr>
      <w:rPr>
        <w:rFonts w:hint="default"/>
        <w:lang w:val="en-US" w:eastAsia="en-US" w:bidi="ar-SA"/>
      </w:rPr>
    </w:lvl>
    <w:lvl w:ilvl="8">
      <w:start w:val="0"/>
      <w:numFmt w:val="bullet"/>
      <w:lvlText w:val="•"/>
      <w:lvlJc w:val="left"/>
      <w:pPr>
        <w:ind w:left="7960" w:hanging="720"/>
      </w:pPr>
      <w:rPr>
        <w:rFonts w:hint="default"/>
        <w:lang w:val="en-US" w:eastAsia="en-US" w:bidi="ar-SA"/>
      </w:rPr>
    </w:lvl>
  </w:abstractNum>
  <w:abstractNum w:abstractNumId="1">
    <w:multiLevelType w:val="hybridMultilevel"/>
    <w:lvl w:ilvl="0">
      <w:start w:val="1"/>
      <w:numFmt w:val="lowerRoman"/>
      <w:lvlText w:val="%1."/>
      <w:lvlJc w:val="left"/>
      <w:pPr>
        <w:ind w:left="1025" w:hanging="488"/>
        <w:jc w:val="righ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50" w:hanging="488"/>
      </w:pPr>
      <w:rPr>
        <w:rFonts w:hint="default"/>
        <w:lang w:val="en-US" w:eastAsia="en-US" w:bidi="ar-SA"/>
      </w:rPr>
    </w:lvl>
    <w:lvl w:ilvl="2">
      <w:start w:val="0"/>
      <w:numFmt w:val="bullet"/>
      <w:lvlText w:val="•"/>
      <w:lvlJc w:val="left"/>
      <w:pPr>
        <w:ind w:left="2681" w:hanging="488"/>
      </w:pPr>
      <w:rPr>
        <w:rFonts w:hint="default"/>
        <w:lang w:val="en-US" w:eastAsia="en-US" w:bidi="ar-SA"/>
      </w:rPr>
    </w:lvl>
    <w:lvl w:ilvl="3">
      <w:start w:val="0"/>
      <w:numFmt w:val="bullet"/>
      <w:lvlText w:val="•"/>
      <w:lvlJc w:val="left"/>
      <w:pPr>
        <w:ind w:left="3511" w:hanging="488"/>
      </w:pPr>
      <w:rPr>
        <w:rFonts w:hint="default"/>
        <w:lang w:val="en-US" w:eastAsia="en-US" w:bidi="ar-SA"/>
      </w:rPr>
    </w:lvl>
    <w:lvl w:ilvl="4">
      <w:start w:val="0"/>
      <w:numFmt w:val="bullet"/>
      <w:lvlText w:val="•"/>
      <w:lvlJc w:val="left"/>
      <w:pPr>
        <w:ind w:left="4342" w:hanging="488"/>
      </w:pPr>
      <w:rPr>
        <w:rFonts w:hint="default"/>
        <w:lang w:val="en-US" w:eastAsia="en-US" w:bidi="ar-SA"/>
      </w:rPr>
    </w:lvl>
    <w:lvl w:ilvl="5">
      <w:start w:val="0"/>
      <w:numFmt w:val="bullet"/>
      <w:lvlText w:val="•"/>
      <w:lvlJc w:val="left"/>
      <w:pPr>
        <w:ind w:left="5173" w:hanging="488"/>
      </w:pPr>
      <w:rPr>
        <w:rFonts w:hint="default"/>
        <w:lang w:val="en-US" w:eastAsia="en-US" w:bidi="ar-SA"/>
      </w:rPr>
    </w:lvl>
    <w:lvl w:ilvl="6">
      <w:start w:val="0"/>
      <w:numFmt w:val="bullet"/>
      <w:lvlText w:val="•"/>
      <w:lvlJc w:val="left"/>
      <w:pPr>
        <w:ind w:left="6003" w:hanging="488"/>
      </w:pPr>
      <w:rPr>
        <w:rFonts w:hint="default"/>
        <w:lang w:val="en-US" w:eastAsia="en-US" w:bidi="ar-SA"/>
      </w:rPr>
    </w:lvl>
    <w:lvl w:ilvl="7">
      <w:start w:val="0"/>
      <w:numFmt w:val="bullet"/>
      <w:lvlText w:val="•"/>
      <w:lvlJc w:val="left"/>
      <w:pPr>
        <w:ind w:left="6834" w:hanging="488"/>
      </w:pPr>
      <w:rPr>
        <w:rFonts w:hint="default"/>
        <w:lang w:val="en-US" w:eastAsia="en-US" w:bidi="ar-SA"/>
      </w:rPr>
    </w:lvl>
    <w:lvl w:ilvl="8">
      <w:start w:val="0"/>
      <w:numFmt w:val="bullet"/>
      <w:lvlText w:val="•"/>
      <w:lvlJc w:val="left"/>
      <w:pPr>
        <w:ind w:left="7665" w:hanging="488"/>
      </w:pPr>
      <w:rPr>
        <w:rFonts w:hint="default"/>
        <w:lang w:val="en-US" w:eastAsia="en-US" w:bidi="ar-SA"/>
      </w:rPr>
    </w:lvl>
  </w:abstractNum>
  <w:abstractNum w:abstractNumId="2">
    <w:multiLevelType w:val="hybridMultilevel"/>
    <w:lvl w:ilvl="0">
      <w:start w:val="1"/>
      <w:numFmt w:val="lowerRoman"/>
      <w:lvlText w:val="%1."/>
      <w:lvlJc w:val="left"/>
      <w:pPr>
        <w:ind w:left="1025" w:hanging="54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50" w:hanging="540"/>
      </w:pPr>
      <w:rPr>
        <w:rFonts w:hint="default"/>
        <w:lang w:val="en-US" w:eastAsia="en-US" w:bidi="ar-SA"/>
      </w:rPr>
    </w:lvl>
    <w:lvl w:ilvl="2">
      <w:start w:val="0"/>
      <w:numFmt w:val="bullet"/>
      <w:lvlText w:val="•"/>
      <w:lvlJc w:val="left"/>
      <w:pPr>
        <w:ind w:left="2681" w:hanging="540"/>
      </w:pPr>
      <w:rPr>
        <w:rFonts w:hint="default"/>
        <w:lang w:val="en-US" w:eastAsia="en-US" w:bidi="ar-SA"/>
      </w:rPr>
    </w:lvl>
    <w:lvl w:ilvl="3">
      <w:start w:val="0"/>
      <w:numFmt w:val="bullet"/>
      <w:lvlText w:val="•"/>
      <w:lvlJc w:val="left"/>
      <w:pPr>
        <w:ind w:left="3511" w:hanging="540"/>
      </w:pPr>
      <w:rPr>
        <w:rFonts w:hint="default"/>
        <w:lang w:val="en-US" w:eastAsia="en-US" w:bidi="ar-SA"/>
      </w:rPr>
    </w:lvl>
    <w:lvl w:ilvl="4">
      <w:start w:val="0"/>
      <w:numFmt w:val="bullet"/>
      <w:lvlText w:val="•"/>
      <w:lvlJc w:val="left"/>
      <w:pPr>
        <w:ind w:left="4342" w:hanging="540"/>
      </w:pPr>
      <w:rPr>
        <w:rFonts w:hint="default"/>
        <w:lang w:val="en-US" w:eastAsia="en-US" w:bidi="ar-SA"/>
      </w:rPr>
    </w:lvl>
    <w:lvl w:ilvl="5">
      <w:start w:val="0"/>
      <w:numFmt w:val="bullet"/>
      <w:lvlText w:val="•"/>
      <w:lvlJc w:val="left"/>
      <w:pPr>
        <w:ind w:left="5173" w:hanging="540"/>
      </w:pPr>
      <w:rPr>
        <w:rFonts w:hint="default"/>
        <w:lang w:val="en-US" w:eastAsia="en-US" w:bidi="ar-SA"/>
      </w:rPr>
    </w:lvl>
    <w:lvl w:ilvl="6">
      <w:start w:val="0"/>
      <w:numFmt w:val="bullet"/>
      <w:lvlText w:val="•"/>
      <w:lvlJc w:val="left"/>
      <w:pPr>
        <w:ind w:left="6003" w:hanging="540"/>
      </w:pPr>
      <w:rPr>
        <w:rFonts w:hint="default"/>
        <w:lang w:val="en-US" w:eastAsia="en-US" w:bidi="ar-SA"/>
      </w:rPr>
    </w:lvl>
    <w:lvl w:ilvl="7">
      <w:start w:val="0"/>
      <w:numFmt w:val="bullet"/>
      <w:lvlText w:val="•"/>
      <w:lvlJc w:val="left"/>
      <w:pPr>
        <w:ind w:left="6834" w:hanging="540"/>
      </w:pPr>
      <w:rPr>
        <w:rFonts w:hint="default"/>
        <w:lang w:val="en-US" w:eastAsia="en-US" w:bidi="ar-SA"/>
      </w:rPr>
    </w:lvl>
    <w:lvl w:ilvl="8">
      <w:start w:val="0"/>
      <w:numFmt w:val="bullet"/>
      <w:lvlText w:val="•"/>
      <w:lvlJc w:val="left"/>
      <w:pPr>
        <w:ind w:left="7665" w:hanging="540"/>
      </w:pPr>
      <w:rPr>
        <w:rFonts w:hint="default"/>
        <w:lang w:val="en-US" w:eastAsia="en-US" w:bidi="ar-SA"/>
      </w:rPr>
    </w:lvl>
  </w:abstractNum>
  <w:abstractNum w:abstractNumId="3">
    <w:multiLevelType w:val="hybridMultilevel"/>
    <w:lvl w:ilvl="0">
      <w:start w:val="1"/>
      <w:numFmt w:val="lowerRoman"/>
      <w:lvlText w:val="%1."/>
      <w:lvlJc w:val="left"/>
      <w:pPr>
        <w:ind w:left="1025" w:hanging="488"/>
        <w:jc w:val="righ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50" w:hanging="488"/>
      </w:pPr>
      <w:rPr>
        <w:rFonts w:hint="default"/>
        <w:lang w:val="en-US" w:eastAsia="en-US" w:bidi="ar-SA"/>
      </w:rPr>
    </w:lvl>
    <w:lvl w:ilvl="2">
      <w:start w:val="0"/>
      <w:numFmt w:val="bullet"/>
      <w:lvlText w:val="•"/>
      <w:lvlJc w:val="left"/>
      <w:pPr>
        <w:ind w:left="2681" w:hanging="488"/>
      </w:pPr>
      <w:rPr>
        <w:rFonts w:hint="default"/>
        <w:lang w:val="en-US" w:eastAsia="en-US" w:bidi="ar-SA"/>
      </w:rPr>
    </w:lvl>
    <w:lvl w:ilvl="3">
      <w:start w:val="0"/>
      <w:numFmt w:val="bullet"/>
      <w:lvlText w:val="•"/>
      <w:lvlJc w:val="left"/>
      <w:pPr>
        <w:ind w:left="3511" w:hanging="488"/>
      </w:pPr>
      <w:rPr>
        <w:rFonts w:hint="default"/>
        <w:lang w:val="en-US" w:eastAsia="en-US" w:bidi="ar-SA"/>
      </w:rPr>
    </w:lvl>
    <w:lvl w:ilvl="4">
      <w:start w:val="0"/>
      <w:numFmt w:val="bullet"/>
      <w:lvlText w:val="•"/>
      <w:lvlJc w:val="left"/>
      <w:pPr>
        <w:ind w:left="4342" w:hanging="488"/>
      </w:pPr>
      <w:rPr>
        <w:rFonts w:hint="default"/>
        <w:lang w:val="en-US" w:eastAsia="en-US" w:bidi="ar-SA"/>
      </w:rPr>
    </w:lvl>
    <w:lvl w:ilvl="5">
      <w:start w:val="0"/>
      <w:numFmt w:val="bullet"/>
      <w:lvlText w:val="•"/>
      <w:lvlJc w:val="left"/>
      <w:pPr>
        <w:ind w:left="5173" w:hanging="488"/>
      </w:pPr>
      <w:rPr>
        <w:rFonts w:hint="default"/>
        <w:lang w:val="en-US" w:eastAsia="en-US" w:bidi="ar-SA"/>
      </w:rPr>
    </w:lvl>
    <w:lvl w:ilvl="6">
      <w:start w:val="0"/>
      <w:numFmt w:val="bullet"/>
      <w:lvlText w:val="•"/>
      <w:lvlJc w:val="left"/>
      <w:pPr>
        <w:ind w:left="6003" w:hanging="488"/>
      </w:pPr>
      <w:rPr>
        <w:rFonts w:hint="default"/>
        <w:lang w:val="en-US" w:eastAsia="en-US" w:bidi="ar-SA"/>
      </w:rPr>
    </w:lvl>
    <w:lvl w:ilvl="7">
      <w:start w:val="0"/>
      <w:numFmt w:val="bullet"/>
      <w:lvlText w:val="•"/>
      <w:lvlJc w:val="left"/>
      <w:pPr>
        <w:ind w:left="6834" w:hanging="488"/>
      </w:pPr>
      <w:rPr>
        <w:rFonts w:hint="default"/>
        <w:lang w:val="en-US" w:eastAsia="en-US" w:bidi="ar-SA"/>
      </w:rPr>
    </w:lvl>
    <w:lvl w:ilvl="8">
      <w:start w:val="0"/>
      <w:numFmt w:val="bullet"/>
      <w:lvlText w:val="•"/>
      <w:lvlJc w:val="left"/>
      <w:pPr>
        <w:ind w:left="7665" w:hanging="488"/>
      </w:pPr>
      <w:rPr>
        <w:rFonts w:hint="default"/>
        <w:lang w:val="en-US" w:eastAsia="en-US" w:bidi="ar-SA"/>
      </w:rPr>
    </w:lvl>
  </w:abstractNum>
  <w:abstractNum w:abstractNumId="0">
    <w:multiLevelType w:val="hybridMultilevel"/>
    <w:lvl w:ilvl="0">
      <w:start w:val="1"/>
      <w:numFmt w:val="decimal"/>
      <w:lvlText w:val="%1"/>
      <w:lvlJc w:val="left"/>
      <w:pPr>
        <w:ind w:left="3605" w:hanging="3301"/>
        <w:jc w:val="left"/>
      </w:pPr>
      <w:rPr>
        <w:rFonts w:hint="default"/>
        <w:lang w:val="en-US" w:eastAsia="en-US" w:bidi="ar-SA"/>
      </w:rPr>
    </w:lvl>
    <w:lvl w:ilvl="1">
      <w:start w:val="0"/>
      <w:numFmt w:val="decimal"/>
      <w:lvlText w:val="%1.%2"/>
      <w:lvlJc w:val="left"/>
      <w:pPr>
        <w:ind w:left="3605" w:hanging="3301"/>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1"/>
      <w:numFmt w:val="decimal"/>
      <w:lvlText w:val="%1.%2.%3"/>
      <w:lvlJc w:val="left"/>
      <w:pPr>
        <w:ind w:left="1025" w:hanging="720"/>
        <w:jc w:val="left"/>
      </w:pPr>
      <w:rPr>
        <w:rFonts w:hint="default" w:ascii="Times New Roman" w:hAnsi="Times New Roman" w:eastAsia="Times New Roman" w:cs="Times New Roman"/>
        <w:b/>
        <w:bCs/>
        <w:i w:val="0"/>
        <w:iCs w:val="0"/>
        <w:spacing w:val="-1"/>
        <w:w w:val="100"/>
        <w:sz w:val="24"/>
        <w:szCs w:val="24"/>
        <w:lang w:val="en-US" w:eastAsia="en-US" w:bidi="ar-SA"/>
      </w:rPr>
    </w:lvl>
    <w:lvl w:ilvl="3">
      <w:start w:val="0"/>
      <w:numFmt w:val="bullet"/>
      <w:lvlText w:val="•"/>
      <w:lvlJc w:val="left"/>
      <w:pPr>
        <w:ind w:left="4872" w:hanging="720"/>
      </w:pPr>
      <w:rPr>
        <w:rFonts w:hint="default"/>
        <w:lang w:val="en-US" w:eastAsia="en-US" w:bidi="ar-SA"/>
      </w:rPr>
    </w:lvl>
    <w:lvl w:ilvl="4">
      <w:start w:val="0"/>
      <w:numFmt w:val="bullet"/>
      <w:lvlText w:val="•"/>
      <w:lvlJc w:val="left"/>
      <w:pPr>
        <w:ind w:left="5508" w:hanging="720"/>
      </w:pPr>
      <w:rPr>
        <w:rFonts w:hint="default"/>
        <w:lang w:val="en-US" w:eastAsia="en-US" w:bidi="ar-SA"/>
      </w:rPr>
    </w:lvl>
    <w:lvl w:ilvl="5">
      <w:start w:val="0"/>
      <w:numFmt w:val="bullet"/>
      <w:lvlText w:val="•"/>
      <w:lvlJc w:val="left"/>
      <w:pPr>
        <w:ind w:left="6145" w:hanging="720"/>
      </w:pPr>
      <w:rPr>
        <w:rFonts w:hint="default"/>
        <w:lang w:val="en-US" w:eastAsia="en-US" w:bidi="ar-SA"/>
      </w:rPr>
    </w:lvl>
    <w:lvl w:ilvl="6">
      <w:start w:val="0"/>
      <w:numFmt w:val="bullet"/>
      <w:lvlText w:val="•"/>
      <w:lvlJc w:val="left"/>
      <w:pPr>
        <w:ind w:left="6781" w:hanging="720"/>
      </w:pPr>
      <w:rPr>
        <w:rFonts w:hint="default"/>
        <w:lang w:val="en-US" w:eastAsia="en-US" w:bidi="ar-SA"/>
      </w:rPr>
    </w:lvl>
    <w:lvl w:ilvl="7">
      <w:start w:val="0"/>
      <w:numFmt w:val="bullet"/>
      <w:lvlText w:val="•"/>
      <w:lvlJc w:val="left"/>
      <w:pPr>
        <w:ind w:left="7417" w:hanging="720"/>
      </w:pPr>
      <w:rPr>
        <w:rFonts w:hint="default"/>
        <w:lang w:val="en-US" w:eastAsia="en-US" w:bidi="ar-SA"/>
      </w:rPr>
    </w:lvl>
    <w:lvl w:ilvl="8">
      <w:start w:val="0"/>
      <w:numFmt w:val="bullet"/>
      <w:lvlText w:val="•"/>
      <w:lvlJc w:val="left"/>
      <w:pPr>
        <w:ind w:left="8053" w:hanging="720"/>
      </w:pPr>
      <w:rPr>
        <w:rFonts w:hint="default"/>
        <w:lang w:val="en-US" w:eastAsia="en-US" w:bidi="ar-SA"/>
      </w:rPr>
    </w:lvl>
  </w:abstract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7">
    <w:abstractNumId w:val="6"/>
  </w:num>
  <w:num w:numId="10">
    <w:abstractNumId w:val="9"/>
  </w:num>
  <w:num w:numId="9">
    <w:abstractNumId w:val="8"/>
  </w:num>
  <w:num w:numId="8">
    <w:abstractNumId w:val="7"/>
  </w:num>
  <w:num w:numId="6">
    <w:abstractNumId w:val="5"/>
  </w:num>
  <w:num w:numId="5">
    <w:abstractNumId w:val="4"/>
  </w:num>
  <w:num w:numId="2">
    <w:abstractNumId w:val="1"/>
  </w:num>
  <w:num w:numId="3">
    <w:abstractNumId w:val="2"/>
  </w:num>
  <w:num w:numId="4">
    <w:abstractNumId w:val="3"/>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jc w:val="both"/>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ind w:left="1024" w:hanging="719"/>
      <w:jc w:val="both"/>
      <w:outlineLvl w:val="1"/>
    </w:pPr>
    <w:rPr>
      <w:rFonts w:ascii="Times New Roman" w:hAnsi="Times New Roman" w:eastAsia="Times New Roman" w:cs="Times New Roman"/>
      <w:b/>
      <w:bCs/>
      <w:sz w:val="24"/>
      <w:szCs w:val="24"/>
      <w:lang w:val="en-US" w:eastAsia="en-US" w:bidi="ar-SA"/>
    </w:rPr>
  </w:style>
  <w:style w:styleId="ListParagraph" w:type="paragraph">
    <w:name w:val="List Paragraph"/>
    <w:basedOn w:val="Normal"/>
    <w:uiPriority w:val="1"/>
    <w:qFormat/>
    <w:pPr>
      <w:ind w:left="1024" w:hanging="719"/>
      <w:jc w:val="both"/>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spacing w:line="247" w:lineRule="exact"/>
      <w:ind w:left="10"/>
      <w:jc w:val="center"/>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hyperlink" Target="http://en.wikipedia.org/wiki/Local_Government_Areas_of_Nigeria" TargetMode="External"/><Relationship Id="rId7" Type="http://schemas.openxmlformats.org/officeDocument/2006/relationships/hyperlink" Target="http://en.wikipedia.org/wiki/Niger_State" TargetMode="External"/><Relationship Id="rId8" Type="http://schemas.openxmlformats.org/officeDocument/2006/relationships/hyperlink" Target="http://en.wikipedia.org/wiki/Nupe_people" TargetMode="External"/><Relationship Id="rId9" Type="http://schemas.openxmlformats.org/officeDocument/2006/relationships/image" Target="media/image1.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pn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30" Type="http://schemas.openxmlformats.org/officeDocument/2006/relationships/image" Target="media/image22.jpe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hyperlink" Target="http://eujournal.org/index.php/esj/article/view/181" TargetMode="External"/><Relationship Id="rId45" Type="http://schemas.openxmlformats.org/officeDocument/2006/relationships/hyperlink" Target="http://eprints.uthm.edu.my/2913/" TargetMode="External"/><Relationship Id="rId46" Type="http://schemas.openxmlformats.org/officeDocument/2006/relationships/hyperlink" Target="http://www.adb.org/sites/default/files/related/33507/revisiting-the-gms-" TargetMode="External"/><Relationship Id="rId47" Type="http://schemas.openxmlformats.org/officeDocument/2006/relationships/hyperlink" Target="http://dx.doi.org/10.1016/j.landurbplan.2015.02.017" TargetMode="External"/><Relationship Id="rId48" Type="http://schemas.openxmlformats.org/officeDocument/2006/relationships/hyperlink" Target="http://rave.ohiolink.edu/etdc/view?acc_num=osu1228281862" TargetMode="External"/><Relationship Id="rId49" Type="http://schemas.openxmlformats.org/officeDocument/2006/relationships/hyperlink" Target="http://www.unhabitat.org/" TargetMode="External"/><Relationship Id="rId50" Type="http://schemas.openxmlformats.org/officeDocument/2006/relationships/hyperlink" Target="http://www.un.org/en/development/desa/financialcrisis/challenges.shtml" TargetMode="External"/><Relationship Id="rId5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dcterms:created xsi:type="dcterms:W3CDTF">2023-11-02T22:58:24Z</dcterms:created>
  <dcterms:modified xsi:type="dcterms:W3CDTF">2023-11-02T22:58:24Z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2022-03-21T00:00:00Z</vt:filetime>
  </property>
  <property fmtid="{D5CDD505-2E9C-101B-9397-08002B2CF9AE}" pid="3" name="Creator">
    <vt:lpwstr>Microsoft® Word 2013</vt:lpwstr>
  </property>
  <property fmtid="{D5CDD505-2E9C-101B-9397-08002B2CF9AE}" pid="4" name="LastSaved">
    <vt:filetime>2023-11-02T00:00:00Z</vt:filetime>
  </property>
  <property fmtid="{D5CDD505-2E9C-101B-9397-08002B2CF9AE}" pid="5" name="Producer">
    <vt:lpwstr>Microsoft® Word 2013</vt:lpwstr>
  </property>
</Properties>
</file>