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61"/>
        <w:ind w:left="155" w:right="752"/>
      </w:pPr>
      <w:r>
        <w:rPr/>
        <w:t>ANTIMALARIAL SUSCEPTIBILITY AND DRUG RESISTANCE CHARACTERIZATION</w:t>
      </w:r>
      <w:r>
        <w:rPr>
          <w:spacing w:val="-6"/>
        </w:rPr>
        <w:t> </w:t>
      </w:r>
      <w:r>
        <w:rPr/>
        <w:t>STUDIES</w:t>
      </w:r>
      <w:r>
        <w:rPr>
          <w:spacing w:val="-5"/>
        </w:rPr>
        <w:t> </w:t>
      </w:r>
      <w:r>
        <w:rPr/>
        <w:t>OF</w:t>
      </w:r>
      <w:r>
        <w:rPr>
          <w:spacing w:val="-8"/>
        </w:rPr>
        <w:t> </w:t>
      </w:r>
      <w:r>
        <w:rPr>
          <w:i/>
        </w:rPr>
        <w:t>PLASMODIUM</w:t>
      </w:r>
      <w:r>
        <w:rPr>
          <w:i/>
          <w:spacing w:val="-6"/>
        </w:rPr>
        <w:t> </w:t>
      </w:r>
      <w:r>
        <w:rPr/>
        <w:t>SPECIES</w:t>
      </w:r>
      <w:r>
        <w:rPr>
          <w:spacing w:val="-4"/>
        </w:rPr>
        <w:t> </w:t>
      </w:r>
      <w:r>
        <w:rPr/>
        <w:t>ISOLATES</w:t>
      </w:r>
      <w:r>
        <w:rPr>
          <w:spacing w:val="-5"/>
        </w:rPr>
        <w:t> </w:t>
      </w:r>
      <w:r>
        <w:rPr/>
        <w:t>FROM PATIENTS IN SABON-WUSE, NIGER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5"/>
        <w:rPr>
          <w:b/>
        </w:rPr>
      </w:pPr>
    </w:p>
    <w:p>
      <w:pPr>
        <w:spacing w:before="1"/>
        <w:ind w:left="1391" w:right="1986" w:firstLine="0"/>
        <w:jc w:val="center"/>
        <w:rPr>
          <w:b/>
          <w:sz w:val="24"/>
        </w:rPr>
      </w:pPr>
      <w:r>
        <w:rPr>
          <w:b/>
          <w:spacing w:val="-5"/>
          <w:sz w:val="24"/>
        </w:rPr>
        <w:t>BY</w:t>
      </w:r>
    </w:p>
    <w:p>
      <w:pPr>
        <w:pStyle w:val="BodyText"/>
        <w:rPr>
          <w:b/>
        </w:rPr>
      </w:pPr>
    </w:p>
    <w:p>
      <w:pPr>
        <w:pStyle w:val="BodyText"/>
        <w:rPr>
          <w:b/>
        </w:rPr>
      </w:pPr>
    </w:p>
    <w:p>
      <w:pPr>
        <w:pStyle w:val="BodyText"/>
        <w:spacing w:before="117"/>
        <w:rPr>
          <w:b/>
        </w:rPr>
      </w:pPr>
    </w:p>
    <w:p>
      <w:pPr>
        <w:spacing w:line="360" w:lineRule="auto" w:before="0"/>
        <w:ind w:left="2936" w:right="3535" w:hanging="1"/>
        <w:jc w:val="center"/>
        <w:rPr>
          <w:b/>
          <w:sz w:val="24"/>
        </w:rPr>
      </w:pPr>
      <w:r>
        <w:rPr>
          <w:b/>
          <w:sz w:val="24"/>
          <w:u w:val="single"/>
        </w:rPr>
        <w:t>JIMOH</w:t>
      </w:r>
      <w:r>
        <w:rPr>
          <w:b/>
          <w:sz w:val="24"/>
        </w:rPr>
        <w:t>, MARY ADUKE </w:t>
      </w:r>
      <w:r>
        <w:rPr>
          <w:b/>
          <w:spacing w:val="-2"/>
          <w:sz w:val="24"/>
        </w:rPr>
        <w:t>M.Sc./PHARM.SCI/8893/2011-2012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spacing w:line="360" w:lineRule="auto" w:before="0"/>
        <w:ind w:left="155" w:right="751" w:firstLine="0"/>
        <w:jc w:val="center"/>
        <w:rPr>
          <w:b/>
          <w:sz w:val="24"/>
        </w:rPr>
      </w:pPr>
      <w:r>
        <w:rPr>
          <w:b/>
          <w:sz w:val="24"/>
        </w:rPr>
        <w:t>A</w:t>
      </w:r>
      <w:r>
        <w:rPr>
          <w:b/>
          <w:spacing w:val="-4"/>
          <w:sz w:val="24"/>
        </w:rPr>
        <w:t> </w:t>
      </w:r>
      <w:r>
        <w:rPr>
          <w:b/>
          <w:sz w:val="24"/>
        </w:rPr>
        <w:t>Dissertation</w:t>
      </w:r>
      <w:r>
        <w:rPr>
          <w:b/>
          <w:spacing w:val="-2"/>
          <w:sz w:val="24"/>
        </w:rPr>
        <w:t> </w:t>
      </w:r>
      <w:r>
        <w:rPr>
          <w:b/>
          <w:sz w:val="24"/>
        </w:rPr>
        <w:t>Submitted</w:t>
      </w:r>
      <w:r>
        <w:rPr>
          <w:b/>
          <w:spacing w:val="-2"/>
          <w:sz w:val="24"/>
        </w:rPr>
        <w:t> </w:t>
      </w:r>
      <w:r>
        <w:rPr>
          <w:b/>
          <w:sz w:val="24"/>
        </w:rPr>
        <w:t>to</w:t>
      </w:r>
      <w:r>
        <w:rPr>
          <w:b/>
          <w:spacing w:val="-3"/>
          <w:sz w:val="24"/>
        </w:rPr>
        <w:t> </w:t>
      </w:r>
      <w:r>
        <w:rPr>
          <w:b/>
          <w:sz w:val="24"/>
        </w:rPr>
        <w:t>the</w:t>
      </w:r>
      <w:r>
        <w:rPr>
          <w:b/>
          <w:spacing w:val="-4"/>
          <w:sz w:val="24"/>
        </w:rPr>
        <w:t> </w:t>
      </w:r>
      <w:r>
        <w:rPr>
          <w:b/>
          <w:sz w:val="24"/>
        </w:rPr>
        <w:t>School</w:t>
      </w:r>
      <w:r>
        <w:rPr>
          <w:b/>
          <w:spacing w:val="-2"/>
          <w:sz w:val="24"/>
        </w:rPr>
        <w:t> </w:t>
      </w:r>
      <w:r>
        <w:rPr>
          <w:b/>
          <w:sz w:val="24"/>
        </w:rPr>
        <w:t>of</w:t>
      </w:r>
      <w:r>
        <w:rPr>
          <w:b/>
          <w:spacing w:val="-2"/>
          <w:sz w:val="24"/>
        </w:rPr>
        <w:t> </w:t>
      </w:r>
      <w:r>
        <w:rPr>
          <w:b/>
          <w:sz w:val="24"/>
        </w:rPr>
        <w:t>Post</w:t>
      </w:r>
      <w:r>
        <w:rPr>
          <w:b/>
          <w:spacing w:val="-2"/>
          <w:sz w:val="24"/>
        </w:rPr>
        <w:t> </w:t>
      </w:r>
      <w:r>
        <w:rPr>
          <w:b/>
          <w:sz w:val="24"/>
        </w:rPr>
        <w:t>Graduate</w:t>
      </w:r>
      <w:r>
        <w:rPr>
          <w:b/>
          <w:spacing w:val="-4"/>
          <w:sz w:val="24"/>
        </w:rPr>
        <w:t> </w:t>
      </w:r>
      <w:r>
        <w:rPr>
          <w:b/>
          <w:sz w:val="24"/>
        </w:rPr>
        <w:t>Studies,</w:t>
      </w:r>
      <w:r>
        <w:rPr>
          <w:b/>
          <w:spacing w:val="-3"/>
          <w:sz w:val="24"/>
        </w:rPr>
        <w:t> </w:t>
      </w:r>
      <w:r>
        <w:rPr>
          <w:b/>
          <w:sz w:val="24"/>
        </w:rPr>
        <w:t>Ahmadu</w:t>
      </w:r>
      <w:r>
        <w:rPr>
          <w:b/>
          <w:spacing w:val="-3"/>
          <w:sz w:val="24"/>
        </w:rPr>
        <w:t> </w:t>
      </w:r>
      <w:r>
        <w:rPr>
          <w:b/>
          <w:sz w:val="24"/>
        </w:rPr>
        <w:t>Bello University, Zaria,</w:t>
      </w:r>
    </w:p>
    <w:p>
      <w:pPr>
        <w:spacing w:line="360" w:lineRule="auto" w:before="0"/>
        <w:ind w:left="1391" w:right="1986" w:firstLine="0"/>
        <w:jc w:val="center"/>
        <w:rPr>
          <w:b/>
          <w:sz w:val="24"/>
        </w:rPr>
      </w:pPr>
      <w:r>
        <w:rPr>
          <w:b/>
          <w:sz w:val="24"/>
        </w:rPr>
        <w:t>In</w:t>
      </w:r>
      <w:r>
        <w:rPr>
          <w:b/>
          <w:spacing w:val="-4"/>
          <w:sz w:val="24"/>
        </w:rPr>
        <w:t> </w:t>
      </w:r>
      <w:r>
        <w:rPr>
          <w:b/>
          <w:sz w:val="24"/>
        </w:rPr>
        <w:t>Partial</w:t>
      </w:r>
      <w:r>
        <w:rPr>
          <w:b/>
          <w:spacing w:val="-1"/>
          <w:sz w:val="24"/>
        </w:rPr>
        <w:t> </w:t>
      </w:r>
      <w:r>
        <w:rPr>
          <w:b/>
          <w:sz w:val="24"/>
        </w:rPr>
        <w:t>Fulfillment</w:t>
      </w:r>
      <w:r>
        <w:rPr>
          <w:b/>
          <w:spacing w:val="-4"/>
          <w:sz w:val="24"/>
        </w:rPr>
        <w:t> </w:t>
      </w:r>
      <w:r>
        <w:rPr>
          <w:b/>
          <w:sz w:val="24"/>
        </w:rPr>
        <w:t>of</w:t>
      </w:r>
      <w:r>
        <w:rPr>
          <w:b/>
          <w:spacing w:val="-3"/>
          <w:sz w:val="24"/>
        </w:rPr>
        <w:t> </w:t>
      </w:r>
      <w:r>
        <w:rPr>
          <w:b/>
          <w:sz w:val="24"/>
        </w:rPr>
        <w:t>the</w:t>
      </w:r>
      <w:r>
        <w:rPr>
          <w:b/>
          <w:spacing w:val="-5"/>
          <w:sz w:val="24"/>
        </w:rPr>
        <w:t> </w:t>
      </w:r>
      <w:r>
        <w:rPr>
          <w:b/>
          <w:sz w:val="24"/>
        </w:rPr>
        <w:t>Requirements</w:t>
      </w:r>
      <w:r>
        <w:rPr>
          <w:b/>
          <w:spacing w:val="-4"/>
          <w:sz w:val="24"/>
        </w:rPr>
        <w:t> </w:t>
      </w:r>
      <w:r>
        <w:rPr>
          <w:b/>
          <w:sz w:val="24"/>
        </w:rPr>
        <w:t>for</w:t>
      </w:r>
      <w:r>
        <w:rPr>
          <w:b/>
          <w:spacing w:val="-5"/>
          <w:sz w:val="24"/>
        </w:rPr>
        <w:t> </w:t>
      </w:r>
      <w:r>
        <w:rPr>
          <w:b/>
          <w:sz w:val="24"/>
        </w:rPr>
        <w:t>the</w:t>
      </w:r>
      <w:r>
        <w:rPr>
          <w:b/>
          <w:spacing w:val="-5"/>
          <w:sz w:val="24"/>
        </w:rPr>
        <w:t> </w:t>
      </w:r>
      <w:r>
        <w:rPr>
          <w:b/>
          <w:sz w:val="24"/>
        </w:rPr>
        <w:t>Award</w:t>
      </w:r>
      <w:r>
        <w:rPr>
          <w:b/>
          <w:spacing w:val="-3"/>
          <w:sz w:val="24"/>
        </w:rPr>
        <w:t> </w:t>
      </w:r>
      <w:r>
        <w:rPr>
          <w:b/>
          <w:sz w:val="24"/>
        </w:rPr>
        <w:t>of Master of Science Degree in Pharmaceutical Microbiology.</w:t>
      </w:r>
    </w:p>
    <w:p>
      <w:pPr>
        <w:pStyle w:val="BodyText"/>
        <w:spacing w:before="137"/>
        <w:rPr>
          <w:b/>
        </w:rPr>
      </w:pPr>
    </w:p>
    <w:p>
      <w:pPr>
        <w:spacing w:line="360" w:lineRule="auto" w:before="0"/>
        <w:ind w:left="1446" w:right="1986" w:firstLine="0"/>
        <w:jc w:val="center"/>
        <w:rPr>
          <w:b/>
          <w:sz w:val="24"/>
        </w:rPr>
      </w:pPr>
      <w:r>
        <w:rPr>
          <w:b/>
          <w:sz w:val="24"/>
        </w:rPr>
        <w:t>Department</w:t>
      </w:r>
      <w:r>
        <w:rPr>
          <w:b/>
          <w:spacing w:val="-8"/>
          <w:sz w:val="24"/>
        </w:rPr>
        <w:t> </w:t>
      </w:r>
      <w:r>
        <w:rPr>
          <w:b/>
          <w:sz w:val="24"/>
        </w:rPr>
        <w:t>of</w:t>
      </w:r>
      <w:r>
        <w:rPr>
          <w:b/>
          <w:spacing w:val="-6"/>
          <w:sz w:val="24"/>
        </w:rPr>
        <w:t> </w:t>
      </w:r>
      <w:r>
        <w:rPr>
          <w:b/>
          <w:sz w:val="24"/>
        </w:rPr>
        <w:t>Pharmaceutics</w:t>
      </w:r>
      <w:r>
        <w:rPr>
          <w:b/>
          <w:spacing w:val="-7"/>
          <w:sz w:val="24"/>
        </w:rPr>
        <w:t> </w:t>
      </w:r>
      <w:r>
        <w:rPr>
          <w:b/>
          <w:sz w:val="24"/>
        </w:rPr>
        <w:t>and</w:t>
      </w:r>
      <w:r>
        <w:rPr>
          <w:b/>
          <w:spacing w:val="-7"/>
          <w:sz w:val="24"/>
        </w:rPr>
        <w:t> </w:t>
      </w:r>
      <w:r>
        <w:rPr>
          <w:b/>
          <w:sz w:val="24"/>
        </w:rPr>
        <w:t>Pharmaceutical</w:t>
      </w:r>
      <w:r>
        <w:rPr>
          <w:b/>
          <w:spacing w:val="-7"/>
          <w:sz w:val="24"/>
        </w:rPr>
        <w:t> </w:t>
      </w:r>
      <w:r>
        <w:rPr>
          <w:b/>
          <w:sz w:val="24"/>
        </w:rPr>
        <w:t>Microbiology Faculty of Pharmaceutical Sciences</w:t>
      </w:r>
    </w:p>
    <w:p>
      <w:pPr>
        <w:spacing w:before="0"/>
        <w:ind w:left="1391" w:right="1987" w:firstLine="0"/>
        <w:jc w:val="center"/>
        <w:rPr>
          <w:b/>
          <w:sz w:val="24"/>
        </w:rPr>
      </w:pPr>
      <w:r>
        <w:rPr>
          <w:b/>
          <w:sz w:val="24"/>
        </w:rPr>
        <w:t>Ahmadu</w:t>
      </w:r>
      <w:r>
        <w:rPr>
          <w:b/>
          <w:spacing w:val="-3"/>
          <w:sz w:val="24"/>
        </w:rPr>
        <w:t> </w:t>
      </w:r>
      <w:r>
        <w:rPr>
          <w:b/>
          <w:sz w:val="24"/>
        </w:rPr>
        <w:t>Bello</w:t>
      </w:r>
      <w:r>
        <w:rPr>
          <w:b/>
          <w:spacing w:val="-3"/>
          <w:sz w:val="24"/>
        </w:rPr>
        <w:t> </w:t>
      </w:r>
      <w:r>
        <w:rPr>
          <w:b/>
          <w:sz w:val="24"/>
        </w:rPr>
        <w:t>University,</w:t>
      </w:r>
      <w:r>
        <w:rPr>
          <w:b/>
          <w:spacing w:val="-3"/>
          <w:sz w:val="24"/>
        </w:rPr>
        <w:t> </w:t>
      </w:r>
      <w:r>
        <w:rPr>
          <w:b/>
          <w:sz w:val="24"/>
        </w:rPr>
        <w:t>Zaria,</w:t>
      </w:r>
      <w:r>
        <w:rPr>
          <w:b/>
          <w:spacing w:val="-2"/>
          <w:sz w:val="24"/>
        </w:rPr>
        <w: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5"/>
        <w:rPr>
          <w:b/>
        </w:rPr>
      </w:pPr>
    </w:p>
    <w:p>
      <w:pPr>
        <w:pStyle w:val="BodyText"/>
        <w:ind w:left="1391" w:right="1991"/>
        <w:jc w:val="center"/>
      </w:pPr>
      <w:r>
        <w:rPr/>
        <w:t>FEBRUARY,</w:t>
      </w:r>
      <w:r>
        <w:rPr>
          <w:spacing w:val="-3"/>
        </w:rPr>
        <w:t> </w:t>
      </w:r>
      <w:r>
        <w:rPr>
          <w:spacing w:val="-4"/>
        </w:rPr>
        <w:t>2016</w:t>
      </w:r>
    </w:p>
    <w:p>
      <w:pPr>
        <w:spacing w:after="0"/>
        <w:jc w:val="center"/>
        <w:sectPr>
          <w:type w:val="continuous"/>
          <w:pgSz w:w="11910" w:h="16840"/>
          <w:pgMar w:top="1360" w:bottom="280" w:left="1180" w:right="580"/>
        </w:sectPr>
      </w:pPr>
    </w:p>
    <w:p>
      <w:pPr>
        <w:pStyle w:val="BodyText"/>
        <w:spacing w:before="76"/>
        <w:ind w:left="1391" w:right="1988"/>
        <w:jc w:val="center"/>
      </w:pPr>
      <w:r>
        <w:rPr>
          <w:spacing w:val="-2"/>
        </w:rPr>
        <w:t>DECLARATION</w:t>
      </w:r>
    </w:p>
    <w:p>
      <w:pPr>
        <w:pStyle w:val="BodyText"/>
        <w:spacing w:line="360" w:lineRule="auto" w:before="137"/>
        <w:ind w:left="260" w:right="854"/>
        <w:jc w:val="both"/>
      </w:pPr>
      <w:r>
        <w:rPr/>
        <w:t>I declare that the work in the dissertation entitled ―Antimalarial Susceptibility and Drug Resistance Characterization Studies of </w:t>
      </w:r>
      <w:r>
        <w:rPr>
          <w:i/>
        </w:rPr>
        <w:t>Plasmodium </w:t>
      </w:r>
      <w:r>
        <w:rPr/>
        <w:t>species Isolates from Patients in Sabon- Wuse, Niger State, Nigeria‖ has been performed by me in the Department of Pharmaceutics and Pharmaceutical Microbiology under the supervision of Professor J. O. Ehinmidu and Professor (Mrs.) A. R. Oyi. The information derived from the literature has been duly acknowledged in the text and a list of references provided. No part of this dissertation was previously presented for another degree or diploma at any university.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260"/>
        <w:jc w:val="both"/>
      </w:pPr>
      <w:r>
        <w:rPr/>
        <w:t>Mary</w:t>
      </w:r>
      <w:r>
        <w:rPr>
          <w:spacing w:val="-4"/>
        </w:rPr>
        <w:t> </w:t>
      </w:r>
      <w:r>
        <w:rPr/>
        <w:t>Aduke </w:t>
      </w:r>
      <w:r>
        <w:rPr>
          <w:spacing w:val="-4"/>
        </w:rPr>
        <w:t>JIMOH</w:t>
      </w:r>
    </w:p>
    <w:p>
      <w:pPr>
        <w:pStyle w:val="BodyText"/>
        <w:spacing w:before="17"/>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172131</wp:posOffset>
                </wp:positionV>
                <wp:extent cx="1219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53632pt;width:96pt;height:.1pt;mso-position-horizontal-relative:page;mso-position-vertical-relative:paragraph;z-index:-15728640;mso-wrap-distance-left:0;mso-wrap-distance-right:0" id="docshape2" coordorigin="1440,271" coordsize="1920,0" path="m1440,271l3360,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3201035</wp:posOffset>
                </wp:positionH>
                <wp:positionV relativeFrom="paragraph">
                  <wp:posOffset>172131</wp:posOffset>
                </wp:positionV>
                <wp:extent cx="1295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050003pt;margin-top:13.553632pt;width:102pt;height:.1pt;mso-position-horizontal-relative:page;mso-position-vertical-relative:paragraph;z-index:-15728128;mso-wrap-distance-left:0;mso-wrap-distance-right:0" id="docshape3" coordorigin="5041,271" coordsize="2040,0" path="m5041,271l7081,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5030089</wp:posOffset>
                </wp:positionH>
                <wp:positionV relativeFrom="paragraph">
                  <wp:posOffset>172131</wp:posOffset>
                </wp:positionV>
                <wp:extent cx="838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838200" cy="1270"/>
                        </a:xfrm>
                        <a:custGeom>
                          <a:avLst/>
                          <a:gdLst/>
                          <a:ahLst/>
                          <a:cxnLst/>
                          <a:rect l="l" t="t" r="r" b="b"/>
                          <a:pathLst>
                            <a:path w="838200" h="0">
                              <a:moveTo>
                                <a:pt x="0" y="0"/>
                              </a:moveTo>
                              <a:lnTo>
                                <a:pt x="838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3.553632pt;width:66pt;height:.1pt;mso-position-horizontal-relative:page;mso-position-vertical-relative:paragraph;z-index:-15727616;mso-wrap-distance-left:0;mso-wrap-distance-right:0" id="docshape4" coordorigin="7921,271" coordsize="1320,0" path="m7921,271l9241,271e" filled="false" stroked="true" strokeweight=".487125pt" strokecolor="#000000">
                <v:path arrowok="t"/>
                <v:stroke dashstyle="solid"/>
                <w10:wrap type="topAndBottom"/>
              </v:shape>
            </w:pict>
          </mc:Fallback>
        </mc:AlternateContent>
      </w:r>
    </w:p>
    <w:p>
      <w:pPr>
        <w:pStyle w:val="BodyText"/>
        <w:tabs>
          <w:tab w:pos="4580" w:val="left" w:leader="none"/>
          <w:tab w:pos="7461" w:val="left" w:leader="none"/>
        </w:tabs>
        <w:spacing w:before="3"/>
        <w:ind w:left="260"/>
      </w:pPr>
      <w:r>
        <w:rPr/>
        <w:t>Name</w:t>
      </w:r>
      <w:r>
        <w:rPr>
          <w:spacing w:val="-2"/>
        </w:rPr>
        <w:t> </w:t>
      </w:r>
      <w:r>
        <w:rPr/>
        <w:t>of</w:t>
      </w:r>
      <w:r>
        <w:rPr>
          <w:spacing w:val="-2"/>
        </w:rPr>
        <w:t> Student</w:t>
      </w:r>
      <w:r>
        <w:rPr/>
        <w:tab/>
      </w:r>
      <w:r>
        <w:rPr>
          <w:spacing w:val="-2"/>
        </w:rPr>
        <w:t>Signature</w:t>
      </w:r>
      <w:r>
        <w:rPr/>
        <w:tab/>
      </w:r>
      <w:r>
        <w:rPr>
          <w:spacing w:val="-4"/>
        </w:rPr>
        <w:t>Date</w:t>
      </w:r>
    </w:p>
    <w:p>
      <w:pPr>
        <w:spacing w:after="0"/>
        <w:sectPr>
          <w:footerReference w:type="default" r:id="rId5"/>
          <w:pgSz w:w="11910" w:h="16840"/>
          <w:pgMar w:header="0" w:footer="1014" w:top="1340" w:bottom="1200" w:left="1180" w:right="580"/>
          <w:pgNumType w:start="2"/>
        </w:sectPr>
      </w:pPr>
    </w:p>
    <w:p>
      <w:pPr>
        <w:pStyle w:val="Heading1"/>
        <w:spacing w:before="61"/>
        <w:ind w:left="1391" w:right="1989"/>
      </w:pPr>
      <w:bookmarkStart w:name="_TOC_250047" w:id="1"/>
      <w:bookmarkEnd w:id="1"/>
      <w:r>
        <w:rPr>
          <w:spacing w:val="-2"/>
        </w:rPr>
        <w:t>CERTIFICATION</w:t>
      </w:r>
    </w:p>
    <w:p>
      <w:pPr>
        <w:pStyle w:val="BodyText"/>
        <w:spacing w:line="360" w:lineRule="auto" w:before="132"/>
        <w:ind w:left="260" w:right="856"/>
        <w:jc w:val="both"/>
      </w:pPr>
      <w:r>
        <w:rPr/>
        <w:t>This dissertation entitled ―Antimalarial Susceptibility and Drug Resistance Characterization Studies of </w:t>
      </w:r>
      <w:r>
        <w:rPr>
          <w:i/>
        </w:rPr>
        <w:t>Plasmodium </w:t>
      </w:r>
      <w:r>
        <w:rPr/>
        <w:t>species Isolates from Patients in Sabon-Wuse, Niger State, Nigeria‖ meets the regulations governing the award of Master of Science (Pharmaceutical Microbiology) of Ahmadu Bello University, Zaria, and is approved for its contribution to knowledge and literary contribution.</w:t>
      </w:r>
    </w:p>
    <w:p>
      <w:pPr>
        <w:pStyle w:val="BodyText"/>
        <w:rPr>
          <w:sz w:val="20"/>
        </w:rPr>
      </w:pPr>
    </w:p>
    <w:p>
      <w:pPr>
        <w:pStyle w:val="BodyText"/>
        <w:rPr>
          <w:sz w:val="20"/>
        </w:rPr>
      </w:pP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171212</wp:posOffset>
                </wp:positionV>
                <wp:extent cx="2057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81336pt;width:162pt;height:.1pt;mso-position-horizontal-relative:page;mso-position-vertical-relative:paragraph;z-index:-15727104;mso-wrap-distance-left:0;mso-wrap-distance-right:0" id="docshape5" coordorigin="1440,270" coordsize="3240,0" path="m1440,270l4680,27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4572889</wp:posOffset>
                </wp:positionH>
                <wp:positionV relativeFrom="paragraph">
                  <wp:posOffset>171212</wp:posOffset>
                </wp:positionV>
                <wp:extent cx="1066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3.481336pt;width:84pt;height:.1pt;mso-position-horizontal-relative:page;mso-position-vertical-relative:paragraph;z-index:-15726592;mso-wrap-distance-left:0;mso-wrap-distance-right:0" id="docshape6" coordorigin="7201,270" coordsize="1680,0" path="m7201,270l8881,270e" filled="false" stroked="true" strokeweight=".487125pt" strokecolor="#000000">
                <v:path arrowok="t"/>
                <v:stroke dashstyle="solid"/>
                <w10:wrap type="topAndBottom"/>
              </v:shape>
            </w:pict>
          </mc:Fallback>
        </mc:AlternateContent>
      </w:r>
    </w:p>
    <w:p>
      <w:pPr>
        <w:pStyle w:val="BodyText"/>
        <w:tabs>
          <w:tab w:pos="6501" w:val="left" w:leader="none"/>
        </w:tabs>
        <w:ind w:left="260"/>
      </w:pPr>
      <w:r>
        <w:rPr/>
        <w:t>Professor</w:t>
      </w:r>
      <w:r>
        <w:rPr>
          <w:spacing w:val="-3"/>
        </w:rPr>
        <w:t> </w:t>
      </w:r>
      <w:r>
        <w:rPr/>
        <w:t>J. O. </w:t>
      </w:r>
      <w:r>
        <w:rPr>
          <w:spacing w:val="-2"/>
        </w:rPr>
        <w:t>Ehinmidu</w:t>
      </w:r>
      <w:r>
        <w:rPr/>
        <w:tab/>
      </w:r>
      <w:r>
        <w:rPr>
          <w:spacing w:val="-4"/>
        </w:rPr>
        <w:t>Date</w:t>
      </w:r>
    </w:p>
    <w:p>
      <w:pPr>
        <w:pStyle w:val="BodyText"/>
        <w:ind w:left="320"/>
      </w:pPr>
      <w:r>
        <w:rPr/>
        <w:t>(Chairman</w:t>
      </w:r>
      <w:r>
        <w:rPr>
          <w:spacing w:val="-1"/>
        </w:rPr>
        <w:t> </w:t>
      </w:r>
      <w:r>
        <w:rPr/>
        <w:t>Supervisory</w:t>
      </w:r>
      <w:r>
        <w:rPr>
          <w:spacing w:val="-2"/>
        </w:rPr>
        <w:t> Committee)</w:t>
      </w:r>
    </w:p>
    <w:p>
      <w:pPr>
        <w:pStyle w:val="BodyText"/>
        <w:rPr>
          <w:sz w:val="20"/>
        </w:rPr>
      </w:pPr>
    </w:p>
    <w:p>
      <w:pPr>
        <w:pStyle w:val="BodyText"/>
        <w:rPr>
          <w:sz w:val="20"/>
        </w:rPr>
      </w:pP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172996</wp:posOffset>
                </wp:positionV>
                <wp:extent cx="2057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621733pt;width:162pt;height:.1pt;mso-position-horizontal-relative:page;mso-position-vertical-relative:paragraph;z-index:-15726080;mso-wrap-distance-left:0;mso-wrap-distance-right:0" id="docshape7" coordorigin="1440,272" coordsize="3240,0" path="m1440,272l4680,27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4572889</wp:posOffset>
                </wp:positionH>
                <wp:positionV relativeFrom="paragraph">
                  <wp:posOffset>172996</wp:posOffset>
                </wp:positionV>
                <wp:extent cx="1066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3.621733pt;width:84pt;height:.1pt;mso-position-horizontal-relative:page;mso-position-vertical-relative:paragraph;z-index:-15725568;mso-wrap-distance-left:0;mso-wrap-distance-right:0" id="docshape8" coordorigin="7201,272" coordsize="1680,0" path="m7201,272l8881,272e" filled="false" stroked="true" strokeweight=".487125pt" strokecolor="#000000">
                <v:path arrowok="t"/>
                <v:stroke dashstyle="solid"/>
                <w10:wrap type="topAndBottom"/>
              </v:shape>
            </w:pict>
          </mc:Fallback>
        </mc:AlternateContent>
      </w:r>
    </w:p>
    <w:p>
      <w:pPr>
        <w:pStyle w:val="BodyText"/>
        <w:tabs>
          <w:tab w:pos="6501" w:val="left" w:leader="none"/>
        </w:tabs>
        <w:ind w:left="260"/>
      </w:pPr>
      <w:r>
        <w:rPr/>
        <w:t>Professor</w:t>
      </w:r>
      <w:r>
        <w:rPr>
          <w:spacing w:val="-4"/>
        </w:rPr>
        <w:t> </w:t>
      </w:r>
      <w:r>
        <w:rPr/>
        <w:t>(Mrs.)</w:t>
      </w:r>
      <w:r>
        <w:rPr>
          <w:spacing w:val="-1"/>
        </w:rPr>
        <w:t> </w:t>
      </w:r>
      <w:r>
        <w:rPr/>
        <w:t>A.</w:t>
      </w:r>
      <w:r>
        <w:rPr>
          <w:spacing w:val="-1"/>
        </w:rPr>
        <w:t> </w:t>
      </w:r>
      <w:r>
        <w:rPr/>
        <w:t>R.</w:t>
      </w:r>
      <w:r>
        <w:rPr>
          <w:spacing w:val="-1"/>
        </w:rPr>
        <w:t> </w:t>
      </w:r>
      <w:r>
        <w:rPr>
          <w:spacing w:val="-5"/>
        </w:rPr>
        <w:t>Oyi</w:t>
      </w:r>
      <w:r>
        <w:rPr/>
        <w:tab/>
      </w:r>
      <w:r>
        <w:rPr>
          <w:spacing w:val="-4"/>
        </w:rPr>
        <w:t>Date</w:t>
      </w:r>
    </w:p>
    <w:p>
      <w:pPr>
        <w:pStyle w:val="BodyText"/>
        <w:ind w:left="260"/>
      </w:pPr>
      <w:r>
        <w:rPr/>
        <w:t>(Member</w:t>
      </w:r>
      <w:r>
        <w:rPr>
          <w:spacing w:val="-2"/>
        </w:rPr>
        <w:t> </w:t>
      </w:r>
      <w:r>
        <w:rPr/>
        <w:t>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8"/>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230170</wp:posOffset>
                </wp:positionV>
                <wp:extent cx="2057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23625pt;width:162pt;height:.1pt;mso-position-horizontal-relative:page;mso-position-vertical-relative:paragraph;z-index:-15725056;mso-wrap-distance-left:0;mso-wrap-distance-right:0" id="docshape9" coordorigin="1440,362" coordsize="3240,0" path="m1440,362l4680,36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4572889</wp:posOffset>
                </wp:positionH>
                <wp:positionV relativeFrom="paragraph">
                  <wp:posOffset>230170</wp:posOffset>
                </wp:positionV>
                <wp:extent cx="1066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8.123625pt;width:84pt;height:.1pt;mso-position-horizontal-relative:page;mso-position-vertical-relative:paragraph;z-index:-15724544;mso-wrap-distance-left:0;mso-wrap-distance-right:0" id="docshape10" coordorigin="7201,362" coordsize="1680,0" path="m7201,362l8881,362e" filled="false" stroked="true" strokeweight=".487125pt" strokecolor="#000000">
                <v:path arrowok="t"/>
                <v:stroke dashstyle="solid"/>
                <w10:wrap type="topAndBottom"/>
              </v:shape>
            </w:pict>
          </mc:Fallback>
        </mc:AlternateContent>
      </w:r>
    </w:p>
    <w:p>
      <w:pPr>
        <w:pStyle w:val="BodyText"/>
        <w:tabs>
          <w:tab w:pos="6501" w:val="left" w:leader="none"/>
        </w:tabs>
        <w:ind w:left="260"/>
      </w:pPr>
      <w:r>
        <w:rPr/>
        <w:t>Prof.</w:t>
      </w:r>
      <w:r>
        <w:rPr>
          <w:spacing w:val="-4"/>
        </w:rPr>
        <w:t> </w:t>
      </w:r>
      <w:r>
        <w:rPr/>
        <w:t>A.</w:t>
      </w:r>
      <w:r>
        <w:rPr>
          <w:spacing w:val="-2"/>
        </w:rPr>
        <w:t> </w:t>
      </w:r>
      <w:r>
        <w:rPr/>
        <w:t>B.</w:t>
      </w:r>
      <w:r>
        <w:rPr>
          <w:spacing w:val="1"/>
        </w:rPr>
        <w:t> </w:t>
      </w:r>
      <w:r>
        <w:rPr>
          <w:spacing w:val="-4"/>
        </w:rPr>
        <w:t>Isah</w:t>
      </w:r>
      <w:r>
        <w:rPr/>
        <w:tab/>
      </w:r>
      <w:r>
        <w:rPr>
          <w:spacing w:val="-4"/>
        </w:rPr>
        <w:t>Date</w:t>
      </w:r>
    </w:p>
    <w:p>
      <w:pPr>
        <w:pStyle w:val="BodyText"/>
        <w:ind w:left="260"/>
      </w:pPr>
      <w:r>
        <w:rPr/>
        <w:t>Head</w:t>
      </w:r>
      <w:r>
        <w:rPr>
          <w:spacing w:val="-2"/>
        </w:rPr>
        <w:t> </w:t>
      </w:r>
      <w:r>
        <w:rPr/>
        <w:t>of </w:t>
      </w:r>
      <w:r>
        <w:rPr>
          <w:spacing w:val="-2"/>
        </w:rPr>
        <w:t>Department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231440</wp:posOffset>
                </wp:positionV>
                <wp:extent cx="2057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223661pt;width:162pt;height:.1pt;mso-position-horizontal-relative:page;mso-position-vertical-relative:paragraph;z-index:-15724032;mso-wrap-distance-left:0;mso-wrap-distance-right:0" id="docshape11" coordorigin="1440,364" coordsize="3240,0" path="m1440,364l468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4572889</wp:posOffset>
                </wp:positionH>
                <wp:positionV relativeFrom="paragraph">
                  <wp:posOffset>231440</wp:posOffset>
                </wp:positionV>
                <wp:extent cx="10668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8.223661pt;width:84pt;height:.1pt;mso-position-horizontal-relative:page;mso-position-vertical-relative:paragraph;z-index:-15723520;mso-wrap-distance-left:0;mso-wrap-distance-right:0" id="docshape12" coordorigin="7201,364" coordsize="1680,0" path="m7201,364l8881,364e" filled="false" stroked="true" strokeweight=".487125pt" strokecolor="#000000">
                <v:path arrowok="t"/>
                <v:stroke dashstyle="solid"/>
                <w10:wrap type="topAndBottom"/>
              </v:shape>
            </w:pict>
          </mc:Fallback>
        </mc:AlternateContent>
      </w:r>
    </w:p>
    <w:p>
      <w:pPr>
        <w:pStyle w:val="BodyText"/>
        <w:tabs>
          <w:tab w:pos="6501" w:val="left" w:leader="none"/>
        </w:tabs>
        <w:ind w:left="260"/>
      </w:pPr>
      <w:r>
        <w:rPr/>
        <w:t>Professor</w:t>
      </w:r>
      <w:r>
        <w:rPr>
          <w:spacing w:val="-2"/>
        </w:rPr>
        <w:t> </w:t>
      </w:r>
      <w:r>
        <w:rPr/>
        <w:t>K. </w:t>
      </w:r>
      <w:r>
        <w:rPr>
          <w:spacing w:val="-4"/>
        </w:rPr>
        <w:t>Bala</w:t>
      </w:r>
      <w:r>
        <w:rPr/>
        <w:tab/>
      </w:r>
      <w:r>
        <w:rPr>
          <w:spacing w:val="-4"/>
        </w:rPr>
        <w:t>Date</w:t>
      </w:r>
    </w:p>
    <w:p>
      <w:pPr>
        <w:pStyle w:val="BodyText"/>
        <w:ind w:left="260"/>
      </w:pPr>
      <w:r>
        <w:rPr/>
        <w:t>Dean,</w:t>
      </w:r>
      <w:r>
        <w:rPr>
          <w:spacing w:val="-2"/>
        </w:rPr>
        <w:t> </w:t>
      </w:r>
      <w:r>
        <w:rPr/>
        <w:t>School</w:t>
      </w:r>
      <w:r>
        <w:rPr>
          <w:spacing w:val="-1"/>
        </w:rPr>
        <w:t> </w:t>
      </w:r>
      <w:r>
        <w:rPr/>
        <w:t>of</w:t>
      </w:r>
      <w:r>
        <w:rPr>
          <w:spacing w:val="-1"/>
        </w:rPr>
        <w:t> </w:t>
      </w:r>
      <w:r>
        <w:rPr/>
        <w:t>Postgraduate</w:t>
      </w:r>
      <w:r>
        <w:rPr>
          <w:spacing w:val="-1"/>
        </w:rPr>
        <w:t> </w:t>
      </w:r>
      <w:r>
        <w:rPr>
          <w:spacing w:val="-2"/>
        </w:rPr>
        <w:t>Studies</w:t>
      </w:r>
    </w:p>
    <w:p>
      <w:pPr>
        <w:spacing w:after="0"/>
        <w:sectPr>
          <w:pgSz w:w="11910" w:h="16840"/>
          <w:pgMar w:header="0" w:footer="1014" w:top="1360" w:bottom="1200" w:left="1180" w:right="580"/>
        </w:sectPr>
      </w:pPr>
    </w:p>
    <w:p>
      <w:pPr>
        <w:pStyle w:val="BodyText"/>
        <w:spacing w:before="41"/>
      </w:pPr>
    </w:p>
    <w:p>
      <w:pPr>
        <w:pStyle w:val="Heading1"/>
        <w:spacing w:before="0"/>
        <w:ind w:left="1391" w:right="1989"/>
      </w:pPr>
      <w:bookmarkStart w:name="_TOC_250046" w:id="2"/>
      <w:bookmarkEnd w:id="2"/>
      <w:r>
        <w:rPr>
          <w:spacing w:val="-2"/>
        </w:rPr>
        <w:t>DEDICATION</w:t>
      </w:r>
    </w:p>
    <w:p>
      <w:pPr>
        <w:pStyle w:val="BodyText"/>
        <w:spacing w:before="134"/>
        <w:ind w:left="260"/>
      </w:pPr>
      <w:r>
        <w:rPr/>
        <w:t>This</w:t>
      </w:r>
      <w:r>
        <w:rPr>
          <w:spacing w:val="-1"/>
        </w:rPr>
        <w:t> </w:t>
      </w:r>
      <w:r>
        <w:rPr/>
        <w:t>dissertation</w:t>
      </w:r>
      <w:r>
        <w:rPr>
          <w:spacing w:val="-1"/>
        </w:rPr>
        <w:t> </w:t>
      </w:r>
      <w:r>
        <w:rPr/>
        <w:t>is dedicated</w:t>
      </w:r>
      <w:r>
        <w:rPr>
          <w:spacing w:val="-1"/>
        </w:rPr>
        <w:t> </w:t>
      </w:r>
      <w:r>
        <w:rPr/>
        <w:t>to Almighty</w:t>
      </w:r>
      <w:r>
        <w:rPr>
          <w:spacing w:val="-6"/>
        </w:rPr>
        <w:t> </w:t>
      </w:r>
      <w:r>
        <w:rPr/>
        <w:t>God,</w:t>
      </w:r>
      <w:r>
        <w:rPr>
          <w:spacing w:val="-1"/>
        </w:rPr>
        <w:t> </w:t>
      </w:r>
      <w:r>
        <w:rPr/>
        <w:t>the</w:t>
      </w:r>
      <w:r>
        <w:rPr>
          <w:spacing w:val="-1"/>
        </w:rPr>
        <w:t> </w:t>
      </w:r>
      <w:r>
        <w:rPr/>
        <w:t>Most</w:t>
      </w:r>
      <w:r>
        <w:rPr>
          <w:spacing w:val="-1"/>
        </w:rPr>
        <w:t> </w:t>
      </w:r>
      <w:r>
        <w:rPr/>
        <w:t>High and</w:t>
      </w:r>
      <w:r>
        <w:rPr>
          <w:spacing w:val="1"/>
        </w:rPr>
        <w:t> </w:t>
      </w:r>
      <w:r>
        <w:rPr/>
        <w:t>everlasting</w:t>
      </w:r>
      <w:r>
        <w:rPr>
          <w:spacing w:val="-3"/>
        </w:rPr>
        <w:t> </w:t>
      </w:r>
      <w:r>
        <w:rPr>
          <w:spacing w:val="-4"/>
        </w:rPr>
        <w:t>one.</w:t>
      </w:r>
    </w:p>
    <w:p>
      <w:pPr>
        <w:spacing w:after="0"/>
        <w:sectPr>
          <w:pgSz w:w="11910" w:h="16840"/>
          <w:pgMar w:header="0" w:footer="1014" w:top="1920" w:bottom="1200" w:left="1180" w:right="580"/>
        </w:sectPr>
      </w:pPr>
    </w:p>
    <w:p>
      <w:pPr>
        <w:pStyle w:val="Heading1"/>
        <w:ind w:left="155" w:right="754"/>
      </w:pPr>
      <w:bookmarkStart w:name="_TOC_250045" w:id="3"/>
      <w:bookmarkEnd w:id="3"/>
      <w:r>
        <w:rPr>
          <w:spacing w:val="-2"/>
        </w:rPr>
        <w:t>ACKNOWLEDGEMENT</w:t>
      </w:r>
    </w:p>
    <w:p>
      <w:pPr>
        <w:pStyle w:val="BodyText"/>
        <w:spacing w:line="480" w:lineRule="auto" w:before="272"/>
        <w:ind w:left="260" w:right="860"/>
        <w:jc w:val="both"/>
      </w:pPr>
      <w:r>
        <w:rPr/>
        <w:t>First and foremost, I want to thank God for His Grace and Mercy throughout the course of this work. Indeed God has been so merciful to me. I give Him all the Glory and Praise.</w:t>
      </w:r>
    </w:p>
    <w:p>
      <w:pPr>
        <w:pStyle w:val="BodyText"/>
      </w:pPr>
    </w:p>
    <w:p>
      <w:pPr>
        <w:pStyle w:val="BodyText"/>
      </w:pPr>
    </w:p>
    <w:p>
      <w:pPr>
        <w:pStyle w:val="BodyText"/>
        <w:spacing w:line="480" w:lineRule="auto"/>
        <w:ind w:left="260" w:right="860"/>
        <w:jc w:val="both"/>
      </w:pPr>
      <w:r>
        <w:rPr/>
        <w:t>My profound gratitude goes to my supervisor Prof. J. O. Ehinmidu for his support and unrelenting guidance on the research. I also want to say big thank you to my second supervisor Prof. (Mrs) A.R. Oyi for her assistance and kind advice.</w:t>
      </w:r>
    </w:p>
    <w:p>
      <w:pPr>
        <w:pStyle w:val="BodyText"/>
      </w:pPr>
    </w:p>
    <w:p>
      <w:pPr>
        <w:pStyle w:val="BodyText"/>
      </w:pPr>
    </w:p>
    <w:p>
      <w:pPr>
        <w:pStyle w:val="BodyText"/>
        <w:spacing w:line="480" w:lineRule="auto" w:before="1"/>
        <w:ind w:left="260" w:right="856"/>
        <w:jc w:val="both"/>
      </w:pPr>
      <w:r>
        <w:rPr/>
        <w:t>My appreciation goes to some of my lecturers: Prof. J. A. Onaolapo, Dr (Mrs) K. Mshebwuala, Prof. (Mrs) G. O. Adeshina and Dr. B. O. Olayinka for their words of encouragements. I want to say big thank you to the laboratory scientists in the laboratories where I carried out this research: Mallam B. Kegun, the HOD Laboratory and Mallam M. Mohammed</w:t>
      </w:r>
      <w:r>
        <w:rPr>
          <w:spacing w:val="10"/>
        </w:rPr>
        <w:t> </w:t>
      </w:r>
      <w:r>
        <w:rPr/>
        <w:t>both</w:t>
      </w:r>
      <w:r>
        <w:rPr>
          <w:spacing w:val="12"/>
        </w:rPr>
        <w:t> </w:t>
      </w:r>
      <w:r>
        <w:rPr/>
        <w:t>of</w:t>
      </w:r>
      <w:r>
        <w:rPr>
          <w:spacing w:val="11"/>
        </w:rPr>
        <w:t> </w:t>
      </w:r>
      <w:r>
        <w:rPr/>
        <w:t>Umaru</w:t>
      </w:r>
      <w:r>
        <w:rPr>
          <w:spacing w:val="10"/>
        </w:rPr>
        <w:t> </w:t>
      </w:r>
      <w:r>
        <w:rPr/>
        <w:t>Musa</w:t>
      </w:r>
      <w:r>
        <w:rPr>
          <w:spacing w:val="11"/>
        </w:rPr>
        <w:t> </w:t>
      </w:r>
      <w:r>
        <w:rPr/>
        <w:t>Yaradua</w:t>
      </w:r>
      <w:r>
        <w:rPr>
          <w:spacing w:val="10"/>
        </w:rPr>
        <w:t> </w:t>
      </w:r>
      <w:r>
        <w:rPr/>
        <w:t>Memorial</w:t>
      </w:r>
      <w:r>
        <w:rPr>
          <w:spacing w:val="10"/>
        </w:rPr>
        <w:t> </w:t>
      </w:r>
      <w:r>
        <w:rPr/>
        <w:t>Hospital</w:t>
      </w:r>
      <w:r>
        <w:rPr>
          <w:spacing w:val="12"/>
        </w:rPr>
        <w:t> </w:t>
      </w:r>
      <w:r>
        <w:rPr/>
        <w:t>(UMYMH)</w:t>
      </w:r>
      <w:r>
        <w:rPr>
          <w:spacing w:val="15"/>
        </w:rPr>
        <w:t> </w:t>
      </w:r>
      <w:r>
        <w:rPr/>
        <w:t>Sabon-Wuse,</w:t>
      </w:r>
      <w:r>
        <w:rPr>
          <w:spacing w:val="11"/>
        </w:rPr>
        <w:t> </w:t>
      </w:r>
      <w:r>
        <w:rPr>
          <w:spacing w:val="-5"/>
        </w:rPr>
        <w:t>Mr.</w:t>
      </w:r>
    </w:p>
    <w:p>
      <w:pPr>
        <w:pStyle w:val="BodyText"/>
        <w:spacing w:line="480" w:lineRule="auto"/>
        <w:ind w:left="260" w:right="856"/>
        <w:jc w:val="both"/>
      </w:pPr>
      <w:r>
        <w:rPr/>
        <w:t>E. Gaiye of Haematological Department, General Hospital, Minna and Mr. K. Ibrahim of</w:t>
      </w:r>
      <w:r>
        <w:rPr>
          <w:spacing w:val="40"/>
        </w:rPr>
        <w:t> </w:t>
      </w:r>
      <w:r>
        <w:rPr/>
        <w:t>Step B Laboratory, Federal University of Technology, Minna for their great assistance.</w:t>
      </w:r>
    </w:p>
    <w:p>
      <w:pPr>
        <w:pStyle w:val="BodyText"/>
      </w:pPr>
    </w:p>
    <w:p>
      <w:pPr>
        <w:pStyle w:val="BodyText"/>
      </w:pPr>
    </w:p>
    <w:p>
      <w:pPr>
        <w:pStyle w:val="BodyText"/>
        <w:spacing w:line="480" w:lineRule="auto"/>
        <w:ind w:left="260" w:right="852"/>
        <w:jc w:val="both"/>
      </w:pPr>
      <w:r>
        <w:rPr/>
        <w:t>My thanks goes to some of my friends: Prof. and Dr. (Mrs) Bolorunduro of NAERLS, ABU, Zaria for being my host and also for their encouragement throughout this study, Hajia M. Ahmed HOD Pharmacy Department UMYMH Sabon-Wuse for her assistance in securing ethical approval from the hospital as well as being my host also in Sabon-Wuse. I also appreciate Mrs O.O. Kolo (a PhD student) of Microbiology Department, Federal University</w:t>
      </w:r>
      <w:r>
        <w:rPr>
          <w:spacing w:val="40"/>
        </w:rPr>
        <w:t> </w:t>
      </w:r>
      <w:r>
        <w:rPr/>
        <w:t>of Technology, Minna for her technical advice.</w:t>
      </w:r>
    </w:p>
    <w:p>
      <w:pPr>
        <w:pStyle w:val="BodyText"/>
      </w:pPr>
    </w:p>
    <w:p>
      <w:pPr>
        <w:pStyle w:val="BodyText"/>
        <w:spacing w:before="2"/>
      </w:pPr>
    </w:p>
    <w:p>
      <w:pPr>
        <w:pStyle w:val="BodyText"/>
        <w:ind w:left="260"/>
        <w:jc w:val="both"/>
      </w:pPr>
      <w:r>
        <w:rPr/>
        <w:t>I</w:t>
      </w:r>
      <w:r>
        <w:rPr>
          <w:spacing w:val="8"/>
        </w:rPr>
        <w:t> </w:t>
      </w:r>
      <w:r>
        <w:rPr/>
        <w:t>will</w:t>
      </w:r>
      <w:r>
        <w:rPr>
          <w:spacing w:val="11"/>
        </w:rPr>
        <w:t> </w:t>
      </w:r>
      <w:r>
        <w:rPr/>
        <w:t>not</w:t>
      </w:r>
      <w:r>
        <w:rPr>
          <w:spacing w:val="11"/>
        </w:rPr>
        <w:t> </w:t>
      </w:r>
      <w:r>
        <w:rPr/>
        <w:t>fail</w:t>
      </w:r>
      <w:r>
        <w:rPr>
          <w:spacing w:val="11"/>
        </w:rPr>
        <w:t> </w:t>
      </w:r>
      <w:r>
        <w:rPr/>
        <w:t>to</w:t>
      </w:r>
      <w:r>
        <w:rPr>
          <w:spacing w:val="12"/>
        </w:rPr>
        <w:t> </w:t>
      </w:r>
      <w:r>
        <w:rPr/>
        <w:t>acknowledge</w:t>
      </w:r>
      <w:r>
        <w:rPr>
          <w:spacing w:val="9"/>
        </w:rPr>
        <w:t> </w:t>
      </w:r>
      <w:r>
        <w:rPr/>
        <w:t>the</w:t>
      </w:r>
      <w:r>
        <w:rPr>
          <w:spacing w:val="12"/>
        </w:rPr>
        <w:t> </w:t>
      </w:r>
      <w:r>
        <w:rPr/>
        <w:t>role</w:t>
      </w:r>
      <w:r>
        <w:rPr>
          <w:spacing w:val="9"/>
        </w:rPr>
        <w:t> </w:t>
      </w:r>
      <w:r>
        <w:rPr/>
        <w:t>played</w:t>
      </w:r>
      <w:r>
        <w:rPr>
          <w:spacing w:val="13"/>
        </w:rPr>
        <w:t> </w:t>
      </w:r>
      <w:r>
        <w:rPr/>
        <w:t>in</w:t>
      </w:r>
      <w:r>
        <w:rPr>
          <w:spacing w:val="11"/>
        </w:rPr>
        <w:t> </w:t>
      </w:r>
      <w:r>
        <w:rPr/>
        <w:t>the</w:t>
      </w:r>
      <w:r>
        <w:rPr>
          <w:spacing w:val="10"/>
        </w:rPr>
        <w:t> </w:t>
      </w:r>
      <w:r>
        <w:rPr/>
        <w:t>DNA</w:t>
      </w:r>
      <w:r>
        <w:rPr>
          <w:spacing w:val="12"/>
        </w:rPr>
        <w:t> </w:t>
      </w:r>
      <w:r>
        <w:rPr/>
        <w:t>analysis</w:t>
      </w:r>
      <w:r>
        <w:rPr>
          <w:spacing w:val="12"/>
        </w:rPr>
        <w:t> </w:t>
      </w:r>
      <w:r>
        <w:rPr/>
        <w:t>aspect</w:t>
      </w:r>
      <w:r>
        <w:rPr>
          <w:spacing w:val="13"/>
        </w:rPr>
        <w:t> </w:t>
      </w:r>
      <w:r>
        <w:rPr/>
        <w:t>of</w:t>
      </w:r>
      <w:r>
        <w:rPr>
          <w:spacing w:val="10"/>
        </w:rPr>
        <w:t> </w:t>
      </w:r>
      <w:r>
        <w:rPr/>
        <w:t>this</w:t>
      </w:r>
      <w:r>
        <w:rPr>
          <w:spacing w:val="19"/>
        </w:rPr>
        <w:t> </w:t>
      </w:r>
      <w:r>
        <w:rPr/>
        <w:t>research</w:t>
      </w:r>
      <w:r>
        <w:rPr>
          <w:spacing w:val="12"/>
        </w:rPr>
        <w:t> </w:t>
      </w:r>
      <w:r>
        <w:rPr>
          <w:spacing w:val="-5"/>
        </w:rPr>
        <w:t>by</w:t>
      </w:r>
    </w:p>
    <w:p>
      <w:pPr>
        <w:pStyle w:val="BodyText"/>
      </w:pPr>
    </w:p>
    <w:p>
      <w:pPr>
        <w:pStyle w:val="BodyText"/>
        <w:ind w:left="260"/>
        <w:jc w:val="both"/>
      </w:pPr>
      <w:r>
        <w:rPr/>
        <w:t>J.</w:t>
      </w:r>
      <w:r>
        <w:rPr>
          <w:spacing w:val="31"/>
        </w:rPr>
        <w:t>  </w:t>
      </w:r>
      <w:r>
        <w:rPr/>
        <w:t>C.</w:t>
      </w:r>
      <w:r>
        <w:rPr>
          <w:spacing w:val="32"/>
        </w:rPr>
        <w:t>  </w:t>
      </w:r>
      <w:r>
        <w:rPr/>
        <w:t>Igwe</w:t>
      </w:r>
      <w:r>
        <w:rPr>
          <w:spacing w:val="31"/>
        </w:rPr>
        <w:t>  </w:t>
      </w:r>
      <w:r>
        <w:rPr/>
        <w:t>(a</w:t>
      </w:r>
      <w:r>
        <w:rPr>
          <w:spacing w:val="31"/>
        </w:rPr>
        <w:t>  </w:t>
      </w:r>
      <w:r>
        <w:rPr/>
        <w:t>PhD</w:t>
      </w:r>
      <w:r>
        <w:rPr>
          <w:spacing w:val="32"/>
        </w:rPr>
        <w:t>  </w:t>
      </w:r>
      <w:r>
        <w:rPr/>
        <w:t>student)</w:t>
      </w:r>
      <w:r>
        <w:rPr>
          <w:spacing w:val="31"/>
        </w:rPr>
        <w:t>  </w:t>
      </w:r>
      <w:r>
        <w:rPr/>
        <w:t>of</w:t>
      </w:r>
      <w:r>
        <w:rPr>
          <w:spacing w:val="31"/>
        </w:rPr>
        <w:t>  </w:t>
      </w:r>
      <w:r>
        <w:rPr/>
        <w:t>Department</w:t>
      </w:r>
      <w:r>
        <w:rPr>
          <w:spacing w:val="33"/>
        </w:rPr>
        <w:t>  </w:t>
      </w:r>
      <w:r>
        <w:rPr/>
        <w:t>of</w:t>
      </w:r>
      <w:r>
        <w:rPr>
          <w:spacing w:val="31"/>
        </w:rPr>
        <w:t>  </w:t>
      </w:r>
      <w:r>
        <w:rPr/>
        <w:t>Pharmaceutics</w:t>
      </w:r>
      <w:r>
        <w:rPr>
          <w:spacing w:val="31"/>
        </w:rPr>
        <w:t>  </w:t>
      </w:r>
      <w:r>
        <w:rPr/>
        <w:t>and</w:t>
      </w:r>
      <w:r>
        <w:rPr>
          <w:spacing w:val="32"/>
        </w:rPr>
        <w:t>  </w:t>
      </w:r>
      <w:r>
        <w:rPr>
          <w:spacing w:val="-2"/>
        </w:rPr>
        <w:t>Pharmaceutical</w:t>
      </w:r>
    </w:p>
    <w:p>
      <w:pPr>
        <w:spacing w:after="0"/>
        <w:jc w:val="both"/>
        <w:sectPr>
          <w:pgSz w:w="11910" w:h="16840"/>
          <w:pgMar w:header="0" w:footer="1014" w:top="1340" w:bottom="1200" w:left="1180" w:right="580"/>
        </w:sectPr>
      </w:pPr>
    </w:p>
    <w:p>
      <w:pPr>
        <w:pStyle w:val="BodyText"/>
        <w:spacing w:line="480" w:lineRule="auto" w:before="74"/>
        <w:ind w:left="260" w:right="866"/>
        <w:jc w:val="both"/>
      </w:pPr>
      <w:r>
        <w:rPr/>
        <w:t>Microbiology, Faculty of Pharmaceutical Sciences, ABU, Zaria. Thanks so much for your </w:t>
      </w:r>
      <w:r>
        <w:rPr>
          <w:spacing w:val="-2"/>
        </w:rPr>
        <w:t>assistance.</w:t>
      </w:r>
    </w:p>
    <w:p>
      <w:pPr>
        <w:pStyle w:val="BodyText"/>
      </w:pPr>
    </w:p>
    <w:p>
      <w:pPr>
        <w:pStyle w:val="BodyText"/>
      </w:pPr>
    </w:p>
    <w:p>
      <w:pPr>
        <w:pStyle w:val="BodyText"/>
        <w:spacing w:line="480" w:lineRule="auto"/>
        <w:ind w:left="260" w:right="858"/>
        <w:jc w:val="both"/>
      </w:pPr>
      <w:r>
        <w:rPr/>
        <w:t>Finally I want to say special thank you to my Loving children (Ayo, Tolu, Funmi and</w:t>
      </w:r>
      <w:r>
        <w:rPr>
          <w:spacing w:val="40"/>
        </w:rPr>
        <w:t> </w:t>
      </w:r>
      <w:r>
        <w:rPr/>
        <w:t>Adeolu) and my darling husband Prof. O. D. Jimoh for their love, concern, encouragement, and their unrelenting support always and throughout this project work.</w:t>
      </w:r>
      <w:r>
        <w:rPr>
          <w:spacing w:val="40"/>
        </w:rPr>
        <w:t> </w:t>
      </w:r>
      <w:r>
        <w:rPr/>
        <w:t>It will not be an understatement to say my husband has been very wonderful, you were always there for me, indeed, you are a very strong arm to lean on.</w:t>
      </w:r>
      <w:r>
        <w:rPr>
          <w:spacing w:val="40"/>
        </w:rPr>
        <w:t> </w:t>
      </w:r>
      <w:r>
        <w:rPr/>
        <w:t>I thank God for you all.</w:t>
      </w:r>
    </w:p>
    <w:p>
      <w:pPr>
        <w:spacing w:after="0" w:line="480" w:lineRule="auto"/>
        <w:jc w:val="both"/>
        <w:sectPr>
          <w:pgSz w:w="11910" w:h="16840"/>
          <w:pgMar w:header="0" w:footer="1014" w:top="1340" w:bottom="1200" w:left="1180" w:right="580"/>
        </w:sectPr>
      </w:pPr>
    </w:p>
    <w:p>
      <w:pPr>
        <w:pStyle w:val="Heading1"/>
        <w:spacing w:before="61"/>
        <w:ind w:left="1391" w:right="1987"/>
      </w:pPr>
      <w:bookmarkStart w:name="_TOC_250044" w:id="4"/>
      <w:bookmarkEnd w:id="4"/>
      <w:r>
        <w:rPr>
          <w:spacing w:val="-2"/>
        </w:rPr>
        <w:t>ABSTRACT</w:t>
      </w:r>
    </w:p>
    <w:p>
      <w:pPr>
        <w:pStyle w:val="BodyText"/>
        <w:spacing w:before="268"/>
        <w:rPr>
          <w:b/>
        </w:rPr>
      </w:pPr>
    </w:p>
    <w:p>
      <w:pPr>
        <w:pStyle w:val="BodyText"/>
        <w:spacing w:line="480" w:lineRule="auto" w:before="1"/>
        <w:ind w:left="260" w:right="855"/>
        <w:jc w:val="both"/>
      </w:pPr>
      <w:r>
        <w:rPr/>
        <w:t>About half of Nigerian population experience at least one episode of malaria per year, resulting in high morbidity and mortality and loss of economic value. Retrospective study of the profile of malarial patients and the antimalarial drugs prescribed at Umaru Musa Yaradua memorial Hospital, Sabon-Wuse, Niger State, Nigeria were undertaken. The </w:t>
      </w:r>
      <w:r>
        <w:rPr>
          <w:i/>
        </w:rPr>
        <w:t>Plasmodium </w:t>
      </w:r>
      <w:r>
        <w:rPr/>
        <w:t>species among the malarial patients were also studied. The susceptibility of the predominant species</w:t>
      </w:r>
      <w:r>
        <w:rPr>
          <w:spacing w:val="-2"/>
        </w:rPr>
        <w:t> </w:t>
      </w:r>
      <w:r>
        <w:rPr/>
        <w:t>to</w:t>
      </w:r>
      <w:r>
        <w:rPr>
          <w:spacing w:val="-2"/>
        </w:rPr>
        <w:t> </w:t>
      </w:r>
      <w:r>
        <w:rPr/>
        <w:t>the</w:t>
      </w:r>
      <w:r>
        <w:rPr>
          <w:spacing w:val="-2"/>
        </w:rPr>
        <w:t> </w:t>
      </w:r>
      <w:r>
        <w:rPr/>
        <w:t>prescribed</w:t>
      </w:r>
      <w:r>
        <w:rPr>
          <w:spacing w:val="-1"/>
        </w:rPr>
        <w:t> </w:t>
      </w:r>
      <w:r>
        <w:rPr/>
        <w:t>antimalarial</w:t>
      </w:r>
      <w:r>
        <w:rPr>
          <w:spacing w:val="-2"/>
        </w:rPr>
        <w:t> </w:t>
      </w:r>
      <w:r>
        <w:rPr/>
        <w:t>drugs</w:t>
      </w:r>
      <w:r>
        <w:rPr>
          <w:spacing w:val="-1"/>
        </w:rPr>
        <w:t> </w:t>
      </w:r>
      <w:r>
        <w:rPr/>
        <w:t>was</w:t>
      </w:r>
      <w:r>
        <w:rPr>
          <w:spacing w:val="-2"/>
        </w:rPr>
        <w:t> </w:t>
      </w:r>
      <w:r>
        <w:rPr/>
        <w:t>investigated.</w:t>
      </w:r>
      <w:r>
        <w:rPr>
          <w:spacing w:val="-1"/>
        </w:rPr>
        <w:t> </w:t>
      </w:r>
      <w:r>
        <w:rPr/>
        <w:t>PCR</w:t>
      </w:r>
      <w:r>
        <w:rPr>
          <w:spacing w:val="-2"/>
        </w:rPr>
        <w:t> </w:t>
      </w:r>
      <w:r>
        <w:rPr/>
        <w:t>analysis</w:t>
      </w:r>
      <w:r>
        <w:rPr>
          <w:spacing w:val="-2"/>
        </w:rPr>
        <w:t> </w:t>
      </w:r>
      <w:r>
        <w:rPr/>
        <w:t>of</w:t>
      </w:r>
      <w:r>
        <w:rPr>
          <w:spacing w:val="-2"/>
        </w:rPr>
        <w:t> </w:t>
      </w:r>
      <w:r>
        <w:rPr/>
        <w:t>the</w:t>
      </w:r>
      <w:r>
        <w:rPr>
          <w:spacing w:val="-4"/>
        </w:rPr>
        <w:t> </w:t>
      </w:r>
      <w:r>
        <w:rPr/>
        <w:t>DNA</w:t>
      </w:r>
      <w:r>
        <w:rPr>
          <w:spacing w:val="-2"/>
        </w:rPr>
        <w:t> </w:t>
      </w:r>
      <w:r>
        <w:rPr/>
        <w:t>of</w:t>
      </w:r>
      <w:r>
        <w:rPr>
          <w:spacing w:val="-2"/>
        </w:rPr>
        <w:t> </w:t>
      </w:r>
      <w:r>
        <w:rPr/>
        <w:t>the resistant </w:t>
      </w:r>
      <w:r>
        <w:rPr>
          <w:i/>
        </w:rPr>
        <w:t>Plasmodiuum </w:t>
      </w:r>
      <w:r>
        <w:rPr/>
        <w:t>species isolates against the test antimalarials were studied using Qiagen DNeasy blood and tissue kit method. The retrospective study showed that</w:t>
      </w:r>
      <w:r>
        <w:rPr>
          <w:spacing w:val="80"/>
        </w:rPr>
        <w:t> </w:t>
      </w:r>
      <w:r>
        <w:rPr/>
        <w:t>Artemisinin Combination Therapy (ACT) was the predominantly prescribed drugs while the month of May and October had the highest incidence of malarial infection in the years studied. </w:t>
      </w:r>
      <w:r>
        <w:rPr>
          <w:i/>
        </w:rPr>
        <w:t>Plasmodium falciparum </w:t>
      </w:r>
      <w:r>
        <w:rPr/>
        <w:t>(85.7%) was the predominant malaria parasite isolated from malaria patients in Sabon-Wuse, Niger State, Nigeria. </w:t>
      </w:r>
      <w:r>
        <w:rPr>
          <w:i/>
        </w:rPr>
        <w:t>Plasmodium malariae </w:t>
      </w:r>
      <w:r>
        <w:rPr/>
        <w:t>accounts for only 14.5% of the malaria parasite observed in the area. Only 5% of the </w:t>
      </w:r>
      <w:r>
        <w:rPr>
          <w:i/>
        </w:rPr>
        <w:t>P. falciparum </w:t>
      </w:r>
      <w:r>
        <w:rPr/>
        <w:t>parasites were sensitive </w:t>
      </w:r>
      <w:r>
        <w:rPr>
          <w:i/>
        </w:rPr>
        <w:t>in vitro </w:t>
      </w:r>
      <w:r>
        <w:rPr/>
        <w:t>to Chloroquine. PCR analysis of the DNA indicated the presence of </w:t>
      </w:r>
      <w:r>
        <w:rPr>
          <w:i/>
        </w:rPr>
        <w:t>Pfcrt-Ra </w:t>
      </w:r>
      <w:r>
        <w:rPr/>
        <w:t>Gene in the study area, which further confirms resistance to Chloroquine. </w:t>
      </w:r>
      <w:r>
        <w:rPr>
          <w:i/>
        </w:rPr>
        <w:t>Plasmodium falciparum </w:t>
      </w:r>
      <w:r>
        <w:rPr/>
        <w:t>isolates were observed to be sensitive </w:t>
      </w:r>
      <w:r>
        <w:rPr>
          <w:i/>
        </w:rPr>
        <w:t>in vitro </w:t>
      </w:r>
      <w:r>
        <w:rPr/>
        <w:t>to Artesunate-Amodiaquine drug in the study area. The investigation also shows that all the samples analysed had multi antimalarial drug resistant gene </w:t>
      </w:r>
      <w:r>
        <w:rPr>
          <w:i/>
        </w:rPr>
        <w:t>Pfcrt</w:t>
      </w:r>
      <w:r>
        <w:rPr/>
        <w:t>/FB (76T). A high percentage (87.5%) of the samples analysed displayed the multidrug resistant gene </w:t>
      </w:r>
      <w:r>
        <w:rPr>
          <w:i/>
        </w:rPr>
        <w:t>Pfcrt</w:t>
      </w:r>
      <w:r>
        <w:rPr/>
        <w:t>/FB (76K) at 76 bp. The result of the PCR analysis of the DNA corroborates the observed </w:t>
      </w:r>
      <w:r>
        <w:rPr>
          <w:i/>
        </w:rPr>
        <w:t>in vitro </w:t>
      </w:r>
      <w:r>
        <w:rPr/>
        <w:t>susceptibility</w:t>
      </w:r>
      <w:r>
        <w:rPr>
          <w:spacing w:val="-4"/>
        </w:rPr>
        <w:t> </w:t>
      </w:r>
      <w:r>
        <w:rPr/>
        <w:t>studies. Thus, there is the need for periodic antimalarial surveillance in order to curb emergence of multi antimalarial drug resistance as observed in Sabon-Wuse.</w:t>
      </w:r>
    </w:p>
    <w:p>
      <w:pPr>
        <w:spacing w:after="0" w:line="480" w:lineRule="auto"/>
        <w:jc w:val="both"/>
        <w:sectPr>
          <w:pgSz w:w="11910" w:h="16840"/>
          <w:pgMar w:header="0" w:footer="1014" w:top="1360" w:bottom="1200" w:left="1180" w:right="580"/>
        </w:sectPr>
      </w:pPr>
    </w:p>
    <w:p>
      <w:pPr>
        <w:pStyle w:val="Heading1"/>
        <w:ind w:left="1391" w:right="1991"/>
      </w:pPr>
      <w:bookmarkStart w:name="_TOC_250043" w:id="5"/>
      <w:r>
        <w:rPr/>
        <w:t>TABLE OF</w:t>
      </w:r>
      <w:r>
        <w:rPr>
          <w:spacing w:val="-3"/>
        </w:rPr>
        <w:t> </w:t>
      </w:r>
      <w:bookmarkEnd w:id="5"/>
      <w:r>
        <w:rPr>
          <w:spacing w:val="-2"/>
        </w:rPr>
        <w:t>CONTENTS</w:t>
      </w:r>
    </w:p>
    <w:p>
      <w:pPr>
        <w:pStyle w:val="BodyText"/>
        <w:tabs>
          <w:tab w:pos="8181" w:val="left" w:leader="none"/>
        </w:tabs>
        <w:spacing w:before="272"/>
        <w:ind w:left="260"/>
      </w:pPr>
      <w:r>
        <w:rPr>
          <w:spacing w:val="-2"/>
        </w:rPr>
        <w:t>Content</w:t>
      </w:r>
      <w:r>
        <w:rPr/>
        <w:tab/>
      </w:r>
      <w:r>
        <w:rPr>
          <w:spacing w:val="-4"/>
        </w:rPr>
        <w:t>Page</w:t>
      </w:r>
    </w:p>
    <w:p>
      <w:pPr>
        <w:pStyle w:val="BodyText"/>
      </w:pPr>
    </w:p>
    <w:p>
      <w:pPr>
        <w:pStyle w:val="BodyText"/>
        <w:tabs>
          <w:tab w:pos="8181" w:val="left" w:leader="none"/>
        </w:tabs>
        <w:ind w:left="260"/>
      </w:pPr>
      <w:r>
        <w:rPr>
          <w:spacing w:val="-2"/>
        </w:rPr>
        <w:t>Title</w:t>
      </w:r>
      <w:r>
        <w:rPr/>
        <w:tab/>
      </w:r>
      <w:r>
        <w:rPr>
          <w:spacing w:val="-10"/>
        </w:rPr>
        <w:t>i</w:t>
      </w:r>
    </w:p>
    <w:p>
      <w:pPr>
        <w:spacing w:after="0"/>
        <w:sectPr>
          <w:pgSz w:w="11910" w:h="16840"/>
          <w:pgMar w:header="0" w:footer="1014" w:top="1340" w:bottom="1860" w:left="1180" w:right="580"/>
        </w:sectPr>
      </w:pPr>
    </w:p>
    <w:sdt>
      <w:sdtPr>
        <w:docPartObj>
          <w:docPartGallery w:val="Table of Contents"/>
          <w:docPartUnique/>
        </w:docPartObj>
      </w:sdtPr>
      <w:sdtEndPr/>
      <w:sdtContent>
        <w:p>
          <w:pPr>
            <w:pStyle w:val="TOC1"/>
            <w:tabs>
              <w:tab w:pos="8316" w:val="right" w:leader="none"/>
            </w:tabs>
          </w:pPr>
          <w:r>
            <w:rPr>
              <w:spacing w:val="-2"/>
            </w:rPr>
            <w:t>Declaration</w:t>
          </w:r>
          <w:r>
            <w:rPr/>
            <w:tab/>
          </w:r>
          <w:r>
            <w:rPr>
              <w:spacing w:val="-5"/>
            </w:rPr>
            <w:t>ii</w:t>
          </w:r>
        </w:p>
        <w:p>
          <w:pPr>
            <w:pStyle w:val="TOC1"/>
            <w:tabs>
              <w:tab w:pos="8383" w:val="right" w:leader="none"/>
            </w:tabs>
          </w:pPr>
          <w:hyperlink w:history="true" w:anchor="_TOC_250047">
            <w:r>
              <w:rPr>
                <w:spacing w:val="-2"/>
              </w:rPr>
              <w:t>Certification</w:t>
            </w:r>
            <w:r>
              <w:rPr/>
              <w:tab/>
            </w:r>
            <w:r>
              <w:rPr>
                <w:spacing w:val="-5"/>
              </w:rPr>
              <w:t>iii</w:t>
            </w:r>
          </w:hyperlink>
        </w:p>
        <w:p>
          <w:pPr>
            <w:pStyle w:val="TOC1"/>
            <w:tabs>
              <w:tab w:pos="8369" w:val="right" w:leader="none"/>
            </w:tabs>
          </w:pPr>
          <w:hyperlink w:history="true" w:anchor="_TOC_250046">
            <w:r>
              <w:rPr>
                <w:spacing w:val="-2"/>
              </w:rPr>
              <w:t>Dedication</w:t>
            </w:r>
            <w:r>
              <w:rPr/>
              <w:tab/>
            </w:r>
            <w:r>
              <w:rPr>
                <w:spacing w:val="-5"/>
              </w:rPr>
              <w:t>iv</w:t>
            </w:r>
          </w:hyperlink>
        </w:p>
        <w:p>
          <w:pPr>
            <w:pStyle w:val="TOC1"/>
            <w:tabs>
              <w:tab w:pos="8301" w:val="right" w:leader="none"/>
            </w:tabs>
          </w:pPr>
          <w:hyperlink w:history="true" w:anchor="_TOC_250045">
            <w:r>
              <w:rPr>
                <w:spacing w:val="-2"/>
              </w:rPr>
              <w:t>Acknowledgement</w:t>
            </w:r>
            <w:r>
              <w:rPr/>
              <w:tab/>
            </w:r>
            <w:r>
              <w:rPr>
                <w:spacing w:val="-10"/>
              </w:rPr>
              <w:t>v</w:t>
            </w:r>
          </w:hyperlink>
        </w:p>
        <w:p>
          <w:pPr>
            <w:pStyle w:val="TOC1"/>
            <w:tabs>
              <w:tab w:pos="8435" w:val="right" w:leader="none"/>
            </w:tabs>
          </w:pPr>
          <w:hyperlink w:history="true" w:anchor="_TOC_250044">
            <w:r>
              <w:rPr>
                <w:spacing w:val="-2"/>
              </w:rPr>
              <w:t>Abstract</w:t>
            </w:r>
            <w:r>
              <w:rPr/>
              <w:tab/>
            </w:r>
            <w:r>
              <w:rPr>
                <w:spacing w:val="-5"/>
              </w:rPr>
              <w:t>vii</w:t>
            </w:r>
          </w:hyperlink>
        </w:p>
        <w:p>
          <w:pPr>
            <w:pStyle w:val="TOC1"/>
            <w:tabs>
              <w:tab w:pos="8502" w:val="right" w:leader="none"/>
            </w:tabs>
          </w:pPr>
          <w:hyperlink w:history="true" w:anchor="_TOC_250043">
            <w:r>
              <w:rPr/>
              <w:t>Table</w:t>
            </w:r>
            <w:r>
              <w:rPr>
                <w:spacing w:val="-4"/>
              </w:rPr>
              <w:t> </w:t>
            </w:r>
            <w:r>
              <w:rPr/>
              <w:t>of</w:t>
            </w:r>
            <w:r>
              <w:rPr>
                <w:spacing w:val="-2"/>
              </w:rPr>
              <w:t> Contents</w:t>
            </w:r>
            <w:r>
              <w:rPr/>
              <w:tab/>
            </w:r>
            <w:r>
              <w:rPr>
                <w:spacing w:val="-4"/>
              </w:rPr>
              <w:t>viii</w:t>
            </w:r>
          </w:hyperlink>
        </w:p>
        <w:p>
          <w:pPr>
            <w:pStyle w:val="TOC1"/>
            <w:tabs>
              <w:tab w:pos="8438" w:val="right" w:leader="none"/>
            </w:tabs>
          </w:pPr>
          <w:hyperlink w:history="true" w:anchor="_TOC_250042">
            <w:r>
              <w:rPr/>
              <w:t>List</w:t>
            </w:r>
            <w:r>
              <w:rPr>
                <w:spacing w:val="-2"/>
              </w:rPr>
              <w:t> </w:t>
            </w:r>
            <w:r>
              <w:rPr/>
              <w:t>of</w:t>
            </w:r>
            <w:r>
              <w:rPr>
                <w:spacing w:val="-1"/>
              </w:rPr>
              <w:t> </w:t>
            </w:r>
            <w:r>
              <w:rPr>
                <w:spacing w:val="-2"/>
              </w:rPr>
              <w:t>Tables</w:t>
            </w:r>
            <w:r>
              <w:rPr/>
              <w:tab/>
            </w:r>
            <w:r>
              <w:rPr>
                <w:spacing w:val="-5"/>
              </w:rPr>
              <w:t>xii</w:t>
            </w:r>
          </w:hyperlink>
        </w:p>
        <w:p>
          <w:pPr>
            <w:pStyle w:val="TOC1"/>
            <w:tabs>
              <w:tab w:pos="8490" w:val="right" w:leader="none"/>
            </w:tabs>
          </w:pPr>
          <w:hyperlink w:history="true" w:anchor="_TOC_250041">
            <w:r>
              <w:rPr/>
              <w:t>List</w:t>
            </w:r>
            <w:r>
              <w:rPr>
                <w:spacing w:val="-2"/>
              </w:rPr>
              <w:t> </w:t>
            </w:r>
            <w:r>
              <w:rPr/>
              <w:t>of </w:t>
            </w:r>
            <w:r>
              <w:rPr>
                <w:spacing w:val="-2"/>
              </w:rPr>
              <w:t>Figures</w:t>
            </w:r>
            <w:r>
              <w:rPr/>
              <w:tab/>
            </w:r>
            <w:r>
              <w:rPr>
                <w:spacing w:val="-5"/>
              </w:rPr>
              <w:t>xiv</w:t>
            </w:r>
          </w:hyperlink>
        </w:p>
        <w:p>
          <w:pPr>
            <w:pStyle w:val="TOC1"/>
            <w:tabs>
              <w:tab w:pos="8426" w:val="right" w:leader="none"/>
            </w:tabs>
            <w:spacing w:before="277"/>
          </w:pPr>
          <w:hyperlink w:history="true" w:anchor="_TOC_250040">
            <w:r>
              <w:rPr/>
              <w:t>List</w:t>
            </w:r>
            <w:r>
              <w:rPr>
                <w:spacing w:val="-2"/>
              </w:rPr>
              <w:t> </w:t>
            </w:r>
            <w:r>
              <w:rPr/>
              <w:t>of</w:t>
            </w:r>
            <w:r>
              <w:rPr>
                <w:spacing w:val="-1"/>
              </w:rPr>
              <w:t> </w:t>
            </w:r>
            <w:r>
              <w:rPr>
                <w:spacing w:val="-2"/>
              </w:rPr>
              <w:t>Appendices</w:t>
            </w:r>
            <w:r>
              <w:rPr/>
              <w:tab/>
            </w:r>
            <w:r>
              <w:rPr>
                <w:spacing w:val="-7"/>
              </w:rPr>
              <w:t>xv</w:t>
            </w:r>
          </w:hyperlink>
        </w:p>
        <w:p>
          <w:pPr>
            <w:pStyle w:val="TOC1"/>
            <w:tabs>
              <w:tab w:pos="8490" w:val="right" w:leader="none"/>
            </w:tabs>
          </w:pPr>
          <w:hyperlink w:history="true" w:anchor="_TOC_250039">
            <w:r>
              <w:rPr>
                <w:spacing w:val="-2"/>
              </w:rPr>
              <w:t>Abbreviations</w:t>
            </w:r>
            <w:r>
              <w:rPr/>
              <w:tab/>
            </w:r>
            <w:r>
              <w:rPr>
                <w:spacing w:val="-5"/>
              </w:rPr>
              <w:t>xvi</w:t>
            </w:r>
          </w:hyperlink>
        </w:p>
        <w:p>
          <w:pPr>
            <w:pStyle w:val="TOC1"/>
          </w:pPr>
          <w:hyperlink w:history="true" w:anchor="_TOC_250038">
            <w:r>
              <w:rPr/>
              <w:t>CHAPTER</w:t>
            </w:r>
            <w:r>
              <w:rPr>
                <w:spacing w:val="-1"/>
              </w:rPr>
              <w:t> </w:t>
            </w:r>
            <w:r>
              <w:rPr>
                <w:spacing w:val="-5"/>
              </w:rPr>
              <w:t>ONE</w:t>
            </w:r>
          </w:hyperlink>
        </w:p>
        <w:p>
          <w:pPr>
            <w:pStyle w:val="TOC1"/>
            <w:numPr>
              <w:ilvl w:val="1"/>
              <w:numId w:val="1"/>
            </w:numPr>
            <w:tabs>
              <w:tab w:pos="622" w:val="left" w:leader="none"/>
              <w:tab w:pos="8301" w:val="right" w:leader="none"/>
            </w:tabs>
            <w:spacing w:line="240" w:lineRule="auto" w:before="276" w:after="0"/>
            <w:ind w:left="622" w:right="0" w:hanging="362"/>
            <w:jc w:val="left"/>
          </w:pPr>
          <w:hyperlink w:history="true" w:anchor="_TOC_250037">
            <w:r>
              <w:rPr>
                <w:spacing w:val="-2"/>
              </w:rPr>
              <w:t>Introduction</w:t>
            </w:r>
            <w:r>
              <w:rPr/>
              <w:tab/>
            </w:r>
            <w:r>
              <w:rPr>
                <w:spacing w:val="-10"/>
              </w:rPr>
              <w:t>1</w:t>
            </w:r>
          </w:hyperlink>
        </w:p>
        <w:p>
          <w:pPr>
            <w:pStyle w:val="TOC1"/>
            <w:numPr>
              <w:ilvl w:val="1"/>
              <w:numId w:val="1"/>
            </w:numPr>
            <w:tabs>
              <w:tab w:pos="620" w:val="left" w:leader="none"/>
              <w:tab w:pos="8301" w:val="right" w:leader="none"/>
            </w:tabs>
            <w:spacing w:line="240" w:lineRule="auto" w:before="276" w:after="0"/>
            <w:ind w:left="620" w:right="0" w:hanging="360"/>
            <w:jc w:val="left"/>
          </w:pPr>
          <w:hyperlink w:history="true" w:anchor="_TOC_250036">
            <w:r>
              <w:rPr>
                <w:spacing w:val="-2"/>
              </w:rPr>
              <w:t>Background</w:t>
            </w:r>
            <w:r>
              <w:rPr/>
              <w:tab/>
            </w:r>
            <w:r>
              <w:rPr>
                <w:spacing w:val="-10"/>
              </w:rPr>
              <w:t>1</w:t>
            </w:r>
          </w:hyperlink>
        </w:p>
        <w:p>
          <w:pPr>
            <w:pStyle w:val="TOC1"/>
            <w:numPr>
              <w:ilvl w:val="1"/>
              <w:numId w:val="1"/>
            </w:numPr>
            <w:tabs>
              <w:tab w:pos="620" w:val="left" w:leader="none"/>
              <w:tab w:pos="8301" w:val="right" w:leader="none"/>
            </w:tabs>
            <w:spacing w:line="240" w:lineRule="auto" w:before="276" w:after="0"/>
            <w:ind w:left="620" w:right="0" w:hanging="360"/>
            <w:jc w:val="left"/>
          </w:pPr>
          <w:hyperlink w:history="true" w:anchor="_TOC_250035">
            <w:r>
              <w:rPr/>
              <w:t>Statement</w:t>
            </w:r>
            <w:r>
              <w:rPr>
                <w:spacing w:val="-1"/>
              </w:rPr>
              <w:t> </w:t>
            </w:r>
            <w:r>
              <w:rPr/>
              <w:t>of</w:t>
            </w:r>
            <w:r>
              <w:rPr>
                <w:spacing w:val="-2"/>
              </w:rPr>
              <w:t> </w:t>
            </w:r>
            <w:r>
              <w:rPr/>
              <w:t>Research </w:t>
            </w:r>
            <w:r>
              <w:rPr>
                <w:spacing w:val="-2"/>
              </w:rPr>
              <w:t>Problem</w:t>
            </w:r>
            <w:r>
              <w:rPr/>
              <w:tab/>
            </w:r>
            <w:r>
              <w:rPr>
                <w:spacing w:val="-10"/>
              </w:rPr>
              <w:t>4</w:t>
            </w:r>
          </w:hyperlink>
        </w:p>
        <w:p>
          <w:pPr>
            <w:pStyle w:val="TOC1"/>
            <w:numPr>
              <w:ilvl w:val="1"/>
              <w:numId w:val="1"/>
            </w:numPr>
            <w:tabs>
              <w:tab w:pos="620" w:val="left" w:leader="none"/>
              <w:tab w:pos="8301" w:val="right" w:leader="none"/>
            </w:tabs>
            <w:spacing w:line="240" w:lineRule="auto" w:before="277" w:after="0"/>
            <w:ind w:left="620" w:right="0" w:hanging="360"/>
            <w:jc w:val="left"/>
          </w:pPr>
          <w:hyperlink w:history="true" w:anchor="_TOC_250034">
            <w:r>
              <w:rPr>
                <w:spacing w:val="-2"/>
              </w:rPr>
              <w:t>Justification</w:t>
            </w:r>
            <w:r>
              <w:rPr/>
              <w:tab/>
            </w:r>
            <w:r>
              <w:rPr>
                <w:spacing w:val="-10"/>
              </w:rPr>
              <w:t>5</w:t>
            </w:r>
          </w:hyperlink>
        </w:p>
        <w:p>
          <w:pPr>
            <w:pStyle w:val="TOC1"/>
            <w:numPr>
              <w:ilvl w:val="1"/>
              <w:numId w:val="1"/>
            </w:numPr>
            <w:tabs>
              <w:tab w:pos="620" w:val="left" w:leader="none"/>
              <w:tab w:pos="8301" w:val="right" w:leader="none"/>
            </w:tabs>
            <w:spacing w:line="240" w:lineRule="auto" w:before="276" w:after="0"/>
            <w:ind w:left="620" w:right="0" w:hanging="360"/>
            <w:jc w:val="left"/>
          </w:pPr>
          <w:hyperlink w:history="true" w:anchor="_TOC_250033">
            <w:r>
              <w:rPr/>
              <w:t>Aim and </w:t>
            </w:r>
            <w:r>
              <w:rPr>
                <w:spacing w:val="-2"/>
              </w:rPr>
              <w:t>Objectives</w:t>
            </w:r>
            <w:r>
              <w:rPr/>
              <w:tab/>
            </w:r>
            <w:r>
              <w:rPr>
                <w:spacing w:val="-10"/>
              </w:rPr>
              <w:t>6</w:t>
            </w:r>
          </w:hyperlink>
        </w:p>
        <w:p>
          <w:pPr>
            <w:pStyle w:val="TOC1"/>
            <w:numPr>
              <w:ilvl w:val="2"/>
              <w:numId w:val="1"/>
            </w:numPr>
            <w:tabs>
              <w:tab w:pos="800" w:val="left" w:leader="none"/>
              <w:tab w:pos="8301" w:val="right" w:leader="none"/>
            </w:tabs>
            <w:spacing w:line="240" w:lineRule="auto" w:before="276" w:after="0"/>
            <w:ind w:left="800" w:right="0" w:hanging="540"/>
            <w:jc w:val="left"/>
          </w:pPr>
          <w:r>
            <w:rPr>
              <w:spacing w:val="-5"/>
            </w:rPr>
            <w:t>Aim</w:t>
          </w:r>
          <w:r>
            <w:rPr/>
            <w:tab/>
          </w:r>
          <w:r>
            <w:rPr>
              <w:spacing w:val="-10"/>
            </w:rPr>
            <w:t>6</w:t>
          </w:r>
        </w:p>
        <w:p>
          <w:pPr>
            <w:pStyle w:val="TOC1"/>
            <w:numPr>
              <w:ilvl w:val="2"/>
              <w:numId w:val="1"/>
            </w:numPr>
            <w:tabs>
              <w:tab w:pos="800" w:val="left" w:leader="none"/>
              <w:tab w:pos="8301" w:val="right" w:leader="none"/>
            </w:tabs>
            <w:spacing w:line="240" w:lineRule="auto" w:before="276" w:after="0"/>
            <w:ind w:left="800" w:right="0" w:hanging="540"/>
            <w:jc w:val="left"/>
          </w:pPr>
          <w:hyperlink w:history="true" w:anchor="_TOC_250032">
            <w:r>
              <w:rPr/>
              <w:t>Specific</w:t>
            </w:r>
            <w:r>
              <w:rPr>
                <w:spacing w:val="-2"/>
              </w:rPr>
              <w:t> Objectives</w:t>
            </w:r>
            <w:r>
              <w:rPr/>
              <w:tab/>
            </w:r>
            <w:r>
              <w:rPr>
                <w:spacing w:val="-10"/>
              </w:rPr>
              <w:t>6</w:t>
            </w:r>
          </w:hyperlink>
        </w:p>
        <w:p>
          <w:pPr>
            <w:pStyle w:val="TOC1"/>
            <w:numPr>
              <w:ilvl w:val="2"/>
              <w:numId w:val="1"/>
            </w:numPr>
            <w:tabs>
              <w:tab w:pos="800" w:val="left" w:leader="none"/>
              <w:tab w:pos="8301" w:val="right" w:leader="none"/>
            </w:tabs>
            <w:spacing w:line="240" w:lineRule="auto" w:before="276" w:after="0"/>
            <w:ind w:left="800" w:right="0" w:hanging="540"/>
            <w:jc w:val="left"/>
          </w:pPr>
          <w:r>
            <w:rPr/>
            <w:t>Research</w:t>
          </w:r>
          <w:r>
            <w:rPr>
              <w:spacing w:val="-3"/>
            </w:rPr>
            <w:t> </w:t>
          </w:r>
          <w:r>
            <w:rPr>
              <w:spacing w:val="-2"/>
            </w:rPr>
            <w:t>Hypothesis</w:t>
          </w:r>
          <w:r>
            <w:rPr/>
            <w:tab/>
          </w:r>
          <w:r>
            <w:rPr>
              <w:spacing w:val="-12"/>
            </w:rPr>
            <w:t>7</w:t>
          </w:r>
        </w:p>
        <w:p>
          <w:pPr>
            <w:pStyle w:val="TOC1"/>
            <w:numPr>
              <w:ilvl w:val="1"/>
              <w:numId w:val="1"/>
            </w:numPr>
            <w:tabs>
              <w:tab w:pos="622" w:val="left" w:leader="none"/>
              <w:tab w:pos="8301" w:val="right" w:leader="none"/>
            </w:tabs>
            <w:spacing w:line="240" w:lineRule="auto" w:before="276" w:after="0"/>
            <w:ind w:left="622" w:right="0" w:hanging="362"/>
            <w:jc w:val="left"/>
          </w:pPr>
          <w:hyperlink w:history="true" w:anchor="_TOC_250031">
            <w:r>
              <w:rPr/>
              <w:t>Limitation</w:t>
            </w:r>
            <w:r>
              <w:rPr>
                <w:spacing w:val="-4"/>
              </w:rPr>
              <w:t> </w:t>
            </w:r>
            <w:r>
              <w:rPr/>
              <w:t>of</w:t>
            </w:r>
            <w:r>
              <w:rPr>
                <w:spacing w:val="-4"/>
              </w:rPr>
              <w:t> </w:t>
            </w:r>
            <w:r>
              <w:rPr>
                <w:spacing w:val="-2"/>
              </w:rPr>
              <w:t>Research</w:t>
            </w:r>
            <w:r>
              <w:rPr/>
              <w:tab/>
            </w:r>
            <w:r>
              <w:rPr>
                <w:spacing w:val="-12"/>
              </w:rPr>
              <w:t>7</w:t>
            </w:r>
          </w:hyperlink>
        </w:p>
        <w:p>
          <w:pPr>
            <w:pStyle w:val="TOC1"/>
          </w:pPr>
          <w:hyperlink w:history="true" w:anchor="_TOC_250030">
            <w:r>
              <w:rPr/>
              <w:t>CHAPTER</w:t>
            </w:r>
            <w:r>
              <w:rPr>
                <w:spacing w:val="-1"/>
              </w:rPr>
              <w:t> </w:t>
            </w:r>
            <w:r>
              <w:rPr>
                <w:spacing w:val="-5"/>
              </w:rPr>
              <w:t>TWO</w:t>
            </w:r>
          </w:hyperlink>
        </w:p>
        <w:p>
          <w:pPr>
            <w:pStyle w:val="TOC1"/>
            <w:numPr>
              <w:ilvl w:val="1"/>
              <w:numId w:val="2"/>
            </w:numPr>
            <w:tabs>
              <w:tab w:pos="622" w:val="left" w:leader="none"/>
              <w:tab w:pos="8301" w:val="right" w:leader="none"/>
            </w:tabs>
            <w:spacing w:line="240" w:lineRule="auto" w:before="276" w:after="20"/>
            <w:ind w:left="622" w:right="0" w:hanging="362"/>
            <w:jc w:val="left"/>
          </w:pPr>
          <w:hyperlink w:history="true" w:anchor="_TOC_250029">
            <w:r>
              <w:rPr/>
              <w:t>Literature</w:t>
            </w:r>
            <w:r>
              <w:rPr>
                <w:spacing w:val="-8"/>
              </w:rPr>
              <w:t> </w:t>
            </w:r>
            <w:r>
              <w:rPr>
                <w:spacing w:val="-2"/>
              </w:rPr>
              <w:t>Review</w:t>
            </w:r>
            <w:r>
              <w:rPr/>
              <w:tab/>
            </w:r>
            <w:r>
              <w:rPr>
                <w:spacing w:val="-12"/>
              </w:rPr>
              <w:t>8</w:t>
            </w:r>
          </w:hyperlink>
        </w:p>
        <w:p>
          <w:pPr>
            <w:pStyle w:val="TOC1"/>
            <w:numPr>
              <w:ilvl w:val="1"/>
              <w:numId w:val="2"/>
            </w:numPr>
            <w:tabs>
              <w:tab w:pos="620" w:val="left" w:leader="none"/>
              <w:tab w:pos="8301" w:val="right" w:leader="none"/>
            </w:tabs>
            <w:spacing w:line="240" w:lineRule="auto" w:before="74" w:after="0"/>
            <w:ind w:left="620" w:right="0" w:hanging="360"/>
            <w:jc w:val="left"/>
          </w:pPr>
          <w:hyperlink w:history="true" w:anchor="_TOC_250028">
            <w:r>
              <w:rPr/>
              <w:t>Historical</w:t>
            </w:r>
            <w:r>
              <w:rPr>
                <w:spacing w:val="-3"/>
              </w:rPr>
              <w:t> </w:t>
            </w:r>
            <w:r>
              <w:rPr>
                <w:spacing w:val="-2"/>
              </w:rPr>
              <w:t>Outline</w:t>
            </w:r>
            <w:r>
              <w:rPr/>
              <w:tab/>
            </w:r>
            <w:r>
              <w:rPr>
                <w:spacing w:val="-12"/>
              </w:rPr>
              <w:t>8</w:t>
            </w:r>
          </w:hyperlink>
        </w:p>
        <w:p>
          <w:pPr>
            <w:pStyle w:val="TOC1"/>
            <w:numPr>
              <w:ilvl w:val="1"/>
              <w:numId w:val="2"/>
            </w:numPr>
            <w:tabs>
              <w:tab w:pos="620" w:val="left" w:leader="none"/>
              <w:tab w:pos="8301" w:val="right" w:leader="none"/>
            </w:tabs>
            <w:spacing w:line="240" w:lineRule="auto" w:before="276" w:after="0"/>
            <w:ind w:left="620" w:right="0" w:hanging="360"/>
            <w:jc w:val="left"/>
          </w:pPr>
          <w:r>
            <w:rPr/>
            <w:t>The</w:t>
          </w:r>
          <w:r>
            <w:rPr>
              <w:spacing w:val="-2"/>
            </w:rPr>
            <w:t> Malaria</w:t>
          </w:r>
          <w:r>
            <w:rPr/>
            <w:tab/>
          </w:r>
          <w:r>
            <w:rPr>
              <w:spacing w:val="-10"/>
            </w:rPr>
            <w:t>9</w:t>
          </w:r>
        </w:p>
        <w:p>
          <w:pPr>
            <w:pStyle w:val="TOC1"/>
            <w:numPr>
              <w:ilvl w:val="2"/>
              <w:numId w:val="2"/>
            </w:numPr>
            <w:tabs>
              <w:tab w:pos="800" w:val="left" w:leader="none"/>
              <w:tab w:pos="8301" w:val="right" w:leader="none"/>
            </w:tabs>
            <w:spacing w:line="240" w:lineRule="auto" w:before="276" w:after="0"/>
            <w:ind w:left="800" w:right="0" w:hanging="540"/>
            <w:jc w:val="left"/>
          </w:pPr>
          <w:r>
            <w:rPr>
              <w:spacing w:val="-2"/>
            </w:rPr>
            <w:t>Taxonomy</w:t>
          </w:r>
          <w:r>
            <w:rPr/>
            <w:tab/>
          </w:r>
          <w:r>
            <w:rPr>
              <w:spacing w:val="-10"/>
            </w:rPr>
            <w:t>9</w:t>
          </w:r>
        </w:p>
        <w:p>
          <w:pPr>
            <w:pStyle w:val="TOC1"/>
            <w:numPr>
              <w:ilvl w:val="2"/>
              <w:numId w:val="2"/>
            </w:numPr>
            <w:tabs>
              <w:tab w:pos="802" w:val="left" w:leader="none"/>
              <w:tab w:pos="8421" w:val="right" w:leader="none"/>
            </w:tabs>
            <w:spacing w:line="240" w:lineRule="auto" w:before="276" w:after="0"/>
            <w:ind w:left="802" w:right="0" w:hanging="542"/>
            <w:jc w:val="left"/>
          </w:pPr>
          <w:hyperlink w:history="true" w:anchor="_TOC_250027">
            <w:r>
              <w:rPr/>
              <w:t>Life</w:t>
            </w:r>
            <w:r>
              <w:rPr>
                <w:spacing w:val="-4"/>
              </w:rPr>
              <w:t> </w:t>
            </w:r>
            <w:r>
              <w:rPr/>
              <w:t>Cycle</w:t>
            </w:r>
            <w:r>
              <w:rPr>
                <w:spacing w:val="-3"/>
              </w:rPr>
              <w:t> </w:t>
            </w:r>
            <w:r>
              <w:rPr/>
              <w:t>of</w:t>
            </w:r>
            <w:r>
              <w:rPr>
                <w:spacing w:val="-2"/>
              </w:rPr>
              <w:t> </w:t>
            </w:r>
            <w:r>
              <w:rPr/>
              <w:t>Human</w:t>
            </w:r>
            <w:r>
              <w:rPr>
                <w:spacing w:val="-2"/>
              </w:rPr>
              <w:t> </w:t>
            </w:r>
            <w:r>
              <w:rPr/>
              <w:t>Malaria</w:t>
            </w:r>
            <w:r>
              <w:rPr>
                <w:spacing w:val="-2"/>
              </w:rPr>
              <w:t> Parasite</w:t>
            </w:r>
            <w:r>
              <w:rPr/>
              <w:tab/>
            </w:r>
            <w:r>
              <w:rPr>
                <w:spacing w:val="-5"/>
              </w:rPr>
              <w:t>10</w:t>
            </w:r>
          </w:hyperlink>
        </w:p>
        <w:p>
          <w:pPr>
            <w:pStyle w:val="TOC1"/>
            <w:numPr>
              <w:ilvl w:val="1"/>
              <w:numId w:val="2"/>
            </w:numPr>
            <w:tabs>
              <w:tab w:pos="620" w:val="left" w:leader="none"/>
              <w:tab w:pos="8421" w:val="right" w:leader="none"/>
            </w:tabs>
            <w:spacing w:line="240" w:lineRule="auto" w:before="276" w:after="0"/>
            <w:ind w:left="620" w:right="0" w:hanging="360"/>
            <w:jc w:val="left"/>
          </w:pPr>
          <w:r>
            <w:rPr/>
            <w:t>The</w:t>
          </w:r>
          <w:r>
            <w:rPr>
              <w:spacing w:val="-3"/>
            </w:rPr>
            <w:t> </w:t>
          </w:r>
          <w:r>
            <w:rPr/>
            <w:t>Malaria</w:t>
          </w:r>
          <w:r>
            <w:rPr>
              <w:spacing w:val="-1"/>
            </w:rPr>
            <w:t> </w:t>
          </w:r>
          <w:r>
            <w:rPr>
              <w:spacing w:val="-2"/>
            </w:rPr>
            <w:t>Disease</w:t>
          </w:r>
          <w:r>
            <w:rPr/>
            <w:tab/>
          </w:r>
          <w:r>
            <w:rPr>
              <w:spacing w:val="-5"/>
            </w:rPr>
            <w:t>12</w:t>
          </w:r>
        </w:p>
        <w:p>
          <w:pPr>
            <w:pStyle w:val="TOC1"/>
            <w:numPr>
              <w:ilvl w:val="2"/>
              <w:numId w:val="2"/>
            </w:numPr>
            <w:tabs>
              <w:tab w:pos="800" w:val="left" w:leader="none"/>
              <w:tab w:pos="8421" w:val="right" w:leader="none"/>
            </w:tabs>
            <w:spacing w:line="240" w:lineRule="auto" w:before="276" w:after="0"/>
            <w:ind w:left="800" w:right="0" w:hanging="540"/>
            <w:jc w:val="left"/>
          </w:pPr>
          <w:r>
            <w:rPr>
              <w:spacing w:val="-2"/>
            </w:rPr>
            <w:t>Epidemiology</w:t>
          </w:r>
          <w:r>
            <w:rPr/>
            <w:tab/>
          </w:r>
          <w:r>
            <w:rPr>
              <w:spacing w:val="-5"/>
            </w:rPr>
            <w:t>12</w:t>
          </w:r>
        </w:p>
        <w:p>
          <w:pPr>
            <w:pStyle w:val="TOC1"/>
            <w:numPr>
              <w:ilvl w:val="2"/>
              <w:numId w:val="2"/>
            </w:numPr>
            <w:tabs>
              <w:tab w:pos="800" w:val="left" w:leader="none"/>
              <w:tab w:pos="8421" w:val="right" w:leader="none"/>
            </w:tabs>
            <w:spacing w:line="240" w:lineRule="auto" w:before="276" w:after="0"/>
            <w:ind w:left="800" w:right="0" w:hanging="540"/>
            <w:jc w:val="left"/>
          </w:pPr>
          <w:r>
            <w:rPr/>
            <w:t>Diagnosis</w:t>
          </w:r>
          <w:r>
            <w:rPr>
              <w:spacing w:val="-2"/>
            </w:rPr>
            <w:t> </w:t>
          </w:r>
          <w:r>
            <w:rPr/>
            <w:t>of</w:t>
          </w:r>
          <w:r>
            <w:rPr>
              <w:spacing w:val="-2"/>
            </w:rPr>
            <w:t> malaria</w:t>
          </w:r>
          <w:r>
            <w:rPr/>
            <w:tab/>
          </w:r>
          <w:r>
            <w:rPr>
              <w:spacing w:val="-5"/>
            </w:rPr>
            <w:t>15</w:t>
          </w:r>
        </w:p>
        <w:p>
          <w:pPr>
            <w:pStyle w:val="TOC1"/>
            <w:numPr>
              <w:ilvl w:val="2"/>
              <w:numId w:val="2"/>
            </w:numPr>
            <w:tabs>
              <w:tab w:pos="800" w:val="left" w:leader="none"/>
              <w:tab w:pos="8421" w:val="right" w:leader="none"/>
            </w:tabs>
            <w:spacing w:line="240" w:lineRule="auto" w:before="276" w:after="0"/>
            <w:ind w:left="800" w:right="0" w:hanging="540"/>
            <w:jc w:val="left"/>
          </w:pPr>
          <w:r>
            <w:rPr/>
            <w:t>Economic</w:t>
          </w:r>
          <w:r>
            <w:rPr>
              <w:spacing w:val="-3"/>
            </w:rPr>
            <w:t> </w:t>
          </w:r>
          <w:r>
            <w:rPr/>
            <w:t>implication</w:t>
          </w:r>
          <w:r>
            <w:rPr>
              <w:spacing w:val="-1"/>
            </w:rPr>
            <w:t> </w:t>
          </w:r>
          <w:r>
            <w:rPr/>
            <w:t>of</w:t>
          </w:r>
          <w:r>
            <w:rPr>
              <w:spacing w:val="-2"/>
            </w:rPr>
            <w:t> malaria</w:t>
          </w:r>
          <w:r>
            <w:rPr/>
            <w:tab/>
          </w:r>
          <w:r>
            <w:rPr>
              <w:spacing w:val="-5"/>
            </w:rPr>
            <w:t>17</w:t>
          </w:r>
        </w:p>
        <w:p>
          <w:pPr>
            <w:pStyle w:val="TOC1"/>
            <w:numPr>
              <w:ilvl w:val="1"/>
              <w:numId w:val="2"/>
            </w:numPr>
            <w:tabs>
              <w:tab w:pos="620" w:val="left" w:leader="none"/>
              <w:tab w:pos="8421" w:val="right" w:leader="none"/>
            </w:tabs>
            <w:spacing w:line="240" w:lineRule="auto" w:before="276" w:after="0"/>
            <w:ind w:left="620" w:right="0" w:hanging="360"/>
            <w:jc w:val="left"/>
          </w:pPr>
          <w:hyperlink w:history="true" w:anchor="_TOC_250026">
            <w:r>
              <w:rPr/>
              <w:t>Treatment</w:t>
            </w:r>
            <w:r>
              <w:rPr>
                <w:spacing w:val="-2"/>
              </w:rPr>
              <w:t> </w:t>
            </w:r>
            <w:r>
              <w:rPr/>
              <w:t>of</w:t>
            </w:r>
            <w:r>
              <w:rPr>
                <w:spacing w:val="-2"/>
              </w:rPr>
              <w:t> Malaria</w:t>
            </w:r>
            <w:r>
              <w:rPr/>
              <w:tab/>
            </w:r>
            <w:r>
              <w:rPr>
                <w:spacing w:val="-5"/>
              </w:rPr>
              <w:t>20</w:t>
            </w:r>
          </w:hyperlink>
        </w:p>
        <w:p>
          <w:pPr>
            <w:pStyle w:val="TOC1"/>
            <w:numPr>
              <w:ilvl w:val="2"/>
              <w:numId w:val="2"/>
            </w:numPr>
            <w:tabs>
              <w:tab w:pos="800" w:val="left" w:leader="none"/>
              <w:tab w:pos="8421" w:val="right" w:leader="none"/>
            </w:tabs>
            <w:spacing w:line="240" w:lineRule="auto" w:before="276" w:after="0"/>
            <w:ind w:left="800" w:right="0" w:hanging="540"/>
            <w:jc w:val="left"/>
          </w:pPr>
          <w:r>
            <w:rPr/>
            <w:t>Classification</w:t>
          </w:r>
          <w:r>
            <w:rPr>
              <w:spacing w:val="-2"/>
            </w:rPr>
            <w:t> </w:t>
          </w:r>
          <w:r>
            <w:rPr/>
            <w:t>of</w:t>
          </w:r>
          <w:r>
            <w:rPr>
              <w:spacing w:val="-2"/>
            </w:rPr>
            <w:t> </w:t>
          </w:r>
          <w:r>
            <w:rPr/>
            <w:t>antimalarial</w:t>
          </w:r>
          <w:r>
            <w:rPr>
              <w:spacing w:val="-1"/>
            </w:rPr>
            <w:t> </w:t>
          </w:r>
          <w:r>
            <w:rPr>
              <w:spacing w:val="-4"/>
            </w:rPr>
            <w:t>drugs</w:t>
          </w:r>
          <w:r>
            <w:rPr/>
            <w:tab/>
          </w:r>
          <w:r>
            <w:rPr>
              <w:spacing w:val="-5"/>
            </w:rPr>
            <w:t>21</w:t>
          </w:r>
        </w:p>
        <w:p>
          <w:pPr>
            <w:pStyle w:val="TOC1"/>
            <w:numPr>
              <w:ilvl w:val="2"/>
              <w:numId w:val="2"/>
            </w:numPr>
            <w:tabs>
              <w:tab w:pos="860" w:val="left" w:leader="none"/>
              <w:tab w:pos="8421" w:val="right" w:leader="none"/>
            </w:tabs>
            <w:spacing w:line="240" w:lineRule="auto" w:before="276" w:after="0"/>
            <w:ind w:left="860" w:right="0" w:hanging="600"/>
            <w:jc w:val="left"/>
          </w:pPr>
          <w:r>
            <w:rPr/>
            <w:t>Pharmacology</w:t>
          </w:r>
          <w:r>
            <w:rPr>
              <w:spacing w:val="-6"/>
            </w:rPr>
            <w:t> </w:t>
          </w:r>
          <w:r>
            <w:rPr/>
            <w:t>of Antimalarial</w:t>
          </w:r>
          <w:r>
            <w:rPr>
              <w:spacing w:val="-1"/>
            </w:rPr>
            <w:t> </w:t>
          </w:r>
          <w:r>
            <w:rPr>
              <w:spacing w:val="-2"/>
            </w:rPr>
            <w:t>Agents</w:t>
          </w:r>
          <w:r>
            <w:rPr/>
            <w:tab/>
          </w:r>
          <w:r>
            <w:rPr>
              <w:spacing w:val="-5"/>
            </w:rPr>
            <w:t>23</w:t>
          </w:r>
        </w:p>
        <w:p>
          <w:pPr>
            <w:pStyle w:val="TOC1"/>
            <w:numPr>
              <w:ilvl w:val="1"/>
              <w:numId w:val="2"/>
            </w:numPr>
            <w:tabs>
              <w:tab w:pos="620" w:val="left" w:leader="none"/>
              <w:tab w:pos="8421" w:val="right" w:leader="none"/>
            </w:tabs>
            <w:spacing w:line="240" w:lineRule="auto" w:before="276" w:after="0"/>
            <w:ind w:left="620" w:right="0" w:hanging="360"/>
            <w:jc w:val="left"/>
          </w:pPr>
          <w:hyperlink w:history="true" w:anchor="_TOC_250025">
            <w:r>
              <w:rPr/>
              <w:t>Types</w:t>
            </w:r>
            <w:r>
              <w:rPr>
                <w:spacing w:val="-2"/>
              </w:rPr>
              <w:t> </w:t>
            </w:r>
            <w:r>
              <w:rPr/>
              <w:t>of</w:t>
            </w:r>
            <w:r>
              <w:rPr>
                <w:spacing w:val="-2"/>
              </w:rPr>
              <w:t> </w:t>
            </w:r>
            <w:r>
              <w:rPr/>
              <w:t>Antimalarial</w:t>
            </w:r>
            <w:r>
              <w:rPr>
                <w:spacing w:val="-1"/>
              </w:rPr>
              <w:t> </w:t>
            </w:r>
            <w:r>
              <w:rPr/>
              <w:t>Drug</w:t>
            </w:r>
            <w:r>
              <w:rPr>
                <w:spacing w:val="-5"/>
              </w:rPr>
              <w:t> </w:t>
            </w:r>
            <w:r>
              <w:rPr/>
              <w:t>Resistance</w:t>
            </w:r>
            <w:r>
              <w:rPr>
                <w:spacing w:val="-2"/>
              </w:rPr>
              <w:t> Mechanisms</w:t>
            </w:r>
            <w:r>
              <w:rPr/>
              <w:tab/>
            </w:r>
            <w:r>
              <w:rPr>
                <w:spacing w:val="-7"/>
              </w:rPr>
              <w:t>31</w:t>
            </w:r>
          </w:hyperlink>
        </w:p>
        <w:p>
          <w:pPr>
            <w:pStyle w:val="TOC1"/>
            <w:numPr>
              <w:ilvl w:val="2"/>
              <w:numId w:val="2"/>
            </w:numPr>
            <w:tabs>
              <w:tab w:pos="800" w:val="left" w:leader="none"/>
              <w:tab w:pos="8421" w:val="right" w:leader="none"/>
            </w:tabs>
            <w:spacing w:line="240" w:lineRule="auto" w:before="277" w:after="0"/>
            <w:ind w:left="800" w:right="0" w:hanging="540"/>
            <w:jc w:val="left"/>
          </w:pPr>
          <w:r>
            <w:rPr/>
            <w:t>Mechanism</w:t>
          </w:r>
          <w:r>
            <w:rPr>
              <w:spacing w:val="-4"/>
            </w:rPr>
            <w:t> </w:t>
          </w:r>
          <w:r>
            <w:rPr/>
            <w:t>of</w:t>
          </w:r>
          <w:r>
            <w:rPr>
              <w:spacing w:val="-1"/>
            </w:rPr>
            <w:t> </w:t>
          </w:r>
          <w:r>
            <w:rPr/>
            <w:t>chloroquine</w:t>
          </w:r>
          <w:r>
            <w:rPr>
              <w:spacing w:val="-2"/>
            </w:rPr>
            <w:t> resistance</w:t>
          </w:r>
          <w:r>
            <w:rPr/>
            <w:tab/>
          </w:r>
          <w:r>
            <w:rPr>
              <w:spacing w:val="-5"/>
            </w:rPr>
            <w:t>32</w:t>
          </w:r>
        </w:p>
        <w:p>
          <w:pPr>
            <w:pStyle w:val="TOC1"/>
            <w:numPr>
              <w:ilvl w:val="2"/>
              <w:numId w:val="2"/>
            </w:numPr>
            <w:tabs>
              <w:tab w:pos="860" w:val="left" w:leader="none"/>
              <w:tab w:pos="8421" w:val="right" w:leader="none"/>
            </w:tabs>
            <w:spacing w:line="240" w:lineRule="auto" w:before="276" w:after="0"/>
            <w:ind w:left="860" w:right="0" w:hanging="600"/>
            <w:jc w:val="left"/>
          </w:pPr>
          <w:r>
            <w:rPr/>
            <w:t>Mechanism</w:t>
          </w:r>
          <w:r>
            <w:rPr>
              <w:spacing w:val="-2"/>
            </w:rPr>
            <w:t> </w:t>
          </w:r>
          <w:r>
            <w:rPr/>
            <w:t>of</w:t>
          </w:r>
          <w:r>
            <w:rPr>
              <w:spacing w:val="-1"/>
            </w:rPr>
            <w:t> </w:t>
          </w:r>
          <w:r>
            <w:rPr/>
            <w:t>antifolate</w:t>
          </w:r>
          <w:r>
            <w:rPr>
              <w:spacing w:val="-1"/>
            </w:rPr>
            <w:t> </w:t>
          </w:r>
          <w:r>
            <w:rPr>
              <w:spacing w:val="-2"/>
            </w:rPr>
            <w:t>resistance</w:t>
          </w:r>
          <w:r>
            <w:rPr/>
            <w:tab/>
          </w:r>
          <w:r>
            <w:rPr>
              <w:spacing w:val="-5"/>
            </w:rPr>
            <w:t>34</w:t>
          </w:r>
        </w:p>
        <w:p>
          <w:pPr>
            <w:pStyle w:val="TOC1"/>
            <w:numPr>
              <w:ilvl w:val="2"/>
              <w:numId w:val="2"/>
            </w:numPr>
            <w:tabs>
              <w:tab w:pos="800" w:val="left" w:leader="none"/>
              <w:tab w:pos="8421" w:val="right" w:leader="none"/>
            </w:tabs>
            <w:spacing w:line="240" w:lineRule="auto" w:before="276" w:after="0"/>
            <w:ind w:left="800" w:right="0" w:hanging="540"/>
            <w:jc w:val="left"/>
          </w:pPr>
          <w:r>
            <w:rPr/>
            <w:t>Mechanism</w:t>
          </w:r>
          <w:r>
            <w:rPr>
              <w:spacing w:val="-1"/>
            </w:rPr>
            <w:t> </w:t>
          </w:r>
          <w:r>
            <w:rPr/>
            <w:t>of</w:t>
          </w:r>
          <w:r>
            <w:rPr>
              <w:spacing w:val="-1"/>
            </w:rPr>
            <w:t> </w:t>
          </w:r>
          <w:r>
            <w:rPr/>
            <w:t>artemisinin</w:t>
          </w:r>
          <w:r>
            <w:rPr>
              <w:spacing w:val="-1"/>
            </w:rPr>
            <w:t> </w:t>
          </w:r>
          <w:r>
            <w:rPr/>
            <w:t>compounds</w:t>
          </w:r>
          <w:r>
            <w:rPr>
              <w:spacing w:val="-1"/>
            </w:rPr>
            <w:t> </w:t>
          </w:r>
          <w:r>
            <w:rPr>
              <w:spacing w:val="-2"/>
            </w:rPr>
            <w:t>resistance</w:t>
          </w:r>
          <w:r>
            <w:rPr/>
            <w:tab/>
          </w:r>
          <w:r>
            <w:rPr>
              <w:spacing w:val="-5"/>
            </w:rPr>
            <w:t>36</w:t>
          </w:r>
        </w:p>
        <w:p>
          <w:pPr>
            <w:pStyle w:val="TOC1"/>
            <w:numPr>
              <w:ilvl w:val="1"/>
              <w:numId w:val="2"/>
            </w:numPr>
            <w:tabs>
              <w:tab w:pos="622" w:val="left" w:leader="none"/>
              <w:tab w:pos="8421" w:val="right" w:leader="none"/>
            </w:tabs>
            <w:spacing w:line="240" w:lineRule="auto" w:before="276" w:after="0"/>
            <w:ind w:left="622" w:right="0" w:hanging="362"/>
            <w:jc w:val="left"/>
          </w:pPr>
          <w:r>
            <w:rPr/>
            <w:t>In</w:t>
          </w:r>
          <w:r>
            <w:rPr>
              <w:spacing w:val="-3"/>
            </w:rPr>
            <w:t> </w:t>
          </w:r>
          <w:r>
            <w:rPr/>
            <w:t>vitro</w:t>
          </w:r>
          <w:r>
            <w:rPr>
              <w:spacing w:val="-3"/>
            </w:rPr>
            <w:t> </w:t>
          </w:r>
          <w:r>
            <w:rPr>
              <w:spacing w:val="-2"/>
            </w:rPr>
            <w:t>tests</w:t>
          </w:r>
          <w:r>
            <w:rPr/>
            <w:tab/>
          </w:r>
          <w:r>
            <w:rPr>
              <w:spacing w:val="-5"/>
            </w:rPr>
            <w:t>36</w:t>
          </w:r>
        </w:p>
        <w:p>
          <w:pPr>
            <w:pStyle w:val="TOC1"/>
            <w:numPr>
              <w:ilvl w:val="1"/>
              <w:numId w:val="2"/>
            </w:numPr>
            <w:tabs>
              <w:tab w:pos="620" w:val="left" w:leader="none"/>
              <w:tab w:pos="8421" w:val="right" w:leader="none"/>
            </w:tabs>
            <w:spacing w:line="240" w:lineRule="auto" w:before="276" w:after="0"/>
            <w:ind w:left="620" w:right="0" w:hanging="360"/>
            <w:jc w:val="left"/>
          </w:pPr>
          <w:hyperlink w:history="true" w:anchor="_TOC_250024">
            <w:r>
              <w:rPr/>
              <w:t>Molecular</w:t>
            </w:r>
            <w:r>
              <w:rPr>
                <w:spacing w:val="-6"/>
              </w:rPr>
              <w:t> </w:t>
            </w:r>
            <w:r>
              <w:rPr/>
              <w:t>characterization</w:t>
            </w:r>
            <w:r>
              <w:rPr>
                <w:spacing w:val="-2"/>
              </w:rPr>
              <w:t> </w:t>
            </w:r>
            <w:r>
              <w:rPr/>
              <w:t>of</w:t>
            </w:r>
            <w:r>
              <w:rPr>
                <w:spacing w:val="-3"/>
              </w:rPr>
              <w:t> </w:t>
            </w:r>
            <w:r>
              <w:rPr/>
              <w:t>antimalarial</w:t>
            </w:r>
            <w:r>
              <w:rPr>
                <w:spacing w:val="-2"/>
              </w:rPr>
              <w:t> </w:t>
            </w:r>
            <w:r>
              <w:rPr/>
              <w:t>resistance </w:t>
            </w:r>
            <w:r>
              <w:rPr>
                <w:spacing w:val="-2"/>
              </w:rPr>
              <w:t>genes</w:t>
            </w:r>
            <w:r>
              <w:rPr/>
              <w:tab/>
            </w:r>
            <w:r>
              <w:rPr>
                <w:spacing w:val="-5"/>
              </w:rPr>
              <w:t>37</w:t>
            </w:r>
          </w:hyperlink>
        </w:p>
        <w:p>
          <w:pPr>
            <w:pStyle w:val="TOC1"/>
            <w:spacing w:before="277"/>
          </w:pPr>
          <w:hyperlink w:history="true" w:anchor="_TOC_250023">
            <w:r>
              <w:rPr/>
              <w:t>CHAPTER</w:t>
            </w:r>
            <w:r>
              <w:rPr>
                <w:spacing w:val="-2"/>
              </w:rPr>
              <w:t> THREE</w:t>
            </w:r>
          </w:hyperlink>
        </w:p>
        <w:p>
          <w:pPr>
            <w:pStyle w:val="TOC1"/>
            <w:numPr>
              <w:ilvl w:val="1"/>
              <w:numId w:val="3"/>
            </w:numPr>
            <w:tabs>
              <w:tab w:pos="620" w:val="left" w:leader="none"/>
              <w:tab w:pos="8421" w:val="right" w:leader="none"/>
            </w:tabs>
            <w:spacing w:line="240" w:lineRule="auto" w:before="276" w:after="0"/>
            <w:ind w:left="620" w:right="0" w:hanging="360"/>
            <w:jc w:val="left"/>
          </w:pPr>
          <w:hyperlink w:history="true" w:anchor="_TOC_250022">
            <w:r>
              <w:rPr/>
              <w:t>Materials</w:t>
            </w:r>
            <w:r>
              <w:rPr>
                <w:spacing w:val="-2"/>
              </w:rPr>
              <w:t> </w:t>
            </w:r>
            <w:r>
              <w:rPr/>
              <w:t>and</w:t>
            </w:r>
            <w:r>
              <w:rPr>
                <w:spacing w:val="-2"/>
              </w:rPr>
              <w:t> Methods</w:t>
            </w:r>
            <w:r>
              <w:rPr/>
              <w:tab/>
            </w:r>
            <w:r>
              <w:rPr>
                <w:spacing w:val="-5"/>
              </w:rPr>
              <w:t>40</w:t>
            </w:r>
          </w:hyperlink>
        </w:p>
        <w:p>
          <w:pPr>
            <w:pStyle w:val="TOC1"/>
            <w:numPr>
              <w:ilvl w:val="1"/>
              <w:numId w:val="3"/>
            </w:numPr>
            <w:tabs>
              <w:tab w:pos="620" w:val="left" w:leader="none"/>
              <w:tab w:pos="8421" w:val="right" w:leader="none"/>
            </w:tabs>
            <w:spacing w:line="240" w:lineRule="auto" w:before="276" w:after="0"/>
            <w:ind w:left="620" w:right="0" w:hanging="360"/>
            <w:jc w:val="left"/>
          </w:pPr>
          <w:hyperlink w:history="true" w:anchor="_TOC_250021">
            <w:r>
              <w:rPr>
                <w:spacing w:val="-2"/>
              </w:rPr>
              <w:t>Materials</w:t>
            </w:r>
            <w:r>
              <w:rPr/>
              <w:tab/>
            </w:r>
            <w:r>
              <w:rPr>
                <w:spacing w:val="-5"/>
              </w:rPr>
              <w:t>40</w:t>
            </w:r>
          </w:hyperlink>
        </w:p>
        <w:p>
          <w:pPr>
            <w:pStyle w:val="TOC1"/>
            <w:numPr>
              <w:ilvl w:val="2"/>
              <w:numId w:val="3"/>
            </w:numPr>
            <w:tabs>
              <w:tab w:pos="800" w:val="left" w:leader="none"/>
              <w:tab w:pos="8421" w:val="right" w:leader="none"/>
            </w:tabs>
            <w:spacing w:line="240" w:lineRule="auto" w:before="276" w:after="0"/>
            <w:ind w:left="800" w:right="0" w:hanging="540"/>
            <w:jc w:val="left"/>
          </w:pPr>
          <w:hyperlink w:history="true" w:anchor="_TOC_250020">
            <w:r>
              <w:rPr>
                <w:spacing w:val="-2"/>
              </w:rPr>
              <w:t>Equipment</w:t>
            </w:r>
            <w:r>
              <w:rPr/>
              <w:tab/>
            </w:r>
            <w:r>
              <w:rPr>
                <w:spacing w:val="-5"/>
              </w:rPr>
              <w:t>40</w:t>
            </w:r>
          </w:hyperlink>
        </w:p>
        <w:p>
          <w:pPr>
            <w:pStyle w:val="TOC1"/>
            <w:numPr>
              <w:ilvl w:val="2"/>
              <w:numId w:val="3"/>
            </w:numPr>
            <w:tabs>
              <w:tab w:pos="860" w:val="left" w:leader="none"/>
              <w:tab w:pos="8421" w:val="right" w:leader="none"/>
            </w:tabs>
            <w:spacing w:line="240" w:lineRule="auto" w:before="276" w:after="0"/>
            <w:ind w:left="860" w:right="0" w:hanging="600"/>
            <w:jc w:val="left"/>
          </w:pPr>
          <w:hyperlink w:history="true" w:anchor="_TOC_250019">
            <w:r>
              <w:rPr>
                <w:spacing w:val="-2"/>
              </w:rPr>
              <w:t>Drugs</w:t>
            </w:r>
            <w:r>
              <w:rPr/>
              <w:tab/>
            </w:r>
            <w:r>
              <w:rPr>
                <w:spacing w:val="-5"/>
              </w:rPr>
              <w:t>40</w:t>
            </w:r>
          </w:hyperlink>
        </w:p>
        <w:p>
          <w:pPr>
            <w:pStyle w:val="TOC1"/>
            <w:numPr>
              <w:ilvl w:val="2"/>
              <w:numId w:val="3"/>
            </w:numPr>
            <w:tabs>
              <w:tab w:pos="860" w:val="left" w:leader="none"/>
              <w:tab w:pos="8421" w:val="right" w:leader="none"/>
            </w:tabs>
            <w:spacing w:line="240" w:lineRule="auto" w:before="276" w:after="0"/>
            <w:ind w:left="860" w:right="0" w:hanging="600"/>
            <w:jc w:val="left"/>
          </w:pPr>
          <w:hyperlink w:history="true" w:anchor="_TOC_250018">
            <w:r>
              <w:rPr>
                <w:spacing w:val="-2"/>
              </w:rPr>
              <w:t>Chemical</w:t>
            </w:r>
            <w:r>
              <w:rPr/>
              <w:tab/>
            </w:r>
            <w:r>
              <w:rPr>
                <w:spacing w:val="-5"/>
              </w:rPr>
              <w:t>40</w:t>
            </w:r>
          </w:hyperlink>
        </w:p>
        <w:p>
          <w:pPr>
            <w:pStyle w:val="TOC1"/>
            <w:numPr>
              <w:ilvl w:val="2"/>
              <w:numId w:val="3"/>
            </w:numPr>
            <w:tabs>
              <w:tab w:pos="860" w:val="left" w:leader="none"/>
              <w:tab w:pos="8421" w:val="right" w:leader="none"/>
            </w:tabs>
            <w:spacing w:line="240" w:lineRule="auto" w:before="276" w:after="0"/>
            <w:ind w:left="860" w:right="0" w:hanging="600"/>
            <w:jc w:val="left"/>
          </w:pPr>
          <w:hyperlink w:history="true" w:anchor="_TOC_250017">
            <w:r>
              <w:rPr>
                <w:spacing w:val="-2"/>
              </w:rPr>
              <w:t>Others</w:t>
            </w:r>
            <w:r>
              <w:rPr/>
              <w:tab/>
            </w:r>
            <w:r>
              <w:rPr>
                <w:spacing w:val="-5"/>
              </w:rPr>
              <w:t>40</w:t>
            </w:r>
          </w:hyperlink>
        </w:p>
        <w:p>
          <w:pPr>
            <w:pStyle w:val="TOC1"/>
            <w:numPr>
              <w:ilvl w:val="1"/>
              <w:numId w:val="3"/>
            </w:numPr>
            <w:tabs>
              <w:tab w:pos="620" w:val="left" w:leader="none"/>
              <w:tab w:pos="8421" w:val="right" w:leader="none"/>
            </w:tabs>
            <w:spacing w:line="240" w:lineRule="auto" w:before="276" w:after="20"/>
            <w:ind w:left="620" w:right="0" w:hanging="360"/>
            <w:jc w:val="left"/>
          </w:pPr>
          <w:hyperlink w:history="true" w:anchor="_TOC_250016">
            <w:r>
              <w:rPr>
                <w:spacing w:val="-2"/>
              </w:rPr>
              <w:t>Methods</w:t>
            </w:r>
            <w:r>
              <w:rPr/>
              <w:tab/>
            </w:r>
            <w:r>
              <w:rPr>
                <w:spacing w:val="-5"/>
              </w:rPr>
              <w:t>41</w:t>
            </w:r>
          </w:hyperlink>
        </w:p>
        <w:p>
          <w:pPr>
            <w:pStyle w:val="TOC1"/>
            <w:numPr>
              <w:ilvl w:val="2"/>
              <w:numId w:val="3"/>
            </w:numPr>
            <w:tabs>
              <w:tab w:pos="800" w:val="left" w:leader="none"/>
              <w:tab w:pos="8421" w:val="right" w:leader="none"/>
            </w:tabs>
            <w:spacing w:line="240" w:lineRule="auto" w:before="74" w:after="0"/>
            <w:ind w:left="800" w:right="0" w:hanging="540"/>
            <w:jc w:val="left"/>
          </w:pPr>
          <w:r>
            <w:rPr/>
            <w:t>The</w:t>
          </w:r>
          <w:r>
            <w:rPr>
              <w:spacing w:val="-1"/>
            </w:rPr>
            <w:t> </w:t>
          </w:r>
          <w:r>
            <w:rPr/>
            <w:t>Study</w:t>
          </w:r>
          <w:r>
            <w:rPr>
              <w:spacing w:val="-4"/>
            </w:rPr>
            <w:t> </w:t>
          </w:r>
          <w:r>
            <w:rPr>
              <w:spacing w:val="-2"/>
            </w:rPr>
            <w:t>Centre</w:t>
          </w:r>
          <w:r>
            <w:rPr/>
            <w:tab/>
          </w:r>
          <w:r>
            <w:rPr>
              <w:spacing w:val="-5"/>
            </w:rPr>
            <w:t>41</w:t>
          </w:r>
        </w:p>
        <w:p>
          <w:pPr>
            <w:pStyle w:val="TOC1"/>
            <w:numPr>
              <w:ilvl w:val="2"/>
              <w:numId w:val="3"/>
            </w:numPr>
            <w:tabs>
              <w:tab w:pos="800" w:val="left" w:leader="none"/>
              <w:tab w:pos="8421" w:val="right" w:leader="none"/>
            </w:tabs>
            <w:spacing w:line="240" w:lineRule="auto" w:before="276" w:after="0"/>
            <w:ind w:left="800" w:right="0" w:hanging="540"/>
            <w:jc w:val="left"/>
          </w:pPr>
          <w:hyperlink w:history="true" w:anchor="_TOC_250015">
            <w:r>
              <w:rPr/>
              <w:t>Retrospective</w:t>
            </w:r>
            <w:r>
              <w:rPr>
                <w:spacing w:val="-4"/>
              </w:rPr>
              <w:t> Study</w:t>
            </w:r>
            <w:r>
              <w:rPr/>
              <w:tab/>
            </w:r>
            <w:r>
              <w:rPr>
                <w:spacing w:val="-5"/>
              </w:rPr>
              <w:t>41</w:t>
            </w:r>
          </w:hyperlink>
        </w:p>
        <w:p>
          <w:pPr>
            <w:pStyle w:val="TOC1"/>
            <w:numPr>
              <w:ilvl w:val="2"/>
              <w:numId w:val="3"/>
            </w:numPr>
            <w:tabs>
              <w:tab w:pos="800" w:val="left" w:leader="none"/>
              <w:tab w:pos="8421" w:val="right" w:leader="none"/>
            </w:tabs>
            <w:spacing w:line="240" w:lineRule="auto" w:before="276" w:after="0"/>
            <w:ind w:left="800" w:right="0" w:hanging="540"/>
            <w:jc w:val="left"/>
          </w:pPr>
          <w:r>
            <w:rPr/>
            <w:t>Patient and Study</w:t>
          </w:r>
          <w:r>
            <w:rPr>
              <w:spacing w:val="-5"/>
            </w:rPr>
            <w:t> </w:t>
          </w:r>
          <w:r>
            <w:rPr>
              <w:spacing w:val="-2"/>
            </w:rPr>
            <w:t>Protocol</w:t>
          </w:r>
          <w:r>
            <w:rPr/>
            <w:tab/>
          </w:r>
          <w:r>
            <w:rPr>
              <w:spacing w:val="-5"/>
            </w:rPr>
            <w:t>41</w:t>
          </w:r>
        </w:p>
        <w:p>
          <w:pPr>
            <w:pStyle w:val="TOC2"/>
            <w:numPr>
              <w:ilvl w:val="2"/>
              <w:numId w:val="3"/>
            </w:numPr>
            <w:tabs>
              <w:tab w:pos="800" w:val="left" w:leader="none"/>
              <w:tab w:pos="8421" w:val="right" w:leader="none"/>
            </w:tabs>
            <w:spacing w:line="240" w:lineRule="auto" w:before="276" w:after="0"/>
            <w:ind w:left="800" w:right="0" w:hanging="540"/>
            <w:jc w:val="left"/>
            <w:rPr>
              <w:b w:val="0"/>
              <w:i w:val="0"/>
              <w:sz w:val="24"/>
            </w:rPr>
          </w:pPr>
          <w:r>
            <w:rPr>
              <w:b w:val="0"/>
              <w:i w:val="0"/>
              <w:sz w:val="24"/>
            </w:rPr>
            <w:t>Profile</w:t>
          </w:r>
          <w:r>
            <w:rPr>
              <w:b w:val="0"/>
              <w:i w:val="0"/>
              <w:spacing w:val="-2"/>
              <w:sz w:val="24"/>
            </w:rPr>
            <w:t> </w:t>
          </w:r>
          <w:r>
            <w:rPr>
              <w:b w:val="0"/>
              <w:i w:val="0"/>
              <w:sz w:val="24"/>
            </w:rPr>
            <w:t>of</w:t>
          </w:r>
          <w:r>
            <w:rPr>
              <w:b w:val="0"/>
              <w:i w:val="0"/>
              <w:spacing w:val="-2"/>
              <w:sz w:val="24"/>
            </w:rPr>
            <w:t> </w:t>
          </w:r>
          <w:r>
            <w:rPr>
              <w:b w:val="0"/>
              <w:sz w:val="24"/>
            </w:rPr>
            <w:t>Plasmodium</w:t>
          </w:r>
          <w:r>
            <w:rPr>
              <w:b w:val="0"/>
              <w:spacing w:val="-1"/>
              <w:sz w:val="24"/>
            </w:rPr>
            <w:t> </w:t>
          </w:r>
          <w:r>
            <w:rPr>
              <w:b w:val="0"/>
              <w:i w:val="0"/>
              <w:sz w:val="24"/>
            </w:rPr>
            <w:t>species</w:t>
          </w:r>
          <w:r>
            <w:rPr>
              <w:b w:val="0"/>
              <w:i w:val="0"/>
              <w:spacing w:val="-1"/>
              <w:sz w:val="24"/>
            </w:rPr>
            <w:t> </w:t>
          </w:r>
          <w:r>
            <w:rPr>
              <w:b w:val="0"/>
              <w:i w:val="0"/>
              <w:spacing w:val="-2"/>
              <w:sz w:val="24"/>
            </w:rPr>
            <w:t>isolates</w:t>
          </w:r>
          <w:r>
            <w:rPr>
              <w:b w:val="0"/>
              <w:i w:val="0"/>
              <w:sz w:val="24"/>
            </w:rPr>
            <w:tab/>
          </w:r>
          <w:r>
            <w:rPr>
              <w:b w:val="0"/>
              <w:i w:val="0"/>
              <w:spacing w:val="-5"/>
              <w:sz w:val="24"/>
            </w:rPr>
            <w:t>42</w:t>
          </w:r>
        </w:p>
        <w:p>
          <w:pPr>
            <w:pStyle w:val="TOC1"/>
            <w:numPr>
              <w:ilvl w:val="2"/>
              <w:numId w:val="3"/>
            </w:numPr>
            <w:tabs>
              <w:tab w:pos="740" w:val="left" w:leader="none"/>
              <w:tab w:pos="8421" w:val="right" w:leader="none"/>
            </w:tabs>
            <w:spacing w:line="240" w:lineRule="auto" w:before="276" w:after="0"/>
            <w:ind w:left="740" w:right="0" w:hanging="480"/>
            <w:jc w:val="left"/>
          </w:pPr>
          <w:r>
            <w:rPr/>
            <w:t>Performance</w:t>
          </w:r>
          <w:r>
            <w:rPr>
              <w:spacing w:val="-2"/>
            </w:rPr>
            <w:t> </w:t>
          </w:r>
          <w:r>
            <w:rPr/>
            <w:t>of</w:t>
          </w:r>
          <w:r>
            <w:rPr>
              <w:spacing w:val="-1"/>
            </w:rPr>
            <w:t> </w:t>
          </w:r>
          <w:r>
            <w:rPr/>
            <w:t>the</w:t>
          </w:r>
          <w:r>
            <w:rPr>
              <w:spacing w:val="-3"/>
            </w:rPr>
            <w:t> </w:t>
          </w:r>
          <w:r>
            <w:rPr/>
            <w:t>in</w:t>
          </w:r>
          <w:r>
            <w:rPr>
              <w:spacing w:val="-1"/>
            </w:rPr>
            <w:t> </w:t>
          </w:r>
          <w:r>
            <w:rPr/>
            <w:t>vitro micro-</w:t>
          </w:r>
          <w:r>
            <w:rPr>
              <w:spacing w:val="-4"/>
            </w:rPr>
            <w:t>test</w:t>
          </w:r>
          <w:r>
            <w:rPr/>
            <w:tab/>
          </w:r>
          <w:r>
            <w:rPr>
              <w:spacing w:val="-5"/>
            </w:rPr>
            <w:t>42</w:t>
          </w:r>
        </w:p>
        <w:p>
          <w:pPr>
            <w:pStyle w:val="TOC1"/>
            <w:numPr>
              <w:ilvl w:val="2"/>
              <w:numId w:val="3"/>
            </w:numPr>
            <w:tabs>
              <w:tab w:pos="800" w:val="left" w:leader="none"/>
              <w:tab w:pos="8421" w:val="right" w:leader="none"/>
            </w:tabs>
            <w:spacing w:line="240" w:lineRule="auto" w:before="276" w:after="0"/>
            <w:ind w:left="800" w:right="0" w:hanging="540"/>
            <w:jc w:val="left"/>
          </w:pPr>
          <w:hyperlink w:history="true" w:anchor="_TOC_250014">
            <w:r>
              <w:rPr/>
              <w:t>Examination</w:t>
            </w:r>
            <w:r>
              <w:rPr>
                <w:spacing w:val="-3"/>
              </w:rPr>
              <w:t> </w:t>
            </w:r>
            <w:r>
              <w:rPr/>
              <w:t>of</w:t>
            </w:r>
            <w:r>
              <w:rPr>
                <w:spacing w:val="-2"/>
              </w:rPr>
              <w:t> </w:t>
            </w:r>
            <w:r>
              <w:rPr/>
              <w:t>the</w:t>
            </w:r>
            <w:r>
              <w:rPr>
                <w:spacing w:val="-1"/>
              </w:rPr>
              <w:t> </w:t>
            </w:r>
            <w:r>
              <w:rPr/>
              <w:t>Post-culture</w:t>
            </w:r>
            <w:r>
              <w:rPr>
                <w:spacing w:val="-2"/>
              </w:rPr>
              <w:t> </w:t>
            </w:r>
            <w:r>
              <w:rPr/>
              <w:t>Blood </w:t>
            </w:r>
            <w:r>
              <w:rPr>
                <w:spacing w:val="-2"/>
              </w:rPr>
              <w:t>Slide</w:t>
            </w:r>
            <w:r>
              <w:rPr/>
              <w:tab/>
            </w:r>
            <w:r>
              <w:rPr>
                <w:spacing w:val="-5"/>
              </w:rPr>
              <w:t>44</w:t>
            </w:r>
          </w:hyperlink>
        </w:p>
        <w:p>
          <w:pPr>
            <w:pStyle w:val="TOC1"/>
            <w:numPr>
              <w:ilvl w:val="2"/>
              <w:numId w:val="3"/>
            </w:numPr>
            <w:tabs>
              <w:tab w:pos="800" w:val="left" w:leader="none"/>
              <w:tab w:pos="8421" w:val="right" w:leader="none"/>
            </w:tabs>
            <w:spacing w:line="240" w:lineRule="auto" w:before="276" w:after="0"/>
            <w:ind w:left="800" w:right="0" w:hanging="540"/>
            <w:jc w:val="left"/>
          </w:pPr>
          <w:hyperlink w:history="true" w:anchor="_TOC_250013">
            <w:r>
              <w:rPr/>
              <w:t>Molecular</w:t>
            </w:r>
            <w:r>
              <w:rPr>
                <w:spacing w:val="-6"/>
              </w:rPr>
              <w:t> </w:t>
            </w:r>
            <w:r>
              <w:rPr/>
              <w:t>Analysis</w:t>
            </w:r>
            <w:r>
              <w:rPr>
                <w:spacing w:val="2"/>
              </w:rPr>
              <w:t> </w:t>
            </w:r>
            <w:r>
              <w:rPr/>
              <w:t>of</w:t>
            </w:r>
            <w:r>
              <w:rPr>
                <w:spacing w:val="-2"/>
              </w:rPr>
              <w:t> </w:t>
            </w:r>
            <w:r>
              <w:rPr/>
              <w:t>Resistant </w:t>
            </w:r>
            <w:r>
              <w:rPr>
                <w:spacing w:val="-2"/>
              </w:rPr>
              <w:t>Strains</w:t>
            </w:r>
            <w:r>
              <w:rPr/>
              <w:tab/>
            </w:r>
            <w:r>
              <w:rPr>
                <w:spacing w:val="-5"/>
              </w:rPr>
              <w:t>46</w:t>
            </w:r>
          </w:hyperlink>
        </w:p>
        <w:p>
          <w:pPr>
            <w:pStyle w:val="TOC1"/>
          </w:pPr>
          <w:hyperlink w:history="true" w:anchor="_TOC_250012">
            <w:r>
              <w:rPr/>
              <w:t>CHAPTER</w:t>
            </w:r>
            <w:r>
              <w:rPr>
                <w:spacing w:val="-3"/>
              </w:rPr>
              <w:t> </w:t>
            </w:r>
            <w:r>
              <w:rPr>
                <w:spacing w:val="-4"/>
              </w:rPr>
              <w:t>FOUR</w:t>
            </w:r>
          </w:hyperlink>
        </w:p>
        <w:p>
          <w:pPr>
            <w:pStyle w:val="TOC1"/>
            <w:numPr>
              <w:ilvl w:val="1"/>
              <w:numId w:val="4"/>
            </w:numPr>
            <w:tabs>
              <w:tab w:pos="620" w:val="left" w:leader="none"/>
              <w:tab w:pos="8421" w:val="right" w:leader="none"/>
            </w:tabs>
            <w:spacing w:line="240" w:lineRule="auto" w:before="276" w:after="0"/>
            <w:ind w:left="620" w:right="0" w:hanging="360"/>
            <w:jc w:val="left"/>
          </w:pPr>
          <w:hyperlink w:history="true" w:anchor="_TOC_250011">
            <w:r>
              <w:rPr>
                <w:spacing w:val="-2"/>
              </w:rPr>
              <w:t>Results</w:t>
            </w:r>
            <w:r>
              <w:rPr/>
              <w:tab/>
            </w:r>
            <w:r>
              <w:rPr>
                <w:spacing w:val="-5"/>
              </w:rPr>
              <w:t>53</w:t>
            </w:r>
          </w:hyperlink>
        </w:p>
        <w:p>
          <w:pPr>
            <w:pStyle w:val="TOC1"/>
            <w:numPr>
              <w:ilvl w:val="1"/>
              <w:numId w:val="4"/>
            </w:numPr>
            <w:tabs>
              <w:tab w:pos="620" w:val="left" w:leader="none"/>
              <w:tab w:pos="8421" w:val="right" w:leader="none"/>
            </w:tabs>
            <w:spacing w:line="240" w:lineRule="auto" w:before="276" w:after="0"/>
            <w:ind w:left="620" w:right="0" w:hanging="360"/>
            <w:jc w:val="left"/>
          </w:pPr>
          <w:hyperlink w:history="true" w:anchor="_TOC_250010">
            <w:r>
              <w:rPr/>
              <w:t>Survey</w:t>
            </w:r>
            <w:r>
              <w:rPr>
                <w:spacing w:val="-6"/>
              </w:rPr>
              <w:t> </w:t>
            </w:r>
            <w:r>
              <w:rPr/>
              <w:t>of</w:t>
            </w:r>
            <w:r>
              <w:rPr>
                <w:spacing w:val="-1"/>
              </w:rPr>
              <w:t> </w:t>
            </w:r>
            <w:r>
              <w:rPr/>
              <w:t>malaria prevalence</w:t>
            </w:r>
            <w:r>
              <w:rPr>
                <w:spacing w:val="-2"/>
              </w:rPr>
              <w:t> </w:t>
            </w:r>
            <w:r>
              <w:rPr/>
              <w:t>in Sabon-</w:t>
            </w:r>
            <w:r>
              <w:rPr>
                <w:spacing w:val="-4"/>
              </w:rPr>
              <w:t>Wuse</w:t>
            </w:r>
            <w:r>
              <w:rPr/>
              <w:tab/>
            </w:r>
            <w:r>
              <w:rPr>
                <w:spacing w:val="-5"/>
              </w:rPr>
              <w:t>53</w:t>
            </w:r>
          </w:hyperlink>
        </w:p>
        <w:p>
          <w:pPr>
            <w:pStyle w:val="TOC1"/>
            <w:numPr>
              <w:ilvl w:val="2"/>
              <w:numId w:val="4"/>
            </w:numPr>
            <w:tabs>
              <w:tab w:pos="800" w:val="left" w:leader="none"/>
              <w:tab w:pos="8421" w:val="right" w:leader="none"/>
            </w:tabs>
            <w:spacing w:line="240" w:lineRule="auto" w:before="276" w:after="0"/>
            <w:ind w:left="800" w:right="0" w:hanging="540"/>
            <w:jc w:val="left"/>
          </w:pPr>
          <w:hyperlink w:history="true" w:anchor="_TOC_250009">
            <w:r>
              <w:rPr/>
              <w:t>Prevalence</w:t>
            </w:r>
            <w:r>
              <w:rPr>
                <w:spacing w:val="-3"/>
              </w:rPr>
              <w:t> </w:t>
            </w:r>
            <w:r>
              <w:rPr/>
              <w:t>of</w:t>
            </w:r>
            <w:r>
              <w:rPr>
                <w:spacing w:val="-1"/>
              </w:rPr>
              <w:t> </w:t>
            </w:r>
            <w:r>
              <w:rPr>
                <w:spacing w:val="-2"/>
              </w:rPr>
              <w:t>malaria</w:t>
            </w:r>
            <w:r>
              <w:rPr/>
              <w:tab/>
            </w:r>
            <w:r>
              <w:rPr>
                <w:spacing w:val="-5"/>
              </w:rPr>
              <w:t>53</w:t>
            </w:r>
          </w:hyperlink>
        </w:p>
        <w:p>
          <w:pPr>
            <w:pStyle w:val="TOC1"/>
            <w:numPr>
              <w:ilvl w:val="2"/>
              <w:numId w:val="4"/>
            </w:numPr>
            <w:tabs>
              <w:tab w:pos="800" w:val="left" w:leader="none"/>
              <w:tab w:pos="8421" w:val="right" w:leader="none"/>
            </w:tabs>
            <w:spacing w:line="240" w:lineRule="auto" w:before="276" w:after="0"/>
            <w:ind w:left="800" w:right="0" w:hanging="540"/>
            <w:jc w:val="left"/>
          </w:pPr>
          <w:hyperlink w:history="true" w:anchor="_TOC_250008">
            <w:r>
              <w:rPr/>
              <w:t>Drugs</w:t>
            </w:r>
            <w:r>
              <w:rPr>
                <w:spacing w:val="-3"/>
              </w:rPr>
              <w:t> </w:t>
            </w:r>
            <w:r>
              <w:rPr>
                <w:spacing w:val="-2"/>
              </w:rPr>
              <w:t>prescribed</w:t>
            </w:r>
            <w:r>
              <w:rPr/>
              <w:tab/>
            </w:r>
            <w:r>
              <w:rPr>
                <w:spacing w:val="-7"/>
              </w:rPr>
              <w:t>55</w:t>
            </w:r>
          </w:hyperlink>
        </w:p>
        <w:p>
          <w:pPr>
            <w:pStyle w:val="TOC2"/>
            <w:numPr>
              <w:ilvl w:val="1"/>
              <w:numId w:val="4"/>
            </w:numPr>
            <w:tabs>
              <w:tab w:pos="620" w:val="left" w:leader="none"/>
              <w:tab w:pos="8421" w:val="right" w:leader="none"/>
            </w:tabs>
            <w:spacing w:line="240" w:lineRule="auto" w:before="277" w:after="0"/>
            <w:ind w:left="620" w:right="0" w:hanging="360"/>
            <w:jc w:val="left"/>
            <w:rPr>
              <w:b w:val="0"/>
              <w:i w:val="0"/>
              <w:sz w:val="24"/>
            </w:rPr>
          </w:pPr>
          <w:r>
            <w:rPr>
              <w:b w:val="0"/>
              <w:i w:val="0"/>
              <w:sz w:val="24"/>
            </w:rPr>
            <w:t>Profile</w:t>
          </w:r>
          <w:r>
            <w:rPr>
              <w:b w:val="0"/>
              <w:i w:val="0"/>
              <w:spacing w:val="-2"/>
              <w:sz w:val="24"/>
            </w:rPr>
            <w:t> </w:t>
          </w:r>
          <w:r>
            <w:rPr>
              <w:b w:val="0"/>
              <w:i w:val="0"/>
              <w:sz w:val="24"/>
            </w:rPr>
            <w:t>of</w:t>
          </w:r>
          <w:r>
            <w:rPr>
              <w:b w:val="0"/>
              <w:i w:val="0"/>
              <w:spacing w:val="-2"/>
              <w:sz w:val="24"/>
            </w:rPr>
            <w:t> </w:t>
          </w:r>
          <w:r>
            <w:rPr>
              <w:b w:val="0"/>
              <w:sz w:val="24"/>
            </w:rPr>
            <w:t>Plasmodium </w:t>
          </w:r>
          <w:r>
            <w:rPr>
              <w:b w:val="0"/>
              <w:i w:val="0"/>
              <w:spacing w:val="-2"/>
              <w:sz w:val="24"/>
            </w:rPr>
            <w:t>species</w:t>
          </w:r>
          <w:r>
            <w:rPr>
              <w:b w:val="0"/>
              <w:i w:val="0"/>
              <w:sz w:val="24"/>
            </w:rPr>
            <w:tab/>
          </w:r>
          <w:r>
            <w:rPr>
              <w:b w:val="0"/>
              <w:i w:val="0"/>
              <w:spacing w:val="-5"/>
              <w:sz w:val="24"/>
            </w:rPr>
            <w:t>58</w:t>
          </w:r>
        </w:p>
        <w:p>
          <w:pPr>
            <w:pStyle w:val="TOC1"/>
            <w:numPr>
              <w:ilvl w:val="1"/>
              <w:numId w:val="4"/>
            </w:numPr>
            <w:tabs>
              <w:tab w:pos="622" w:val="left" w:leader="none"/>
              <w:tab w:pos="8421" w:val="right" w:leader="none"/>
            </w:tabs>
            <w:spacing w:line="240" w:lineRule="auto" w:before="276" w:after="0"/>
            <w:ind w:left="622" w:right="0" w:hanging="362"/>
            <w:jc w:val="left"/>
          </w:pPr>
          <w:r>
            <w:rPr/>
            <w:t>In</w:t>
          </w:r>
          <w:r>
            <w:rPr>
              <w:spacing w:val="-3"/>
            </w:rPr>
            <w:t> </w:t>
          </w:r>
          <w:r>
            <w:rPr/>
            <w:t>vitro</w:t>
          </w:r>
          <w:r>
            <w:rPr>
              <w:spacing w:val="-3"/>
            </w:rPr>
            <w:t> </w:t>
          </w:r>
          <w:r>
            <w:rPr>
              <w:spacing w:val="-2"/>
            </w:rPr>
            <w:t>Assay</w:t>
          </w:r>
          <w:r>
            <w:rPr/>
            <w:tab/>
          </w:r>
          <w:r>
            <w:rPr>
              <w:spacing w:val="-5"/>
            </w:rPr>
            <w:t>62</w:t>
          </w:r>
        </w:p>
        <w:p>
          <w:pPr>
            <w:pStyle w:val="TOC1"/>
            <w:numPr>
              <w:ilvl w:val="2"/>
              <w:numId w:val="4"/>
            </w:numPr>
            <w:tabs>
              <w:tab w:pos="800" w:val="left" w:leader="none"/>
              <w:tab w:pos="8421" w:val="right" w:leader="none"/>
            </w:tabs>
            <w:spacing w:line="240" w:lineRule="auto" w:before="276" w:after="0"/>
            <w:ind w:left="800" w:right="0" w:hanging="540"/>
            <w:jc w:val="left"/>
          </w:pPr>
          <w:r>
            <w:rPr/>
            <w:t>Screening</w:t>
          </w:r>
          <w:r>
            <w:rPr>
              <w:spacing w:val="-4"/>
            </w:rPr>
            <w:t> </w:t>
          </w:r>
          <w:r>
            <w:rPr/>
            <w:t>of</w:t>
          </w:r>
          <w:r>
            <w:rPr>
              <w:spacing w:val="-1"/>
            </w:rPr>
            <w:t> </w:t>
          </w:r>
          <w:r>
            <w:rPr>
              <w:spacing w:val="-2"/>
            </w:rPr>
            <w:t>patients</w:t>
          </w:r>
          <w:r>
            <w:rPr/>
            <w:tab/>
          </w:r>
          <w:r>
            <w:rPr>
              <w:spacing w:val="-5"/>
            </w:rPr>
            <w:t>62</w:t>
          </w:r>
        </w:p>
        <w:p>
          <w:pPr>
            <w:pStyle w:val="TOC2"/>
            <w:numPr>
              <w:ilvl w:val="2"/>
              <w:numId w:val="4"/>
            </w:numPr>
            <w:tabs>
              <w:tab w:pos="800" w:val="left" w:leader="none"/>
              <w:tab w:pos="8421" w:val="right" w:leader="none"/>
            </w:tabs>
            <w:spacing w:line="240" w:lineRule="auto" w:before="276" w:after="0"/>
            <w:ind w:left="800" w:right="0" w:hanging="540"/>
            <w:jc w:val="left"/>
            <w:rPr>
              <w:b w:val="0"/>
              <w:i w:val="0"/>
              <w:sz w:val="24"/>
            </w:rPr>
          </w:pPr>
          <w:r>
            <w:rPr>
              <w:b w:val="0"/>
              <w:i w:val="0"/>
              <w:sz w:val="24"/>
            </w:rPr>
            <w:t>Evaluation</w:t>
          </w:r>
          <w:r>
            <w:rPr>
              <w:b w:val="0"/>
              <w:i w:val="0"/>
              <w:spacing w:val="-2"/>
              <w:sz w:val="24"/>
            </w:rPr>
            <w:t> </w:t>
          </w:r>
          <w:r>
            <w:rPr>
              <w:b w:val="0"/>
              <w:i w:val="0"/>
              <w:sz w:val="24"/>
            </w:rPr>
            <w:t>of</w:t>
          </w:r>
          <w:r>
            <w:rPr>
              <w:b w:val="0"/>
              <w:i w:val="0"/>
              <w:spacing w:val="-1"/>
              <w:sz w:val="24"/>
            </w:rPr>
            <w:t> </w:t>
          </w:r>
          <w:r>
            <w:rPr>
              <w:b w:val="0"/>
              <w:sz w:val="24"/>
            </w:rPr>
            <w:t>In vitro</w:t>
          </w:r>
          <w:r>
            <w:rPr>
              <w:b w:val="0"/>
              <w:spacing w:val="1"/>
              <w:sz w:val="24"/>
            </w:rPr>
            <w:t> </w:t>
          </w:r>
          <w:r>
            <w:rPr>
              <w:b w:val="0"/>
              <w:i w:val="0"/>
              <w:sz w:val="24"/>
            </w:rPr>
            <w:t>susceptibility</w:t>
          </w:r>
          <w:r>
            <w:rPr>
              <w:b w:val="0"/>
              <w:i w:val="0"/>
              <w:spacing w:val="-7"/>
              <w:sz w:val="24"/>
            </w:rPr>
            <w:t> </w:t>
          </w:r>
          <w:r>
            <w:rPr>
              <w:b w:val="0"/>
              <w:sz w:val="24"/>
            </w:rPr>
            <w:t>P. falciparum</w:t>
          </w:r>
          <w:r>
            <w:rPr>
              <w:b w:val="0"/>
              <w:spacing w:val="1"/>
              <w:sz w:val="24"/>
            </w:rPr>
            <w:t> </w:t>
          </w:r>
          <w:r>
            <w:rPr>
              <w:b w:val="0"/>
              <w:i w:val="0"/>
              <w:spacing w:val="-2"/>
              <w:sz w:val="24"/>
            </w:rPr>
            <w:t>isolates</w:t>
          </w:r>
          <w:r>
            <w:rPr>
              <w:b w:val="0"/>
              <w:i w:val="0"/>
              <w:sz w:val="24"/>
            </w:rPr>
            <w:tab/>
          </w:r>
          <w:r>
            <w:rPr>
              <w:b w:val="0"/>
              <w:i w:val="0"/>
              <w:spacing w:val="-5"/>
              <w:sz w:val="24"/>
            </w:rPr>
            <w:t>64</w:t>
          </w:r>
        </w:p>
        <w:p>
          <w:pPr>
            <w:pStyle w:val="TOC1"/>
            <w:numPr>
              <w:ilvl w:val="1"/>
              <w:numId w:val="4"/>
            </w:numPr>
            <w:tabs>
              <w:tab w:pos="620" w:val="left" w:leader="none"/>
              <w:tab w:pos="8421" w:val="right" w:leader="none"/>
            </w:tabs>
            <w:spacing w:line="240" w:lineRule="auto" w:before="276" w:after="0"/>
            <w:ind w:left="620" w:right="0" w:hanging="360"/>
            <w:jc w:val="left"/>
          </w:pPr>
          <w:hyperlink w:history="true" w:anchor="_TOC_250007">
            <w:r>
              <w:rPr/>
              <w:t>Molecular</w:t>
            </w:r>
            <w:r>
              <w:rPr>
                <w:spacing w:val="-4"/>
              </w:rPr>
              <w:t> </w:t>
            </w:r>
            <w:r>
              <w:rPr>
                <w:spacing w:val="-2"/>
              </w:rPr>
              <w:t>Analysis</w:t>
            </w:r>
            <w:r>
              <w:rPr/>
              <w:tab/>
            </w:r>
            <w:r>
              <w:rPr>
                <w:spacing w:val="-5"/>
              </w:rPr>
              <w:t>75</w:t>
            </w:r>
          </w:hyperlink>
        </w:p>
        <w:p>
          <w:pPr>
            <w:pStyle w:val="TOC1"/>
            <w:spacing w:before="277"/>
          </w:pPr>
          <w:hyperlink w:history="true" w:anchor="_TOC_250006">
            <w:r>
              <w:rPr/>
              <w:t>CHAPTER</w:t>
            </w:r>
            <w:r>
              <w:rPr>
                <w:spacing w:val="-3"/>
              </w:rPr>
              <w:t> </w:t>
            </w:r>
            <w:r>
              <w:rPr>
                <w:spacing w:val="-4"/>
              </w:rPr>
              <w:t>FIVE</w:t>
            </w:r>
          </w:hyperlink>
        </w:p>
        <w:p>
          <w:pPr>
            <w:pStyle w:val="TOC1"/>
            <w:numPr>
              <w:ilvl w:val="1"/>
              <w:numId w:val="5"/>
            </w:numPr>
            <w:tabs>
              <w:tab w:pos="620" w:val="left" w:leader="none"/>
              <w:tab w:pos="8421" w:val="right" w:leader="none"/>
            </w:tabs>
            <w:spacing w:line="240" w:lineRule="auto" w:before="276" w:after="0"/>
            <w:ind w:left="620" w:right="0" w:hanging="360"/>
            <w:jc w:val="left"/>
          </w:pPr>
          <w:r>
            <w:rPr/>
            <w:t>Discussion,</w:t>
          </w:r>
          <w:r>
            <w:rPr>
              <w:spacing w:val="-2"/>
            </w:rPr>
            <w:t> </w:t>
          </w:r>
          <w:r>
            <w:rPr/>
            <w:t>Summary</w:t>
          </w:r>
          <w:r>
            <w:rPr>
              <w:spacing w:val="-4"/>
            </w:rPr>
            <w:t> </w:t>
          </w:r>
          <w:r>
            <w:rPr/>
            <w:t>and</w:t>
          </w:r>
          <w:r>
            <w:rPr>
              <w:spacing w:val="-1"/>
            </w:rPr>
            <w:t> </w:t>
          </w:r>
          <w:r>
            <w:rPr>
              <w:spacing w:val="-2"/>
            </w:rPr>
            <w:t>Recommendation</w:t>
          </w:r>
          <w:r>
            <w:rPr/>
            <w:tab/>
          </w:r>
          <w:r>
            <w:rPr>
              <w:spacing w:val="-5"/>
            </w:rPr>
            <w:t>78</w:t>
          </w:r>
        </w:p>
        <w:p>
          <w:pPr>
            <w:pStyle w:val="TOC1"/>
            <w:numPr>
              <w:ilvl w:val="1"/>
              <w:numId w:val="5"/>
            </w:numPr>
            <w:tabs>
              <w:tab w:pos="620" w:val="left" w:leader="none"/>
              <w:tab w:pos="8421" w:val="right" w:leader="none"/>
            </w:tabs>
            <w:spacing w:line="240" w:lineRule="auto" w:before="276" w:after="0"/>
            <w:ind w:left="620" w:right="0" w:hanging="360"/>
            <w:jc w:val="left"/>
          </w:pPr>
          <w:hyperlink w:history="true" w:anchor="_TOC_250005">
            <w:r>
              <w:rPr>
                <w:spacing w:val="-2"/>
              </w:rPr>
              <w:t>Discussion</w:t>
            </w:r>
            <w:r>
              <w:rPr/>
              <w:tab/>
            </w:r>
            <w:r>
              <w:rPr>
                <w:spacing w:val="-5"/>
              </w:rPr>
              <w:t>78</w:t>
            </w:r>
          </w:hyperlink>
        </w:p>
        <w:p>
          <w:pPr>
            <w:pStyle w:val="TOC1"/>
            <w:numPr>
              <w:ilvl w:val="1"/>
              <w:numId w:val="5"/>
            </w:numPr>
            <w:tabs>
              <w:tab w:pos="620" w:val="left" w:leader="none"/>
              <w:tab w:pos="8421" w:val="right" w:leader="none"/>
            </w:tabs>
            <w:spacing w:line="240" w:lineRule="auto" w:before="276" w:after="0"/>
            <w:ind w:left="620" w:right="0" w:hanging="360"/>
            <w:jc w:val="left"/>
          </w:pPr>
          <w:hyperlink w:history="true" w:anchor="_TOC_250004">
            <w:r>
              <w:rPr>
                <w:spacing w:val="-2"/>
              </w:rPr>
              <w:t>Summary</w:t>
            </w:r>
            <w:r>
              <w:rPr/>
              <w:tab/>
            </w:r>
            <w:r>
              <w:rPr>
                <w:spacing w:val="-5"/>
              </w:rPr>
              <w:t>81</w:t>
            </w:r>
          </w:hyperlink>
        </w:p>
        <w:p>
          <w:pPr>
            <w:pStyle w:val="TOC1"/>
            <w:numPr>
              <w:ilvl w:val="1"/>
              <w:numId w:val="5"/>
            </w:numPr>
            <w:tabs>
              <w:tab w:pos="620" w:val="left" w:leader="none"/>
              <w:tab w:pos="8421" w:val="right" w:leader="none"/>
            </w:tabs>
            <w:spacing w:line="240" w:lineRule="auto" w:before="276" w:after="0"/>
            <w:ind w:left="620" w:right="0" w:hanging="360"/>
            <w:jc w:val="left"/>
          </w:pPr>
          <w:hyperlink w:history="true" w:anchor="_TOC_250003">
            <w:r>
              <w:rPr>
                <w:spacing w:val="-2"/>
              </w:rPr>
              <w:t>Conclusion</w:t>
            </w:r>
            <w:r>
              <w:rPr/>
              <w:tab/>
            </w:r>
            <w:r>
              <w:rPr>
                <w:spacing w:val="-5"/>
              </w:rPr>
              <w:t>82</w:t>
            </w:r>
          </w:hyperlink>
        </w:p>
        <w:p>
          <w:pPr>
            <w:pStyle w:val="TOC1"/>
            <w:numPr>
              <w:ilvl w:val="1"/>
              <w:numId w:val="5"/>
            </w:numPr>
            <w:tabs>
              <w:tab w:pos="620" w:val="left" w:leader="none"/>
              <w:tab w:pos="8421" w:val="right" w:leader="none"/>
            </w:tabs>
            <w:spacing w:line="240" w:lineRule="auto" w:before="276" w:after="0"/>
            <w:ind w:left="620" w:right="0" w:hanging="360"/>
            <w:jc w:val="left"/>
          </w:pPr>
          <w:hyperlink w:history="true" w:anchor="_TOC_250002">
            <w:r>
              <w:rPr>
                <w:spacing w:val="-2"/>
              </w:rPr>
              <w:t>Recommendation</w:t>
            </w:r>
            <w:r>
              <w:rPr/>
              <w:tab/>
            </w:r>
            <w:r>
              <w:rPr>
                <w:spacing w:val="-5"/>
              </w:rPr>
              <w:t>82</w:t>
            </w:r>
          </w:hyperlink>
        </w:p>
        <w:p>
          <w:pPr>
            <w:pStyle w:val="TOC1"/>
            <w:tabs>
              <w:tab w:pos="8421" w:val="right" w:leader="none"/>
            </w:tabs>
          </w:pPr>
          <w:hyperlink w:history="true" w:anchor="_TOC_250001">
            <w:r>
              <w:rPr>
                <w:spacing w:val="-2"/>
              </w:rPr>
              <w:t>REFERENCES</w:t>
            </w:r>
            <w:r>
              <w:rPr/>
              <w:tab/>
            </w:r>
            <w:r>
              <w:rPr>
                <w:spacing w:val="-5"/>
              </w:rPr>
              <w:t>83</w:t>
            </w:r>
          </w:hyperlink>
        </w:p>
        <w:p>
          <w:pPr>
            <w:pStyle w:val="TOC1"/>
            <w:tabs>
              <w:tab w:pos="8421" w:val="right" w:leader="none"/>
            </w:tabs>
            <w:spacing w:after="20"/>
          </w:pPr>
          <w:hyperlink w:history="true" w:anchor="_TOC_250000">
            <w:r>
              <w:rPr/>
              <w:t>Appendix I:</w:t>
            </w:r>
            <w:r>
              <w:rPr>
                <w:spacing w:val="-3"/>
              </w:rPr>
              <w:t> </w:t>
            </w:r>
            <w:r>
              <w:rPr/>
              <w:t>Ethical</w:t>
            </w:r>
            <w:r>
              <w:rPr>
                <w:spacing w:val="-3"/>
              </w:rPr>
              <w:t> </w:t>
            </w:r>
            <w:r>
              <w:rPr>
                <w:spacing w:val="-2"/>
              </w:rPr>
              <w:t>Approval</w:t>
            </w:r>
            <w:r>
              <w:rPr/>
              <w:tab/>
            </w:r>
            <w:r>
              <w:rPr>
                <w:spacing w:val="-5"/>
              </w:rPr>
              <w:t>93</w:t>
            </w:r>
          </w:hyperlink>
        </w:p>
        <w:p>
          <w:pPr>
            <w:pStyle w:val="TOC1"/>
            <w:tabs>
              <w:tab w:pos="8421" w:val="right" w:leader="none"/>
            </w:tabs>
            <w:spacing w:before="74"/>
          </w:pPr>
          <w:r>
            <w:rPr/>
            <w:t>Appendix</w:t>
          </w:r>
          <w:r>
            <w:rPr>
              <w:spacing w:val="1"/>
            </w:rPr>
            <w:t> </w:t>
          </w:r>
          <w:r>
            <w:rPr/>
            <w:t>II:</w:t>
          </w:r>
          <w:r>
            <w:rPr>
              <w:spacing w:val="-2"/>
            </w:rPr>
            <w:t> </w:t>
          </w:r>
          <w:r>
            <w:rPr/>
            <w:t>Review</w:t>
          </w:r>
          <w:r>
            <w:rPr>
              <w:spacing w:val="-3"/>
            </w:rPr>
            <w:t> </w:t>
          </w:r>
          <w:r>
            <w:rPr/>
            <w:t>of</w:t>
          </w:r>
          <w:r>
            <w:rPr>
              <w:spacing w:val="-1"/>
            </w:rPr>
            <w:t> </w:t>
          </w:r>
          <w:r>
            <w:rPr/>
            <w:t>Malaria</w:t>
          </w:r>
          <w:r>
            <w:rPr>
              <w:spacing w:val="-4"/>
            </w:rPr>
            <w:t> </w:t>
          </w:r>
          <w:r>
            <w:rPr/>
            <w:t>Treatment</w:t>
          </w:r>
          <w:r>
            <w:rPr>
              <w:spacing w:val="-2"/>
            </w:rPr>
            <w:t> Records</w:t>
          </w:r>
          <w:r>
            <w:rPr/>
            <w:tab/>
          </w:r>
          <w:r>
            <w:rPr>
              <w:spacing w:val="-5"/>
            </w:rPr>
            <w:t>94</w:t>
          </w:r>
        </w:p>
        <w:p>
          <w:pPr>
            <w:pStyle w:val="TOC1"/>
            <w:tabs>
              <w:tab w:pos="8421" w:val="right" w:leader="none"/>
            </w:tabs>
          </w:pPr>
          <w:r>
            <w:rPr/>
            <w:t>Appendix</w:t>
          </w:r>
          <w:r>
            <w:rPr>
              <w:spacing w:val="-1"/>
            </w:rPr>
            <w:t> </w:t>
          </w:r>
          <w:r>
            <w:rPr/>
            <w:t>III:</w:t>
          </w:r>
          <w:r>
            <w:rPr>
              <w:spacing w:val="-3"/>
            </w:rPr>
            <w:t> </w:t>
          </w:r>
          <w:r>
            <w:rPr/>
            <w:t>Preparation</w:t>
          </w:r>
          <w:r>
            <w:rPr>
              <w:spacing w:val="-3"/>
            </w:rPr>
            <w:t> </w:t>
          </w:r>
          <w:r>
            <w:rPr/>
            <w:t>of</w:t>
          </w:r>
          <w:r>
            <w:rPr>
              <w:spacing w:val="-3"/>
            </w:rPr>
            <w:t> </w:t>
          </w:r>
          <w:r>
            <w:rPr>
              <w:spacing w:val="-2"/>
            </w:rPr>
            <w:t>Solutions</w:t>
          </w:r>
          <w:r>
            <w:rPr/>
            <w:tab/>
          </w:r>
          <w:r>
            <w:rPr>
              <w:spacing w:val="-5"/>
            </w:rPr>
            <w:t>95</w:t>
          </w:r>
        </w:p>
        <w:p>
          <w:pPr>
            <w:pStyle w:val="TOC1"/>
            <w:tabs>
              <w:tab w:pos="8421" w:val="right" w:leader="none"/>
            </w:tabs>
          </w:pPr>
          <w:r>
            <w:rPr/>
            <w:t>Appendix</w:t>
          </w:r>
          <w:r>
            <w:rPr>
              <w:spacing w:val="-2"/>
            </w:rPr>
            <w:t> </w:t>
          </w:r>
          <w:r>
            <w:rPr/>
            <w:t>IV:</w:t>
          </w:r>
          <w:r>
            <w:rPr>
              <w:spacing w:val="-1"/>
            </w:rPr>
            <w:t> </w:t>
          </w:r>
          <w:r>
            <w:rPr/>
            <w:t>Layout</w:t>
          </w:r>
          <w:r>
            <w:rPr>
              <w:spacing w:val="-3"/>
            </w:rPr>
            <w:t> </w:t>
          </w:r>
          <w:r>
            <w:rPr/>
            <w:t>of</w:t>
          </w:r>
          <w:r>
            <w:rPr>
              <w:spacing w:val="-2"/>
            </w:rPr>
            <w:t> </w:t>
          </w:r>
          <w:r>
            <w:rPr/>
            <w:t>micro-culture</w:t>
          </w:r>
          <w:r>
            <w:rPr>
              <w:spacing w:val="-4"/>
            </w:rPr>
            <w:t> </w:t>
          </w:r>
          <w:r>
            <w:rPr>
              <w:spacing w:val="-2"/>
            </w:rPr>
            <w:t>plate</w:t>
          </w:r>
          <w:r>
            <w:rPr/>
            <w:tab/>
          </w:r>
          <w:r>
            <w:rPr>
              <w:spacing w:val="-5"/>
            </w:rPr>
            <w:t>96</w:t>
          </w:r>
        </w:p>
        <w:p>
          <w:pPr>
            <w:pStyle w:val="TOC1"/>
            <w:tabs>
              <w:tab w:pos="8421" w:val="right" w:leader="none"/>
            </w:tabs>
          </w:pPr>
          <w:r>
            <w:rPr/>
            <w:t>Appendix</w:t>
          </w:r>
          <w:r>
            <w:rPr>
              <w:spacing w:val="1"/>
            </w:rPr>
            <w:t> </w:t>
          </w:r>
          <w:r>
            <w:rPr/>
            <w:t>V:</w:t>
          </w:r>
          <w:r>
            <w:rPr>
              <w:spacing w:val="-1"/>
            </w:rPr>
            <w:t> </w:t>
          </w:r>
          <w:r>
            <w:rPr/>
            <w:t>Buffer AW1,</w:t>
          </w:r>
          <w:r>
            <w:rPr>
              <w:spacing w:val="-1"/>
            </w:rPr>
            <w:t> </w:t>
          </w:r>
          <w:r>
            <w:rPr/>
            <w:t>AW2,</w:t>
          </w:r>
          <w:r>
            <w:rPr>
              <w:spacing w:val="-1"/>
            </w:rPr>
            <w:t> </w:t>
          </w:r>
          <w:r>
            <w:rPr/>
            <w:t>AL</w:t>
          </w:r>
          <w:r>
            <w:rPr>
              <w:spacing w:val="-7"/>
            </w:rPr>
            <w:t> </w:t>
          </w:r>
          <w:r>
            <w:rPr/>
            <w:t>and</w:t>
          </w:r>
          <w:r>
            <w:rPr>
              <w:spacing w:val="1"/>
            </w:rPr>
            <w:t> </w:t>
          </w:r>
          <w:r>
            <w:rPr/>
            <w:t>AE </w:t>
          </w:r>
          <w:r>
            <w:rPr>
              <w:spacing w:val="-2"/>
            </w:rPr>
            <w:t>Solutions</w:t>
          </w:r>
          <w:r>
            <w:rPr/>
            <w:tab/>
          </w:r>
          <w:r>
            <w:rPr>
              <w:spacing w:val="-5"/>
            </w:rPr>
            <w:t>97</w:t>
          </w:r>
        </w:p>
        <w:p>
          <w:pPr>
            <w:pStyle w:val="TOC1"/>
            <w:tabs>
              <w:tab w:pos="8421" w:val="right" w:leader="none"/>
            </w:tabs>
          </w:pPr>
          <w:r>
            <w:rPr/>
            <w:t>Appendix</w:t>
          </w:r>
          <w:r>
            <w:rPr>
              <w:spacing w:val="-1"/>
            </w:rPr>
            <w:t> </w:t>
          </w:r>
          <w:r>
            <w:rPr/>
            <w:t>VI:</w:t>
          </w:r>
          <w:r>
            <w:rPr>
              <w:spacing w:val="-2"/>
            </w:rPr>
            <w:t> </w:t>
          </w:r>
          <w:r>
            <w:rPr/>
            <w:t>Schizont</w:t>
          </w:r>
          <w:r>
            <w:rPr>
              <w:spacing w:val="-2"/>
            </w:rPr>
            <w:t> </w:t>
          </w:r>
          <w:r>
            <w:rPr/>
            <w:t>Maturation</w:t>
          </w:r>
          <w:r>
            <w:rPr>
              <w:spacing w:val="-2"/>
            </w:rPr>
            <w:t> Counts</w:t>
          </w:r>
          <w:r>
            <w:rPr/>
            <w:tab/>
          </w:r>
          <w:r>
            <w:rPr>
              <w:spacing w:val="-5"/>
            </w:rPr>
            <w:t>98</w:t>
          </w:r>
        </w:p>
        <w:p>
          <w:pPr>
            <w:pStyle w:val="TOC1"/>
            <w:tabs>
              <w:tab w:pos="8541" w:val="right" w:leader="none"/>
            </w:tabs>
          </w:pPr>
          <w:r>
            <w:rPr/>
            <w:t>Appendix</w:t>
          </w:r>
          <w:r>
            <w:rPr>
              <w:spacing w:val="-2"/>
            </w:rPr>
            <w:t> </w:t>
          </w:r>
          <w:r>
            <w:rPr/>
            <w:t>VII:</w:t>
          </w:r>
          <w:r>
            <w:rPr>
              <w:spacing w:val="-1"/>
            </w:rPr>
            <w:t> </w:t>
          </w:r>
          <w:r>
            <w:rPr/>
            <w:t>Probit</w:t>
          </w:r>
          <w:r>
            <w:rPr>
              <w:spacing w:val="-1"/>
            </w:rPr>
            <w:t> </w:t>
          </w:r>
          <w:r>
            <w:rPr/>
            <w:t>of SMI</w:t>
          </w:r>
          <w:r>
            <w:rPr>
              <w:spacing w:val="-7"/>
            </w:rPr>
            <w:t> </w:t>
          </w:r>
          <w:r>
            <w:rPr/>
            <w:t>Versus Log</w:t>
          </w:r>
          <w:r>
            <w:rPr>
              <w:spacing w:val="-4"/>
            </w:rPr>
            <w:t> </w:t>
          </w:r>
          <w:r>
            <w:rPr/>
            <w:t>Concentration</w:t>
          </w:r>
          <w:r>
            <w:rPr>
              <w:spacing w:val="-1"/>
            </w:rPr>
            <w:t> </w:t>
          </w:r>
          <w:r>
            <w:rPr/>
            <w:t>for</w:t>
          </w:r>
          <w:r>
            <w:rPr>
              <w:spacing w:val="-1"/>
            </w:rPr>
            <w:t> </w:t>
          </w:r>
          <w:r>
            <w:rPr>
              <w:spacing w:val="-2"/>
            </w:rPr>
            <w:t>Chloroquine</w:t>
          </w:r>
          <w:r>
            <w:rPr/>
            <w:tab/>
          </w:r>
          <w:r>
            <w:rPr>
              <w:spacing w:val="-5"/>
            </w:rPr>
            <w:t>102</w:t>
          </w:r>
        </w:p>
        <w:p>
          <w:pPr>
            <w:pStyle w:val="TOC1"/>
            <w:tabs>
              <w:tab w:pos="8541" w:val="right" w:leader="none"/>
            </w:tabs>
          </w:pPr>
          <w:r>
            <w:rPr/>
            <w:t>Appendix VIII:</w:t>
          </w:r>
          <w:r>
            <w:rPr>
              <w:spacing w:val="-2"/>
            </w:rPr>
            <w:t> </w:t>
          </w:r>
          <w:r>
            <w:rPr/>
            <w:t>Plate</w:t>
          </w:r>
          <w:r>
            <w:rPr>
              <w:spacing w:val="-2"/>
            </w:rPr>
            <w:t> </w:t>
          </w:r>
          <w:r>
            <w:rPr/>
            <w:t>of</w:t>
          </w:r>
          <w:r>
            <w:rPr>
              <w:spacing w:val="-1"/>
            </w:rPr>
            <w:t> </w:t>
          </w:r>
          <w:r>
            <w:rPr/>
            <w:t>Molecular</w:t>
          </w:r>
          <w:r>
            <w:rPr>
              <w:spacing w:val="-3"/>
            </w:rPr>
            <w:t> </w:t>
          </w:r>
          <w:r>
            <w:rPr>
              <w:spacing w:val="-2"/>
            </w:rPr>
            <w:t>Analysis</w:t>
          </w:r>
          <w:r>
            <w:rPr/>
            <w:tab/>
          </w:r>
          <w:r>
            <w:rPr>
              <w:spacing w:val="-5"/>
            </w:rPr>
            <w:t>103</w:t>
          </w:r>
        </w:p>
      </w:sdtContent>
    </w:sdt>
    <w:p>
      <w:pPr>
        <w:spacing w:after="0"/>
        <w:sectPr>
          <w:type w:val="continuous"/>
          <w:pgSz w:w="11910" w:h="16840"/>
          <w:pgMar w:header="0" w:footer="1014" w:top="1359" w:bottom="1860" w:left="1180" w:right="580"/>
        </w:sectPr>
      </w:pPr>
    </w:p>
    <w:p>
      <w:pPr>
        <w:pStyle w:val="Heading1"/>
        <w:ind w:left="1391" w:right="1986"/>
      </w:pPr>
      <w:bookmarkStart w:name="_TOC_250042" w:id="6"/>
      <w:r>
        <w:rPr/>
        <w:t>LIST OF</w:t>
      </w:r>
      <w:r>
        <w:rPr>
          <w:spacing w:val="-3"/>
        </w:rPr>
        <w:t> </w:t>
      </w:r>
      <w:bookmarkEnd w:id="6"/>
      <w:r>
        <w:rPr>
          <w:spacing w:val="-2"/>
        </w:rPr>
        <w:t>TABLES</w:t>
      </w:r>
    </w:p>
    <w:p>
      <w:pPr>
        <w:pStyle w:val="BodyText"/>
        <w:tabs>
          <w:tab w:pos="8181" w:val="left" w:leader="none"/>
        </w:tabs>
        <w:spacing w:before="272"/>
        <w:ind w:left="2421"/>
      </w:pPr>
      <w:r>
        <w:rPr>
          <w:spacing w:val="-2"/>
        </w:rPr>
        <w:t>Title</w:t>
      </w:r>
      <w:r>
        <w:rPr/>
        <w:tab/>
      </w:r>
      <w:r>
        <w:rPr>
          <w:spacing w:val="-4"/>
        </w:rPr>
        <w:t>Page</w:t>
      </w:r>
    </w:p>
    <w:p>
      <w:pPr>
        <w:pStyle w:val="BodyText"/>
      </w:pPr>
    </w:p>
    <w:p>
      <w:pPr>
        <w:pStyle w:val="BodyText"/>
        <w:tabs>
          <w:tab w:pos="8181" w:val="left" w:leader="none"/>
        </w:tabs>
        <w:ind w:left="260"/>
      </w:pPr>
      <w:r>
        <w:rPr/>
        <w:t>Table</w:t>
      </w:r>
      <w:r>
        <w:rPr>
          <w:spacing w:val="-2"/>
        </w:rPr>
        <w:t> </w:t>
      </w:r>
      <w:r>
        <w:rPr/>
        <w:t>3.1:</w:t>
      </w:r>
      <w:r>
        <w:rPr>
          <w:spacing w:val="-1"/>
        </w:rPr>
        <w:t> </w:t>
      </w:r>
      <w:r>
        <w:rPr/>
        <w:t>Schizont</w:t>
      </w:r>
      <w:r>
        <w:rPr>
          <w:spacing w:val="-2"/>
        </w:rPr>
        <w:t> </w:t>
      </w:r>
      <w:r>
        <w:rPr/>
        <w:t>maturation</w:t>
      </w:r>
      <w:r>
        <w:rPr>
          <w:spacing w:val="-1"/>
        </w:rPr>
        <w:t> </w:t>
      </w:r>
      <w:r>
        <w:rPr/>
        <w:t>inhibition</w:t>
      </w:r>
      <w:r>
        <w:rPr>
          <w:spacing w:val="-1"/>
        </w:rPr>
        <w:t> </w:t>
      </w:r>
      <w:r>
        <w:rPr>
          <w:spacing w:val="-2"/>
        </w:rPr>
        <w:t>table</w:t>
      </w:r>
      <w:r>
        <w:rPr/>
        <w:tab/>
      </w:r>
      <w:r>
        <w:rPr>
          <w:spacing w:val="-5"/>
        </w:rPr>
        <w:t>45</w:t>
      </w:r>
    </w:p>
    <w:p>
      <w:pPr>
        <w:pStyle w:val="BodyText"/>
      </w:pPr>
    </w:p>
    <w:p>
      <w:pPr>
        <w:pStyle w:val="BodyText"/>
        <w:ind w:left="260"/>
      </w:pPr>
      <w:r>
        <w:rPr/>
        <w:t>Table</w:t>
      </w:r>
      <w:r>
        <w:rPr>
          <w:spacing w:val="-4"/>
        </w:rPr>
        <w:t> </w:t>
      </w:r>
      <w:r>
        <w:rPr/>
        <w:t>3.2:</w:t>
      </w:r>
      <w:r>
        <w:rPr>
          <w:spacing w:val="-1"/>
        </w:rPr>
        <w:t> </w:t>
      </w:r>
      <w:r>
        <w:rPr/>
        <w:t>Primers</w:t>
      </w:r>
      <w:r>
        <w:rPr>
          <w:spacing w:val="-2"/>
        </w:rPr>
        <w:t> </w:t>
      </w:r>
      <w:r>
        <w:rPr/>
        <w:t>Used</w:t>
      </w:r>
      <w:r>
        <w:rPr>
          <w:spacing w:val="1"/>
        </w:rPr>
        <w:t> </w:t>
      </w:r>
      <w:r>
        <w:rPr/>
        <w:t>For</w:t>
      </w:r>
      <w:r>
        <w:rPr>
          <w:spacing w:val="-3"/>
        </w:rPr>
        <w:t> </w:t>
      </w:r>
      <w:r>
        <w:rPr/>
        <w:t>Polymerase</w:t>
      </w:r>
      <w:r>
        <w:rPr>
          <w:spacing w:val="-2"/>
        </w:rPr>
        <w:t> </w:t>
      </w:r>
      <w:r>
        <w:rPr/>
        <w:t>Chain</w:t>
      </w:r>
      <w:r>
        <w:rPr>
          <w:spacing w:val="-1"/>
        </w:rPr>
        <w:t> </w:t>
      </w:r>
      <w:r>
        <w:rPr>
          <w:spacing w:val="-2"/>
        </w:rPr>
        <w:t>Reaction</w:t>
      </w:r>
    </w:p>
    <w:p>
      <w:pPr>
        <w:pStyle w:val="BodyText"/>
      </w:pPr>
    </w:p>
    <w:p>
      <w:pPr>
        <w:pStyle w:val="BodyText"/>
        <w:tabs>
          <w:tab w:pos="8181" w:val="left" w:leader="none"/>
        </w:tabs>
        <w:ind w:left="260"/>
      </w:pPr>
      <w:r>
        <w:rPr/>
        <w:t>Table</w:t>
      </w:r>
      <w:r>
        <w:rPr>
          <w:spacing w:val="-1"/>
        </w:rPr>
        <w:t> </w:t>
      </w:r>
      <w:r>
        <w:rPr/>
        <w:t>3.3:</w:t>
      </w:r>
      <w:r>
        <w:rPr>
          <w:spacing w:val="-1"/>
        </w:rPr>
        <w:t> </w:t>
      </w:r>
      <w:r>
        <w:rPr/>
        <w:t>Thermal</w:t>
      </w:r>
      <w:r>
        <w:rPr>
          <w:spacing w:val="-1"/>
        </w:rPr>
        <w:t> </w:t>
      </w:r>
      <w:r>
        <w:rPr/>
        <w:t>Cycling</w:t>
      </w:r>
      <w:r>
        <w:rPr>
          <w:spacing w:val="-4"/>
        </w:rPr>
        <w:t> </w:t>
      </w:r>
      <w:r>
        <w:rPr/>
        <w:t>Conditions</w:t>
      </w:r>
      <w:r>
        <w:rPr>
          <w:spacing w:val="-1"/>
        </w:rPr>
        <w:t> </w:t>
      </w:r>
      <w:r>
        <w:rPr/>
        <w:t>Used</w:t>
      </w:r>
      <w:r>
        <w:rPr>
          <w:spacing w:val="-1"/>
        </w:rPr>
        <w:t> </w:t>
      </w:r>
      <w:r>
        <w:rPr/>
        <w:t>For</w:t>
      </w:r>
      <w:r>
        <w:rPr>
          <w:spacing w:val="1"/>
        </w:rPr>
        <w:t> </w:t>
      </w:r>
      <w:r>
        <w:rPr>
          <w:spacing w:val="-5"/>
        </w:rPr>
        <w:t>PCR</w:t>
      </w:r>
      <w:r>
        <w:rPr/>
        <w:tab/>
      </w:r>
      <w:r>
        <w:rPr>
          <w:spacing w:val="-5"/>
        </w:rPr>
        <w:t>50</w:t>
      </w:r>
    </w:p>
    <w:p>
      <w:pPr>
        <w:pStyle w:val="BodyText"/>
      </w:pPr>
    </w:p>
    <w:p>
      <w:pPr>
        <w:pStyle w:val="BodyText"/>
        <w:tabs>
          <w:tab w:pos="8181" w:val="left" w:leader="none"/>
        </w:tabs>
        <w:ind w:left="260"/>
      </w:pPr>
      <w:r>
        <w:rPr/>
        <w:t>Table</w:t>
      </w:r>
      <w:r>
        <w:rPr>
          <w:spacing w:val="-3"/>
        </w:rPr>
        <w:t> </w:t>
      </w:r>
      <w:r>
        <w:rPr/>
        <w:t>3.4:</w:t>
      </w:r>
      <w:r>
        <w:rPr>
          <w:spacing w:val="-1"/>
        </w:rPr>
        <w:t> </w:t>
      </w:r>
      <w:r>
        <w:rPr/>
        <w:t>Thermal</w:t>
      </w:r>
      <w:r>
        <w:rPr>
          <w:spacing w:val="-1"/>
        </w:rPr>
        <w:t> </w:t>
      </w:r>
      <w:r>
        <w:rPr/>
        <w:t>Cycling</w:t>
      </w:r>
      <w:r>
        <w:rPr>
          <w:spacing w:val="-4"/>
        </w:rPr>
        <w:t> </w:t>
      </w:r>
      <w:r>
        <w:rPr/>
        <w:t>Conditions</w:t>
      </w:r>
      <w:r>
        <w:rPr>
          <w:spacing w:val="-1"/>
        </w:rPr>
        <w:t> </w:t>
      </w:r>
      <w:r>
        <w:rPr/>
        <w:t>Used</w:t>
      </w:r>
      <w:r>
        <w:rPr>
          <w:spacing w:val="-1"/>
        </w:rPr>
        <w:t> </w:t>
      </w:r>
      <w:r>
        <w:rPr/>
        <w:t>For</w:t>
      </w:r>
      <w:r>
        <w:rPr>
          <w:spacing w:val="3"/>
        </w:rPr>
        <w:t> </w:t>
      </w:r>
      <w:r>
        <w:rPr/>
        <w:t>Nested</w:t>
      </w:r>
      <w:r>
        <w:rPr>
          <w:spacing w:val="-1"/>
        </w:rPr>
        <w:t> </w:t>
      </w:r>
      <w:r>
        <w:rPr>
          <w:spacing w:val="-5"/>
        </w:rPr>
        <w:t>PCR</w:t>
      </w:r>
      <w:r>
        <w:rPr/>
        <w:tab/>
      </w:r>
      <w:r>
        <w:rPr>
          <w:spacing w:val="-5"/>
        </w:rPr>
        <w:t>51</w:t>
      </w:r>
    </w:p>
    <w:p>
      <w:pPr>
        <w:pStyle w:val="BodyText"/>
      </w:pPr>
    </w:p>
    <w:p>
      <w:pPr>
        <w:pStyle w:val="BodyText"/>
        <w:ind w:left="260"/>
      </w:pPr>
      <w:r>
        <w:rPr/>
        <w:t>Table</w:t>
      </w:r>
      <w:r>
        <w:rPr>
          <w:spacing w:val="-1"/>
        </w:rPr>
        <w:t> </w:t>
      </w:r>
      <w:r>
        <w:rPr/>
        <w:t>3.5:</w:t>
      </w:r>
      <w:r>
        <w:rPr>
          <w:spacing w:val="-1"/>
        </w:rPr>
        <w:t> </w:t>
      </w:r>
      <w:r>
        <w:rPr/>
        <w:t>Thermal Cycling</w:t>
      </w:r>
      <w:r>
        <w:rPr>
          <w:spacing w:val="-4"/>
        </w:rPr>
        <w:t> </w:t>
      </w:r>
      <w:r>
        <w:rPr/>
        <w:t>Conditions</w:t>
      </w:r>
      <w:r>
        <w:rPr>
          <w:spacing w:val="-1"/>
        </w:rPr>
        <w:t> </w:t>
      </w:r>
      <w:r>
        <w:rPr/>
        <w:t>Used for </w:t>
      </w:r>
      <w:r>
        <w:rPr>
          <w:i/>
        </w:rPr>
        <w:t>PfATPase</w:t>
      </w:r>
      <w:r>
        <w:rPr/>
        <w:t>6</w:t>
      </w:r>
      <w:r>
        <w:rPr>
          <w:spacing w:val="-1"/>
        </w:rPr>
        <w:t> </w:t>
      </w:r>
      <w:r>
        <w:rPr/>
        <w:t>PCR </w:t>
      </w:r>
      <w:r>
        <w:rPr>
          <w:spacing w:val="-5"/>
        </w:rPr>
        <w:t>and</w:t>
      </w:r>
    </w:p>
    <w:p>
      <w:pPr>
        <w:pStyle w:val="BodyText"/>
      </w:pPr>
    </w:p>
    <w:p>
      <w:pPr>
        <w:pStyle w:val="BodyText"/>
        <w:tabs>
          <w:tab w:pos="8181" w:val="left" w:leader="none"/>
        </w:tabs>
        <w:spacing w:before="1"/>
        <w:ind w:left="1340"/>
      </w:pPr>
      <w:r>
        <w:rPr/>
        <w:t>RPLP</w:t>
      </w:r>
      <w:r>
        <w:rPr>
          <w:spacing w:val="-2"/>
        </w:rPr>
        <w:t> </w:t>
      </w:r>
      <w:r>
        <w:rPr/>
        <w:t>assay</w:t>
      </w:r>
      <w:r>
        <w:rPr>
          <w:spacing w:val="-5"/>
        </w:rPr>
        <w:t> </w:t>
      </w:r>
      <w:r>
        <w:rPr>
          <w:spacing w:val="-2"/>
        </w:rPr>
        <w:t>(SERCA)</w:t>
      </w:r>
      <w:r>
        <w:rPr/>
        <w:tab/>
      </w:r>
      <w:r>
        <w:rPr>
          <w:spacing w:val="-5"/>
        </w:rPr>
        <w:t>52</w:t>
      </w:r>
    </w:p>
    <w:p>
      <w:pPr>
        <w:pStyle w:val="BodyText"/>
        <w:spacing w:before="276"/>
        <w:ind w:left="260"/>
      </w:pPr>
      <w:r>
        <w:rPr/>
        <w:t>Table</w:t>
      </w:r>
      <w:r>
        <w:rPr>
          <w:spacing w:val="-1"/>
        </w:rPr>
        <w:t> </w:t>
      </w:r>
      <w:r>
        <w:rPr/>
        <w:t>4.1:</w:t>
      </w:r>
      <w:r>
        <w:rPr>
          <w:spacing w:val="-1"/>
        </w:rPr>
        <w:t> </w:t>
      </w:r>
      <w:r>
        <w:rPr/>
        <w:t>Summary</w:t>
      </w:r>
      <w:r>
        <w:rPr>
          <w:spacing w:val="-6"/>
        </w:rPr>
        <w:t> </w:t>
      </w:r>
      <w:r>
        <w:rPr/>
        <w:t>of</w:t>
      </w:r>
      <w:r>
        <w:rPr>
          <w:spacing w:val="-1"/>
        </w:rPr>
        <w:t> </w:t>
      </w:r>
      <w:r>
        <w:rPr/>
        <w:t>Patients Profile</w:t>
      </w:r>
      <w:r>
        <w:rPr>
          <w:spacing w:val="-2"/>
        </w:rPr>
        <w:t> </w:t>
      </w:r>
      <w:r>
        <w:rPr/>
        <w:t>with</w:t>
      </w:r>
      <w:r>
        <w:rPr>
          <w:spacing w:val="-1"/>
        </w:rPr>
        <w:t> </w:t>
      </w:r>
      <w:r>
        <w:rPr/>
        <w:t>Antimalarial</w:t>
      </w:r>
      <w:r>
        <w:rPr>
          <w:spacing w:val="-1"/>
        </w:rPr>
        <w:t> </w:t>
      </w:r>
      <w:r>
        <w:rPr/>
        <w:t>Drugs </w:t>
      </w:r>
      <w:r>
        <w:rPr>
          <w:spacing w:val="-2"/>
        </w:rPr>
        <w:t>Prescription</w:t>
      </w:r>
    </w:p>
    <w:p>
      <w:pPr>
        <w:pStyle w:val="BodyText"/>
        <w:tabs>
          <w:tab w:pos="8181" w:val="left" w:leader="none"/>
        </w:tabs>
        <w:spacing w:before="276"/>
        <w:ind w:left="1280"/>
      </w:pPr>
      <w:r>
        <w:rPr/>
        <w:t>in</w:t>
      </w:r>
      <w:r>
        <w:rPr>
          <w:spacing w:val="-1"/>
        </w:rPr>
        <w:t> </w:t>
      </w:r>
      <w:r>
        <w:rPr/>
        <w:t>UMYMH,</w:t>
      </w:r>
      <w:r>
        <w:rPr>
          <w:spacing w:val="-1"/>
        </w:rPr>
        <w:t> </w:t>
      </w:r>
      <w:r>
        <w:rPr/>
        <w:t>Sabon-Wuse,</w:t>
      </w:r>
      <w:r>
        <w:rPr>
          <w:spacing w:val="-1"/>
        </w:rPr>
        <w:t> </w:t>
      </w:r>
      <w:r>
        <w:rPr/>
        <w:t>Niger</w:t>
      </w:r>
      <w:r>
        <w:rPr>
          <w:spacing w:val="-1"/>
        </w:rPr>
        <w:t> </w:t>
      </w:r>
      <w:r>
        <w:rPr/>
        <w:t>State,</w:t>
      </w:r>
      <w:r>
        <w:rPr>
          <w:spacing w:val="-1"/>
        </w:rPr>
        <w:t> </w:t>
      </w:r>
      <w:r>
        <w:rPr>
          <w:spacing w:val="-2"/>
        </w:rPr>
        <w:t>Nigeria</w:t>
      </w:r>
      <w:r>
        <w:rPr/>
        <w:tab/>
      </w:r>
      <w:r>
        <w:rPr>
          <w:spacing w:val="-5"/>
        </w:rPr>
        <w:t>57</w:t>
      </w:r>
    </w:p>
    <w:p>
      <w:pPr>
        <w:pStyle w:val="BodyText"/>
        <w:tabs>
          <w:tab w:pos="8181" w:val="left" w:leader="none"/>
        </w:tabs>
        <w:spacing w:before="276"/>
        <w:ind w:left="260"/>
      </w:pPr>
      <w:r>
        <w:rPr/>
        <w:t>Table</w:t>
      </w:r>
      <w:r>
        <w:rPr>
          <w:spacing w:val="-4"/>
        </w:rPr>
        <w:t> </w:t>
      </w:r>
      <w:r>
        <w:rPr/>
        <w:t>4.2:</w:t>
      </w:r>
      <w:r>
        <w:rPr>
          <w:spacing w:val="1"/>
        </w:rPr>
        <w:t> </w:t>
      </w:r>
      <w:r>
        <w:rPr/>
        <w:t>Incidence</w:t>
      </w:r>
      <w:r>
        <w:rPr>
          <w:spacing w:val="-2"/>
        </w:rPr>
        <w:t> </w:t>
      </w:r>
      <w:r>
        <w:rPr/>
        <w:t>of</w:t>
      </w:r>
      <w:r>
        <w:rPr>
          <w:spacing w:val="-1"/>
        </w:rPr>
        <w:t> </w:t>
      </w:r>
      <w:r>
        <w:rPr/>
        <w:t>parasitemia</w:t>
      </w:r>
      <w:r>
        <w:rPr>
          <w:spacing w:val="-2"/>
        </w:rPr>
        <w:t> </w:t>
      </w:r>
      <w:r>
        <w:rPr/>
        <w:t>in</w:t>
      </w:r>
      <w:r>
        <w:rPr>
          <w:spacing w:val="-2"/>
        </w:rPr>
        <w:t> </w:t>
      </w:r>
      <w:r>
        <w:rPr/>
        <w:t>the</w:t>
      </w:r>
      <w:r>
        <w:rPr>
          <w:spacing w:val="-2"/>
        </w:rPr>
        <w:t> </w:t>
      </w:r>
      <w:r>
        <w:rPr/>
        <w:t>blood</w:t>
      </w:r>
      <w:r>
        <w:rPr>
          <w:spacing w:val="-1"/>
        </w:rPr>
        <w:t> </w:t>
      </w:r>
      <w:r>
        <w:rPr/>
        <w:t>samples</w:t>
      </w:r>
      <w:r>
        <w:rPr>
          <w:spacing w:val="-1"/>
        </w:rPr>
        <w:t> </w:t>
      </w:r>
      <w:r>
        <w:rPr/>
        <w:t>of</w:t>
      </w:r>
      <w:r>
        <w:rPr>
          <w:spacing w:val="-1"/>
        </w:rPr>
        <w:t> </w:t>
      </w:r>
      <w:r>
        <w:rPr/>
        <w:t>patients</w:t>
      </w:r>
      <w:r>
        <w:rPr>
          <w:spacing w:val="-1"/>
        </w:rPr>
        <w:t> </w:t>
      </w:r>
      <w:r>
        <w:rPr>
          <w:spacing w:val="-2"/>
        </w:rPr>
        <w:t>screened</w:t>
      </w:r>
      <w:r>
        <w:rPr/>
        <w:tab/>
      </w:r>
      <w:r>
        <w:rPr>
          <w:spacing w:val="-5"/>
        </w:rPr>
        <w:t>63</w:t>
      </w:r>
    </w:p>
    <w:p>
      <w:pPr>
        <w:pStyle w:val="BodyText"/>
        <w:spacing w:before="276"/>
        <w:ind w:left="260"/>
      </w:pPr>
      <w:r>
        <w:rPr/>
        <w:t>Table</w:t>
      </w:r>
      <w:r>
        <w:rPr>
          <w:spacing w:val="-3"/>
        </w:rPr>
        <w:t> </w:t>
      </w:r>
      <w:r>
        <w:rPr/>
        <w:t>4.3:</w:t>
      </w:r>
      <w:r>
        <w:rPr>
          <w:spacing w:val="-1"/>
        </w:rPr>
        <w:t> </w:t>
      </w:r>
      <w:r>
        <w:rPr/>
        <w:t>Degree</w:t>
      </w:r>
      <w:r>
        <w:rPr>
          <w:spacing w:val="-2"/>
        </w:rPr>
        <w:t> </w:t>
      </w:r>
      <w:r>
        <w:rPr/>
        <w:t>of</w:t>
      </w:r>
      <w:r>
        <w:rPr>
          <w:spacing w:val="-1"/>
        </w:rPr>
        <w:t> </w:t>
      </w:r>
      <w:r>
        <w:rPr/>
        <w:t>Chloroquine inhibition</w:t>
      </w:r>
      <w:r>
        <w:rPr>
          <w:spacing w:val="-1"/>
        </w:rPr>
        <w:t> </w:t>
      </w:r>
      <w:r>
        <w:rPr/>
        <w:t>of</w:t>
      </w:r>
      <w:r>
        <w:rPr>
          <w:spacing w:val="-2"/>
        </w:rPr>
        <w:t> </w:t>
      </w:r>
      <w:r>
        <w:rPr/>
        <w:t>schizont</w:t>
      </w:r>
      <w:r>
        <w:rPr>
          <w:spacing w:val="-1"/>
        </w:rPr>
        <w:t> </w:t>
      </w:r>
      <w:r>
        <w:rPr/>
        <w:t>maturation </w:t>
      </w:r>
      <w:r>
        <w:rPr>
          <w:spacing w:val="-5"/>
        </w:rPr>
        <w:t>(%)</w:t>
      </w:r>
    </w:p>
    <w:p>
      <w:pPr>
        <w:pStyle w:val="BodyText"/>
      </w:pPr>
    </w:p>
    <w:p>
      <w:pPr>
        <w:pStyle w:val="BodyText"/>
        <w:tabs>
          <w:tab w:pos="8181" w:val="left" w:leader="none"/>
        </w:tabs>
        <w:ind w:left="1280"/>
      </w:pPr>
      <w:r>
        <w:rPr/>
        <w:t>at</w:t>
      </w:r>
      <w:r>
        <w:rPr>
          <w:spacing w:val="-2"/>
        </w:rPr>
        <w:t> </w:t>
      </w:r>
      <w:r>
        <w:rPr/>
        <w:t>different</w:t>
      </w:r>
      <w:r>
        <w:rPr>
          <w:spacing w:val="-2"/>
        </w:rPr>
        <w:t> </w:t>
      </w:r>
      <w:r>
        <w:rPr/>
        <w:t>antimalarial</w:t>
      </w:r>
      <w:r>
        <w:rPr>
          <w:spacing w:val="-2"/>
        </w:rPr>
        <w:t> </w:t>
      </w:r>
      <w:r>
        <w:rPr/>
        <w:t>concentrations</w:t>
      </w:r>
      <w:r>
        <w:rPr>
          <w:spacing w:val="-1"/>
        </w:rPr>
        <w:t> </w:t>
      </w:r>
      <w:r>
        <w:rPr>
          <w:spacing w:val="-4"/>
        </w:rPr>
        <w:t>(µM)</w:t>
      </w:r>
      <w:r>
        <w:rPr/>
        <w:tab/>
      </w:r>
      <w:r>
        <w:rPr>
          <w:spacing w:val="-5"/>
        </w:rPr>
        <w:t>65</w:t>
      </w:r>
    </w:p>
    <w:p>
      <w:pPr>
        <w:pStyle w:val="BodyText"/>
      </w:pPr>
    </w:p>
    <w:p>
      <w:pPr>
        <w:pStyle w:val="BodyText"/>
        <w:ind w:left="260"/>
      </w:pPr>
      <w:r>
        <w:rPr/>
        <w:t>Table</w:t>
      </w:r>
      <w:r>
        <w:rPr>
          <w:spacing w:val="-3"/>
        </w:rPr>
        <w:t> </w:t>
      </w:r>
      <w:r>
        <w:rPr/>
        <w:t>4.4:</w:t>
      </w:r>
      <w:r>
        <w:rPr>
          <w:spacing w:val="-1"/>
        </w:rPr>
        <w:t> </w:t>
      </w:r>
      <w:r>
        <w:rPr/>
        <w:t>Degree</w:t>
      </w:r>
      <w:r>
        <w:rPr>
          <w:spacing w:val="-2"/>
        </w:rPr>
        <w:t> </w:t>
      </w:r>
      <w:r>
        <w:rPr/>
        <w:t>of Amodiaquine</w:t>
      </w:r>
      <w:r>
        <w:rPr>
          <w:spacing w:val="-2"/>
        </w:rPr>
        <w:t> </w:t>
      </w:r>
      <w:r>
        <w:rPr/>
        <w:t>inhibition</w:t>
      </w:r>
      <w:r>
        <w:rPr>
          <w:spacing w:val="-1"/>
        </w:rPr>
        <w:t> </w:t>
      </w:r>
      <w:r>
        <w:rPr/>
        <w:t>of</w:t>
      </w:r>
      <w:r>
        <w:rPr>
          <w:spacing w:val="-1"/>
        </w:rPr>
        <w:t> </w:t>
      </w:r>
      <w:r>
        <w:rPr/>
        <w:t>schizont</w:t>
      </w:r>
      <w:r>
        <w:rPr>
          <w:spacing w:val="-1"/>
        </w:rPr>
        <w:t> </w:t>
      </w:r>
      <w:r>
        <w:rPr/>
        <w:t>maturation </w:t>
      </w:r>
      <w:r>
        <w:rPr>
          <w:spacing w:val="-5"/>
        </w:rPr>
        <w:t>(%)</w:t>
      </w:r>
    </w:p>
    <w:p>
      <w:pPr>
        <w:pStyle w:val="BodyText"/>
      </w:pPr>
    </w:p>
    <w:p>
      <w:pPr>
        <w:pStyle w:val="BodyText"/>
        <w:tabs>
          <w:tab w:pos="8181" w:val="left" w:leader="none"/>
        </w:tabs>
        <w:ind w:left="1220"/>
      </w:pPr>
      <w:r>
        <w:rPr/>
        <w:t>at</w:t>
      </w:r>
      <w:r>
        <w:rPr>
          <w:spacing w:val="-5"/>
        </w:rPr>
        <w:t> </w:t>
      </w:r>
      <w:r>
        <w:rPr/>
        <w:t>different</w:t>
      </w:r>
      <w:r>
        <w:rPr>
          <w:spacing w:val="-3"/>
        </w:rPr>
        <w:t> </w:t>
      </w:r>
      <w:r>
        <w:rPr/>
        <w:t>antimalarial</w:t>
      </w:r>
      <w:r>
        <w:rPr>
          <w:spacing w:val="-3"/>
        </w:rPr>
        <w:t> </w:t>
      </w:r>
      <w:r>
        <w:rPr/>
        <w:t>concentrations</w:t>
      </w:r>
      <w:r>
        <w:rPr>
          <w:spacing w:val="-2"/>
        </w:rPr>
        <w:t> </w:t>
      </w:r>
      <w:r>
        <w:rPr>
          <w:spacing w:val="-4"/>
        </w:rPr>
        <w:t>(µM)</w:t>
      </w:r>
      <w:r>
        <w:rPr/>
        <w:tab/>
      </w:r>
      <w:r>
        <w:rPr>
          <w:spacing w:val="-5"/>
        </w:rPr>
        <w:t>66</w:t>
      </w:r>
    </w:p>
    <w:p>
      <w:pPr>
        <w:pStyle w:val="BodyText"/>
      </w:pPr>
    </w:p>
    <w:p>
      <w:pPr>
        <w:pStyle w:val="BodyText"/>
        <w:ind w:left="260"/>
      </w:pPr>
      <w:r>
        <w:rPr/>
        <w:t>Table</w:t>
      </w:r>
      <w:r>
        <w:rPr>
          <w:spacing w:val="-1"/>
        </w:rPr>
        <w:t> </w:t>
      </w:r>
      <w:r>
        <w:rPr/>
        <w:t>4.5:</w:t>
      </w:r>
      <w:r>
        <w:rPr>
          <w:spacing w:val="-1"/>
        </w:rPr>
        <w:t> </w:t>
      </w:r>
      <w:r>
        <w:rPr/>
        <w:t>Degree</w:t>
      </w:r>
      <w:r>
        <w:rPr>
          <w:spacing w:val="-2"/>
        </w:rPr>
        <w:t> </w:t>
      </w:r>
      <w:r>
        <w:rPr/>
        <w:t>of</w:t>
      </w:r>
      <w:r>
        <w:rPr>
          <w:spacing w:val="-1"/>
        </w:rPr>
        <w:t> </w:t>
      </w:r>
      <w:r>
        <w:rPr/>
        <w:t>Artesunate</w:t>
      </w:r>
      <w:r>
        <w:rPr>
          <w:spacing w:val="-2"/>
        </w:rPr>
        <w:t> </w:t>
      </w:r>
      <w:r>
        <w:rPr/>
        <w:t>inhibition</w:t>
      </w:r>
      <w:r>
        <w:rPr>
          <w:spacing w:val="-1"/>
        </w:rPr>
        <w:t> </w:t>
      </w:r>
      <w:r>
        <w:rPr/>
        <w:t>of</w:t>
      </w:r>
      <w:r>
        <w:rPr>
          <w:spacing w:val="-1"/>
        </w:rPr>
        <w:t> </w:t>
      </w:r>
      <w:r>
        <w:rPr/>
        <w:t>schizont</w:t>
      </w:r>
      <w:r>
        <w:rPr>
          <w:spacing w:val="-1"/>
        </w:rPr>
        <w:t> </w:t>
      </w:r>
      <w:r>
        <w:rPr/>
        <w:t>maturation</w:t>
      </w:r>
      <w:r>
        <w:rPr>
          <w:spacing w:val="-1"/>
        </w:rPr>
        <w:t> </w:t>
      </w:r>
      <w:r>
        <w:rPr>
          <w:spacing w:val="-5"/>
        </w:rPr>
        <w:t>(%)</w:t>
      </w:r>
    </w:p>
    <w:p>
      <w:pPr>
        <w:pStyle w:val="BodyText"/>
      </w:pPr>
    </w:p>
    <w:p>
      <w:pPr>
        <w:pStyle w:val="BodyText"/>
        <w:tabs>
          <w:tab w:pos="8181" w:val="left" w:leader="none"/>
        </w:tabs>
        <w:ind w:left="1220"/>
      </w:pPr>
      <w:r>
        <w:rPr/>
        <w:t>at</w:t>
      </w:r>
      <w:r>
        <w:rPr>
          <w:spacing w:val="-5"/>
        </w:rPr>
        <w:t> </w:t>
      </w:r>
      <w:r>
        <w:rPr/>
        <w:t>different</w:t>
      </w:r>
      <w:r>
        <w:rPr>
          <w:spacing w:val="-2"/>
        </w:rPr>
        <w:t> </w:t>
      </w:r>
      <w:r>
        <w:rPr/>
        <w:t>antimalarial</w:t>
      </w:r>
      <w:r>
        <w:rPr>
          <w:spacing w:val="-2"/>
        </w:rPr>
        <w:t> </w:t>
      </w:r>
      <w:r>
        <w:rPr/>
        <w:t>concentrations</w:t>
      </w:r>
      <w:r>
        <w:rPr>
          <w:spacing w:val="-2"/>
        </w:rPr>
        <w:t> </w:t>
      </w:r>
      <w:r>
        <w:rPr>
          <w:spacing w:val="-4"/>
        </w:rPr>
        <w:t>(µM)</w:t>
      </w:r>
      <w:r>
        <w:rPr/>
        <w:tab/>
      </w:r>
      <w:r>
        <w:rPr>
          <w:spacing w:val="-5"/>
        </w:rPr>
        <w:t>67</w:t>
      </w:r>
    </w:p>
    <w:p>
      <w:pPr>
        <w:pStyle w:val="BodyText"/>
        <w:spacing w:before="1"/>
      </w:pPr>
    </w:p>
    <w:p>
      <w:pPr>
        <w:pStyle w:val="BodyText"/>
        <w:ind w:left="260"/>
      </w:pPr>
      <w:r>
        <w:rPr/>
        <w:t>Table</w:t>
      </w:r>
      <w:r>
        <w:rPr>
          <w:spacing w:val="-3"/>
        </w:rPr>
        <w:t> </w:t>
      </w:r>
      <w:r>
        <w:rPr/>
        <w:t>4.6:</w:t>
      </w:r>
      <w:r>
        <w:rPr>
          <w:spacing w:val="-1"/>
        </w:rPr>
        <w:t> </w:t>
      </w:r>
      <w:r>
        <w:rPr/>
        <w:t>Degree</w:t>
      </w:r>
      <w:r>
        <w:rPr>
          <w:spacing w:val="-2"/>
        </w:rPr>
        <w:t> </w:t>
      </w:r>
      <w:r>
        <w:rPr/>
        <w:t>of</w:t>
      </w:r>
      <w:r>
        <w:rPr>
          <w:spacing w:val="1"/>
        </w:rPr>
        <w:t> </w:t>
      </w:r>
      <w:r>
        <w:rPr/>
        <w:t>Artesunate-Amodiaquine</w:t>
      </w:r>
      <w:r>
        <w:rPr>
          <w:spacing w:val="-2"/>
        </w:rPr>
        <w:t> </w:t>
      </w:r>
      <w:r>
        <w:rPr/>
        <w:t>inhibition</w:t>
      </w:r>
      <w:r>
        <w:rPr>
          <w:spacing w:val="-1"/>
        </w:rPr>
        <w:t> </w:t>
      </w:r>
      <w:r>
        <w:rPr/>
        <w:t>of </w:t>
      </w:r>
      <w:r>
        <w:rPr>
          <w:spacing w:val="-2"/>
        </w:rPr>
        <w:t>schizont</w:t>
      </w:r>
    </w:p>
    <w:p>
      <w:pPr>
        <w:pStyle w:val="BodyText"/>
      </w:pPr>
    </w:p>
    <w:p>
      <w:pPr>
        <w:pStyle w:val="BodyText"/>
        <w:tabs>
          <w:tab w:pos="8181" w:val="left" w:leader="none"/>
        </w:tabs>
        <w:ind w:left="1220"/>
      </w:pPr>
      <w:r>
        <w:rPr/>
        <w:t>maturation</w:t>
      </w:r>
      <w:r>
        <w:rPr>
          <w:spacing w:val="-2"/>
        </w:rPr>
        <w:t> </w:t>
      </w:r>
      <w:r>
        <w:rPr/>
        <w:t>(%)</w:t>
      </w:r>
      <w:r>
        <w:rPr>
          <w:spacing w:val="-2"/>
        </w:rPr>
        <w:t> </w:t>
      </w:r>
      <w:r>
        <w:rPr/>
        <w:t>at</w:t>
      </w:r>
      <w:r>
        <w:rPr>
          <w:spacing w:val="-2"/>
        </w:rPr>
        <w:t> </w:t>
      </w:r>
      <w:r>
        <w:rPr/>
        <w:t>different</w:t>
      </w:r>
      <w:r>
        <w:rPr>
          <w:spacing w:val="-2"/>
        </w:rPr>
        <w:t> </w:t>
      </w:r>
      <w:r>
        <w:rPr/>
        <w:t>antimalarial</w:t>
      </w:r>
      <w:r>
        <w:rPr>
          <w:spacing w:val="-1"/>
        </w:rPr>
        <w:t> </w:t>
      </w:r>
      <w:r>
        <w:rPr/>
        <w:t>concentrations</w:t>
      </w:r>
      <w:r>
        <w:rPr>
          <w:spacing w:val="-2"/>
        </w:rPr>
        <w:t> </w:t>
      </w:r>
      <w:r>
        <w:rPr>
          <w:spacing w:val="-4"/>
        </w:rPr>
        <w:t>(µM)</w:t>
      </w:r>
      <w:r>
        <w:rPr/>
        <w:tab/>
      </w:r>
      <w:r>
        <w:rPr>
          <w:spacing w:val="-5"/>
        </w:rPr>
        <w:t>68</w:t>
      </w:r>
    </w:p>
    <w:p>
      <w:pPr>
        <w:pStyle w:val="BodyText"/>
      </w:pPr>
    </w:p>
    <w:p>
      <w:pPr>
        <w:pStyle w:val="BodyText"/>
        <w:ind w:left="260"/>
      </w:pPr>
      <w:r>
        <w:rPr/>
        <w:t>Table</w:t>
      </w:r>
      <w:r>
        <w:rPr>
          <w:spacing w:val="-3"/>
        </w:rPr>
        <w:t> </w:t>
      </w:r>
      <w:r>
        <w:rPr/>
        <w:t>4.7:</w:t>
      </w:r>
      <w:r>
        <w:rPr>
          <w:spacing w:val="1"/>
        </w:rPr>
        <w:t> </w:t>
      </w:r>
      <w:r>
        <w:rPr/>
        <w:t>Inhibitory</w:t>
      </w:r>
      <w:r>
        <w:rPr>
          <w:spacing w:val="-4"/>
        </w:rPr>
        <w:t> </w:t>
      </w:r>
      <w:r>
        <w:rPr/>
        <w:t>concentrations</w:t>
      </w:r>
      <w:r>
        <w:rPr>
          <w:spacing w:val="-1"/>
        </w:rPr>
        <w:t> </w:t>
      </w:r>
      <w:r>
        <w:rPr/>
        <w:t>(nM)</w:t>
      </w:r>
      <w:r>
        <w:rPr>
          <w:spacing w:val="-2"/>
        </w:rPr>
        <w:t> </w:t>
      </w:r>
      <w:r>
        <w:rPr/>
        <w:t>of</w:t>
      </w:r>
      <w:r>
        <w:rPr>
          <w:spacing w:val="-1"/>
        </w:rPr>
        <w:t> </w:t>
      </w:r>
      <w:r>
        <w:rPr/>
        <w:t>Chloroquine</w:t>
      </w:r>
      <w:r>
        <w:rPr>
          <w:spacing w:val="-1"/>
        </w:rPr>
        <w:t> </w:t>
      </w:r>
      <w:r>
        <w:rPr>
          <w:spacing w:val="-2"/>
        </w:rPr>
        <w:t>against</w:t>
      </w:r>
    </w:p>
    <w:p>
      <w:pPr>
        <w:pStyle w:val="BodyText"/>
      </w:pPr>
    </w:p>
    <w:p>
      <w:pPr>
        <w:pStyle w:val="BodyText"/>
        <w:tabs>
          <w:tab w:pos="8181" w:val="left" w:leader="none"/>
        </w:tabs>
        <w:ind w:left="1160"/>
      </w:pPr>
      <w:r>
        <w:rPr/>
        <w:t>schizont </w:t>
      </w:r>
      <w:r>
        <w:rPr>
          <w:spacing w:val="-2"/>
        </w:rPr>
        <w:t>maturation</w:t>
      </w:r>
      <w:r>
        <w:rPr/>
        <w:tab/>
      </w:r>
      <w:r>
        <w:rPr>
          <w:spacing w:val="-5"/>
        </w:rPr>
        <w:t>70</w:t>
      </w:r>
    </w:p>
    <w:p>
      <w:pPr>
        <w:pStyle w:val="BodyText"/>
      </w:pPr>
    </w:p>
    <w:p>
      <w:pPr>
        <w:pStyle w:val="BodyText"/>
        <w:ind w:left="260"/>
      </w:pPr>
      <w:r>
        <w:rPr/>
        <w:t>Table</w:t>
      </w:r>
      <w:r>
        <w:rPr>
          <w:spacing w:val="-3"/>
        </w:rPr>
        <w:t> </w:t>
      </w:r>
      <w:r>
        <w:rPr/>
        <w:t>4.8:</w:t>
      </w:r>
      <w:r>
        <w:rPr>
          <w:spacing w:val="1"/>
        </w:rPr>
        <w:t> </w:t>
      </w:r>
      <w:r>
        <w:rPr/>
        <w:t>Inhibitory</w:t>
      </w:r>
      <w:r>
        <w:rPr>
          <w:spacing w:val="-4"/>
        </w:rPr>
        <w:t> </w:t>
      </w:r>
      <w:r>
        <w:rPr/>
        <w:t>concentrations</w:t>
      </w:r>
      <w:r>
        <w:rPr>
          <w:spacing w:val="-1"/>
        </w:rPr>
        <w:t> </w:t>
      </w:r>
      <w:r>
        <w:rPr/>
        <w:t>(nM)</w:t>
      </w:r>
      <w:r>
        <w:rPr>
          <w:spacing w:val="-2"/>
        </w:rPr>
        <w:t> </w:t>
      </w:r>
      <w:r>
        <w:rPr/>
        <w:t>of</w:t>
      </w:r>
      <w:r>
        <w:rPr>
          <w:spacing w:val="-1"/>
        </w:rPr>
        <w:t> </w:t>
      </w:r>
      <w:r>
        <w:rPr/>
        <w:t>Amodiaquine</w:t>
      </w:r>
      <w:r>
        <w:rPr>
          <w:spacing w:val="-1"/>
        </w:rPr>
        <w:t> </w:t>
      </w:r>
      <w:r>
        <w:rPr>
          <w:spacing w:val="-2"/>
        </w:rPr>
        <w:t>against</w:t>
      </w:r>
    </w:p>
    <w:p>
      <w:pPr>
        <w:pStyle w:val="BodyText"/>
      </w:pPr>
    </w:p>
    <w:p>
      <w:pPr>
        <w:pStyle w:val="BodyText"/>
        <w:tabs>
          <w:tab w:pos="8181" w:val="left" w:leader="none"/>
        </w:tabs>
        <w:ind w:left="1160"/>
      </w:pPr>
      <w:r>
        <w:rPr/>
        <w:t>schizont </w:t>
      </w:r>
      <w:r>
        <w:rPr>
          <w:spacing w:val="-2"/>
        </w:rPr>
        <w:t>maturation</w:t>
      </w:r>
      <w:r>
        <w:rPr/>
        <w:tab/>
      </w:r>
      <w:r>
        <w:rPr>
          <w:spacing w:val="-5"/>
        </w:rPr>
        <w:t>71</w:t>
      </w:r>
    </w:p>
    <w:p>
      <w:pPr>
        <w:pStyle w:val="BodyText"/>
      </w:pPr>
    </w:p>
    <w:p>
      <w:pPr>
        <w:pStyle w:val="BodyText"/>
        <w:spacing w:before="1"/>
        <w:ind w:left="260"/>
      </w:pPr>
      <w:r>
        <w:rPr/>
        <w:t>Table</w:t>
      </w:r>
      <w:r>
        <w:rPr>
          <w:spacing w:val="-4"/>
        </w:rPr>
        <w:t> </w:t>
      </w:r>
      <w:r>
        <w:rPr/>
        <w:t>4.9:</w:t>
      </w:r>
      <w:r>
        <w:rPr>
          <w:spacing w:val="1"/>
        </w:rPr>
        <w:t> </w:t>
      </w:r>
      <w:r>
        <w:rPr/>
        <w:t>Inhibitory</w:t>
      </w:r>
      <w:r>
        <w:rPr>
          <w:spacing w:val="-4"/>
        </w:rPr>
        <w:t> </w:t>
      </w:r>
      <w:r>
        <w:rPr/>
        <w:t>concentrations</w:t>
      </w:r>
      <w:r>
        <w:rPr>
          <w:spacing w:val="-2"/>
        </w:rPr>
        <w:t> </w:t>
      </w:r>
      <w:r>
        <w:rPr/>
        <w:t>(nM)</w:t>
      </w:r>
      <w:r>
        <w:rPr>
          <w:spacing w:val="-2"/>
        </w:rPr>
        <w:t> </w:t>
      </w:r>
      <w:r>
        <w:rPr/>
        <w:t>of</w:t>
      </w:r>
      <w:r>
        <w:rPr>
          <w:spacing w:val="-1"/>
        </w:rPr>
        <w:t> </w:t>
      </w:r>
      <w:r>
        <w:rPr/>
        <w:t>Artesunate</w:t>
      </w:r>
      <w:r>
        <w:rPr>
          <w:spacing w:val="-1"/>
        </w:rPr>
        <w:t> </w:t>
      </w:r>
      <w:r>
        <w:rPr>
          <w:spacing w:val="-2"/>
        </w:rPr>
        <w:t>against</w:t>
      </w:r>
    </w:p>
    <w:p>
      <w:pPr>
        <w:pStyle w:val="BodyText"/>
        <w:tabs>
          <w:tab w:pos="8181" w:val="left" w:leader="none"/>
        </w:tabs>
        <w:spacing w:before="276"/>
        <w:ind w:left="1160"/>
      </w:pPr>
      <w:r>
        <w:rPr/>
        <w:t>schizont </w:t>
      </w:r>
      <w:r>
        <w:rPr>
          <w:spacing w:val="-2"/>
        </w:rPr>
        <w:t>maturation</w:t>
      </w:r>
      <w:r>
        <w:rPr/>
        <w:tab/>
      </w:r>
      <w:r>
        <w:rPr>
          <w:spacing w:val="-5"/>
        </w:rPr>
        <w:t>72</w:t>
      </w:r>
    </w:p>
    <w:p>
      <w:pPr>
        <w:spacing w:after="0"/>
        <w:sectPr>
          <w:pgSz w:w="11910" w:h="16840"/>
          <w:pgMar w:header="0" w:footer="1014" w:top="1340" w:bottom="1200" w:left="1180" w:right="580"/>
        </w:sectPr>
      </w:pPr>
    </w:p>
    <w:p>
      <w:pPr>
        <w:pStyle w:val="BodyText"/>
        <w:spacing w:before="74"/>
        <w:ind w:left="260"/>
      </w:pPr>
      <w:r>
        <w:rPr/>
        <w:t>Table</w:t>
      </w:r>
      <w:r>
        <w:rPr>
          <w:spacing w:val="-2"/>
        </w:rPr>
        <w:t> </w:t>
      </w:r>
      <w:r>
        <w:rPr/>
        <w:t>4.10:</w:t>
      </w:r>
      <w:r>
        <w:rPr>
          <w:spacing w:val="1"/>
        </w:rPr>
        <w:t> </w:t>
      </w:r>
      <w:r>
        <w:rPr/>
        <w:t>Inhibitory</w:t>
      </w:r>
      <w:r>
        <w:rPr>
          <w:spacing w:val="-4"/>
        </w:rPr>
        <w:t> </w:t>
      </w:r>
      <w:r>
        <w:rPr/>
        <w:t>concentrations</w:t>
      </w:r>
      <w:r>
        <w:rPr>
          <w:spacing w:val="-1"/>
        </w:rPr>
        <w:t> </w:t>
      </w:r>
      <w:r>
        <w:rPr/>
        <w:t>(nM)</w:t>
      </w:r>
      <w:r>
        <w:rPr>
          <w:spacing w:val="-2"/>
        </w:rPr>
        <w:t> </w:t>
      </w:r>
      <w:r>
        <w:rPr/>
        <w:t>of</w:t>
      </w:r>
      <w:r>
        <w:rPr>
          <w:spacing w:val="-1"/>
        </w:rPr>
        <w:t> </w:t>
      </w:r>
      <w:r>
        <w:rPr/>
        <w:t>Artesunate-</w:t>
      </w:r>
      <w:r>
        <w:rPr>
          <w:spacing w:val="-2"/>
        </w:rPr>
        <w:t>Amodiaquine</w:t>
      </w:r>
    </w:p>
    <w:p>
      <w:pPr>
        <w:pStyle w:val="BodyText"/>
        <w:tabs>
          <w:tab w:pos="8421" w:val="right" w:leader="none"/>
        </w:tabs>
        <w:spacing w:before="276"/>
        <w:ind w:left="1280"/>
      </w:pPr>
      <w:r>
        <w:rPr/>
        <w:t>against</w:t>
      </w:r>
      <w:r>
        <w:rPr>
          <w:spacing w:val="-1"/>
        </w:rPr>
        <w:t> </w:t>
      </w:r>
      <w:r>
        <w:rPr/>
        <w:t>schizont</w:t>
      </w:r>
      <w:r>
        <w:rPr>
          <w:spacing w:val="-1"/>
        </w:rPr>
        <w:t> </w:t>
      </w:r>
      <w:r>
        <w:rPr>
          <w:spacing w:val="-2"/>
        </w:rPr>
        <w:t>maturation</w:t>
      </w:r>
      <w:r>
        <w:rPr/>
        <w:tab/>
      </w:r>
      <w:r>
        <w:rPr>
          <w:spacing w:val="-5"/>
        </w:rPr>
        <w:t>73</w:t>
      </w:r>
    </w:p>
    <w:p>
      <w:pPr>
        <w:pStyle w:val="BodyText"/>
        <w:spacing w:before="276"/>
        <w:ind w:left="260"/>
      </w:pPr>
      <w:r>
        <w:rPr/>
        <w:t>Table 4.11: </w:t>
      </w:r>
      <w:r>
        <w:rPr>
          <w:i/>
        </w:rPr>
        <w:t>In vitro </w:t>
      </w:r>
      <w:r>
        <w:rPr/>
        <w:t>sensitivity</w:t>
      </w:r>
      <w:r>
        <w:rPr>
          <w:spacing w:val="-8"/>
        </w:rPr>
        <w:t> </w:t>
      </w:r>
      <w:r>
        <w:rPr/>
        <w:t>of P. falciparum isolates </w:t>
      </w:r>
      <w:r>
        <w:rPr>
          <w:spacing w:val="-5"/>
        </w:rPr>
        <w:t>to</w:t>
      </w:r>
    </w:p>
    <w:p>
      <w:pPr>
        <w:pStyle w:val="BodyText"/>
        <w:tabs>
          <w:tab w:pos="8421" w:val="right" w:leader="none"/>
        </w:tabs>
        <w:spacing w:before="276"/>
        <w:ind w:left="1280"/>
      </w:pPr>
      <w:r>
        <w:rPr/>
        <w:t>selected</w:t>
      </w:r>
      <w:r>
        <w:rPr>
          <w:spacing w:val="-5"/>
        </w:rPr>
        <w:t> </w:t>
      </w:r>
      <w:r>
        <w:rPr/>
        <w:t>antimalarial</w:t>
      </w:r>
      <w:r>
        <w:rPr>
          <w:spacing w:val="-1"/>
        </w:rPr>
        <w:t> </w:t>
      </w:r>
      <w:r>
        <w:rPr>
          <w:spacing w:val="-4"/>
        </w:rPr>
        <w:t>drugs</w:t>
      </w:r>
      <w:r>
        <w:rPr/>
        <w:tab/>
      </w:r>
      <w:r>
        <w:rPr>
          <w:spacing w:val="-5"/>
        </w:rPr>
        <w:t>74</w:t>
      </w:r>
    </w:p>
    <w:p>
      <w:pPr>
        <w:pStyle w:val="BodyText"/>
        <w:spacing w:before="276"/>
        <w:ind w:left="260"/>
      </w:pPr>
      <w:r>
        <w:rPr/>
        <w:t>Table</w:t>
      </w:r>
      <w:r>
        <w:rPr>
          <w:spacing w:val="-3"/>
        </w:rPr>
        <w:t> </w:t>
      </w:r>
      <w:r>
        <w:rPr/>
        <w:t>4.12:</w:t>
      </w:r>
      <w:r>
        <w:rPr>
          <w:spacing w:val="-1"/>
        </w:rPr>
        <w:t> </w:t>
      </w:r>
      <w:r>
        <w:rPr/>
        <w:t>Molecular</w:t>
      </w:r>
      <w:r>
        <w:rPr>
          <w:spacing w:val="-1"/>
        </w:rPr>
        <w:t> </w:t>
      </w:r>
      <w:r>
        <w:rPr/>
        <w:t>analysis of</w:t>
      </w:r>
      <w:r>
        <w:rPr>
          <w:spacing w:val="-1"/>
        </w:rPr>
        <w:t> </w:t>
      </w:r>
      <w:r>
        <w:rPr/>
        <w:t>the</w:t>
      </w:r>
      <w:r>
        <w:rPr>
          <w:spacing w:val="-3"/>
        </w:rPr>
        <w:t> </w:t>
      </w:r>
      <w:r>
        <w:rPr/>
        <w:t>base</w:t>
      </w:r>
      <w:r>
        <w:rPr>
          <w:spacing w:val="-1"/>
        </w:rPr>
        <w:t> </w:t>
      </w:r>
      <w:r>
        <w:rPr/>
        <w:t>pairs</w:t>
      </w:r>
      <w:r>
        <w:rPr>
          <w:spacing w:val="-1"/>
        </w:rPr>
        <w:t> </w:t>
      </w:r>
      <w:r>
        <w:rPr/>
        <w:t>of resistant </w:t>
      </w:r>
      <w:r>
        <w:rPr>
          <w:spacing w:val="-2"/>
        </w:rPr>
        <w:t>amplicons</w:t>
      </w:r>
    </w:p>
    <w:p>
      <w:pPr>
        <w:tabs>
          <w:tab w:pos="8481" w:val="right" w:leader="none"/>
        </w:tabs>
        <w:spacing w:before="276"/>
        <w:ind w:left="1340" w:right="0" w:firstLine="0"/>
        <w:jc w:val="left"/>
        <w:rPr>
          <w:sz w:val="24"/>
        </w:rPr>
      </w:pPr>
      <w:r>
        <w:rPr>
          <w:sz w:val="24"/>
        </w:rPr>
        <w:t>from</w:t>
      </w:r>
      <w:r>
        <w:rPr>
          <w:spacing w:val="-3"/>
          <w:sz w:val="24"/>
        </w:rPr>
        <w:t> </w:t>
      </w:r>
      <w:r>
        <w:rPr>
          <w:sz w:val="24"/>
        </w:rPr>
        <w:t>the</w:t>
      </w:r>
      <w:r>
        <w:rPr>
          <w:spacing w:val="-1"/>
          <w:sz w:val="24"/>
        </w:rPr>
        <w:t> </w:t>
      </w:r>
      <w:r>
        <w:rPr>
          <w:sz w:val="24"/>
        </w:rPr>
        <w:t>test </w:t>
      </w:r>
      <w:r>
        <w:rPr>
          <w:i/>
          <w:sz w:val="24"/>
        </w:rPr>
        <w:t>Plasmodium </w:t>
      </w:r>
      <w:r>
        <w:rPr>
          <w:spacing w:val="-2"/>
          <w:sz w:val="24"/>
        </w:rPr>
        <w:t>species</w:t>
      </w:r>
      <w:r>
        <w:rPr>
          <w:sz w:val="24"/>
        </w:rPr>
        <w:tab/>
      </w:r>
      <w:r>
        <w:rPr>
          <w:spacing w:val="-5"/>
          <w:sz w:val="24"/>
        </w:rPr>
        <w:t>76</w:t>
      </w:r>
    </w:p>
    <w:p>
      <w:pPr>
        <w:spacing w:after="0"/>
        <w:jc w:val="left"/>
        <w:rPr>
          <w:sz w:val="24"/>
        </w:rPr>
        <w:sectPr>
          <w:pgSz w:w="11910" w:h="16840"/>
          <w:pgMar w:header="0" w:footer="1014" w:top="1340" w:bottom="1200" w:left="1180" w:right="580"/>
        </w:sectPr>
      </w:pPr>
    </w:p>
    <w:p>
      <w:pPr>
        <w:pStyle w:val="Heading1"/>
        <w:ind w:left="1391" w:right="1989"/>
      </w:pPr>
      <w:bookmarkStart w:name="_TOC_250041" w:id="7"/>
      <w:r>
        <w:rPr/>
        <w:t>LIST OF</w:t>
      </w:r>
      <w:r>
        <w:rPr>
          <w:spacing w:val="-3"/>
        </w:rPr>
        <w:t> </w:t>
      </w:r>
      <w:bookmarkEnd w:id="7"/>
      <w:r>
        <w:rPr>
          <w:spacing w:val="-2"/>
        </w:rPr>
        <w:t>FIGURES</w:t>
      </w:r>
    </w:p>
    <w:p>
      <w:pPr>
        <w:pStyle w:val="BodyText"/>
        <w:tabs>
          <w:tab w:pos="8181" w:val="left" w:leader="none"/>
        </w:tabs>
        <w:spacing w:before="272"/>
        <w:ind w:left="2421"/>
      </w:pPr>
      <w:r>
        <w:rPr>
          <w:spacing w:val="-2"/>
        </w:rPr>
        <w:t>Title</w:t>
      </w:r>
      <w:r>
        <w:rPr/>
        <w:tab/>
      </w:r>
      <w:r>
        <w:rPr>
          <w:spacing w:val="-4"/>
        </w:rPr>
        <w:t>Page</w:t>
      </w:r>
    </w:p>
    <w:p>
      <w:pPr>
        <w:pStyle w:val="BodyText"/>
      </w:pPr>
    </w:p>
    <w:p>
      <w:pPr>
        <w:tabs>
          <w:tab w:pos="8181" w:val="left" w:leader="none"/>
        </w:tabs>
        <w:spacing w:before="0"/>
        <w:ind w:left="260" w:right="0" w:firstLine="0"/>
        <w:jc w:val="left"/>
        <w:rPr>
          <w:sz w:val="24"/>
        </w:rPr>
      </w:pPr>
      <w:r>
        <w:rPr>
          <w:sz w:val="24"/>
        </w:rPr>
        <w:t>Fig.</w:t>
      </w:r>
      <w:r>
        <w:rPr>
          <w:spacing w:val="-4"/>
          <w:sz w:val="24"/>
        </w:rPr>
        <w:t> </w:t>
      </w:r>
      <w:r>
        <w:rPr>
          <w:sz w:val="24"/>
        </w:rPr>
        <w:t>2.1:</w:t>
      </w:r>
      <w:r>
        <w:rPr>
          <w:spacing w:val="1"/>
          <w:sz w:val="24"/>
        </w:rPr>
        <w:t> </w:t>
      </w:r>
      <w:r>
        <w:rPr>
          <w:sz w:val="24"/>
        </w:rPr>
        <w:t>Life</w:t>
      </w:r>
      <w:r>
        <w:rPr>
          <w:spacing w:val="-2"/>
          <w:sz w:val="24"/>
        </w:rPr>
        <w:t> </w:t>
      </w:r>
      <w:r>
        <w:rPr>
          <w:sz w:val="24"/>
        </w:rPr>
        <w:t>cycles</w:t>
      </w:r>
      <w:r>
        <w:rPr>
          <w:spacing w:val="-1"/>
          <w:sz w:val="24"/>
        </w:rPr>
        <w:t> </w:t>
      </w:r>
      <w:r>
        <w:rPr>
          <w:sz w:val="24"/>
        </w:rPr>
        <w:t>of</w:t>
      </w:r>
      <w:r>
        <w:rPr>
          <w:spacing w:val="-2"/>
          <w:sz w:val="24"/>
        </w:rPr>
        <w:t> </w:t>
      </w:r>
      <w:r>
        <w:rPr>
          <w:sz w:val="24"/>
        </w:rPr>
        <w:t>malaria</w:t>
      </w:r>
      <w:r>
        <w:rPr>
          <w:spacing w:val="-1"/>
          <w:sz w:val="24"/>
        </w:rPr>
        <w:t> </w:t>
      </w:r>
      <w:r>
        <w:rPr>
          <w:sz w:val="24"/>
        </w:rPr>
        <w:t>parasite,</w:t>
      </w:r>
      <w:r>
        <w:rPr>
          <w:spacing w:val="1"/>
          <w:sz w:val="24"/>
        </w:rPr>
        <w:t> </w:t>
      </w:r>
      <w:r>
        <w:rPr>
          <w:i/>
          <w:sz w:val="24"/>
        </w:rPr>
        <w:t>Plasmodium</w:t>
      </w:r>
      <w:r>
        <w:rPr>
          <w:i/>
          <w:spacing w:val="-1"/>
          <w:sz w:val="24"/>
        </w:rPr>
        <w:t> </w:t>
      </w:r>
      <w:r>
        <w:rPr>
          <w:i/>
          <w:spacing w:val="-2"/>
          <w:sz w:val="24"/>
        </w:rPr>
        <w:t>species</w:t>
      </w:r>
      <w:r>
        <w:rPr>
          <w:i/>
          <w:sz w:val="24"/>
        </w:rPr>
        <w:tab/>
      </w:r>
      <w:r>
        <w:rPr>
          <w:spacing w:val="-5"/>
          <w:sz w:val="24"/>
        </w:rPr>
        <w:t>11</w:t>
      </w:r>
    </w:p>
    <w:p>
      <w:pPr>
        <w:pStyle w:val="BodyText"/>
      </w:pPr>
    </w:p>
    <w:p>
      <w:pPr>
        <w:pStyle w:val="BodyText"/>
        <w:tabs>
          <w:tab w:pos="8181" w:val="left" w:leader="none"/>
        </w:tabs>
        <w:ind w:left="260"/>
      </w:pPr>
      <w:r>
        <w:rPr/>
        <w:t>Fig.</w:t>
      </w:r>
      <w:r>
        <w:rPr>
          <w:spacing w:val="-1"/>
        </w:rPr>
        <w:t> </w:t>
      </w:r>
      <w:r>
        <w:rPr/>
        <w:t>2.2:</w:t>
      </w:r>
      <w:r>
        <w:rPr>
          <w:spacing w:val="-1"/>
        </w:rPr>
        <w:t> </w:t>
      </w:r>
      <w:r>
        <w:rPr/>
        <w:t>Geographical</w:t>
      </w:r>
      <w:r>
        <w:rPr>
          <w:spacing w:val="-1"/>
        </w:rPr>
        <w:t> </w:t>
      </w:r>
      <w:r>
        <w:rPr/>
        <w:t>distribution</w:t>
      </w:r>
      <w:r>
        <w:rPr>
          <w:spacing w:val="-1"/>
        </w:rPr>
        <w:t> </w:t>
      </w:r>
      <w:r>
        <w:rPr/>
        <w:t>of</w:t>
      </w:r>
      <w:r>
        <w:rPr>
          <w:spacing w:val="-1"/>
        </w:rPr>
        <w:t> </w:t>
      </w:r>
      <w:r>
        <w:rPr/>
        <w:t>malaria</w:t>
      </w:r>
      <w:r>
        <w:rPr>
          <w:spacing w:val="-1"/>
        </w:rPr>
        <w:t> </w:t>
      </w:r>
      <w:r>
        <w:rPr>
          <w:spacing w:val="-2"/>
        </w:rPr>
        <w:t>disease</w:t>
      </w:r>
      <w:r>
        <w:rPr/>
        <w:tab/>
      </w:r>
      <w:r>
        <w:rPr>
          <w:spacing w:val="-5"/>
        </w:rPr>
        <w:t>13</w:t>
      </w:r>
    </w:p>
    <w:p>
      <w:pPr>
        <w:pStyle w:val="BodyText"/>
      </w:pPr>
    </w:p>
    <w:p>
      <w:pPr>
        <w:pStyle w:val="BodyText"/>
        <w:tabs>
          <w:tab w:pos="8181" w:val="left" w:leader="none"/>
        </w:tabs>
        <w:ind w:left="260"/>
      </w:pPr>
      <w:r>
        <w:rPr/>
        <w:t>Fig.</w:t>
      </w:r>
      <w:r>
        <w:rPr>
          <w:spacing w:val="-4"/>
        </w:rPr>
        <w:t> </w:t>
      </w:r>
      <w:r>
        <w:rPr/>
        <w:t>2.3:</w:t>
      </w:r>
      <w:r>
        <w:rPr>
          <w:spacing w:val="-1"/>
        </w:rPr>
        <w:t> </w:t>
      </w:r>
      <w:r>
        <w:rPr/>
        <w:t>Chemical</w:t>
      </w:r>
      <w:r>
        <w:rPr>
          <w:spacing w:val="-1"/>
        </w:rPr>
        <w:t> </w:t>
      </w:r>
      <w:r>
        <w:rPr/>
        <w:t>structure</w:t>
      </w:r>
      <w:r>
        <w:rPr>
          <w:spacing w:val="-2"/>
        </w:rPr>
        <w:t> </w:t>
      </w:r>
      <w:r>
        <w:rPr/>
        <w:t>of</w:t>
      </w:r>
      <w:r>
        <w:rPr>
          <w:spacing w:val="-1"/>
        </w:rPr>
        <w:t> </w:t>
      </w:r>
      <w:r>
        <w:rPr>
          <w:spacing w:val="-2"/>
        </w:rPr>
        <w:t>Chloroquine</w:t>
      </w:r>
      <w:r>
        <w:rPr/>
        <w:tab/>
      </w:r>
      <w:r>
        <w:rPr>
          <w:spacing w:val="-5"/>
        </w:rPr>
        <w:t>24</w:t>
      </w:r>
    </w:p>
    <w:p>
      <w:pPr>
        <w:pStyle w:val="BodyText"/>
      </w:pPr>
    </w:p>
    <w:p>
      <w:pPr>
        <w:pStyle w:val="BodyText"/>
        <w:tabs>
          <w:tab w:pos="8181" w:val="left" w:leader="none"/>
        </w:tabs>
        <w:ind w:left="260"/>
      </w:pPr>
      <w:r>
        <w:rPr/>
        <w:t>Fig.</w:t>
      </w:r>
      <w:r>
        <w:rPr>
          <w:spacing w:val="-4"/>
        </w:rPr>
        <w:t> </w:t>
      </w:r>
      <w:r>
        <w:rPr/>
        <w:t>2.4:</w:t>
      </w:r>
      <w:r>
        <w:rPr>
          <w:spacing w:val="-1"/>
        </w:rPr>
        <w:t> </w:t>
      </w:r>
      <w:r>
        <w:rPr/>
        <w:t>Chemical</w:t>
      </w:r>
      <w:r>
        <w:rPr>
          <w:spacing w:val="-1"/>
        </w:rPr>
        <w:t> </w:t>
      </w:r>
      <w:r>
        <w:rPr/>
        <w:t>structure</w:t>
      </w:r>
      <w:r>
        <w:rPr>
          <w:spacing w:val="-2"/>
        </w:rPr>
        <w:t> </w:t>
      </w:r>
      <w:r>
        <w:rPr/>
        <w:t>of</w:t>
      </w:r>
      <w:r>
        <w:rPr>
          <w:spacing w:val="-1"/>
        </w:rPr>
        <w:t> </w:t>
      </w:r>
      <w:r>
        <w:rPr>
          <w:spacing w:val="-2"/>
        </w:rPr>
        <w:t>Amodiaquine</w:t>
      </w:r>
      <w:r>
        <w:rPr/>
        <w:tab/>
      </w:r>
      <w:r>
        <w:rPr>
          <w:spacing w:val="-5"/>
        </w:rPr>
        <w:t>27</w:t>
      </w:r>
    </w:p>
    <w:p>
      <w:pPr>
        <w:pStyle w:val="BodyText"/>
      </w:pPr>
    </w:p>
    <w:p>
      <w:pPr>
        <w:pStyle w:val="BodyText"/>
        <w:tabs>
          <w:tab w:pos="8181" w:val="left" w:leader="none"/>
        </w:tabs>
        <w:ind w:left="260"/>
      </w:pPr>
      <w:r>
        <w:rPr/>
        <w:t>Fig.</w:t>
      </w:r>
      <w:r>
        <w:rPr>
          <w:spacing w:val="-2"/>
        </w:rPr>
        <w:t> </w:t>
      </w:r>
      <w:r>
        <w:rPr/>
        <w:t>2.5:</w:t>
      </w:r>
      <w:r>
        <w:rPr>
          <w:spacing w:val="-1"/>
        </w:rPr>
        <w:t> </w:t>
      </w:r>
      <w:r>
        <w:rPr/>
        <w:t>Chemical</w:t>
      </w:r>
      <w:r>
        <w:rPr>
          <w:spacing w:val="-1"/>
        </w:rPr>
        <w:t> </w:t>
      </w:r>
      <w:r>
        <w:rPr/>
        <w:t>structure</w:t>
      </w:r>
      <w:r>
        <w:rPr>
          <w:spacing w:val="-2"/>
        </w:rPr>
        <w:t> </w:t>
      </w:r>
      <w:r>
        <w:rPr/>
        <w:t>of</w:t>
      </w:r>
      <w:r>
        <w:rPr>
          <w:spacing w:val="-1"/>
        </w:rPr>
        <w:t> </w:t>
      </w:r>
      <w:r>
        <w:rPr/>
        <w:t>Artemisinin</w:t>
      </w:r>
      <w:r>
        <w:rPr>
          <w:spacing w:val="-1"/>
        </w:rPr>
        <w:t> </w:t>
      </w:r>
      <w:r>
        <w:rPr/>
        <w:t>and</w:t>
      </w:r>
      <w:r>
        <w:rPr>
          <w:spacing w:val="-1"/>
        </w:rPr>
        <w:t> </w:t>
      </w:r>
      <w:r>
        <w:rPr/>
        <w:t>its</w:t>
      </w:r>
      <w:r>
        <w:rPr>
          <w:spacing w:val="-1"/>
        </w:rPr>
        <w:t> </w:t>
      </w:r>
      <w:r>
        <w:rPr>
          <w:spacing w:val="-2"/>
        </w:rPr>
        <w:t>derivatives</w:t>
      </w:r>
      <w:r>
        <w:rPr/>
        <w:tab/>
      </w:r>
      <w:r>
        <w:rPr>
          <w:spacing w:val="-5"/>
        </w:rPr>
        <w:t>30</w:t>
      </w:r>
    </w:p>
    <w:p>
      <w:pPr>
        <w:pStyle w:val="BodyText"/>
      </w:pPr>
    </w:p>
    <w:p>
      <w:pPr>
        <w:pStyle w:val="BodyText"/>
        <w:tabs>
          <w:tab w:pos="8181" w:val="left" w:leader="none"/>
        </w:tabs>
        <w:spacing w:before="1"/>
        <w:ind w:left="260"/>
      </w:pPr>
      <w:r>
        <w:rPr/>
        <w:t>Fig.</w:t>
      </w:r>
      <w:r>
        <w:rPr>
          <w:spacing w:val="-3"/>
        </w:rPr>
        <w:t> </w:t>
      </w:r>
      <w:r>
        <w:rPr/>
        <w:t>2.6:</w:t>
      </w:r>
      <w:r>
        <w:rPr>
          <w:spacing w:val="-1"/>
        </w:rPr>
        <w:t> </w:t>
      </w:r>
      <w:r>
        <w:rPr/>
        <w:t>Mechanism</w:t>
      </w:r>
      <w:r>
        <w:rPr>
          <w:spacing w:val="-1"/>
        </w:rPr>
        <w:t> </w:t>
      </w:r>
      <w:r>
        <w:rPr/>
        <w:t>of Chloroquine</w:t>
      </w:r>
      <w:r>
        <w:rPr>
          <w:spacing w:val="-2"/>
        </w:rPr>
        <w:t> </w:t>
      </w:r>
      <w:r>
        <w:rPr/>
        <w:t>drug</w:t>
      </w:r>
      <w:r>
        <w:rPr>
          <w:spacing w:val="-1"/>
        </w:rPr>
        <w:t> </w:t>
      </w:r>
      <w:r>
        <w:rPr>
          <w:spacing w:val="-2"/>
        </w:rPr>
        <w:t>action</w:t>
      </w:r>
      <w:r>
        <w:rPr/>
        <w:tab/>
      </w:r>
      <w:r>
        <w:rPr>
          <w:spacing w:val="-5"/>
        </w:rPr>
        <w:t>33</w:t>
      </w:r>
    </w:p>
    <w:p>
      <w:pPr>
        <w:pStyle w:val="BodyText"/>
        <w:tabs>
          <w:tab w:pos="8181" w:val="left" w:leader="none"/>
        </w:tabs>
        <w:spacing w:before="276"/>
        <w:ind w:left="260"/>
      </w:pPr>
      <w:r>
        <w:rPr/>
        <w:t>Fig.</w:t>
      </w:r>
      <w:r>
        <w:rPr>
          <w:spacing w:val="-3"/>
        </w:rPr>
        <w:t> </w:t>
      </w:r>
      <w:r>
        <w:rPr/>
        <w:t>2.7:</w:t>
      </w:r>
      <w:r>
        <w:rPr>
          <w:spacing w:val="-2"/>
        </w:rPr>
        <w:t> </w:t>
      </w:r>
      <w:r>
        <w:rPr/>
        <w:t>Simplified</w:t>
      </w:r>
      <w:r>
        <w:rPr>
          <w:spacing w:val="-1"/>
        </w:rPr>
        <w:t> </w:t>
      </w:r>
      <w:r>
        <w:rPr/>
        <w:t>scheme</w:t>
      </w:r>
      <w:r>
        <w:rPr>
          <w:spacing w:val="-1"/>
        </w:rPr>
        <w:t> </w:t>
      </w:r>
      <w:r>
        <w:rPr/>
        <w:t>of</w:t>
      </w:r>
      <w:r>
        <w:rPr>
          <w:spacing w:val="-2"/>
        </w:rPr>
        <w:t> </w:t>
      </w:r>
      <w:r>
        <w:rPr/>
        <w:t>folate</w:t>
      </w:r>
      <w:r>
        <w:rPr>
          <w:spacing w:val="-2"/>
        </w:rPr>
        <w:t> metabolism</w:t>
      </w:r>
      <w:r>
        <w:rPr/>
        <w:tab/>
      </w:r>
      <w:r>
        <w:rPr>
          <w:spacing w:val="-5"/>
        </w:rPr>
        <w:t>35</w:t>
      </w:r>
    </w:p>
    <w:p>
      <w:pPr>
        <w:pStyle w:val="BodyText"/>
        <w:spacing w:before="276"/>
        <w:ind w:left="260"/>
      </w:pPr>
      <w:r>
        <w:rPr/>
        <w:t>Fig.</w:t>
      </w:r>
      <w:r>
        <w:rPr>
          <w:spacing w:val="-1"/>
        </w:rPr>
        <w:t> </w:t>
      </w:r>
      <w:r>
        <w:rPr/>
        <w:t>4.1</w:t>
      </w:r>
      <w:r>
        <w:rPr>
          <w:spacing w:val="58"/>
        </w:rPr>
        <w:t> </w:t>
      </w:r>
      <w:r>
        <w:rPr/>
        <w:t>Prevalence</w:t>
      </w:r>
      <w:r>
        <w:rPr>
          <w:spacing w:val="-2"/>
        </w:rPr>
        <w:t> </w:t>
      </w:r>
      <w:r>
        <w:rPr/>
        <w:t>of</w:t>
      </w:r>
      <w:r>
        <w:rPr>
          <w:spacing w:val="1"/>
        </w:rPr>
        <w:t> </w:t>
      </w:r>
      <w:r>
        <w:rPr/>
        <w:t>reported</w:t>
      </w:r>
      <w:r>
        <w:rPr>
          <w:spacing w:val="-1"/>
        </w:rPr>
        <w:t> </w:t>
      </w:r>
      <w:r>
        <w:rPr/>
        <w:t>malaria</w:t>
      </w:r>
      <w:r>
        <w:rPr>
          <w:spacing w:val="-1"/>
        </w:rPr>
        <w:t> </w:t>
      </w:r>
      <w:r>
        <w:rPr/>
        <w:t>cases</w:t>
      </w:r>
      <w:r>
        <w:rPr>
          <w:spacing w:val="-1"/>
        </w:rPr>
        <w:t> </w:t>
      </w:r>
      <w:r>
        <w:rPr/>
        <w:t>in</w:t>
      </w:r>
      <w:r>
        <w:rPr>
          <w:spacing w:val="-1"/>
        </w:rPr>
        <w:t> </w:t>
      </w:r>
      <w:r>
        <w:rPr/>
        <w:t>UMYMH, Sabon-</w:t>
      </w:r>
      <w:r>
        <w:rPr>
          <w:spacing w:val="-4"/>
        </w:rPr>
        <w:t>Wuse</w:t>
      </w:r>
    </w:p>
    <w:p>
      <w:pPr>
        <w:pStyle w:val="BodyText"/>
        <w:tabs>
          <w:tab w:pos="8181" w:val="left" w:leader="none"/>
        </w:tabs>
        <w:spacing w:before="276"/>
        <w:ind w:left="980"/>
      </w:pPr>
      <w:r>
        <w:rPr/>
        <w:t>in 2011 and </w:t>
      </w:r>
      <w:r>
        <w:rPr>
          <w:spacing w:val="-4"/>
        </w:rPr>
        <w:t>2012</w:t>
      </w:r>
      <w:r>
        <w:rPr/>
        <w:tab/>
      </w:r>
      <w:r>
        <w:rPr>
          <w:spacing w:val="-5"/>
        </w:rPr>
        <w:t>54</w:t>
      </w:r>
    </w:p>
    <w:p>
      <w:pPr>
        <w:pStyle w:val="BodyText"/>
        <w:tabs>
          <w:tab w:pos="8181" w:val="left" w:leader="none"/>
        </w:tabs>
        <w:spacing w:before="276"/>
        <w:ind w:left="260"/>
      </w:pPr>
      <w:r>
        <w:rPr/>
        <w:t>Fig.</w:t>
      </w:r>
      <w:r>
        <w:rPr>
          <w:spacing w:val="-4"/>
        </w:rPr>
        <w:t> </w:t>
      </w:r>
      <w:r>
        <w:rPr/>
        <w:t>4.2:</w:t>
      </w:r>
      <w:r>
        <w:rPr>
          <w:spacing w:val="-1"/>
        </w:rPr>
        <w:t> </w:t>
      </w:r>
      <w:r>
        <w:rPr/>
        <w:t>Antimalarial</w:t>
      </w:r>
      <w:r>
        <w:rPr>
          <w:spacing w:val="-2"/>
        </w:rPr>
        <w:t> </w:t>
      </w:r>
      <w:r>
        <w:rPr/>
        <w:t>Drugs</w:t>
      </w:r>
      <w:r>
        <w:rPr>
          <w:spacing w:val="-1"/>
        </w:rPr>
        <w:t> </w:t>
      </w:r>
      <w:r>
        <w:rPr/>
        <w:t>prescribed</w:t>
      </w:r>
      <w:r>
        <w:rPr>
          <w:spacing w:val="-2"/>
        </w:rPr>
        <w:t> </w:t>
      </w:r>
      <w:r>
        <w:rPr/>
        <w:t>in</w:t>
      </w:r>
      <w:r>
        <w:rPr>
          <w:spacing w:val="1"/>
        </w:rPr>
        <w:t> </w:t>
      </w:r>
      <w:r>
        <w:rPr/>
        <w:t>UMYMH,</w:t>
      </w:r>
      <w:r>
        <w:rPr>
          <w:spacing w:val="-1"/>
        </w:rPr>
        <w:t> </w:t>
      </w:r>
      <w:r>
        <w:rPr/>
        <w:t>Sabon-</w:t>
      </w:r>
      <w:r>
        <w:rPr>
          <w:spacing w:val="-4"/>
        </w:rPr>
        <w:t>Wuse</w:t>
      </w:r>
      <w:r>
        <w:rPr/>
        <w:tab/>
      </w:r>
      <w:r>
        <w:rPr>
          <w:spacing w:val="-5"/>
        </w:rPr>
        <w:t>56</w:t>
      </w:r>
    </w:p>
    <w:p>
      <w:pPr>
        <w:pStyle w:val="BodyText"/>
      </w:pPr>
    </w:p>
    <w:p>
      <w:pPr>
        <w:pStyle w:val="BodyText"/>
        <w:tabs>
          <w:tab w:pos="8181" w:val="left" w:leader="none"/>
        </w:tabs>
        <w:ind w:left="260"/>
      </w:pPr>
      <w:r>
        <w:rPr/>
        <w:t>Fig.</w:t>
      </w:r>
      <w:r>
        <w:rPr>
          <w:spacing w:val="-1"/>
        </w:rPr>
        <w:t> </w:t>
      </w:r>
      <w:r>
        <w:rPr/>
        <w:t>4.3: Proportion</w:t>
      </w:r>
      <w:r>
        <w:rPr>
          <w:spacing w:val="-1"/>
        </w:rPr>
        <w:t> </w:t>
      </w:r>
      <w:r>
        <w:rPr/>
        <w:t>of</w:t>
      </w:r>
      <w:r>
        <w:rPr>
          <w:spacing w:val="-1"/>
        </w:rPr>
        <w:t> </w:t>
      </w:r>
      <w:r>
        <w:rPr/>
        <w:t>patient</w:t>
      </w:r>
      <w:r>
        <w:rPr>
          <w:spacing w:val="-1"/>
        </w:rPr>
        <w:t> </w:t>
      </w:r>
      <w:r>
        <w:rPr/>
        <w:t>with</w:t>
      </w:r>
      <w:r>
        <w:rPr>
          <w:spacing w:val="2"/>
        </w:rPr>
        <w:t> </w:t>
      </w:r>
      <w:r>
        <w:rPr>
          <w:i/>
        </w:rPr>
        <w:t>Plasmodium </w:t>
      </w:r>
      <w:r>
        <w:rPr>
          <w:spacing w:val="-2"/>
        </w:rPr>
        <w:t>species</w:t>
      </w:r>
      <w:r>
        <w:rPr/>
        <w:tab/>
      </w:r>
      <w:r>
        <w:rPr>
          <w:spacing w:val="-5"/>
        </w:rPr>
        <w:t>59</w:t>
      </w:r>
    </w:p>
    <w:p>
      <w:pPr>
        <w:pStyle w:val="BodyText"/>
      </w:pPr>
    </w:p>
    <w:p>
      <w:pPr>
        <w:tabs>
          <w:tab w:pos="8181" w:val="left" w:leader="none"/>
        </w:tabs>
        <w:spacing w:before="0"/>
        <w:ind w:left="260" w:right="0" w:firstLine="0"/>
        <w:jc w:val="left"/>
        <w:rPr>
          <w:sz w:val="24"/>
        </w:rPr>
      </w:pPr>
      <w:r>
        <w:rPr>
          <w:sz w:val="24"/>
        </w:rPr>
        <w:t>Fig.</w:t>
      </w:r>
      <w:r>
        <w:rPr>
          <w:spacing w:val="-1"/>
          <w:sz w:val="24"/>
        </w:rPr>
        <w:t> </w:t>
      </w:r>
      <w:r>
        <w:rPr>
          <w:sz w:val="24"/>
        </w:rPr>
        <w:t>4.4:</w:t>
      </w:r>
      <w:r>
        <w:rPr>
          <w:spacing w:val="-1"/>
          <w:sz w:val="24"/>
        </w:rPr>
        <w:t> </w:t>
      </w:r>
      <w:r>
        <w:rPr>
          <w:sz w:val="24"/>
        </w:rPr>
        <w:t>Variation</w:t>
      </w:r>
      <w:r>
        <w:rPr>
          <w:spacing w:val="-1"/>
          <w:sz w:val="24"/>
        </w:rPr>
        <w:t> </w:t>
      </w:r>
      <w:r>
        <w:rPr>
          <w:sz w:val="24"/>
        </w:rPr>
        <w:t>of</w:t>
      </w:r>
      <w:r>
        <w:rPr>
          <w:spacing w:val="-1"/>
          <w:sz w:val="24"/>
        </w:rPr>
        <w:t> </w:t>
      </w:r>
      <w:r>
        <w:rPr>
          <w:i/>
          <w:sz w:val="24"/>
        </w:rPr>
        <w:t>Plasmodium</w:t>
      </w:r>
      <w:r>
        <w:rPr>
          <w:i/>
          <w:spacing w:val="-1"/>
          <w:sz w:val="24"/>
        </w:rPr>
        <w:t> </w:t>
      </w:r>
      <w:r>
        <w:rPr>
          <w:sz w:val="24"/>
        </w:rPr>
        <w:t>species</w:t>
      </w:r>
      <w:r>
        <w:rPr>
          <w:spacing w:val="-1"/>
          <w:sz w:val="24"/>
        </w:rPr>
        <w:t> </w:t>
      </w:r>
      <w:r>
        <w:rPr>
          <w:sz w:val="24"/>
        </w:rPr>
        <w:t>with </w:t>
      </w:r>
      <w:r>
        <w:rPr>
          <w:spacing w:val="-5"/>
          <w:sz w:val="24"/>
        </w:rPr>
        <w:t>sex</w:t>
      </w:r>
      <w:r>
        <w:rPr>
          <w:sz w:val="24"/>
        </w:rPr>
        <w:tab/>
      </w:r>
      <w:r>
        <w:rPr>
          <w:spacing w:val="-5"/>
          <w:sz w:val="24"/>
        </w:rPr>
        <w:t>60</w:t>
      </w:r>
    </w:p>
    <w:p>
      <w:pPr>
        <w:pStyle w:val="BodyText"/>
      </w:pPr>
    </w:p>
    <w:p>
      <w:pPr>
        <w:pStyle w:val="BodyText"/>
        <w:tabs>
          <w:tab w:pos="8181" w:val="left" w:leader="none"/>
        </w:tabs>
        <w:ind w:left="260"/>
      </w:pPr>
      <w:r>
        <w:rPr/>
        <w:t>Fig.</w:t>
      </w:r>
      <w:r>
        <w:rPr>
          <w:spacing w:val="-1"/>
        </w:rPr>
        <w:t> </w:t>
      </w:r>
      <w:r>
        <w:rPr/>
        <w:t>4.5:</w:t>
      </w:r>
      <w:r>
        <w:rPr>
          <w:spacing w:val="-1"/>
        </w:rPr>
        <w:t> </w:t>
      </w:r>
      <w:r>
        <w:rPr/>
        <w:t>Proportion of</w:t>
      </w:r>
      <w:r>
        <w:rPr>
          <w:spacing w:val="-2"/>
        </w:rPr>
        <w:t> </w:t>
      </w:r>
      <w:r>
        <w:rPr/>
        <w:t>patient</w:t>
      </w:r>
      <w:r>
        <w:rPr>
          <w:spacing w:val="-1"/>
        </w:rPr>
        <w:t> </w:t>
      </w:r>
      <w:r>
        <w:rPr/>
        <w:t>with</w:t>
      </w:r>
      <w:r>
        <w:rPr>
          <w:spacing w:val="2"/>
        </w:rPr>
        <w:t> </w:t>
      </w:r>
      <w:r>
        <w:rPr>
          <w:i/>
        </w:rPr>
        <w:t>Plasmodium</w:t>
      </w:r>
      <w:r>
        <w:rPr>
          <w:i/>
          <w:spacing w:val="-1"/>
        </w:rPr>
        <w:t> </w:t>
      </w:r>
      <w:r>
        <w:rPr/>
        <w:t>species</w:t>
      </w:r>
      <w:r>
        <w:rPr>
          <w:spacing w:val="-1"/>
        </w:rPr>
        <w:t> </w:t>
      </w:r>
      <w:r>
        <w:rPr/>
        <w:t>with </w:t>
      </w:r>
      <w:r>
        <w:rPr>
          <w:spacing w:val="-5"/>
        </w:rPr>
        <w:t>age</w:t>
      </w:r>
      <w:r>
        <w:rPr/>
        <w:tab/>
      </w:r>
      <w:r>
        <w:rPr>
          <w:spacing w:val="-5"/>
        </w:rPr>
        <w:t>61</w:t>
      </w:r>
    </w:p>
    <w:p>
      <w:pPr>
        <w:spacing w:after="0"/>
        <w:sectPr>
          <w:pgSz w:w="11910" w:h="16840"/>
          <w:pgMar w:header="0" w:footer="1014" w:top="1340" w:bottom="1200" w:left="1180" w:right="580"/>
        </w:sectPr>
      </w:pPr>
    </w:p>
    <w:p>
      <w:pPr>
        <w:pStyle w:val="Heading1"/>
        <w:ind w:left="1391" w:right="1991"/>
      </w:pPr>
      <w:bookmarkStart w:name="_TOC_250040" w:id="8"/>
      <w:r>
        <w:rPr/>
        <w:t>LIST OF</w:t>
      </w:r>
      <w:r>
        <w:rPr>
          <w:spacing w:val="-3"/>
        </w:rPr>
        <w:t> </w:t>
      </w:r>
      <w:bookmarkEnd w:id="8"/>
      <w:r>
        <w:rPr>
          <w:spacing w:val="-2"/>
        </w:rPr>
        <w:t>APPENDICES</w:t>
      </w:r>
    </w:p>
    <w:p>
      <w:pPr>
        <w:pStyle w:val="BodyText"/>
        <w:tabs>
          <w:tab w:pos="8181" w:val="left" w:leader="none"/>
        </w:tabs>
        <w:spacing w:before="272"/>
        <w:ind w:left="2421"/>
      </w:pPr>
      <w:r>
        <w:rPr>
          <w:spacing w:val="-2"/>
        </w:rPr>
        <w:t>Title</w:t>
      </w:r>
      <w:r>
        <w:rPr/>
        <w:tab/>
      </w:r>
      <w:r>
        <w:rPr>
          <w:spacing w:val="-4"/>
        </w:rPr>
        <w:t>Page</w:t>
      </w:r>
    </w:p>
    <w:p>
      <w:pPr>
        <w:pStyle w:val="BodyText"/>
        <w:tabs>
          <w:tab w:pos="8421" w:val="right" w:leader="none"/>
        </w:tabs>
        <w:spacing w:before="276"/>
        <w:ind w:left="260"/>
      </w:pPr>
      <w:r>
        <w:rPr/>
        <w:t>Appendix I:</w:t>
      </w:r>
      <w:r>
        <w:rPr>
          <w:spacing w:val="-3"/>
        </w:rPr>
        <w:t> </w:t>
      </w:r>
      <w:r>
        <w:rPr/>
        <w:t>Ethical</w:t>
      </w:r>
      <w:r>
        <w:rPr>
          <w:spacing w:val="-3"/>
        </w:rPr>
        <w:t> </w:t>
      </w:r>
      <w:r>
        <w:rPr>
          <w:spacing w:val="-2"/>
        </w:rPr>
        <w:t>Approval</w:t>
      </w:r>
      <w:r>
        <w:rPr/>
        <w:tab/>
      </w:r>
      <w:r>
        <w:rPr>
          <w:spacing w:val="-5"/>
        </w:rPr>
        <w:t>93</w:t>
      </w:r>
    </w:p>
    <w:p>
      <w:pPr>
        <w:pStyle w:val="BodyText"/>
        <w:tabs>
          <w:tab w:pos="8421" w:val="right" w:leader="none"/>
        </w:tabs>
        <w:spacing w:before="276"/>
        <w:ind w:left="260"/>
      </w:pPr>
      <w:r>
        <w:rPr/>
        <w:t>Appendix</w:t>
      </w:r>
      <w:r>
        <w:rPr>
          <w:spacing w:val="1"/>
        </w:rPr>
        <w:t> </w:t>
      </w:r>
      <w:r>
        <w:rPr/>
        <w:t>II:</w:t>
      </w:r>
      <w:r>
        <w:rPr>
          <w:spacing w:val="-2"/>
        </w:rPr>
        <w:t> </w:t>
      </w:r>
      <w:r>
        <w:rPr/>
        <w:t>Review</w:t>
      </w:r>
      <w:r>
        <w:rPr>
          <w:spacing w:val="-3"/>
        </w:rPr>
        <w:t> </w:t>
      </w:r>
      <w:r>
        <w:rPr/>
        <w:t>of</w:t>
      </w:r>
      <w:r>
        <w:rPr>
          <w:spacing w:val="-1"/>
        </w:rPr>
        <w:t> </w:t>
      </w:r>
      <w:r>
        <w:rPr/>
        <w:t>Malaria</w:t>
      </w:r>
      <w:r>
        <w:rPr>
          <w:spacing w:val="-4"/>
        </w:rPr>
        <w:t> </w:t>
      </w:r>
      <w:r>
        <w:rPr/>
        <w:t>Treatment</w:t>
      </w:r>
      <w:r>
        <w:rPr>
          <w:spacing w:val="-2"/>
        </w:rPr>
        <w:t> Records</w:t>
      </w:r>
      <w:r>
        <w:rPr/>
        <w:tab/>
      </w:r>
      <w:r>
        <w:rPr>
          <w:spacing w:val="-5"/>
        </w:rPr>
        <w:t>94</w:t>
      </w:r>
    </w:p>
    <w:p>
      <w:pPr>
        <w:pStyle w:val="BodyText"/>
        <w:tabs>
          <w:tab w:pos="8421" w:val="right" w:leader="none"/>
        </w:tabs>
        <w:spacing w:before="276"/>
        <w:ind w:left="260"/>
      </w:pPr>
      <w:r>
        <w:rPr/>
        <w:t>Appendix</w:t>
      </w:r>
      <w:r>
        <w:rPr>
          <w:spacing w:val="-1"/>
        </w:rPr>
        <w:t> </w:t>
      </w:r>
      <w:r>
        <w:rPr/>
        <w:t>III:</w:t>
      </w:r>
      <w:r>
        <w:rPr>
          <w:spacing w:val="-3"/>
        </w:rPr>
        <w:t> </w:t>
      </w:r>
      <w:r>
        <w:rPr/>
        <w:t>Preparation</w:t>
      </w:r>
      <w:r>
        <w:rPr>
          <w:spacing w:val="-3"/>
        </w:rPr>
        <w:t> </w:t>
      </w:r>
      <w:r>
        <w:rPr/>
        <w:t>of</w:t>
      </w:r>
      <w:r>
        <w:rPr>
          <w:spacing w:val="-3"/>
        </w:rPr>
        <w:t> </w:t>
      </w:r>
      <w:r>
        <w:rPr>
          <w:spacing w:val="-2"/>
        </w:rPr>
        <w:t>Solutions</w:t>
      </w:r>
      <w:r>
        <w:rPr/>
        <w:tab/>
      </w:r>
      <w:r>
        <w:rPr>
          <w:spacing w:val="-5"/>
        </w:rPr>
        <w:t>95</w:t>
      </w:r>
    </w:p>
    <w:p>
      <w:pPr>
        <w:pStyle w:val="BodyText"/>
        <w:tabs>
          <w:tab w:pos="8421" w:val="right" w:leader="none"/>
        </w:tabs>
        <w:spacing w:before="276"/>
        <w:ind w:left="260"/>
      </w:pPr>
      <w:r>
        <w:rPr/>
        <w:t>Appendix</w:t>
      </w:r>
      <w:r>
        <w:rPr>
          <w:spacing w:val="-2"/>
        </w:rPr>
        <w:t> </w:t>
      </w:r>
      <w:r>
        <w:rPr/>
        <w:t>IV:</w:t>
      </w:r>
      <w:r>
        <w:rPr>
          <w:spacing w:val="-1"/>
        </w:rPr>
        <w:t> </w:t>
      </w:r>
      <w:r>
        <w:rPr/>
        <w:t>Layout</w:t>
      </w:r>
      <w:r>
        <w:rPr>
          <w:spacing w:val="-3"/>
        </w:rPr>
        <w:t> </w:t>
      </w:r>
      <w:r>
        <w:rPr/>
        <w:t>of</w:t>
      </w:r>
      <w:r>
        <w:rPr>
          <w:spacing w:val="-2"/>
        </w:rPr>
        <w:t> </w:t>
      </w:r>
      <w:r>
        <w:rPr/>
        <w:t>micro-culture</w:t>
      </w:r>
      <w:r>
        <w:rPr>
          <w:spacing w:val="-4"/>
        </w:rPr>
        <w:t> </w:t>
      </w:r>
      <w:r>
        <w:rPr>
          <w:spacing w:val="-2"/>
        </w:rPr>
        <w:t>plate</w:t>
      </w:r>
      <w:r>
        <w:rPr/>
        <w:tab/>
      </w:r>
      <w:r>
        <w:rPr>
          <w:spacing w:val="-5"/>
        </w:rPr>
        <w:t>96</w:t>
      </w:r>
    </w:p>
    <w:p>
      <w:pPr>
        <w:pStyle w:val="BodyText"/>
        <w:tabs>
          <w:tab w:pos="8421" w:val="right" w:leader="none"/>
        </w:tabs>
        <w:spacing w:before="276"/>
        <w:ind w:left="260"/>
      </w:pPr>
      <w:r>
        <w:rPr/>
        <w:t>Appendix</w:t>
      </w:r>
      <w:r>
        <w:rPr>
          <w:spacing w:val="1"/>
        </w:rPr>
        <w:t> </w:t>
      </w:r>
      <w:r>
        <w:rPr/>
        <w:t>V:</w:t>
      </w:r>
      <w:r>
        <w:rPr>
          <w:spacing w:val="-1"/>
        </w:rPr>
        <w:t> </w:t>
      </w:r>
      <w:r>
        <w:rPr/>
        <w:t>Buffer AW1,</w:t>
      </w:r>
      <w:r>
        <w:rPr>
          <w:spacing w:val="-1"/>
        </w:rPr>
        <w:t> </w:t>
      </w:r>
      <w:r>
        <w:rPr/>
        <w:t>AW2,</w:t>
      </w:r>
      <w:r>
        <w:rPr>
          <w:spacing w:val="-1"/>
        </w:rPr>
        <w:t> </w:t>
      </w:r>
      <w:r>
        <w:rPr/>
        <w:t>AL</w:t>
      </w:r>
      <w:r>
        <w:rPr>
          <w:spacing w:val="-7"/>
        </w:rPr>
        <w:t> </w:t>
      </w:r>
      <w:r>
        <w:rPr/>
        <w:t>and</w:t>
      </w:r>
      <w:r>
        <w:rPr>
          <w:spacing w:val="1"/>
        </w:rPr>
        <w:t> </w:t>
      </w:r>
      <w:r>
        <w:rPr/>
        <w:t>AE </w:t>
      </w:r>
      <w:r>
        <w:rPr>
          <w:spacing w:val="-2"/>
        </w:rPr>
        <w:t>Solutions</w:t>
      </w:r>
      <w:r>
        <w:rPr/>
        <w:tab/>
      </w:r>
      <w:r>
        <w:rPr>
          <w:spacing w:val="-5"/>
        </w:rPr>
        <w:t>97</w:t>
      </w:r>
    </w:p>
    <w:p>
      <w:pPr>
        <w:pStyle w:val="BodyText"/>
        <w:tabs>
          <w:tab w:pos="8421" w:val="right" w:leader="none"/>
        </w:tabs>
        <w:spacing w:before="276"/>
        <w:ind w:left="260"/>
      </w:pPr>
      <w:r>
        <w:rPr/>
        <w:t>Appendix</w:t>
      </w:r>
      <w:r>
        <w:rPr>
          <w:spacing w:val="-1"/>
        </w:rPr>
        <w:t> </w:t>
      </w:r>
      <w:r>
        <w:rPr/>
        <w:t>VI:</w:t>
      </w:r>
      <w:r>
        <w:rPr>
          <w:spacing w:val="-2"/>
        </w:rPr>
        <w:t> </w:t>
      </w:r>
      <w:r>
        <w:rPr/>
        <w:t>Schizont</w:t>
      </w:r>
      <w:r>
        <w:rPr>
          <w:spacing w:val="-2"/>
        </w:rPr>
        <w:t> </w:t>
      </w:r>
      <w:r>
        <w:rPr/>
        <w:t>Maturation</w:t>
      </w:r>
      <w:r>
        <w:rPr>
          <w:spacing w:val="-2"/>
        </w:rPr>
        <w:t> Counts</w:t>
      </w:r>
      <w:r>
        <w:rPr/>
        <w:tab/>
      </w:r>
      <w:r>
        <w:rPr>
          <w:spacing w:val="-5"/>
        </w:rPr>
        <w:t>98</w:t>
      </w:r>
    </w:p>
    <w:p>
      <w:pPr>
        <w:pStyle w:val="BodyText"/>
        <w:tabs>
          <w:tab w:pos="8541" w:val="right" w:leader="none"/>
        </w:tabs>
        <w:spacing w:before="276"/>
        <w:ind w:left="260"/>
      </w:pPr>
      <w:r>
        <w:rPr/>
        <w:t>Appendix</w:t>
      </w:r>
      <w:r>
        <w:rPr>
          <w:spacing w:val="-2"/>
        </w:rPr>
        <w:t> </w:t>
      </w:r>
      <w:r>
        <w:rPr/>
        <w:t>VII:</w:t>
      </w:r>
      <w:r>
        <w:rPr>
          <w:spacing w:val="-1"/>
        </w:rPr>
        <w:t> </w:t>
      </w:r>
      <w:r>
        <w:rPr/>
        <w:t>Probit</w:t>
      </w:r>
      <w:r>
        <w:rPr>
          <w:spacing w:val="-1"/>
        </w:rPr>
        <w:t> </w:t>
      </w:r>
      <w:r>
        <w:rPr/>
        <w:t>of SMI</w:t>
      </w:r>
      <w:r>
        <w:rPr>
          <w:spacing w:val="-7"/>
        </w:rPr>
        <w:t> </w:t>
      </w:r>
      <w:r>
        <w:rPr/>
        <w:t>Versus Log</w:t>
      </w:r>
      <w:r>
        <w:rPr>
          <w:spacing w:val="-4"/>
        </w:rPr>
        <w:t> </w:t>
      </w:r>
      <w:r>
        <w:rPr/>
        <w:t>Concentration</w:t>
      </w:r>
      <w:r>
        <w:rPr>
          <w:spacing w:val="-1"/>
        </w:rPr>
        <w:t> </w:t>
      </w:r>
      <w:r>
        <w:rPr/>
        <w:t>for</w:t>
      </w:r>
      <w:r>
        <w:rPr>
          <w:spacing w:val="-1"/>
        </w:rPr>
        <w:t> </w:t>
      </w:r>
      <w:r>
        <w:rPr>
          <w:spacing w:val="-2"/>
        </w:rPr>
        <w:t>Chloroquine</w:t>
      </w:r>
      <w:r>
        <w:rPr/>
        <w:tab/>
      </w:r>
      <w:r>
        <w:rPr>
          <w:spacing w:val="-5"/>
        </w:rPr>
        <w:t>102</w:t>
      </w:r>
    </w:p>
    <w:p>
      <w:pPr>
        <w:pStyle w:val="BodyText"/>
        <w:tabs>
          <w:tab w:pos="8541" w:val="right" w:leader="none"/>
        </w:tabs>
        <w:spacing w:before="276"/>
        <w:ind w:left="260"/>
      </w:pPr>
      <w:r>
        <w:rPr/>
        <w:t>Appendix</w:t>
      </w:r>
      <w:r>
        <w:rPr>
          <w:spacing w:val="-2"/>
        </w:rPr>
        <w:t> </w:t>
      </w:r>
      <w:r>
        <w:rPr/>
        <w:t>VIII:</w:t>
      </w:r>
      <w:r>
        <w:rPr>
          <w:spacing w:val="-1"/>
        </w:rPr>
        <w:t> </w:t>
      </w:r>
      <w:r>
        <w:rPr/>
        <w:t>Plate</w:t>
      </w:r>
      <w:r>
        <w:rPr>
          <w:spacing w:val="-2"/>
        </w:rPr>
        <w:t> </w:t>
      </w:r>
      <w:r>
        <w:rPr/>
        <w:t>of Molecular</w:t>
      </w:r>
      <w:r>
        <w:rPr>
          <w:spacing w:val="-3"/>
        </w:rPr>
        <w:t> </w:t>
      </w:r>
      <w:r>
        <w:rPr>
          <w:spacing w:val="-2"/>
        </w:rPr>
        <w:t>Analysis</w:t>
      </w:r>
      <w:r>
        <w:rPr/>
        <w:tab/>
      </w:r>
      <w:r>
        <w:rPr>
          <w:spacing w:val="-5"/>
        </w:rPr>
        <w:t>103</w:t>
      </w:r>
    </w:p>
    <w:p>
      <w:pPr>
        <w:spacing w:after="0"/>
        <w:sectPr>
          <w:pgSz w:w="11910" w:h="16840"/>
          <w:pgMar w:header="0" w:footer="1014" w:top="1340" w:bottom="1200" w:left="1180" w:right="580"/>
        </w:sectPr>
      </w:pPr>
    </w:p>
    <w:p>
      <w:pPr>
        <w:pStyle w:val="Heading1"/>
        <w:ind w:left="157" w:right="751"/>
      </w:pPr>
      <w:bookmarkStart w:name="_TOC_250039" w:id="9"/>
      <w:bookmarkEnd w:id="9"/>
      <w:r>
        <w:rPr>
          <w:spacing w:val="-2"/>
        </w:rPr>
        <w:t>ABBREVIATIONS</w:t>
      </w:r>
    </w:p>
    <w:p>
      <w:pPr>
        <w:pStyle w:val="BodyText"/>
        <w:tabs>
          <w:tab w:pos="2420" w:val="left" w:leader="none"/>
        </w:tabs>
        <w:spacing w:before="272"/>
        <w:ind w:left="260"/>
      </w:pPr>
      <w:r>
        <w:rPr>
          <w:spacing w:val="-5"/>
        </w:rPr>
        <w:t>ACT</w:t>
      </w:r>
      <w:r>
        <w:rPr/>
        <w:tab/>
        <w:t>Artemesinin</w:t>
      </w:r>
      <w:r>
        <w:rPr>
          <w:spacing w:val="-4"/>
        </w:rPr>
        <w:t> </w:t>
      </w:r>
      <w:r>
        <w:rPr/>
        <w:t>Combination</w:t>
      </w:r>
      <w:r>
        <w:rPr>
          <w:spacing w:val="-1"/>
        </w:rPr>
        <w:t> </w:t>
      </w:r>
      <w:r>
        <w:rPr>
          <w:spacing w:val="-2"/>
        </w:rPr>
        <w:t>Therapy</w:t>
      </w:r>
    </w:p>
    <w:p>
      <w:pPr>
        <w:pStyle w:val="BodyText"/>
      </w:pPr>
    </w:p>
    <w:p>
      <w:pPr>
        <w:pStyle w:val="BodyText"/>
        <w:tabs>
          <w:tab w:pos="2420" w:val="left" w:leader="none"/>
        </w:tabs>
        <w:ind w:left="260"/>
      </w:pPr>
      <w:r>
        <w:rPr>
          <w:spacing w:val="-5"/>
        </w:rPr>
        <w:t>CDC</w:t>
      </w:r>
      <w:r>
        <w:rPr/>
        <w:tab/>
        <w:t>Centre</w:t>
      </w:r>
      <w:r>
        <w:rPr>
          <w:spacing w:val="-5"/>
        </w:rPr>
        <w:t> </w:t>
      </w:r>
      <w:r>
        <w:rPr/>
        <w:t>for</w:t>
      </w:r>
      <w:r>
        <w:rPr>
          <w:spacing w:val="-1"/>
        </w:rPr>
        <w:t> </w:t>
      </w:r>
      <w:r>
        <w:rPr/>
        <w:t>Disease</w:t>
      </w:r>
      <w:r>
        <w:rPr>
          <w:spacing w:val="-1"/>
        </w:rPr>
        <w:t> </w:t>
      </w:r>
      <w:r>
        <w:rPr/>
        <w:t>Control and </w:t>
      </w:r>
      <w:r>
        <w:rPr>
          <w:spacing w:val="-2"/>
        </w:rPr>
        <w:t>Prevention</w:t>
      </w:r>
    </w:p>
    <w:p>
      <w:pPr>
        <w:pStyle w:val="BodyText"/>
      </w:pPr>
    </w:p>
    <w:p>
      <w:pPr>
        <w:pStyle w:val="BodyText"/>
        <w:tabs>
          <w:tab w:pos="2420" w:val="left" w:leader="none"/>
        </w:tabs>
        <w:ind w:left="260"/>
      </w:pPr>
      <w:r>
        <w:rPr>
          <w:spacing w:val="-5"/>
        </w:rPr>
        <w:t>IC</w:t>
      </w:r>
      <w:r>
        <w:rPr/>
        <w:tab/>
        <w:t>Inhibitory</w:t>
      </w:r>
      <w:r>
        <w:rPr>
          <w:spacing w:val="-5"/>
        </w:rPr>
        <w:t> </w:t>
      </w:r>
      <w:r>
        <w:rPr>
          <w:spacing w:val="-2"/>
        </w:rPr>
        <w:t>concentration</w:t>
      </w:r>
    </w:p>
    <w:p>
      <w:pPr>
        <w:pStyle w:val="BodyText"/>
      </w:pPr>
    </w:p>
    <w:p>
      <w:pPr>
        <w:pStyle w:val="BodyText"/>
        <w:tabs>
          <w:tab w:pos="2420" w:val="left" w:leader="none"/>
        </w:tabs>
        <w:ind w:left="260"/>
      </w:pPr>
      <w:r>
        <w:rPr>
          <w:spacing w:val="-4"/>
        </w:rPr>
        <w:t>MDGs</w:t>
      </w:r>
      <w:r>
        <w:rPr/>
        <w:tab/>
        <w:t>Millennium</w:t>
      </w:r>
      <w:r>
        <w:rPr>
          <w:spacing w:val="-3"/>
        </w:rPr>
        <w:t> </w:t>
      </w:r>
      <w:r>
        <w:rPr/>
        <w:t>Development</w:t>
      </w:r>
      <w:r>
        <w:rPr>
          <w:spacing w:val="-2"/>
        </w:rPr>
        <w:t> Goals</w:t>
      </w:r>
    </w:p>
    <w:p>
      <w:pPr>
        <w:pStyle w:val="BodyText"/>
      </w:pPr>
    </w:p>
    <w:p>
      <w:pPr>
        <w:pStyle w:val="BodyText"/>
        <w:tabs>
          <w:tab w:pos="2420" w:val="left" w:leader="none"/>
        </w:tabs>
        <w:spacing w:line="480" w:lineRule="auto"/>
        <w:ind w:left="260" w:right="1769"/>
      </w:pPr>
      <w:r>
        <w:rPr>
          <w:spacing w:val="-2"/>
        </w:rPr>
        <w:t>NEEDS</w:t>
      </w:r>
      <w:r>
        <w:rPr/>
        <w:tab/>
        <w:t>National</w:t>
      </w:r>
      <w:r>
        <w:rPr>
          <w:spacing w:val="-7"/>
        </w:rPr>
        <w:t> </w:t>
      </w:r>
      <w:r>
        <w:rPr/>
        <w:t>Economic</w:t>
      </w:r>
      <w:r>
        <w:rPr>
          <w:spacing w:val="-8"/>
        </w:rPr>
        <w:t> </w:t>
      </w:r>
      <w:r>
        <w:rPr/>
        <w:t>Empowerment</w:t>
      </w:r>
      <w:r>
        <w:rPr>
          <w:spacing w:val="-7"/>
        </w:rPr>
        <w:t> </w:t>
      </w:r>
      <w:r>
        <w:rPr/>
        <w:t>and</w:t>
      </w:r>
      <w:r>
        <w:rPr>
          <w:spacing w:val="-4"/>
        </w:rPr>
        <w:t> </w:t>
      </w:r>
      <w:r>
        <w:rPr/>
        <w:t>Development</w:t>
      </w:r>
      <w:r>
        <w:rPr>
          <w:spacing w:val="-7"/>
        </w:rPr>
        <w:t> </w:t>
      </w:r>
      <w:r>
        <w:rPr/>
        <w:t>Strategy </w:t>
      </w:r>
      <w:r>
        <w:rPr>
          <w:spacing w:val="-4"/>
        </w:rPr>
        <w:t>PPL</w:t>
      </w:r>
      <w:r>
        <w:rPr/>
        <w:tab/>
        <w:t>Peak plasma level</w:t>
      </w:r>
    </w:p>
    <w:p>
      <w:pPr>
        <w:tabs>
          <w:tab w:pos="2420" w:val="left" w:leader="none"/>
        </w:tabs>
        <w:spacing w:before="1"/>
        <w:ind w:left="260" w:right="0" w:firstLine="0"/>
        <w:jc w:val="left"/>
        <w:rPr>
          <w:i/>
          <w:sz w:val="24"/>
        </w:rPr>
      </w:pPr>
      <w:r>
        <w:rPr>
          <w:i/>
          <w:sz w:val="24"/>
        </w:rPr>
        <w:t>P. </w:t>
      </w:r>
      <w:r>
        <w:rPr>
          <w:i/>
          <w:spacing w:val="-2"/>
          <w:sz w:val="24"/>
        </w:rPr>
        <w:t>falciparum</w:t>
      </w:r>
      <w:r>
        <w:rPr>
          <w:i/>
          <w:sz w:val="24"/>
        </w:rPr>
        <w:tab/>
        <w:t>Plasmodium </w:t>
      </w:r>
      <w:r>
        <w:rPr>
          <w:i/>
          <w:spacing w:val="-2"/>
          <w:sz w:val="24"/>
        </w:rPr>
        <w:t>falciparum</w:t>
      </w:r>
    </w:p>
    <w:p>
      <w:pPr>
        <w:tabs>
          <w:tab w:pos="2420" w:val="left" w:leader="none"/>
        </w:tabs>
        <w:spacing w:before="276"/>
        <w:ind w:left="260" w:right="0" w:firstLine="0"/>
        <w:jc w:val="left"/>
        <w:rPr>
          <w:sz w:val="24"/>
        </w:rPr>
      </w:pPr>
      <w:r>
        <w:rPr>
          <w:i/>
          <w:spacing w:val="-2"/>
          <w:sz w:val="24"/>
        </w:rPr>
        <w:t>Pf</w:t>
      </w:r>
      <w:r>
        <w:rPr>
          <w:spacing w:val="-2"/>
          <w:sz w:val="24"/>
        </w:rPr>
        <w:t>ATPase</w:t>
      </w:r>
      <w:r>
        <w:rPr>
          <w:sz w:val="24"/>
        </w:rPr>
        <w:tab/>
      </w:r>
      <w:r>
        <w:rPr>
          <w:i/>
          <w:sz w:val="24"/>
        </w:rPr>
        <w:t>Plasmodium</w:t>
      </w:r>
      <w:r>
        <w:rPr>
          <w:i/>
          <w:spacing w:val="-3"/>
          <w:sz w:val="24"/>
        </w:rPr>
        <w:t> </w:t>
      </w:r>
      <w:r>
        <w:rPr>
          <w:i/>
          <w:sz w:val="24"/>
        </w:rPr>
        <w:t>falciparum</w:t>
      </w:r>
      <w:r>
        <w:rPr>
          <w:i/>
          <w:spacing w:val="-2"/>
          <w:sz w:val="24"/>
        </w:rPr>
        <w:t> </w:t>
      </w:r>
      <w:r>
        <w:rPr>
          <w:sz w:val="24"/>
        </w:rPr>
        <w:t>Adenosine</w:t>
      </w:r>
      <w:r>
        <w:rPr>
          <w:spacing w:val="-1"/>
          <w:sz w:val="24"/>
        </w:rPr>
        <w:t> </w:t>
      </w:r>
      <w:r>
        <w:rPr>
          <w:spacing w:val="-2"/>
          <w:sz w:val="24"/>
        </w:rPr>
        <w:t>Triphosphatase</w:t>
      </w:r>
    </w:p>
    <w:p>
      <w:pPr>
        <w:tabs>
          <w:tab w:pos="2420" w:val="left" w:leader="none"/>
        </w:tabs>
        <w:spacing w:before="276"/>
        <w:ind w:left="260" w:right="0" w:firstLine="0"/>
        <w:jc w:val="left"/>
        <w:rPr>
          <w:sz w:val="24"/>
        </w:rPr>
      </w:pPr>
      <w:r>
        <w:rPr>
          <w:i/>
          <w:spacing w:val="-2"/>
          <w:sz w:val="24"/>
        </w:rPr>
        <w:t>Pfcrt</w:t>
      </w:r>
      <w:r>
        <w:rPr>
          <w:i/>
          <w:sz w:val="24"/>
        </w:rPr>
        <w:tab/>
        <w:t>Plasmodium</w:t>
      </w:r>
      <w:r>
        <w:rPr>
          <w:i/>
          <w:spacing w:val="-3"/>
          <w:sz w:val="24"/>
        </w:rPr>
        <w:t> </w:t>
      </w:r>
      <w:r>
        <w:rPr>
          <w:i/>
          <w:sz w:val="24"/>
        </w:rPr>
        <w:t>falciparum</w:t>
      </w:r>
      <w:r>
        <w:rPr>
          <w:i/>
          <w:spacing w:val="-1"/>
          <w:sz w:val="24"/>
        </w:rPr>
        <w:t> </w:t>
      </w:r>
      <w:r>
        <w:rPr>
          <w:sz w:val="24"/>
        </w:rPr>
        <w:t>Chloroquine</w:t>
      </w:r>
      <w:r>
        <w:rPr>
          <w:spacing w:val="-2"/>
          <w:sz w:val="24"/>
        </w:rPr>
        <w:t> </w:t>
      </w:r>
      <w:r>
        <w:rPr>
          <w:sz w:val="24"/>
        </w:rPr>
        <w:t>resistant </w:t>
      </w:r>
      <w:r>
        <w:rPr>
          <w:spacing w:val="-4"/>
          <w:sz w:val="24"/>
        </w:rPr>
        <w:t>Gene</w:t>
      </w:r>
    </w:p>
    <w:p>
      <w:pPr>
        <w:tabs>
          <w:tab w:pos="2420" w:val="left" w:leader="none"/>
        </w:tabs>
        <w:spacing w:before="276"/>
        <w:ind w:left="260" w:right="0" w:firstLine="0"/>
        <w:jc w:val="left"/>
        <w:rPr>
          <w:sz w:val="24"/>
        </w:rPr>
      </w:pPr>
      <w:r>
        <w:rPr>
          <w:i/>
          <w:spacing w:val="-2"/>
          <w:sz w:val="24"/>
        </w:rPr>
        <w:t>Pfmdr1</w:t>
      </w:r>
      <w:r>
        <w:rPr>
          <w:i/>
          <w:sz w:val="24"/>
        </w:rPr>
        <w:tab/>
        <w:t>Plasmodium</w:t>
      </w:r>
      <w:r>
        <w:rPr>
          <w:i/>
          <w:spacing w:val="-2"/>
          <w:sz w:val="24"/>
        </w:rPr>
        <w:t> </w:t>
      </w:r>
      <w:r>
        <w:rPr>
          <w:i/>
          <w:sz w:val="24"/>
        </w:rPr>
        <w:t>falciparum</w:t>
      </w:r>
      <w:r>
        <w:rPr>
          <w:i/>
          <w:spacing w:val="-1"/>
          <w:sz w:val="24"/>
        </w:rPr>
        <w:t> </w:t>
      </w:r>
      <w:r>
        <w:rPr>
          <w:sz w:val="24"/>
        </w:rPr>
        <w:t>multidrug</w:t>
      </w:r>
      <w:r>
        <w:rPr>
          <w:spacing w:val="-3"/>
          <w:sz w:val="24"/>
        </w:rPr>
        <w:t> </w:t>
      </w:r>
      <w:r>
        <w:rPr>
          <w:sz w:val="24"/>
        </w:rPr>
        <w:t>resistant</w:t>
      </w:r>
      <w:r>
        <w:rPr>
          <w:spacing w:val="-1"/>
          <w:sz w:val="24"/>
        </w:rPr>
        <w:t> </w:t>
      </w:r>
      <w:r>
        <w:rPr>
          <w:spacing w:val="-4"/>
          <w:sz w:val="24"/>
        </w:rPr>
        <w:t>Gene</w:t>
      </w:r>
    </w:p>
    <w:p>
      <w:pPr>
        <w:tabs>
          <w:tab w:pos="2420" w:val="left" w:leader="none"/>
        </w:tabs>
        <w:spacing w:before="276"/>
        <w:ind w:left="260" w:right="0" w:firstLine="0"/>
        <w:jc w:val="left"/>
        <w:rPr>
          <w:i/>
          <w:sz w:val="24"/>
        </w:rPr>
      </w:pPr>
      <w:r>
        <w:rPr>
          <w:i/>
          <w:sz w:val="24"/>
        </w:rPr>
        <w:t>P.</w:t>
      </w:r>
      <w:r>
        <w:rPr>
          <w:i/>
          <w:spacing w:val="-1"/>
          <w:sz w:val="24"/>
        </w:rPr>
        <w:t> </w:t>
      </w:r>
      <w:r>
        <w:rPr>
          <w:i/>
          <w:spacing w:val="-2"/>
          <w:sz w:val="24"/>
        </w:rPr>
        <w:t>knowlesi</w:t>
      </w:r>
      <w:r>
        <w:rPr>
          <w:i/>
          <w:sz w:val="24"/>
        </w:rPr>
        <w:tab/>
        <w:t>Plasmodium </w:t>
      </w:r>
      <w:r>
        <w:rPr>
          <w:i/>
          <w:spacing w:val="-2"/>
          <w:sz w:val="24"/>
        </w:rPr>
        <w:t>knowlesi</w:t>
      </w:r>
    </w:p>
    <w:p>
      <w:pPr>
        <w:pStyle w:val="BodyText"/>
        <w:rPr>
          <w:i/>
        </w:rPr>
      </w:pPr>
    </w:p>
    <w:p>
      <w:pPr>
        <w:tabs>
          <w:tab w:pos="2420" w:val="left" w:leader="none"/>
        </w:tabs>
        <w:spacing w:before="0"/>
        <w:ind w:left="260" w:right="0" w:firstLine="0"/>
        <w:jc w:val="left"/>
        <w:rPr>
          <w:i/>
          <w:sz w:val="24"/>
        </w:rPr>
      </w:pPr>
      <w:r>
        <w:rPr>
          <w:i/>
          <w:sz w:val="24"/>
        </w:rPr>
        <w:t>P. </w:t>
      </w:r>
      <w:r>
        <w:rPr>
          <w:i/>
          <w:spacing w:val="-2"/>
          <w:sz w:val="24"/>
        </w:rPr>
        <w:t>malariae</w:t>
      </w:r>
      <w:r>
        <w:rPr>
          <w:i/>
          <w:sz w:val="24"/>
        </w:rPr>
        <w:tab/>
        <w:t>Plasmodium </w:t>
      </w:r>
      <w:r>
        <w:rPr>
          <w:i/>
          <w:spacing w:val="-2"/>
          <w:sz w:val="24"/>
        </w:rPr>
        <w:t>malariae</w:t>
      </w:r>
    </w:p>
    <w:p>
      <w:pPr>
        <w:pStyle w:val="BodyText"/>
        <w:rPr>
          <w:i/>
        </w:rPr>
      </w:pPr>
    </w:p>
    <w:p>
      <w:pPr>
        <w:tabs>
          <w:tab w:pos="2420" w:val="left" w:leader="none"/>
        </w:tabs>
        <w:spacing w:before="0"/>
        <w:ind w:left="260" w:right="0" w:firstLine="0"/>
        <w:jc w:val="left"/>
        <w:rPr>
          <w:i/>
          <w:sz w:val="24"/>
        </w:rPr>
      </w:pPr>
      <w:r>
        <w:rPr>
          <w:i/>
          <w:sz w:val="24"/>
        </w:rPr>
        <w:t>P. </w:t>
      </w:r>
      <w:r>
        <w:rPr>
          <w:i/>
          <w:spacing w:val="-2"/>
          <w:sz w:val="24"/>
        </w:rPr>
        <w:t>ovale</w:t>
      </w:r>
      <w:r>
        <w:rPr>
          <w:i/>
          <w:sz w:val="24"/>
        </w:rPr>
        <w:tab/>
        <w:t>Plasmodium </w:t>
      </w:r>
      <w:r>
        <w:rPr>
          <w:i/>
          <w:spacing w:val="-2"/>
          <w:sz w:val="24"/>
        </w:rPr>
        <w:t>ovale</w:t>
      </w:r>
    </w:p>
    <w:p>
      <w:pPr>
        <w:pStyle w:val="BodyText"/>
        <w:rPr>
          <w:i/>
        </w:rPr>
      </w:pPr>
    </w:p>
    <w:p>
      <w:pPr>
        <w:tabs>
          <w:tab w:pos="2420" w:val="left" w:leader="none"/>
        </w:tabs>
        <w:spacing w:before="0"/>
        <w:ind w:left="260" w:right="0" w:firstLine="0"/>
        <w:jc w:val="left"/>
        <w:rPr>
          <w:i/>
          <w:sz w:val="24"/>
        </w:rPr>
      </w:pPr>
      <w:r>
        <w:rPr>
          <w:i/>
          <w:sz w:val="24"/>
        </w:rPr>
        <w:t>P. </w:t>
      </w:r>
      <w:r>
        <w:rPr>
          <w:i/>
          <w:spacing w:val="-2"/>
          <w:sz w:val="24"/>
        </w:rPr>
        <w:t>reichenowi</w:t>
      </w:r>
      <w:r>
        <w:rPr>
          <w:i/>
          <w:sz w:val="24"/>
        </w:rPr>
        <w:tab/>
        <w:t>Plasmodium </w:t>
      </w:r>
      <w:r>
        <w:rPr>
          <w:i/>
          <w:spacing w:val="-2"/>
          <w:sz w:val="24"/>
        </w:rPr>
        <w:t>reichemnwi</w:t>
      </w:r>
    </w:p>
    <w:p>
      <w:pPr>
        <w:pStyle w:val="BodyText"/>
        <w:rPr>
          <w:i/>
        </w:rPr>
      </w:pPr>
    </w:p>
    <w:p>
      <w:pPr>
        <w:tabs>
          <w:tab w:pos="2420" w:val="left" w:leader="none"/>
        </w:tabs>
        <w:spacing w:before="0"/>
        <w:ind w:left="260" w:right="0" w:firstLine="0"/>
        <w:jc w:val="left"/>
        <w:rPr>
          <w:i/>
          <w:sz w:val="24"/>
        </w:rPr>
      </w:pPr>
      <w:r>
        <w:rPr>
          <w:i/>
          <w:sz w:val="24"/>
        </w:rPr>
        <w:t>P. </w:t>
      </w:r>
      <w:r>
        <w:rPr>
          <w:i/>
          <w:spacing w:val="-2"/>
          <w:sz w:val="24"/>
        </w:rPr>
        <w:t>vivax</w:t>
      </w:r>
      <w:r>
        <w:rPr>
          <w:i/>
          <w:sz w:val="24"/>
        </w:rPr>
        <w:tab/>
        <w:t>Plasmodium </w:t>
      </w:r>
      <w:r>
        <w:rPr>
          <w:i/>
          <w:spacing w:val="-2"/>
          <w:sz w:val="24"/>
        </w:rPr>
        <w:t>vivax</w:t>
      </w:r>
    </w:p>
    <w:p>
      <w:pPr>
        <w:pStyle w:val="BodyText"/>
        <w:rPr>
          <w:i/>
        </w:rPr>
      </w:pPr>
    </w:p>
    <w:p>
      <w:pPr>
        <w:pStyle w:val="BodyText"/>
        <w:tabs>
          <w:tab w:pos="2420" w:val="left" w:leader="none"/>
        </w:tabs>
        <w:ind w:left="260"/>
      </w:pPr>
      <w:r>
        <w:rPr>
          <w:spacing w:val="-5"/>
        </w:rPr>
        <w:t>PCR</w:t>
      </w:r>
      <w:r>
        <w:rPr/>
        <w:tab/>
        <w:t>Poymerase</w:t>
      </w:r>
      <w:r>
        <w:rPr>
          <w:spacing w:val="-6"/>
        </w:rPr>
        <w:t> </w:t>
      </w:r>
      <w:r>
        <w:rPr/>
        <w:t>Chain</w:t>
      </w:r>
      <w:r>
        <w:rPr>
          <w:spacing w:val="-3"/>
        </w:rPr>
        <w:t> </w:t>
      </w:r>
      <w:r>
        <w:rPr>
          <w:spacing w:val="-2"/>
        </w:rPr>
        <w:t>Reaction</w:t>
      </w:r>
    </w:p>
    <w:p>
      <w:pPr>
        <w:pStyle w:val="BodyText"/>
        <w:spacing w:before="1"/>
      </w:pPr>
    </w:p>
    <w:p>
      <w:pPr>
        <w:pStyle w:val="BodyText"/>
        <w:tabs>
          <w:tab w:pos="2420" w:val="left" w:leader="none"/>
        </w:tabs>
        <w:ind w:left="260"/>
      </w:pPr>
      <w:r>
        <w:rPr>
          <w:spacing w:val="-5"/>
        </w:rPr>
        <w:t>RDT</w:t>
      </w:r>
      <w:r>
        <w:rPr/>
        <w:tab/>
        <w:t>Rapid</w:t>
      </w:r>
      <w:r>
        <w:rPr>
          <w:spacing w:val="-5"/>
        </w:rPr>
        <w:t> </w:t>
      </w:r>
      <w:r>
        <w:rPr/>
        <w:t>diagnostic</w:t>
      </w:r>
      <w:r>
        <w:rPr>
          <w:spacing w:val="-2"/>
        </w:rPr>
        <w:t> </w:t>
      </w:r>
      <w:r>
        <w:rPr>
          <w:spacing w:val="-4"/>
        </w:rPr>
        <w:t>test</w:t>
      </w:r>
    </w:p>
    <w:p>
      <w:pPr>
        <w:pStyle w:val="BodyText"/>
      </w:pPr>
    </w:p>
    <w:p>
      <w:pPr>
        <w:pStyle w:val="BodyText"/>
        <w:tabs>
          <w:tab w:pos="2420" w:val="left" w:leader="none"/>
        </w:tabs>
        <w:ind w:left="260"/>
      </w:pPr>
      <w:r>
        <w:rPr>
          <w:spacing w:val="-4"/>
        </w:rPr>
        <w:t>RFLP</w:t>
      </w:r>
      <w:r>
        <w:rPr/>
        <w:tab/>
        <w:t>Refraction</w:t>
      </w:r>
      <w:r>
        <w:rPr>
          <w:spacing w:val="-5"/>
        </w:rPr>
        <w:t> </w:t>
      </w:r>
      <w:r>
        <w:rPr/>
        <w:t>Fragment</w:t>
      </w:r>
      <w:r>
        <w:rPr>
          <w:spacing w:val="-3"/>
        </w:rPr>
        <w:t> </w:t>
      </w:r>
      <w:r>
        <w:rPr/>
        <w:t>Length</w:t>
      </w:r>
      <w:r>
        <w:rPr>
          <w:spacing w:val="-4"/>
        </w:rPr>
        <w:t> </w:t>
      </w:r>
      <w:r>
        <w:rPr>
          <w:spacing w:val="-2"/>
        </w:rPr>
        <w:t>Polymorphism</w:t>
      </w:r>
    </w:p>
    <w:p>
      <w:pPr>
        <w:pStyle w:val="BodyText"/>
      </w:pPr>
    </w:p>
    <w:p>
      <w:pPr>
        <w:pStyle w:val="BodyText"/>
        <w:tabs>
          <w:tab w:pos="2420" w:val="left" w:leader="none"/>
        </w:tabs>
        <w:spacing w:line="480" w:lineRule="auto"/>
        <w:ind w:left="260" w:right="2221"/>
      </w:pPr>
      <w:r>
        <w:rPr>
          <w:spacing w:val="-2"/>
        </w:rPr>
        <w:t>SERCA</w:t>
      </w:r>
      <w:r>
        <w:rPr/>
        <w:tab/>
        <w:t>Sacro-endoplasmic</w:t>
      </w:r>
      <w:r>
        <w:rPr>
          <w:spacing w:val="-11"/>
        </w:rPr>
        <w:t> </w:t>
      </w:r>
      <w:r>
        <w:rPr/>
        <w:t>reticulum</w:t>
      </w:r>
      <w:r>
        <w:rPr>
          <w:spacing w:val="-10"/>
        </w:rPr>
        <w:t> </w:t>
      </w:r>
      <w:r>
        <w:rPr/>
        <w:t>calcium</w:t>
      </w:r>
      <w:r>
        <w:rPr>
          <w:spacing w:val="-10"/>
        </w:rPr>
        <w:t> </w:t>
      </w:r>
      <w:r>
        <w:rPr/>
        <w:t>dependent</w:t>
      </w:r>
      <w:r>
        <w:rPr>
          <w:spacing w:val="-8"/>
        </w:rPr>
        <w:t> </w:t>
      </w:r>
      <w:r>
        <w:rPr/>
        <w:t>ATPase </w:t>
      </w:r>
      <w:r>
        <w:rPr>
          <w:spacing w:val="-2"/>
        </w:rPr>
        <w:t>UMYMH</w:t>
      </w:r>
      <w:r>
        <w:rPr/>
        <w:tab/>
        <w:t>Umaru Musa Yaradua Memorial Hospital</w:t>
      </w:r>
    </w:p>
    <w:p>
      <w:pPr>
        <w:pStyle w:val="BodyText"/>
        <w:tabs>
          <w:tab w:pos="2420" w:val="left" w:leader="none"/>
        </w:tabs>
        <w:ind w:left="260"/>
      </w:pPr>
      <w:r>
        <w:rPr>
          <w:spacing w:val="-5"/>
        </w:rPr>
        <w:t>WHO</w:t>
      </w:r>
      <w:r>
        <w:rPr/>
        <w:tab/>
        <w:t>World</w:t>
      </w:r>
      <w:r>
        <w:rPr>
          <w:spacing w:val="-1"/>
        </w:rPr>
        <w:t> </w:t>
      </w:r>
      <w:r>
        <w:rPr/>
        <w:t>Health</w:t>
      </w:r>
      <w:r>
        <w:rPr>
          <w:spacing w:val="-1"/>
        </w:rPr>
        <w:t> </w:t>
      </w:r>
      <w:r>
        <w:rPr>
          <w:spacing w:val="-2"/>
        </w:rPr>
        <w:t>Organisation</w:t>
      </w:r>
    </w:p>
    <w:p>
      <w:pPr>
        <w:spacing w:after="0"/>
        <w:sectPr>
          <w:pgSz w:w="11910" w:h="16840"/>
          <w:pgMar w:header="0" w:footer="1014" w:top="1340" w:bottom="1200" w:left="1180" w:right="580"/>
        </w:sectPr>
      </w:pPr>
    </w:p>
    <w:p>
      <w:pPr>
        <w:pStyle w:val="Heading1"/>
        <w:ind w:left="155" w:right="754"/>
      </w:pPr>
      <w:bookmarkStart w:name="_TOC_250038" w:id="10"/>
      <w:r>
        <w:rPr/>
        <w:t>CHAPTER</w:t>
      </w:r>
      <w:r>
        <w:rPr>
          <w:spacing w:val="-4"/>
        </w:rPr>
        <w:t> </w:t>
      </w:r>
      <w:bookmarkEnd w:id="10"/>
      <w:r>
        <w:rPr>
          <w:spacing w:val="-5"/>
        </w:rPr>
        <w:t>ONE</w:t>
      </w:r>
    </w:p>
    <w:p>
      <w:pPr>
        <w:pStyle w:val="BodyText"/>
        <w:rPr>
          <w:b/>
        </w:rPr>
      </w:pPr>
    </w:p>
    <w:p>
      <w:pPr>
        <w:pStyle w:val="Heading1"/>
        <w:numPr>
          <w:ilvl w:val="1"/>
          <w:numId w:val="6"/>
        </w:numPr>
        <w:tabs>
          <w:tab w:pos="920" w:val="left" w:leader="none"/>
        </w:tabs>
        <w:spacing w:line="240" w:lineRule="auto" w:before="0" w:after="0"/>
        <w:ind w:left="920" w:right="0" w:hanging="660"/>
        <w:jc w:val="both"/>
      </w:pPr>
      <w:bookmarkStart w:name="_TOC_250037" w:id="11"/>
      <w:bookmarkEnd w:id="11"/>
      <w:r>
        <w:rPr>
          <w:spacing w:val="-2"/>
        </w:rPr>
        <w:t>INTRODUCTION</w:t>
      </w:r>
    </w:p>
    <w:p>
      <w:pPr>
        <w:pStyle w:val="BodyText"/>
        <w:rPr>
          <w:b/>
        </w:rPr>
      </w:pPr>
    </w:p>
    <w:p>
      <w:pPr>
        <w:pStyle w:val="Heading2"/>
        <w:numPr>
          <w:ilvl w:val="1"/>
          <w:numId w:val="6"/>
        </w:numPr>
        <w:tabs>
          <w:tab w:pos="860" w:val="left" w:leader="none"/>
        </w:tabs>
        <w:spacing w:line="240" w:lineRule="auto" w:before="1" w:after="0"/>
        <w:ind w:left="860" w:right="0" w:hanging="600"/>
        <w:jc w:val="both"/>
      </w:pPr>
      <w:bookmarkStart w:name="_TOC_250036" w:id="12"/>
      <w:bookmarkEnd w:id="12"/>
      <w:r>
        <w:rPr>
          <w:spacing w:val="-2"/>
        </w:rPr>
        <w:t>Background</w:t>
      </w:r>
    </w:p>
    <w:p>
      <w:pPr>
        <w:pStyle w:val="BodyText"/>
        <w:spacing w:line="480" w:lineRule="auto" w:before="271"/>
        <w:ind w:left="260" w:right="856"/>
        <w:jc w:val="both"/>
      </w:pPr>
      <w:r>
        <w:rPr/>
        <w:t>Malaria</w:t>
      </w:r>
      <w:r>
        <w:rPr>
          <w:spacing w:val="-4"/>
        </w:rPr>
        <w:t> </w:t>
      </w:r>
      <w:r>
        <w:rPr/>
        <w:t>is a</w:t>
      </w:r>
      <w:r>
        <w:rPr>
          <w:spacing w:val="-1"/>
        </w:rPr>
        <w:t> </w:t>
      </w:r>
      <w:r>
        <w:rPr/>
        <w:t>disease</w:t>
      </w:r>
      <w:r>
        <w:rPr>
          <w:spacing w:val="-1"/>
        </w:rPr>
        <w:t> </w:t>
      </w:r>
      <w:r>
        <w:rPr/>
        <w:t>caused</w:t>
      </w:r>
      <w:r>
        <w:rPr>
          <w:spacing w:val="-2"/>
        </w:rPr>
        <w:t> </w:t>
      </w:r>
      <w:r>
        <w:rPr/>
        <w:t>by</w:t>
      </w:r>
      <w:r>
        <w:rPr>
          <w:spacing w:val="-5"/>
        </w:rPr>
        <w:t> </w:t>
      </w:r>
      <w:r>
        <w:rPr/>
        <w:t>the</w:t>
      </w:r>
      <w:r>
        <w:rPr>
          <w:spacing w:val="-3"/>
        </w:rPr>
        <w:t> </w:t>
      </w:r>
      <w:r>
        <w:rPr/>
        <w:t>parasite</w:t>
      </w:r>
      <w:r>
        <w:rPr>
          <w:spacing w:val="-1"/>
        </w:rPr>
        <w:t> </w:t>
      </w:r>
      <w:r>
        <w:rPr/>
        <w:t>called </w:t>
      </w:r>
      <w:r>
        <w:rPr>
          <w:i/>
        </w:rPr>
        <w:t>Plasmodium</w:t>
      </w:r>
      <w:r>
        <w:rPr>
          <w:i/>
          <w:spacing w:val="-2"/>
        </w:rPr>
        <w:t> </w:t>
      </w:r>
      <w:r>
        <w:rPr/>
        <w:t>species that is</w:t>
      </w:r>
      <w:r>
        <w:rPr>
          <w:spacing w:val="-2"/>
        </w:rPr>
        <w:t> </w:t>
      </w:r>
      <w:r>
        <w:rPr/>
        <w:t>transmitted</w:t>
      </w:r>
      <w:r>
        <w:rPr>
          <w:spacing w:val="-2"/>
        </w:rPr>
        <w:t> </w:t>
      </w:r>
      <w:r>
        <w:rPr/>
        <w:t>from human-to-human by the female </w:t>
      </w:r>
      <w:r>
        <w:rPr>
          <w:i/>
        </w:rPr>
        <w:t>Anopheles </w:t>
      </w:r>
      <w:r>
        <w:rPr/>
        <w:t>mosquito. Malaria is a preventable and treatable disease. If malaria is diagnosed and treated early, the duration of the infection can be considerably</w:t>
      </w:r>
      <w:r>
        <w:rPr>
          <w:spacing w:val="4"/>
        </w:rPr>
        <w:t> </w:t>
      </w:r>
      <w:r>
        <w:rPr/>
        <w:t>shortened,</w:t>
      </w:r>
      <w:r>
        <w:rPr>
          <w:spacing w:val="13"/>
        </w:rPr>
        <w:t> </w:t>
      </w:r>
      <w:r>
        <w:rPr/>
        <w:t>which</w:t>
      </w:r>
      <w:r>
        <w:rPr>
          <w:spacing w:val="10"/>
        </w:rPr>
        <w:t> </w:t>
      </w:r>
      <w:r>
        <w:rPr/>
        <w:t>in</w:t>
      </w:r>
      <w:r>
        <w:rPr>
          <w:spacing w:val="11"/>
        </w:rPr>
        <w:t> </w:t>
      </w:r>
      <w:r>
        <w:rPr/>
        <w:t>turn</w:t>
      </w:r>
      <w:r>
        <w:rPr>
          <w:spacing w:val="10"/>
        </w:rPr>
        <w:t> </w:t>
      </w:r>
      <w:r>
        <w:rPr/>
        <w:t>reduces</w:t>
      </w:r>
      <w:r>
        <w:rPr>
          <w:spacing w:val="11"/>
        </w:rPr>
        <w:t> </w:t>
      </w:r>
      <w:r>
        <w:rPr/>
        <w:t>the</w:t>
      </w:r>
      <w:r>
        <w:rPr>
          <w:spacing w:val="9"/>
        </w:rPr>
        <w:t> </w:t>
      </w:r>
      <w:r>
        <w:rPr/>
        <w:t>risk</w:t>
      </w:r>
      <w:r>
        <w:rPr>
          <w:spacing w:val="10"/>
        </w:rPr>
        <w:t> </w:t>
      </w:r>
      <w:r>
        <w:rPr/>
        <w:t>of</w:t>
      </w:r>
      <w:r>
        <w:rPr>
          <w:spacing w:val="10"/>
        </w:rPr>
        <w:t> </w:t>
      </w:r>
      <w:r>
        <w:rPr/>
        <w:t>complications</w:t>
      </w:r>
      <w:r>
        <w:rPr>
          <w:spacing w:val="11"/>
        </w:rPr>
        <w:t> </w:t>
      </w:r>
      <w:r>
        <w:rPr/>
        <w:t>and</w:t>
      </w:r>
      <w:r>
        <w:rPr>
          <w:spacing w:val="10"/>
        </w:rPr>
        <w:t> </w:t>
      </w:r>
      <w:r>
        <w:rPr/>
        <w:t>death.</w:t>
      </w:r>
      <w:r>
        <w:rPr>
          <w:spacing w:val="17"/>
        </w:rPr>
        <w:t> </w:t>
      </w:r>
      <w:r>
        <w:rPr/>
        <w:t>The</w:t>
      </w:r>
      <w:r>
        <w:rPr>
          <w:spacing w:val="9"/>
        </w:rPr>
        <w:t> </w:t>
      </w:r>
      <w:r>
        <w:rPr>
          <w:spacing w:val="-4"/>
        </w:rPr>
        <w:t>word</w:t>
      </w:r>
    </w:p>
    <w:p>
      <w:pPr>
        <w:pStyle w:val="BodyText"/>
        <w:spacing w:line="480" w:lineRule="auto" w:before="1"/>
        <w:ind w:left="260" w:right="858"/>
        <w:jc w:val="both"/>
      </w:pPr>
      <w:r>
        <w:rPr/>
        <w:t>―malaria‖ comes from 18th century Italian </w:t>
      </w:r>
      <w:r>
        <w:rPr>
          <w:i/>
        </w:rPr>
        <w:t>mal </w:t>
      </w:r>
      <w:r>
        <w:rPr/>
        <w:t>meaning "bad" and </w:t>
      </w:r>
      <w:r>
        <w:rPr>
          <w:i/>
        </w:rPr>
        <w:t>aria </w:t>
      </w:r>
      <w:r>
        <w:rPr/>
        <w:t>meaning "air". Most likely, the term was first used by Dr. Francisco Torti in Italy, when people thought the</w:t>
      </w:r>
      <w:r>
        <w:rPr>
          <w:spacing w:val="80"/>
        </w:rPr>
        <w:t> </w:t>
      </w:r>
      <w:r>
        <w:rPr/>
        <w:t>disease was caused by foul air in marshy areas (Opeskin, 2009).</w:t>
      </w:r>
    </w:p>
    <w:p>
      <w:pPr>
        <w:pStyle w:val="BodyText"/>
      </w:pPr>
    </w:p>
    <w:p>
      <w:pPr>
        <w:pStyle w:val="BodyText"/>
      </w:pPr>
    </w:p>
    <w:p>
      <w:pPr>
        <w:pStyle w:val="BodyText"/>
        <w:spacing w:line="480" w:lineRule="auto"/>
        <w:ind w:left="260" w:right="856"/>
        <w:jc w:val="both"/>
      </w:pPr>
      <w:r>
        <w:rPr/>
        <w:t>Malaria remains a huge burden for human populations living in tropical areas. More than two million malaria cases globally were recorded in 2010, with the heaviest mortality rates in children living in sub-Saharan Africa (WHO, 2011). During the past decade, there was an increase in malaria control interventions and this has resulted in considerable reductions in morbidity and mortality associated with malaria in parts of Africa (O’Meara </w:t>
      </w:r>
      <w:r>
        <w:rPr>
          <w:i/>
        </w:rPr>
        <w:t>et al</w:t>
      </w:r>
      <w:r>
        <w:rPr/>
        <w:t>., 2010, Steketee and Campbell, 2010). The WHO recommended malaria control measures include long-lasting insecticidal nets (LLIN), indoor residual spraying programmes (IRS) and access to artemisinin combination therapy (WHO, 2010).</w:t>
      </w:r>
      <w:r>
        <w:rPr>
          <w:spacing w:val="80"/>
          <w:w w:val="150"/>
        </w:rPr>
        <w:t> </w:t>
      </w:r>
      <w:r>
        <w:rPr/>
        <w:t>Despite these efforts, malaria continues</w:t>
      </w:r>
      <w:r>
        <w:rPr>
          <w:spacing w:val="80"/>
        </w:rPr>
        <w:t> </w:t>
      </w:r>
      <w:r>
        <w:rPr/>
        <w:t>to pose a major public health threat in many African countries (WHO, 2011).</w:t>
      </w:r>
    </w:p>
    <w:p>
      <w:pPr>
        <w:pStyle w:val="BodyText"/>
      </w:pPr>
    </w:p>
    <w:p>
      <w:pPr>
        <w:pStyle w:val="BodyText"/>
        <w:spacing w:before="1"/>
      </w:pPr>
    </w:p>
    <w:p>
      <w:pPr>
        <w:spacing w:line="480" w:lineRule="auto" w:before="0"/>
        <w:ind w:left="260" w:right="855" w:firstLine="0"/>
        <w:jc w:val="both"/>
        <w:rPr>
          <w:sz w:val="24"/>
        </w:rPr>
      </w:pPr>
      <w:r>
        <w:rPr>
          <w:sz w:val="24"/>
        </w:rPr>
        <w:t>Currently, malaria can be caused by five </w:t>
      </w:r>
      <w:r>
        <w:rPr>
          <w:i/>
          <w:sz w:val="24"/>
        </w:rPr>
        <w:t>Plasmodium </w:t>
      </w:r>
      <w:r>
        <w:rPr>
          <w:sz w:val="24"/>
        </w:rPr>
        <w:t>species which include </w:t>
      </w:r>
      <w:r>
        <w:rPr>
          <w:i/>
          <w:sz w:val="24"/>
        </w:rPr>
        <w:t>Plasmodium falciparum,</w:t>
      </w:r>
      <w:r>
        <w:rPr>
          <w:i/>
          <w:spacing w:val="-2"/>
          <w:sz w:val="24"/>
        </w:rPr>
        <w:t> </w:t>
      </w:r>
      <w:r>
        <w:rPr>
          <w:i/>
          <w:sz w:val="24"/>
        </w:rPr>
        <w:t>Plasmodium malariae,</w:t>
      </w:r>
      <w:r>
        <w:rPr>
          <w:i/>
          <w:spacing w:val="-2"/>
          <w:sz w:val="24"/>
        </w:rPr>
        <w:t> </w:t>
      </w:r>
      <w:r>
        <w:rPr>
          <w:i/>
          <w:sz w:val="24"/>
        </w:rPr>
        <w:t>Plasmodium</w:t>
      </w:r>
      <w:r>
        <w:rPr>
          <w:i/>
          <w:spacing w:val="-2"/>
          <w:sz w:val="24"/>
        </w:rPr>
        <w:t> </w:t>
      </w:r>
      <w:r>
        <w:rPr>
          <w:i/>
          <w:sz w:val="24"/>
        </w:rPr>
        <w:t>ovale,</w:t>
      </w:r>
      <w:r>
        <w:rPr>
          <w:i/>
          <w:spacing w:val="-3"/>
          <w:sz w:val="24"/>
        </w:rPr>
        <w:t> </w:t>
      </w:r>
      <w:r>
        <w:rPr>
          <w:i/>
          <w:sz w:val="24"/>
        </w:rPr>
        <w:t>Plasmodium vivax </w:t>
      </w:r>
      <w:r>
        <w:rPr>
          <w:sz w:val="24"/>
        </w:rPr>
        <w:t>and,</w:t>
      </w:r>
      <w:r>
        <w:rPr>
          <w:spacing w:val="-2"/>
          <w:sz w:val="24"/>
        </w:rPr>
        <w:t> </w:t>
      </w:r>
      <w:r>
        <w:rPr>
          <w:sz w:val="24"/>
        </w:rPr>
        <w:t>more</w:t>
      </w:r>
      <w:r>
        <w:rPr>
          <w:spacing w:val="-1"/>
          <w:sz w:val="24"/>
        </w:rPr>
        <w:t> </w:t>
      </w:r>
      <w:r>
        <w:rPr>
          <w:sz w:val="24"/>
        </w:rPr>
        <w:t>recently, </w:t>
      </w:r>
      <w:r>
        <w:rPr>
          <w:i/>
          <w:sz w:val="24"/>
        </w:rPr>
        <w:t>Plasmodium</w:t>
      </w:r>
      <w:r>
        <w:rPr>
          <w:i/>
          <w:spacing w:val="19"/>
          <w:sz w:val="24"/>
        </w:rPr>
        <w:t> </w:t>
      </w:r>
      <w:r>
        <w:rPr>
          <w:i/>
          <w:sz w:val="24"/>
        </w:rPr>
        <w:t>knowlesi</w:t>
      </w:r>
      <w:r>
        <w:rPr>
          <w:i/>
          <w:spacing w:val="24"/>
          <w:sz w:val="24"/>
        </w:rPr>
        <w:t> </w:t>
      </w:r>
      <w:r>
        <w:rPr>
          <w:sz w:val="24"/>
        </w:rPr>
        <w:t>(Singh</w:t>
      </w:r>
      <w:r>
        <w:rPr>
          <w:spacing w:val="22"/>
          <w:sz w:val="24"/>
        </w:rPr>
        <w:t> </w:t>
      </w:r>
      <w:r>
        <w:rPr>
          <w:i/>
          <w:sz w:val="24"/>
        </w:rPr>
        <w:t>et</w:t>
      </w:r>
      <w:r>
        <w:rPr>
          <w:i/>
          <w:spacing w:val="23"/>
          <w:sz w:val="24"/>
        </w:rPr>
        <w:t> </w:t>
      </w:r>
      <w:r>
        <w:rPr>
          <w:i/>
          <w:sz w:val="24"/>
        </w:rPr>
        <w:t>al</w:t>
      </w:r>
      <w:r>
        <w:rPr>
          <w:sz w:val="24"/>
        </w:rPr>
        <w:t>.,</w:t>
      </w:r>
      <w:r>
        <w:rPr>
          <w:spacing w:val="22"/>
          <w:sz w:val="24"/>
        </w:rPr>
        <w:t> </w:t>
      </w:r>
      <w:r>
        <w:rPr>
          <w:sz w:val="24"/>
        </w:rPr>
        <w:t>2004).</w:t>
      </w:r>
      <w:r>
        <w:rPr>
          <w:spacing w:val="23"/>
          <w:sz w:val="24"/>
        </w:rPr>
        <w:t> </w:t>
      </w:r>
      <w:r>
        <w:rPr>
          <w:i/>
          <w:sz w:val="24"/>
        </w:rPr>
        <w:t>Plasmodium</w:t>
      </w:r>
      <w:r>
        <w:rPr>
          <w:i/>
          <w:spacing w:val="22"/>
          <w:sz w:val="24"/>
        </w:rPr>
        <w:t> </w:t>
      </w:r>
      <w:r>
        <w:rPr>
          <w:i/>
          <w:sz w:val="24"/>
        </w:rPr>
        <w:t>falciparum</w:t>
      </w:r>
      <w:r>
        <w:rPr>
          <w:i/>
          <w:spacing w:val="22"/>
          <w:sz w:val="24"/>
        </w:rPr>
        <w:t> </w:t>
      </w:r>
      <w:r>
        <w:rPr>
          <w:sz w:val="24"/>
        </w:rPr>
        <w:t>is</w:t>
      </w:r>
      <w:r>
        <w:rPr>
          <w:spacing w:val="21"/>
          <w:sz w:val="24"/>
        </w:rPr>
        <w:t> </w:t>
      </w:r>
      <w:r>
        <w:rPr>
          <w:sz w:val="24"/>
        </w:rPr>
        <w:t>the</w:t>
      </w:r>
      <w:r>
        <w:rPr>
          <w:spacing w:val="20"/>
          <w:sz w:val="24"/>
        </w:rPr>
        <w:t> </w:t>
      </w:r>
      <w:r>
        <w:rPr>
          <w:sz w:val="24"/>
        </w:rPr>
        <w:t>most</w:t>
      </w:r>
      <w:r>
        <w:rPr>
          <w:spacing w:val="23"/>
          <w:sz w:val="24"/>
        </w:rPr>
        <w:t> </w:t>
      </w:r>
      <w:r>
        <w:rPr>
          <w:sz w:val="24"/>
        </w:rPr>
        <w:t>prevalent</w:t>
      </w:r>
      <w:r>
        <w:rPr>
          <w:spacing w:val="22"/>
          <w:sz w:val="24"/>
        </w:rPr>
        <w:t> </w:t>
      </w:r>
      <w:r>
        <w:rPr>
          <w:spacing w:val="-5"/>
          <w:sz w:val="24"/>
        </w:rPr>
        <w:t>in</w:t>
      </w:r>
    </w:p>
    <w:p>
      <w:pPr>
        <w:pStyle w:val="BodyText"/>
        <w:spacing w:before="1"/>
        <w:ind w:left="260"/>
        <w:jc w:val="both"/>
      </w:pPr>
      <w:r>
        <w:rPr/>
        <w:t>`Africa</w:t>
      </w:r>
      <w:r>
        <w:rPr>
          <w:spacing w:val="48"/>
        </w:rPr>
        <w:t> </w:t>
      </w:r>
      <w:r>
        <w:rPr/>
        <w:t>and</w:t>
      </w:r>
      <w:r>
        <w:rPr>
          <w:spacing w:val="49"/>
        </w:rPr>
        <w:t> </w:t>
      </w:r>
      <w:r>
        <w:rPr/>
        <w:t>the</w:t>
      </w:r>
      <w:r>
        <w:rPr>
          <w:spacing w:val="48"/>
        </w:rPr>
        <w:t> </w:t>
      </w:r>
      <w:r>
        <w:rPr/>
        <w:t>most</w:t>
      </w:r>
      <w:r>
        <w:rPr>
          <w:spacing w:val="49"/>
        </w:rPr>
        <w:t> </w:t>
      </w:r>
      <w:r>
        <w:rPr/>
        <w:t>pathogenic</w:t>
      </w:r>
      <w:r>
        <w:rPr>
          <w:spacing w:val="49"/>
        </w:rPr>
        <w:t> </w:t>
      </w:r>
      <w:r>
        <w:rPr/>
        <w:t>of</w:t>
      </w:r>
      <w:r>
        <w:rPr>
          <w:spacing w:val="48"/>
        </w:rPr>
        <w:t> </w:t>
      </w:r>
      <w:r>
        <w:rPr/>
        <w:t>these,</w:t>
      </w:r>
      <w:r>
        <w:rPr>
          <w:spacing w:val="48"/>
        </w:rPr>
        <w:t> </w:t>
      </w:r>
      <w:r>
        <w:rPr/>
        <w:t>but</w:t>
      </w:r>
      <w:r>
        <w:rPr>
          <w:spacing w:val="49"/>
        </w:rPr>
        <w:t> </w:t>
      </w:r>
      <w:r>
        <w:rPr/>
        <w:t>in</w:t>
      </w:r>
      <w:r>
        <w:rPr>
          <w:spacing w:val="49"/>
        </w:rPr>
        <w:t> </w:t>
      </w:r>
      <w:r>
        <w:rPr/>
        <w:t>most</w:t>
      </w:r>
      <w:r>
        <w:rPr>
          <w:spacing w:val="47"/>
        </w:rPr>
        <w:t> </w:t>
      </w:r>
      <w:r>
        <w:rPr/>
        <w:t>malaria</w:t>
      </w:r>
      <w:r>
        <w:rPr>
          <w:spacing w:val="48"/>
        </w:rPr>
        <w:t> </w:t>
      </w:r>
      <w:r>
        <w:rPr/>
        <w:t>endemic</w:t>
      </w:r>
      <w:r>
        <w:rPr>
          <w:spacing w:val="48"/>
        </w:rPr>
        <w:t> </w:t>
      </w:r>
      <w:r>
        <w:rPr/>
        <w:t>regions</w:t>
      </w:r>
      <w:r>
        <w:rPr>
          <w:spacing w:val="49"/>
        </w:rPr>
        <w:t> </w:t>
      </w:r>
      <w:r>
        <w:rPr>
          <w:spacing w:val="-2"/>
        </w:rPr>
        <w:t>multiple</w:t>
      </w:r>
    </w:p>
    <w:p>
      <w:pPr>
        <w:spacing w:after="0"/>
        <w:jc w:val="both"/>
        <w:sectPr>
          <w:footerReference w:type="default" r:id="rId6"/>
          <w:pgSz w:w="11910" w:h="16840"/>
          <w:pgMar w:header="0" w:footer="1254" w:top="1340" w:bottom="1440" w:left="1180" w:right="580"/>
          <w:pgNumType w:start="1"/>
        </w:sectPr>
      </w:pPr>
    </w:p>
    <w:p>
      <w:pPr>
        <w:pStyle w:val="BodyText"/>
        <w:spacing w:line="480" w:lineRule="auto" w:before="74"/>
        <w:ind w:left="260" w:right="854"/>
        <w:jc w:val="both"/>
      </w:pPr>
      <w:r>
        <w:rPr/>
        <w:t>sympatric species are found and co-infection within individual human hosts or the mosquito vector population is common. In Africa, </w:t>
      </w:r>
      <w:r>
        <w:rPr>
          <w:i/>
        </w:rPr>
        <w:t>P. malariae </w:t>
      </w:r>
      <w:r>
        <w:rPr/>
        <w:t>is the species most frequently found in sympatric with </w:t>
      </w:r>
      <w:r>
        <w:rPr>
          <w:i/>
        </w:rPr>
        <w:t>P. falciparum </w:t>
      </w:r>
      <w:r>
        <w:rPr/>
        <w:t>(Collins and Jeffery, 2007). </w:t>
      </w:r>
      <w:r>
        <w:rPr>
          <w:i/>
        </w:rPr>
        <w:t>Plasmodium knowlesi </w:t>
      </w:r>
      <w:r>
        <w:rPr/>
        <w:t>is found in southeast Asia (Naing </w:t>
      </w:r>
      <w:r>
        <w:rPr>
          <w:i/>
        </w:rPr>
        <w:t>et al.</w:t>
      </w:r>
      <w:r>
        <w:rPr/>
        <w:t>, 2011).</w:t>
      </w:r>
    </w:p>
    <w:p>
      <w:pPr>
        <w:pStyle w:val="BodyText"/>
      </w:pPr>
    </w:p>
    <w:p>
      <w:pPr>
        <w:pStyle w:val="BodyText"/>
      </w:pPr>
    </w:p>
    <w:p>
      <w:pPr>
        <w:pStyle w:val="BodyText"/>
        <w:spacing w:line="480" w:lineRule="auto"/>
        <w:ind w:left="260" w:right="853"/>
        <w:jc w:val="both"/>
      </w:pPr>
      <w:r>
        <w:rPr/>
        <w:t>Early</w:t>
      </w:r>
      <w:r>
        <w:rPr>
          <w:spacing w:val="-1"/>
        </w:rPr>
        <w:t> </w:t>
      </w:r>
      <w:r>
        <w:rPr/>
        <w:t>symptoms of malaria includes; chills, sweats, fever, muscle pain, nausea, and vomiting which may appear 7 to 30 days after initial contraction of the parasite. The incubation period varies depending</w:t>
      </w:r>
      <w:r>
        <w:rPr>
          <w:spacing w:val="-3"/>
        </w:rPr>
        <w:t> </w:t>
      </w:r>
      <w:r>
        <w:rPr/>
        <w:t>on the</w:t>
      </w:r>
      <w:r>
        <w:rPr>
          <w:spacing w:val="-1"/>
        </w:rPr>
        <w:t> </w:t>
      </w:r>
      <w:r>
        <w:rPr/>
        <w:t>strain of</w:t>
      </w:r>
      <w:r>
        <w:rPr>
          <w:spacing w:val="-1"/>
        </w:rPr>
        <w:t> </w:t>
      </w:r>
      <w:r>
        <w:rPr/>
        <w:t>the</w:t>
      </w:r>
      <w:r>
        <w:rPr>
          <w:spacing w:val="-1"/>
        </w:rPr>
        <w:t> </w:t>
      </w:r>
      <w:r>
        <w:rPr/>
        <w:t>parasite. Since</w:t>
      </w:r>
      <w:r>
        <w:rPr>
          <w:spacing w:val="-1"/>
        </w:rPr>
        <w:t> </w:t>
      </w:r>
      <w:r>
        <w:rPr/>
        <w:t>these</w:t>
      </w:r>
      <w:r>
        <w:rPr>
          <w:spacing w:val="-2"/>
        </w:rPr>
        <w:t> </w:t>
      </w:r>
      <w:r>
        <w:rPr/>
        <w:t>symptoms resemble</w:t>
      </w:r>
      <w:r>
        <w:rPr>
          <w:spacing w:val="-1"/>
        </w:rPr>
        <w:t> </w:t>
      </w:r>
      <w:r>
        <w:rPr/>
        <w:t>the</w:t>
      </w:r>
      <w:r>
        <w:rPr>
          <w:spacing w:val="-1"/>
        </w:rPr>
        <w:t> </w:t>
      </w:r>
      <w:r>
        <w:rPr/>
        <w:t>flu,</w:t>
      </w:r>
      <w:r>
        <w:rPr>
          <w:spacing w:val="-1"/>
        </w:rPr>
        <w:t> </w:t>
      </w:r>
      <w:r>
        <w:rPr/>
        <w:t>malaria can be</w:t>
      </w:r>
      <w:r>
        <w:rPr>
          <w:spacing w:val="-1"/>
        </w:rPr>
        <w:t> </w:t>
      </w:r>
      <w:r>
        <w:rPr/>
        <w:t>difficult to diagnose</w:t>
      </w:r>
      <w:r>
        <w:rPr>
          <w:spacing w:val="-1"/>
        </w:rPr>
        <w:t> </w:t>
      </w:r>
      <w:r>
        <w:rPr/>
        <w:t>in places where</w:t>
      </w:r>
      <w:r>
        <w:rPr>
          <w:spacing w:val="-2"/>
        </w:rPr>
        <w:t> </w:t>
      </w:r>
      <w:r>
        <w:rPr/>
        <w:t>it is not endemic, such</w:t>
      </w:r>
      <w:r>
        <w:rPr>
          <w:spacing w:val="-1"/>
        </w:rPr>
        <w:t> </w:t>
      </w:r>
      <w:r>
        <w:rPr/>
        <w:t>as the United</w:t>
      </w:r>
      <w:r>
        <w:rPr>
          <w:spacing w:val="-1"/>
        </w:rPr>
        <w:t> </w:t>
      </w:r>
      <w:r>
        <w:rPr/>
        <w:t>States (Mali, </w:t>
      </w:r>
      <w:r>
        <w:rPr>
          <w:i/>
        </w:rPr>
        <w:t>et al</w:t>
      </w:r>
      <w:r>
        <w:rPr/>
        <w:t>., 2012). With severe malaria, caused by</w:t>
      </w:r>
      <w:r>
        <w:rPr>
          <w:spacing w:val="-1"/>
        </w:rPr>
        <w:t> </w:t>
      </w:r>
      <w:r>
        <w:rPr>
          <w:i/>
        </w:rPr>
        <w:t>P.</w:t>
      </w:r>
      <w:r>
        <w:rPr>
          <w:i/>
          <w:spacing w:val="-1"/>
        </w:rPr>
        <w:t> </w:t>
      </w:r>
      <w:r>
        <w:rPr>
          <w:i/>
        </w:rPr>
        <w:t>falciparum</w:t>
      </w:r>
      <w:r>
        <w:rPr/>
        <w:t>, victims begin to experience more intense symptoms including neurological focal signs, anaemia, confusion, dypsnea, and can result in coma and death if untreated especially in children under the age of five years and pregnant women (Phillips, 2001). Severe organ damage may also occur and infected organs include the brain, liver, spleen and kidney. Chronic malaria, where disease relapse occur months or years after exposure, is occasionally associated with </w:t>
      </w:r>
      <w:r>
        <w:rPr>
          <w:i/>
        </w:rPr>
        <w:t>P. vivax or P. ovale </w:t>
      </w:r>
      <w:r>
        <w:rPr/>
        <w:t>infection due to latent parasites remaining in the liver. Again, these symptoms are shared with many other diseases (Mali </w:t>
      </w:r>
      <w:r>
        <w:rPr>
          <w:i/>
        </w:rPr>
        <w:t>et al</w:t>
      </w:r>
      <w:r>
        <w:rPr/>
        <w:t>., 2012). Consequently, the only way to diagnose malaria is to conduct laboratory tests. For definitive diagnosis, a drop of the patient’s blood is stained (usually with Giemsa stain) and examined under a microscope for the presence of parasites. Diagnostic kits using a dye-labeled antibody that binds to the parasite are also available and are especially useful in the field and for rapid diagnoses (CDC, 2014). These tests are becoming more important in the diagnosis of malaria. They do not require a microscope or a skilled technician. In Africa and other countries without adequate medical infrastructure,</w:t>
      </w:r>
      <w:r>
        <w:rPr>
          <w:spacing w:val="40"/>
        </w:rPr>
        <w:t> </w:t>
      </w:r>
      <w:r>
        <w:rPr/>
        <w:t>these tests are an essential tool in detecting the parasite.</w:t>
      </w:r>
    </w:p>
    <w:p>
      <w:pPr>
        <w:spacing w:after="0" w:line="480" w:lineRule="auto"/>
        <w:jc w:val="both"/>
        <w:sectPr>
          <w:pgSz w:w="11910" w:h="16840"/>
          <w:pgMar w:header="0" w:footer="1254" w:top="1340" w:bottom="1440" w:left="1180" w:right="580"/>
        </w:sectPr>
      </w:pPr>
    </w:p>
    <w:p>
      <w:pPr>
        <w:pStyle w:val="BodyText"/>
        <w:spacing w:line="480" w:lineRule="auto" w:before="74"/>
        <w:ind w:left="260" w:right="852"/>
        <w:jc w:val="both"/>
      </w:pPr>
      <w:r>
        <w:rPr/>
        <w:t>Health and socio-economic problems caused by malaria are enormous. The development and spread of malaria parasite resistance to drugs have led to global recognition and commitment to public</w:t>
      </w:r>
      <w:r>
        <w:rPr>
          <w:spacing w:val="-1"/>
        </w:rPr>
        <w:t> </w:t>
      </w:r>
      <w:r>
        <w:rPr/>
        <w:t>health problems of malaria. Areas with concentrated populations of</w:t>
      </w:r>
      <w:r>
        <w:rPr>
          <w:spacing w:val="-1"/>
        </w:rPr>
        <w:t> </w:t>
      </w:r>
      <w:r>
        <w:rPr/>
        <w:t>people with low socioeconomic status typically do not have resources for effective prevention and subsequent treatment. For example, a</w:t>
      </w:r>
      <w:r>
        <w:rPr>
          <w:spacing w:val="-1"/>
        </w:rPr>
        <w:t> </w:t>
      </w:r>
      <w:r>
        <w:rPr/>
        <w:t>study</w:t>
      </w:r>
      <w:r>
        <w:rPr>
          <w:spacing w:val="-5"/>
        </w:rPr>
        <w:t> </w:t>
      </w:r>
      <w:r>
        <w:rPr/>
        <w:t>conducted by</w:t>
      </w:r>
      <w:r>
        <w:rPr>
          <w:spacing w:val="-2"/>
        </w:rPr>
        <w:t> </w:t>
      </w:r>
      <w:r>
        <w:rPr/>
        <w:t>Gwatkin and Guillot showed ―58% of malaria deaths occurred in the poorest 20% of the world’s population, a higher percentage than any other disease of major public health importance‖ (Worrall</w:t>
      </w:r>
      <w:r>
        <w:rPr>
          <w:spacing w:val="40"/>
        </w:rPr>
        <w:t> </w:t>
      </w:r>
      <w:r>
        <w:rPr>
          <w:i/>
        </w:rPr>
        <w:t>et al</w:t>
      </w:r>
      <w:r>
        <w:rPr/>
        <w:t>., 2005). Public health interventions intended to reach areas with people of low socioeconomic status may not be reaching their target population. Barat </w:t>
      </w:r>
      <w:r>
        <w:rPr>
          <w:i/>
        </w:rPr>
        <w:t>et al. </w:t>
      </w:r>
      <w:r>
        <w:rPr/>
        <w:t>(2004) noted that in developing countries, the poor often live in the most remote areas and are socially or culturally marginalized. Consequently, while programs in support of malaria prevention and treatment are sometimes available, they are not reaching the people who need them the most.</w:t>
      </w:r>
    </w:p>
    <w:p>
      <w:pPr>
        <w:pStyle w:val="BodyText"/>
      </w:pPr>
    </w:p>
    <w:p>
      <w:pPr>
        <w:pStyle w:val="BodyText"/>
        <w:spacing w:before="1"/>
      </w:pPr>
    </w:p>
    <w:p>
      <w:pPr>
        <w:pStyle w:val="BodyText"/>
        <w:spacing w:line="480" w:lineRule="auto"/>
        <w:ind w:left="260" w:right="854"/>
        <w:jc w:val="both"/>
      </w:pPr>
      <w:r>
        <w:rPr/>
        <w:t>Resistance to antimalarial drugs is often manifested in subtle ways which are only apparent when</w:t>
      </w:r>
      <w:r>
        <w:rPr>
          <w:spacing w:val="-3"/>
        </w:rPr>
        <w:t> </w:t>
      </w:r>
      <w:r>
        <w:rPr/>
        <w:t>the</w:t>
      </w:r>
      <w:r>
        <w:rPr>
          <w:spacing w:val="-3"/>
        </w:rPr>
        <w:t> </w:t>
      </w:r>
      <w:r>
        <w:rPr/>
        <w:t>treatment</w:t>
      </w:r>
      <w:r>
        <w:rPr>
          <w:spacing w:val="-3"/>
        </w:rPr>
        <w:t> </w:t>
      </w:r>
      <w:r>
        <w:rPr/>
        <w:t>is</w:t>
      </w:r>
      <w:r>
        <w:rPr>
          <w:spacing w:val="-3"/>
        </w:rPr>
        <w:t> </w:t>
      </w:r>
      <w:r>
        <w:rPr/>
        <w:t>accompanied</w:t>
      </w:r>
      <w:r>
        <w:rPr>
          <w:spacing w:val="-3"/>
        </w:rPr>
        <w:t> </w:t>
      </w:r>
      <w:r>
        <w:rPr/>
        <w:t>by</w:t>
      </w:r>
      <w:r>
        <w:rPr>
          <w:spacing w:val="-7"/>
        </w:rPr>
        <w:t> </w:t>
      </w:r>
      <w:r>
        <w:rPr/>
        <w:t>detailed</w:t>
      </w:r>
      <w:r>
        <w:rPr>
          <w:spacing w:val="-2"/>
        </w:rPr>
        <w:t> </w:t>
      </w:r>
      <w:r>
        <w:rPr/>
        <w:t>follow-up.</w:t>
      </w:r>
      <w:r>
        <w:rPr>
          <w:spacing w:val="-3"/>
        </w:rPr>
        <w:t> </w:t>
      </w:r>
      <w:r>
        <w:rPr/>
        <w:t>Accurate</w:t>
      </w:r>
      <w:r>
        <w:rPr>
          <w:spacing w:val="-2"/>
        </w:rPr>
        <w:t> </w:t>
      </w:r>
      <w:r>
        <w:rPr/>
        <w:t>and</w:t>
      </w:r>
      <w:r>
        <w:rPr>
          <w:spacing w:val="-3"/>
        </w:rPr>
        <w:t> </w:t>
      </w:r>
      <w:r>
        <w:rPr/>
        <w:t>effective</w:t>
      </w:r>
      <w:r>
        <w:rPr>
          <w:spacing w:val="-4"/>
        </w:rPr>
        <w:t> </w:t>
      </w:r>
      <w:r>
        <w:rPr/>
        <w:t>surveillance systems for monitoring antimalarial drug efficacy have been recognized as an essential basis for decisions on the use of drugs (WHO, 2003). Surveillance is carried out at different levels of sophistication: from basic drug efficacy tests through to more detailed </w:t>
      </w:r>
      <w:r>
        <w:rPr>
          <w:i/>
        </w:rPr>
        <w:t>in vitro </w:t>
      </w:r>
      <w:r>
        <w:rPr/>
        <w:t>characterization of drug resistant strains of parasite and clinical information. The World Health Organisation (WHO) has recognized that malaria treatment failure rate of 5% to 14% signals an alert</w:t>
      </w:r>
      <w:r>
        <w:rPr>
          <w:spacing w:val="-1"/>
        </w:rPr>
        <w:t> </w:t>
      </w:r>
      <w:r>
        <w:rPr/>
        <w:t>phase</w:t>
      </w:r>
      <w:r>
        <w:rPr>
          <w:spacing w:val="-1"/>
        </w:rPr>
        <w:t> </w:t>
      </w:r>
      <w:r>
        <w:rPr/>
        <w:t>in malaria</w:t>
      </w:r>
      <w:r>
        <w:rPr>
          <w:spacing w:val="-2"/>
        </w:rPr>
        <w:t> </w:t>
      </w:r>
      <w:r>
        <w:rPr/>
        <w:t>monitoring</w:t>
      </w:r>
      <w:r>
        <w:rPr>
          <w:spacing w:val="-2"/>
        </w:rPr>
        <w:t> </w:t>
      </w:r>
      <w:r>
        <w:rPr/>
        <w:t>while failure</w:t>
      </w:r>
      <w:r>
        <w:rPr>
          <w:spacing w:val="-1"/>
        </w:rPr>
        <w:t> </w:t>
      </w:r>
      <w:r>
        <w:rPr/>
        <w:t>rate</w:t>
      </w:r>
      <w:r>
        <w:rPr>
          <w:spacing w:val="-1"/>
        </w:rPr>
        <w:t> </w:t>
      </w:r>
      <w:r>
        <w:rPr/>
        <w:t>of</w:t>
      </w:r>
      <w:r>
        <w:rPr>
          <w:spacing w:val="-1"/>
        </w:rPr>
        <w:t> </w:t>
      </w:r>
      <w:r>
        <w:rPr/>
        <w:t>15%</w:t>
      </w:r>
      <w:r>
        <w:rPr>
          <w:spacing w:val="-1"/>
        </w:rPr>
        <w:t> </w:t>
      </w:r>
      <w:r>
        <w:rPr/>
        <w:t>to 24%</w:t>
      </w:r>
      <w:r>
        <w:rPr>
          <w:spacing w:val="-1"/>
        </w:rPr>
        <w:t> </w:t>
      </w:r>
      <w:r>
        <w:rPr/>
        <w:t>signals the</w:t>
      </w:r>
      <w:r>
        <w:rPr>
          <w:spacing w:val="-1"/>
        </w:rPr>
        <w:t> </w:t>
      </w:r>
      <w:r>
        <w:rPr/>
        <w:t>need for action (WHO, 2002). In the past fifty years, extensive development of these anti-malarial drugs has provided a tremendous selection pressure on human malaria parasite which has enabled the parasite to evolve mechanisms of resistance. The emergence of resistance, particularly</w:t>
      </w:r>
      <w:r>
        <w:rPr>
          <w:spacing w:val="-4"/>
        </w:rPr>
        <w:t> </w:t>
      </w:r>
      <w:r>
        <w:rPr/>
        <w:t>in</w:t>
      </w:r>
      <w:r>
        <w:rPr>
          <w:spacing w:val="3"/>
        </w:rPr>
        <w:t> </w:t>
      </w:r>
      <w:r>
        <w:rPr>
          <w:i/>
        </w:rPr>
        <w:t>P.</w:t>
      </w:r>
      <w:r>
        <w:rPr>
          <w:i/>
          <w:spacing w:val="1"/>
        </w:rPr>
        <w:t> </w:t>
      </w:r>
      <w:r>
        <w:rPr>
          <w:i/>
        </w:rPr>
        <w:t>falciparum</w:t>
      </w:r>
      <w:r>
        <w:rPr>
          <w:i/>
          <w:spacing w:val="64"/>
        </w:rPr>
        <w:t> </w:t>
      </w:r>
      <w:r>
        <w:rPr/>
        <w:t>has</w:t>
      </w:r>
      <w:r>
        <w:rPr>
          <w:spacing w:val="2"/>
        </w:rPr>
        <w:t> </w:t>
      </w:r>
      <w:r>
        <w:rPr/>
        <w:t>been</w:t>
      </w:r>
      <w:r>
        <w:rPr>
          <w:spacing w:val="1"/>
        </w:rPr>
        <w:t> </w:t>
      </w:r>
      <w:r>
        <w:rPr/>
        <w:t>a</w:t>
      </w:r>
      <w:r>
        <w:rPr>
          <w:spacing w:val="1"/>
        </w:rPr>
        <w:t> </w:t>
      </w:r>
      <w:r>
        <w:rPr/>
        <w:t>major contributor</w:t>
      </w:r>
      <w:r>
        <w:rPr>
          <w:spacing w:val="1"/>
        </w:rPr>
        <w:t> </w:t>
      </w:r>
      <w:r>
        <w:rPr/>
        <w:t>to</w:t>
      </w:r>
      <w:r>
        <w:rPr>
          <w:spacing w:val="1"/>
        </w:rPr>
        <w:t> </w:t>
      </w:r>
      <w:r>
        <w:rPr/>
        <w:t>the</w:t>
      </w:r>
      <w:r>
        <w:rPr>
          <w:spacing w:val="1"/>
        </w:rPr>
        <w:t> </w:t>
      </w:r>
      <w:r>
        <w:rPr/>
        <w:t>global</w:t>
      </w:r>
      <w:r>
        <w:rPr>
          <w:spacing w:val="1"/>
        </w:rPr>
        <w:t> </w:t>
      </w:r>
      <w:r>
        <w:rPr/>
        <w:t>resurgence</w:t>
      </w:r>
      <w:r>
        <w:rPr>
          <w:spacing w:val="1"/>
        </w:rPr>
        <w:t> </w:t>
      </w:r>
      <w:r>
        <w:rPr/>
        <w:t>of</w:t>
      </w:r>
      <w:r>
        <w:rPr>
          <w:spacing w:val="1"/>
        </w:rPr>
        <w:t> </w:t>
      </w:r>
      <w:r>
        <w:rPr>
          <w:spacing w:val="-2"/>
        </w:rPr>
        <w:t>malaria</w:t>
      </w:r>
    </w:p>
    <w:p>
      <w:pPr>
        <w:spacing w:after="0" w:line="480" w:lineRule="auto"/>
        <w:jc w:val="both"/>
        <w:sectPr>
          <w:pgSz w:w="11910" w:h="16840"/>
          <w:pgMar w:header="0" w:footer="1254" w:top="1340" w:bottom="1440" w:left="1180" w:right="580"/>
        </w:sectPr>
      </w:pPr>
    </w:p>
    <w:p>
      <w:pPr>
        <w:pStyle w:val="BodyText"/>
        <w:spacing w:line="480" w:lineRule="auto" w:before="74"/>
        <w:ind w:left="260" w:right="858"/>
        <w:jc w:val="both"/>
      </w:pPr>
      <w:r>
        <w:rPr/>
        <w:t>in the last three decades (Fevre </w:t>
      </w:r>
      <w:r>
        <w:rPr>
          <w:i/>
        </w:rPr>
        <w:t>et al</w:t>
      </w:r>
      <w:r>
        <w:rPr/>
        <w:t>., 1999; Baird, 2000). Predicting the emergence and the spread of resistance to current antimalarial drugs and newly introduced therapeutic compounds is necessary for planning malaria control and instituting strategies that might delay the emergence of resistance.</w:t>
      </w:r>
    </w:p>
    <w:p>
      <w:pPr>
        <w:pStyle w:val="BodyText"/>
      </w:pPr>
    </w:p>
    <w:p>
      <w:pPr>
        <w:pStyle w:val="BodyText"/>
      </w:pPr>
    </w:p>
    <w:p>
      <w:pPr>
        <w:pStyle w:val="BodyText"/>
        <w:spacing w:line="480" w:lineRule="auto"/>
        <w:ind w:left="260" w:right="854"/>
        <w:jc w:val="both"/>
      </w:pPr>
      <w:r>
        <w:rPr/>
        <w:t>Measurement of drug resistance with malaria causative organisms (i.e. </w:t>
      </w:r>
      <w:r>
        <w:rPr>
          <w:i/>
        </w:rPr>
        <w:t>Plasmodium </w:t>
      </w:r>
      <w:r>
        <w:rPr/>
        <w:t>species) is complex. Studies of clinical and parasitological outcomes are the main sources of information on which national malaria control programme and treatment policy should be based. However, other studies such as the molecular studies and </w:t>
      </w:r>
      <w:r>
        <w:rPr>
          <w:i/>
        </w:rPr>
        <w:t>in vitro </w:t>
      </w:r>
      <w:r>
        <w:rPr/>
        <w:t>analysis are needed to confirm</w:t>
      </w:r>
      <w:r>
        <w:rPr>
          <w:spacing w:val="-1"/>
        </w:rPr>
        <w:t> </w:t>
      </w:r>
      <w:r>
        <w:rPr/>
        <w:t>drug</w:t>
      </w:r>
      <w:r>
        <w:rPr>
          <w:spacing w:val="-3"/>
        </w:rPr>
        <w:t> </w:t>
      </w:r>
      <w:r>
        <w:rPr/>
        <w:t>resistance. The</w:t>
      </w:r>
      <w:r>
        <w:rPr>
          <w:spacing w:val="-2"/>
        </w:rPr>
        <w:t> </w:t>
      </w:r>
      <w:r>
        <w:rPr/>
        <w:t>aim of </w:t>
      </w:r>
      <w:r>
        <w:rPr>
          <w:i/>
        </w:rPr>
        <w:t>in vitro</w:t>
      </w:r>
      <w:r>
        <w:rPr>
          <w:i/>
          <w:spacing w:val="-1"/>
        </w:rPr>
        <w:t> </w:t>
      </w:r>
      <w:r>
        <w:rPr/>
        <w:t>studies</w:t>
      </w:r>
      <w:r>
        <w:rPr>
          <w:spacing w:val="-1"/>
        </w:rPr>
        <w:t> </w:t>
      </w:r>
      <w:r>
        <w:rPr/>
        <w:t>is to</w:t>
      </w:r>
      <w:r>
        <w:rPr>
          <w:spacing w:val="-2"/>
        </w:rPr>
        <w:t> </w:t>
      </w:r>
      <w:r>
        <w:rPr/>
        <w:t>measure</w:t>
      </w:r>
      <w:r>
        <w:rPr>
          <w:spacing w:val="-2"/>
        </w:rPr>
        <w:t> </w:t>
      </w:r>
      <w:r>
        <w:rPr/>
        <w:t>the</w:t>
      </w:r>
      <w:r>
        <w:rPr>
          <w:spacing w:val="-1"/>
        </w:rPr>
        <w:t> </w:t>
      </w:r>
      <w:r>
        <w:rPr/>
        <w:t>intrinsic</w:t>
      </w:r>
      <w:r>
        <w:rPr>
          <w:spacing w:val="-1"/>
        </w:rPr>
        <w:t> </w:t>
      </w:r>
      <w:r>
        <w:rPr/>
        <w:t>sensitivity</w:t>
      </w:r>
      <w:r>
        <w:rPr>
          <w:spacing w:val="-8"/>
        </w:rPr>
        <w:t> </w:t>
      </w:r>
      <w:r>
        <w:rPr/>
        <w:t>of parasite to antimalarial drugs while molecular markers are used to identify genetic mutations related to antimalarial drug resistance in the parasite genome (WHO, 2010a). The pharmacokinetic study often characterizes antimalarial drug absorption, distribution, metabolism and elimination in the body. While each method makes a contribution to a more complete understanding of antimalarial drug resistance, therapeutic study remains the gold standard for guiding drug policy (WHO, 2010b).</w:t>
      </w:r>
    </w:p>
    <w:p>
      <w:pPr>
        <w:pStyle w:val="BodyText"/>
      </w:pPr>
    </w:p>
    <w:p>
      <w:pPr>
        <w:pStyle w:val="BodyText"/>
        <w:spacing w:before="9"/>
      </w:pPr>
    </w:p>
    <w:p>
      <w:pPr>
        <w:pStyle w:val="Heading2"/>
        <w:numPr>
          <w:ilvl w:val="1"/>
          <w:numId w:val="7"/>
        </w:numPr>
        <w:tabs>
          <w:tab w:pos="680" w:val="left" w:leader="none"/>
        </w:tabs>
        <w:spacing w:line="240" w:lineRule="auto" w:before="0" w:after="0"/>
        <w:ind w:left="680" w:right="0" w:hanging="420"/>
        <w:jc w:val="both"/>
      </w:pPr>
      <w:bookmarkStart w:name="_TOC_250035" w:id="13"/>
      <w:r>
        <w:rPr/>
        <w:t>Statement</w:t>
      </w:r>
      <w:r>
        <w:rPr>
          <w:spacing w:val="-3"/>
        </w:rPr>
        <w:t> </w:t>
      </w:r>
      <w:r>
        <w:rPr/>
        <w:t>of</w:t>
      </w:r>
      <w:r>
        <w:rPr>
          <w:spacing w:val="-3"/>
        </w:rPr>
        <w:t> </w:t>
      </w:r>
      <w:r>
        <w:rPr/>
        <w:t>Research</w:t>
      </w:r>
      <w:r>
        <w:rPr>
          <w:spacing w:val="-3"/>
        </w:rPr>
        <w:t> </w:t>
      </w:r>
      <w:bookmarkEnd w:id="13"/>
      <w:r>
        <w:rPr>
          <w:spacing w:val="-2"/>
        </w:rPr>
        <w:t>problem</w:t>
      </w:r>
    </w:p>
    <w:p>
      <w:pPr>
        <w:pStyle w:val="BodyText"/>
        <w:spacing w:line="480" w:lineRule="auto" w:before="233"/>
        <w:ind w:left="260" w:right="859"/>
        <w:jc w:val="both"/>
      </w:pPr>
      <w:r>
        <w:rPr/>
        <w:t>Drug resistance in malaria is an important public health concern. According to the latest estimates, there were about 198 million cases of malaria with an estimated 584,000 death globally (WHO, 2014).</w:t>
      </w:r>
      <w:r>
        <w:rPr>
          <w:spacing w:val="40"/>
        </w:rPr>
        <w:t> </w:t>
      </w:r>
      <w:r>
        <w:rPr/>
        <w:t>Most malaria caused deaths were reported to occur among children living in Africa where a child dies every minute from malaria. The Democratic Republic of the Congo and Nigeria account for over 40% of the estimated total malaria caused deaths globally (WHO, 2014). Amid such a disease burden, the development of resistance has significant</w:t>
      </w:r>
      <w:r>
        <w:rPr>
          <w:spacing w:val="16"/>
        </w:rPr>
        <w:t> </w:t>
      </w:r>
      <w:r>
        <w:rPr/>
        <w:t>influence</w:t>
      </w:r>
      <w:r>
        <w:rPr>
          <w:spacing w:val="17"/>
        </w:rPr>
        <w:t> </w:t>
      </w:r>
      <w:r>
        <w:rPr/>
        <w:t>on</w:t>
      </w:r>
      <w:r>
        <w:rPr>
          <w:spacing w:val="17"/>
        </w:rPr>
        <w:t> </w:t>
      </w:r>
      <w:r>
        <w:rPr/>
        <w:t>the</w:t>
      </w:r>
      <w:r>
        <w:rPr>
          <w:spacing w:val="17"/>
        </w:rPr>
        <w:t> </w:t>
      </w:r>
      <w:r>
        <w:rPr/>
        <w:t>control</w:t>
      </w:r>
      <w:r>
        <w:rPr>
          <w:spacing w:val="18"/>
        </w:rPr>
        <w:t> </w:t>
      </w:r>
      <w:r>
        <w:rPr/>
        <w:t>of</w:t>
      </w:r>
      <w:r>
        <w:rPr>
          <w:spacing w:val="17"/>
        </w:rPr>
        <w:t> </w:t>
      </w:r>
      <w:r>
        <w:rPr/>
        <w:t>malaria</w:t>
      </w:r>
      <w:r>
        <w:rPr>
          <w:spacing w:val="21"/>
        </w:rPr>
        <w:t> </w:t>
      </w:r>
      <w:r>
        <w:rPr/>
        <w:t>in</w:t>
      </w:r>
      <w:r>
        <w:rPr>
          <w:spacing w:val="20"/>
        </w:rPr>
        <w:t> </w:t>
      </w:r>
      <w:r>
        <w:rPr/>
        <w:t>affected</w:t>
      </w:r>
      <w:r>
        <w:rPr>
          <w:spacing w:val="17"/>
        </w:rPr>
        <w:t> </w:t>
      </w:r>
      <w:r>
        <w:rPr/>
        <w:t>countries.</w:t>
      </w:r>
      <w:r>
        <w:rPr>
          <w:spacing w:val="18"/>
        </w:rPr>
        <w:t> </w:t>
      </w:r>
      <w:r>
        <w:rPr/>
        <w:t>Hence</w:t>
      </w:r>
      <w:r>
        <w:rPr>
          <w:spacing w:val="17"/>
        </w:rPr>
        <w:t> </w:t>
      </w:r>
      <w:r>
        <w:rPr/>
        <w:t>there</w:t>
      </w:r>
      <w:r>
        <w:rPr>
          <w:spacing w:val="17"/>
        </w:rPr>
        <w:t> </w:t>
      </w:r>
      <w:r>
        <w:rPr/>
        <w:t>is</w:t>
      </w:r>
      <w:r>
        <w:rPr>
          <w:spacing w:val="18"/>
        </w:rPr>
        <w:t> </w:t>
      </w:r>
      <w:r>
        <w:rPr/>
        <w:t>need</w:t>
      </w:r>
      <w:r>
        <w:rPr>
          <w:spacing w:val="18"/>
        </w:rPr>
        <w:t> </w:t>
      </w:r>
      <w:r>
        <w:rPr>
          <w:spacing w:val="-5"/>
        </w:rPr>
        <w:t>for</w:t>
      </w:r>
    </w:p>
    <w:p>
      <w:pPr>
        <w:spacing w:after="0" w:line="480" w:lineRule="auto"/>
        <w:jc w:val="both"/>
        <w:sectPr>
          <w:pgSz w:w="11910" w:h="16840"/>
          <w:pgMar w:header="0" w:footer="1254" w:top="1340" w:bottom="1440" w:left="1180" w:right="580"/>
        </w:sectPr>
      </w:pPr>
    </w:p>
    <w:p>
      <w:pPr>
        <w:pStyle w:val="BodyText"/>
        <w:spacing w:line="480" w:lineRule="auto" w:before="74"/>
        <w:ind w:left="260" w:right="853"/>
        <w:jc w:val="both"/>
      </w:pPr>
      <w:r>
        <w:rPr/>
        <w:t>the study of changing patterns of drug resistance which will improve our current understanding of its development. The resistance pattern would provide useful treatment guidance and will form the basis for the improvement of strategies that seek to combine new and old antimalarial drugs in the bid to cure malaria while seeking to reduce the incidence of drug resistance in this study area. Studies such as this will give current information on antimalarial susceptibility pattern of plasmodium species isolated in this locality.</w:t>
      </w:r>
    </w:p>
    <w:p>
      <w:pPr>
        <w:pStyle w:val="BodyText"/>
      </w:pPr>
    </w:p>
    <w:p>
      <w:pPr>
        <w:pStyle w:val="BodyText"/>
        <w:spacing w:before="5"/>
      </w:pPr>
    </w:p>
    <w:p>
      <w:pPr>
        <w:pStyle w:val="Heading2"/>
        <w:numPr>
          <w:ilvl w:val="1"/>
          <w:numId w:val="8"/>
        </w:numPr>
        <w:tabs>
          <w:tab w:pos="680" w:val="left" w:leader="none"/>
        </w:tabs>
        <w:spacing w:line="240" w:lineRule="auto" w:before="0" w:after="0"/>
        <w:ind w:left="680" w:right="0" w:hanging="420"/>
        <w:jc w:val="both"/>
      </w:pPr>
      <w:bookmarkStart w:name="_TOC_250034" w:id="14"/>
      <w:bookmarkEnd w:id="14"/>
      <w:r>
        <w:rPr>
          <w:spacing w:val="-2"/>
        </w:rPr>
        <w:t>Justification</w:t>
      </w:r>
    </w:p>
    <w:p>
      <w:pPr>
        <w:pStyle w:val="BodyText"/>
        <w:spacing w:line="480" w:lineRule="auto" w:before="272"/>
        <w:ind w:left="260" w:right="859"/>
        <w:jc w:val="both"/>
      </w:pPr>
      <w:r>
        <w:rPr/>
        <w:t>Nigeria has more reported cases of malaria and deaths due to malaria than any other country in the world (CDC, 2012). Malaria drugs are working well in many parts of the world, however, there is serious concern that malaria parasites are once again developing</w:t>
      </w:r>
      <w:r>
        <w:rPr>
          <w:spacing w:val="80"/>
        </w:rPr>
        <w:t> </w:t>
      </w:r>
      <w:r>
        <w:rPr/>
        <w:t>widespread resistance to antimalarial drugs.</w:t>
      </w:r>
      <w:r>
        <w:rPr>
          <w:spacing w:val="40"/>
        </w:rPr>
        <w:t> </w:t>
      </w:r>
      <w:r>
        <w:rPr/>
        <w:t>Key drivers of antimalarial drug resistance</w:t>
      </w:r>
    </w:p>
    <w:p>
      <w:pPr>
        <w:pStyle w:val="BodyText"/>
        <w:spacing w:line="480" w:lineRule="auto"/>
        <w:ind w:left="980" w:right="855" w:hanging="360"/>
      </w:pPr>
      <w:r>
        <w:rPr>
          <w:position w:val="-4"/>
        </w:rPr>
        <w:drawing>
          <wp:inline distT="0" distB="0" distL="0" distR="0">
            <wp:extent cx="115824" cy="155448"/>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15824" cy="155448"/>
                    </a:xfrm>
                    <a:prstGeom prst="rect">
                      <a:avLst/>
                    </a:prstGeom>
                  </pic:spPr>
                </pic:pic>
              </a:graphicData>
            </a:graphic>
          </wp:inline>
        </w:drawing>
      </w:r>
      <w:r>
        <w:rPr>
          <w:position w:val="-4"/>
        </w:rPr>
      </w:r>
      <w:r>
        <w:rPr>
          <w:spacing w:val="80"/>
          <w:sz w:val="20"/>
        </w:rPr>
        <w:t> </w:t>
      </w:r>
      <w:r>
        <w:rPr/>
        <w:t>Unusual genetic structure of malaria parasites in regions known for antimalarial drug </w:t>
      </w:r>
      <w:r>
        <w:rPr>
          <w:spacing w:val="-2"/>
        </w:rPr>
        <w:t>resistance</w:t>
      </w:r>
    </w:p>
    <w:p>
      <w:pPr>
        <w:pStyle w:val="BodyText"/>
        <w:ind w:left="620"/>
      </w:pPr>
      <w:r>
        <w:rPr>
          <w:position w:val="-4"/>
        </w:rPr>
        <w:drawing>
          <wp:inline distT="0" distB="0" distL="0" distR="0">
            <wp:extent cx="115824" cy="155448"/>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115824" cy="155448"/>
                    </a:xfrm>
                    <a:prstGeom prst="rect">
                      <a:avLst/>
                    </a:prstGeom>
                  </pic:spPr>
                </pic:pic>
              </a:graphicData>
            </a:graphic>
          </wp:inline>
        </w:drawing>
      </w:r>
      <w:r>
        <w:rPr>
          <w:position w:val="-4"/>
        </w:rPr>
      </w:r>
      <w:r>
        <w:rPr>
          <w:spacing w:val="80"/>
          <w:w w:val="150"/>
          <w:sz w:val="20"/>
        </w:rPr>
        <w:t> </w:t>
      </w:r>
      <w:r>
        <w:rPr/>
        <w:t>Counterfeit or substandard drugs</w:t>
      </w:r>
    </w:p>
    <w:p>
      <w:pPr>
        <w:pStyle w:val="BodyText"/>
      </w:pPr>
    </w:p>
    <w:p>
      <w:pPr>
        <w:pStyle w:val="BodyText"/>
        <w:ind w:left="620"/>
      </w:pPr>
      <w:r>
        <w:rPr>
          <w:position w:val="-4"/>
        </w:rPr>
        <w:drawing>
          <wp:inline distT="0" distB="0" distL="0" distR="0">
            <wp:extent cx="115824" cy="155448"/>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115824" cy="155448"/>
                    </a:xfrm>
                    <a:prstGeom prst="rect">
                      <a:avLst/>
                    </a:prstGeom>
                  </pic:spPr>
                </pic:pic>
              </a:graphicData>
            </a:graphic>
          </wp:inline>
        </w:drawing>
      </w:r>
      <w:r>
        <w:rPr>
          <w:position w:val="-4"/>
        </w:rPr>
      </w:r>
      <w:r>
        <w:rPr>
          <w:spacing w:val="80"/>
          <w:w w:val="150"/>
          <w:sz w:val="20"/>
        </w:rPr>
        <w:t> </w:t>
      </w:r>
      <w:r>
        <w:rPr/>
        <w:t>Unregulated or poorly administered antimalarial drug use</w:t>
      </w:r>
    </w:p>
    <w:p>
      <w:pPr>
        <w:pStyle w:val="BodyText"/>
      </w:pPr>
    </w:p>
    <w:p>
      <w:pPr>
        <w:pStyle w:val="BodyText"/>
        <w:spacing w:line="480" w:lineRule="auto"/>
        <w:ind w:left="980" w:hanging="360"/>
      </w:pPr>
      <w:r>
        <w:rPr>
          <w:position w:val="-4"/>
        </w:rPr>
        <w:drawing>
          <wp:inline distT="0" distB="0" distL="0" distR="0">
            <wp:extent cx="115824" cy="155448"/>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115824" cy="155448"/>
                    </a:xfrm>
                    <a:prstGeom prst="rect">
                      <a:avLst/>
                    </a:prstGeom>
                  </pic:spPr>
                </pic:pic>
              </a:graphicData>
            </a:graphic>
          </wp:inline>
        </w:drawing>
      </w:r>
      <w:r>
        <w:rPr>
          <w:position w:val="-4"/>
        </w:rPr>
      </w:r>
      <w:r>
        <w:rPr>
          <w:spacing w:val="80"/>
          <w:w w:val="150"/>
          <w:sz w:val="20"/>
        </w:rPr>
        <w:t> </w:t>
      </w:r>
      <w:r>
        <w:rPr/>
        <w:t>Artemisinin</w:t>
      </w:r>
      <w:r>
        <w:rPr>
          <w:spacing w:val="75"/>
        </w:rPr>
        <w:t> </w:t>
      </w:r>
      <w:r>
        <w:rPr/>
        <w:t>drug</w:t>
      </w:r>
      <w:r>
        <w:rPr>
          <w:spacing w:val="73"/>
        </w:rPr>
        <w:t> </w:t>
      </w:r>
      <w:r>
        <w:rPr/>
        <w:t>use</w:t>
      </w:r>
      <w:r>
        <w:rPr>
          <w:spacing w:val="79"/>
        </w:rPr>
        <w:t> </w:t>
      </w:r>
      <w:r>
        <w:rPr/>
        <w:t>without</w:t>
      </w:r>
      <w:r>
        <w:rPr>
          <w:spacing w:val="76"/>
        </w:rPr>
        <w:t> </w:t>
      </w:r>
      <w:r>
        <w:rPr/>
        <w:t>a</w:t>
      </w:r>
      <w:r>
        <w:rPr>
          <w:spacing w:val="75"/>
        </w:rPr>
        <w:t> </w:t>
      </w:r>
      <w:r>
        <w:rPr/>
        <w:t>complementary</w:t>
      </w:r>
      <w:r>
        <w:rPr>
          <w:spacing w:val="73"/>
        </w:rPr>
        <w:t> </w:t>
      </w:r>
      <w:r>
        <w:rPr/>
        <w:t>combination</w:t>
      </w:r>
      <w:r>
        <w:rPr>
          <w:spacing w:val="75"/>
        </w:rPr>
        <w:t> </w:t>
      </w:r>
      <w:r>
        <w:rPr/>
        <w:t>treatment,</w:t>
      </w:r>
      <w:r>
        <w:rPr>
          <w:spacing w:val="76"/>
        </w:rPr>
        <w:t> </w:t>
      </w:r>
      <w:r>
        <w:rPr/>
        <w:t>such</w:t>
      </w:r>
      <w:r>
        <w:rPr>
          <w:spacing w:val="75"/>
        </w:rPr>
        <w:t> </w:t>
      </w:r>
      <w:r>
        <w:rPr/>
        <w:t>as </w:t>
      </w:r>
      <w:r>
        <w:rPr>
          <w:spacing w:val="-2"/>
        </w:rPr>
        <w:t>Artesunate.</w:t>
      </w:r>
    </w:p>
    <w:p>
      <w:pPr>
        <w:pStyle w:val="BodyText"/>
        <w:spacing w:line="480" w:lineRule="auto" w:before="1"/>
        <w:ind w:left="260" w:right="857"/>
        <w:jc w:val="both"/>
      </w:pPr>
      <w:r>
        <w:rPr/>
        <w:t>Thus, continuous monitoring of drug resistance in malaria-endemic countries like Nigeria, along with research into the various contributing factors will enable health authorities and practitioners to effectively prevent drug resistance from spreading. This study is focused on monitoring of drug resistance in Niger state and understanding the mechanism of drug- </w:t>
      </w:r>
      <w:r>
        <w:rPr>
          <w:spacing w:val="-2"/>
        </w:rPr>
        <w:t>resistance.</w:t>
      </w:r>
    </w:p>
    <w:p>
      <w:pPr>
        <w:spacing w:before="1"/>
        <w:ind w:left="260" w:right="0" w:firstLine="0"/>
        <w:jc w:val="both"/>
        <w:rPr>
          <w:i/>
          <w:sz w:val="24"/>
        </w:rPr>
      </w:pPr>
      <w:r>
        <w:rPr>
          <w:sz w:val="24"/>
        </w:rPr>
        <w:t>The</w:t>
      </w:r>
      <w:r>
        <w:rPr>
          <w:spacing w:val="-2"/>
          <w:sz w:val="24"/>
        </w:rPr>
        <w:t> </w:t>
      </w:r>
      <w:r>
        <w:rPr>
          <w:i/>
          <w:sz w:val="24"/>
        </w:rPr>
        <w:t>in</w:t>
      </w:r>
      <w:r>
        <w:rPr>
          <w:i/>
          <w:spacing w:val="1"/>
          <w:sz w:val="24"/>
        </w:rPr>
        <w:t> </w:t>
      </w:r>
      <w:r>
        <w:rPr>
          <w:i/>
          <w:sz w:val="24"/>
        </w:rPr>
        <w:t>vitro</w:t>
      </w:r>
      <w:r>
        <w:rPr>
          <w:i/>
          <w:spacing w:val="1"/>
          <w:sz w:val="24"/>
        </w:rPr>
        <w:t> </w:t>
      </w:r>
      <w:r>
        <w:rPr>
          <w:sz w:val="24"/>
        </w:rPr>
        <w:t>micro-test</w:t>
      </w:r>
      <w:r>
        <w:rPr>
          <w:spacing w:val="1"/>
          <w:sz w:val="24"/>
        </w:rPr>
        <w:t> </w:t>
      </w:r>
      <w:r>
        <w:rPr>
          <w:sz w:val="24"/>
        </w:rPr>
        <w:t>provides information</w:t>
      </w:r>
      <w:r>
        <w:rPr>
          <w:spacing w:val="1"/>
          <w:sz w:val="24"/>
        </w:rPr>
        <w:t> </w:t>
      </w:r>
      <w:r>
        <w:rPr>
          <w:sz w:val="24"/>
        </w:rPr>
        <w:t>on</w:t>
      </w:r>
      <w:r>
        <w:rPr>
          <w:spacing w:val="1"/>
          <w:sz w:val="24"/>
        </w:rPr>
        <w:t> </w:t>
      </w:r>
      <w:r>
        <w:rPr>
          <w:sz w:val="24"/>
        </w:rPr>
        <w:t>the</w:t>
      </w:r>
      <w:r>
        <w:rPr>
          <w:spacing w:val="2"/>
          <w:sz w:val="24"/>
        </w:rPr>
        <w:t> </w:t>
      </w:r>
      <w:r>
        <w:rPr>
          <w:sz w:val="24"/>
        </w:rPr>
        <w:t>quantitative drug</w:t>
      </w:r>
      <w:r>
        <w:rPr>
          <w:spacing w:val="-1"/>
          <w:sz w:val="24"/>
        </w:rPr>
        <w:t> </w:t>
      </w:r>
      <w:r>
        <w:rPr>
          <w:sz w:val="24"/>
        </w:rPr>
        <w:t>response of</w:t>
      </w:r>
      <w:r>
        <w:rPr>
          <w:spacing w:val="2"/>
          <w:sz w:val="24"/>
        </w:rPr>
        <w:t> </w:t>
      </w:r>
      <w:r>
        <w:rPr>
          <w:i/>
          <w:spacing w:val="-2"/>
          <w:sz w:val="24"/>
        </w:rPr>
        <w:t>Plasmodium</w:t>
      </w:r>
    </w:p>
    <w:p>
      <w:pPr>
        <w:pStyle w:val="BodyText"/>
        <w:rPr>
          <w:i/>
        </w:rPr>
      </w:pPr>
    </w:p>
    <w:p>
      <w:pPr>
        <w:pStyle w:val="BodyText"/>
        <w:ind w:left="260"/>
        <w:jc w:val="both"/>
      </w:pPr>
      <w:r>
        <w:rPr/>
        <w:t>parasites</w:t>
      </w:r>
      <w:r>
        <w:rPr>
          <w:spacing w:val="70"/>
        </w:rPr>
        <w:t> </w:t>
      </w:r>
      <w:r>
        <w:rPr/>
        <w:t>irrespective</w:t>
      </w:r>
      <w:r>
        <w:rPr>
          <w:spacing w:val="71"/>
        </w:rPr>
        <w:t> </w:t>
      </w:r>
      <w:r>
        <w:rPr/>
        <w:t>of</w:t>
      </w:r>
      <w:r>
        <w:rPr>
          <w:spacing w:val="74"/>
        </w:rPr>
        <w:t> </w:t>
      </w:r>
      <w:r>
        <w:rPr/>
        <w:t>the</w:t>
      </w:r>
      <w:r>
        <w:rPr>
          <w:spacing w:val="71"/>
        </w:rPr>
        <w:t> </w:t>
      </w:r>
      <w:r>
        <w:rPr/>
        <w:t>patient’s</w:t>
      </w:r>
      <w:r>
        <w:rPr>
          <w:spacing w:val="78"/>
        </w:rPr>
        <w:t> </w:t>
      </w:r>
      <w:r>
        <w:rPr/>
        <w:t>immune</w:t>
      </w:r>
      <w:r>
        <w:rPr>
          <w:spacing w:val="74"/>
        </w:rPr>
        <w:t> </w:t>
      </w:r>
      <w:r>
        <w:rPr/>
        <w:t>status.</w:t>
      </w:r>
      <w:r>
        <w:rPr>
          <w:spacing w:val="75"/>
        </w:rPr>
        <w:t> </w:t>
      </w:r>
      <w:r>
        <w:rPr/>
        <w:t>It</w:t>
      </w:r>
      <w:r>
        <w:rPr>
          <w:spacing w:val="75"/>
        </w:rPr>
        <w:t> </w:t>
      </w:r>
      <w:r>
        <w:rPr/>
        <w:t>is</w:t>
      </w:r>
      <w:r>
        <w:rPr>
          <w:spacing w:val="72"/>
        </w:rPr>
        <w:t> </w:t>
      </w:r>
      <w:r>
        <w:rPr/>
        <w:t>an</w:t>
      </w:r>
      <w:r>
        <w:rPr>
          <w:spacing w:val="75"/>
        </w:rPr>
        <w:t> </w:t>
      </w:r>
      <w:r>
        <w:rPr/>
        <w:t>epidemiological</w:t>
      </w:r>
      <w:r>
        <w:rPr>
          <w:spacing w:val="72"/>
        </w:rPr>
        <w:t> </w:t>
      </w:r>
      <w:r>
        <w:rPr/>
        <w:t>tool</w:t>
      </w:r>
      <w:r>
        <w:rPr>
          <w:spacing w:val="76"/>
        </w:rPr>
        <w:t> </w:t>
      </w:r>
      <w:r>
        <w:rPr>
          <w:spacing w:val="-5"/>
        </w:rPr>
        <w:t>for</w:t>
      </w:r>
    </w:p>
    <w:p>
      <w:pPr>
        <w:spacing w:after="0"/>
        <w:jc w:val="both"/>
        <w:sectPr>
          <w:pgSz w:w="11910" w:h="16840"/>
          <w:pgMar w:header="0" w:footer="1254" w:top="1340" w:bottom="1440" w:left="1180" w:right="580"/>
        </w:sectPr>
      </w:pPr>
    </w:p>
    <w:p>
      <w:pPr>
        <w:pStyle w:val="BodyText"/>
        <w:spacing w:line="480" w:lineRule="auto" w:before="74"/>
        <w:ind w:left="260" w:right="854"/>
        <w:jc w:val="both"/>
      </w:pPr>
      <w:r>
        <w:rPr/>
        <w:t>assessing baseline sensitivity and for monitoring the drug response of plasmodium parasites over time and place and therefore can provide background information for the development and evaluation of drug policies. Changes in parasite drug sensitivity </w:t>
      </w:r>
      <w:r>
        <w:rPr>
          <w:i/>
        </w:rPr>
        <w:t>in vitro </w:t>
      </w:r>
      <w:r>
        <w:rPr/>
        <w:t>can be an indicator of future therapeutic failure. Unlike the </w:t>
      </w:r>
      <w:r>
        <w:rPr>
          <w:i/>
        </w:rPr>
        <w:t>in vivo </w:t>
      </w:r>
      <w:r>
        <w:rPr/>
        <w:t>tests, the results of an </w:t>
      </w:r>
      <w:r>
        <w:rPr>
          <w:i/>
        </w:rPr>
        <w:t>in vitro </w:t>
      </w:r>
      <w:r>
        <w:rPr/>
        <w:t>test</w:t>
      </w:r>
      <w:r>
        <w:rPr>
          <w:spacing w:val="80"/>
        </w:rPr>
        <w:t> </w:t>
      </w:r>
      <w:r>
        <w:rPr/>
        <w:t>are not disturbed by on-going malaria transmission.</w:t>
      </w:r>
    </w:p>
    <w:p>
      <w:pPr>
        <w:pStyle w:val="BodyText"/>
      </w:pPr>
    </w:p>
    <w:p>
      <w:pPr>
        <w:pStyle w:val="BodyText"/>
        <w:spacing w:before="8"/>
      </w:pPr>
    </w:p>
    <w:p>
      <w:pPr>
        <w:pStyle w:val="Heading2"/>
        <w:numPr>
          <w:ilvl w:val="1"/>
          <w:numId w:val="9"/>
        </w:numPr>
        <w:tabs>
          <w:tab w:pos="680" w:val="left" w:leader="none"/>
        </w:tabs>
        <w:spacing w:line="240" w:lineRule="auto" w:before="0" w:after="0"/>
        <w:ind w:left="680" w:right="0" w:hanging="420"/>
        <w:jc w:val="both"/>
      </w:pPr>
      <w:bookmarkStart w:name="_TOC_250033" w:id="15"/>
      <w:r>
        <w:rPr/>
        <w:t>Aim</w:t>
      </w:r>
      <w:r>
        <w:rPr>
          <w:spacing w:val="-4"/>
        </w:rPr>
        <w:t> </w:t>
      </w:r>
      <w:r>
        <w:rPr/>
        <w:t>and </w:t>
      </w:r>
      <w:bookmarkEnd w:id="15"/>
      <w:r>
        <w:rPr>
          <w:spacing w:val="-2"/>
        </w:rPr>
        <w:t>Objectives</w:t>
      </w:r>
    </w:p>
    <w:p>
      <w:pPr>
        <w:pStyle w:val="ListParagraph"/>
        <w:numPr>
          <w:ilvl w:val="2"/>
          <w:numId w:val="9"/>
        </w:numPr>
        <w:tabs>
          <w:tab w:pos="800" w:val="left" w:leader="none"/>
        </w:tabs>
        <w:spacing w:line="240" w:lineRule="auto" w:before="237" w:after="0"/>
        <w:ind w:left="800" w:right="0" w:hanging="540"/>
        <w:jc w:val="both"/>
        <w:rPr>
          <w:b/>
          <w:sz w:val="24"/>
        </w:rPr>
      </w:pPr>
      <w:r>
        <w:rPr>
          <w:b/>
          <w:sz w:val="24"/>
        </w:rPr>
        <w:t>Aim</w:t>
      </w:r>
      <w:r>
        <w:rPr>
          <w:b/>
          <w:spacing w:val="-5"/>
          <w:sz w:val="24"/>
        </w:rPr>
        <w:t> </w:t>
      </w:r>
      <w:r>
        <w:rPr>
          <w:b/>
          <w:sz w:val="24"/>
        </w:rPr>
        <w:t>of</w:t>
      </w:r>
      <w:r>
        <w:rPr>
          <w:b/>
          <w:spacing w:val="1"/>
          <w:sz w:val="24"/>
        </w:rPr>
        <w:t> </w:t>
      </w:r>
      <w:r>
        <w:rPr>
          <w:b/>
          <w:sz w:val="24"/>
        </w:rPr>
        <w:t>the</w:t>
      </w:r>
      <w:r>
        <w:rPr>
          <w:b/>
          <w:spacing w:val="-1"/>
          <w:sz w:val="24"/>
        </w:rPr>
        <w:t> </w:t>
      </w:r>
      <w:r>
        <w:rPr>
          <w:b/>
          <w:spacing w:val="-2"/>
          <w:sz w:val="24"/>
        </w:rPr>
        <w:t>Study</w:t>
      </w:r>
    </w:p>
    <w:p>
      <w:pPr>
        <w:pStyle w:val="BodyText"/>
        <w:spacing w:line="480" w:lineRule="auto" w:before="272"/>
        <w:ind w:left="260" w:right="855"/>
        <w:jc w:val="both"/>
      </w:pPr>
      <w:r>
        <w:rPr/>
        <w:t>The aim of this study is to determine the susceptibility of </w:t>
      </w:r>
      <w:r>
        <w:rPr>
          <w:i/>
        </w:rPr>
        <w:t>Plasmodium </w:t>
      </w:r>
      <w:r>
        <w:rPr/>
        <w:t>species isolated from patients attending Umaru Musa Yaradua Memorial Hospital (UMYMH), Sabon-Wuse to the commonly prescribed antimalarial drugs.</w:t>
      </w:r>
    </w:p>
    <w:p>
      <w:pPr>
        <w:pStyle w:val="BodyText"/>
      </w:pPr>
    </w:p>
    <w:p>
      <w:pPr>
        <w:pStyle w:val="BodyText"/>
        <w:spacing w:before="5"/>
      </w:pPr>
    </w:p>
    <w:p>
      <w:pPr>
        <w:pStyle w:val="Heading2"/>
        <w:numPr>
          <w:ilvl w:val="2"/>
          <w:numId w:val="9"/>
        </w:numPr>
        <w:tabs>
          <w:tab w:pos="800" w:val="left" w:leader="none"/>
        </w:tabs>
        <w:spacing w:line="240" w:lineRule="auto" w:before="0" w:after="0"/>
        <w:ind w:left="800" w:right="0" w:hanging="540"/>
        <w:jc w:val="both"/>
      </w:pPr>
      <w:bookmarkStart w:name="_TOC_250032" w:id="16"/>
      <w:r>
        <w:rPr/>
        <w:t>Specific</w:t>
      </w:r>
      <w:r>
        <w:rPr>
          <w:spacing w:val="-1"/>
        </w:rPr>
        <w:t> </w:t>
      </w:r>
      <w:bookmarkEnd w:id="16"/>
      <w:r>
        <w:rPr>
          <w:spacing w:val="-2"/>
        </w:rPr>
        <w:t>objectives</w:t>
      </w:r>
    </w:p>
    <w:p>
      <w:pPr>
        <w:pStyle w:val="BodyText"/>
        <w:spacing w:before="271"/>
        <w:ind w:left="260"/>
        <w:jc w:val="both"/>
      </w:pPr>
      <w:r>
        <w:rPr/>
        <w:t>The</w:t>
      </w:r>
      <w:r>
        <w:rPr>
          <w:spacing w:val="-2"/>
        </w:rPr>
        <w:t> </w:t>
      </w:r>
      <w:r>
        <w:rPr/>
        <w:t>specific objectives of the</w:t>
      </w:r>
      <w:r>
        <w:rPr>
          <w:spacing w:val="-2"/>
        </w:rPr>
        <w:t> </w:t>
      </w:r>
      <w:r>
        <w:rPr/>
        <w:t>study</w:t>
      </w:r>
      <w:r>
        <w:rPr>
          <w:spacing w:val="-3"/>
        </w:rPr>
        <w:t> </w:t>
      </w:r>
      <w:r>
        <w:rPr>
          <w:spacing w:val="-2"/>
        </w:rPr>
        <w:t>were:-</w:t>
      </w:r>
    </w:p>
    <w:p>
      <w:pPr>
        <w:pStyle w:val="BodyText"/>
      </w:pPr>
    </w:p>
    <w:p>
      <w:pPr>
        <w:pStyle w:val="ListParagraph"/>
        <w:numPr>
          <w:ilvl w:val="3"/>
          <w:numId w:val="9"/>
        </w:numPr>
        <w:tabs>
          <w:tab w:pos="980" w:val="left" w:leader="none"/>
        </w:tabs>
        <w:spacing w:line="480" w:lineRule="auto" w:before="0" w:after="0"/>
        <w:ind w:left="980" w:right="861" w:hanging="360"/>
        <w:jc w:val="both"/>
        <w:rPr>
          <w:sz w:val="24"/>
        </w:rPr>
      </w:pPr>
      <w:r>
        <w:rPr>
          <w:sz w:val="24"/>
        </w:rPr>
        <w:t>To determine the prevalence of malaria in Umaru Musa Yaradua Memorial Hospital (UMYMH), Sabon-Wuse, Niger State, Nigeria.</w:t>
      </w:r>
    </w:p>
    <w:p>
      <w:pPr>
        <w:pStyle w:val="ListParagraph"/>
        <w:numPr>
          <w:ilvl w:val="3"/>
          <w:numId w:val="9"/>
        </w:numPr>
        <w:tabs>
          <w:tab w:pos="979" w:val="left" w:leader="none"/>
        </w:tabs>
        <w:spacing w:line="240" w:lineRule="auto" w:before="0" w:after="0"/>
        <w:ind w:left="979" w:right="0" w:hanging="359"/>
        <w:jc w:val="both"/>
        <w:rPr>
          <w:sz w:val="24"/>
        </w:rPr>
      </w:pPr>
      <w:r>
        <w:rPr>
          <w:sz w:val="24"/>
        </w:rPr>
        <w:t>To</w:t>
      </w:r>
      <w:r>
        <w:rPr>
          <w:spacing w:val="-1"/>
          <w:sz w:val="24"/>
        </w:rPr>
        <w:t> </w:t>
      </w:r>
      <w:r>
        <w:rPr>
          <w:sz w:val="24"/>
        </w:rPr>
        <w:t>determine</w:t>
      </w:r>
      <w:r>
        <w:rPr>
          <w:spacing w:val="-2"/>
          <w:sz w:val="24"/>
        </w:rPr>
        <w:t> </w:t>
      </w:r>
      <w:r>
        <w:rPr>
          <w:sz w:val="24"/>
        </w:rPr>
        <w:t>the antimalarial</w:t>
      </w:r>
      <w:r>
        <w:rPr>
          <w:spacing w:val="-1"/>
          <w:sz w:val="24"/>
        </w:rPr>
        <w:t> </w:t>
      </w:r>
      <w:r>
        <w:rPr>
          <w:sz w:val="24"/>
        </w:rPr>
        <w:t>drugs</w:t>
      </w:r>
      <w:r>
        <w:rPr>
          <w:spacing w:val="-1"/>
          <w:sz w:val="24"/>
        </w:rPr>
        <w:t> </w:t>
      </w:r>
      <w:r>
        <w:rPr>
          <w:sz w:val="24"/>
        </w:rPr>
        <w:t>commonly</w:t>
      </w:r>
      <w:r>
        <w:rPr>
          <w:spacing w:val="-6"/>
          <w:sz w:val="24"/>
        </w:rPr>
        <w:t> </w:t>
      </w:r>
      <w:r>
        <w:rPr>
          <w:sz w:val="24"/>
        </w:rPr>
        <w:t>prescribed</w:t>
      </w:r>
      <w:r>
        <w:rPr>
          <w:spacing w:val="-1"/>
          <w:sz w:val="24"/>
        </w:rPr>
        <w:t> </w:t>
      </w:r>
      <w:r>
        <w:rPr>
          <w:sz w:val="24"/>
        </w:rPr>
        <w:t>in</w:t>
      </w:r>
      <w:r>
        <w:rPr>
          <w:spacing w:val="-1"/>
          <w:sz w:val="24"/>
        </w:rPr>
        <w:t> </w:t>
      </w:r>
      <w:r>
        <w:rPr>
          <w:sz w:val="24"/>
        </w:rPr>
        <w:t>the</w:t>
      </w:r>
      <w:r>
        <w:rPr>
          <w:spacing w:val="-1"/>
          <w:sz w:val="24"/>
        </w:rPr>
        <w:t> </w:t>
      </w:r>
      <w:r>
        <w:rPr>
          <w:spacing w:val="-2"/>
          <w:sz w:val="24"/>
        </w:rPr>
        <w:t>hospital.</w:t>
      </w:r>
    </w:p>
    <w:p>
      <w:pPr>
        <w:pStyle w:val="BodyText"/>
        <w:spacing w:before="1"/>
      </w:pPr>
    </w:p>
    <w:p>
      <w:pPr>
        <w:pStyle w:val="ListParagraph"/>
        <w:numPr>
          <w:ilvl w:val="3"/>
          <w:numId w:val="9"/>
        </w:numPr>
        <w:tabs>
          <w:tab w:pos="980" w:val="left" w:leader="none"/>
        </w:tabs>
        <w:spacing w:line="480" w:lineRule="auto" w:before="0" w:after="0"/>
        <w:ind w:left="980" w:right="855" w:hanging="360"/>
        <w:jc w:val="both"/>
        <w:rPr>
          <w:sz w:val="24"/>
        </w:rPr>
      </w:pPr>
      <w:r>
        <w:rPr>
          <w:sz w:val="24"/>
        </w:rPr>
        <w:t>To determine the type of </w:t>
      </w:r>
      <w:r>
        <w:rPr>
          <w:i/>
          <w:sz w:val="24"/>
        </w:rPr>
        <w:t>Plasmodium </w:t>
      </w:r>
      <w:r>
        <w:rPr>
          <w:sz w:val="24"/>
        </w:rPr>
        <w:t>species isolates among patients attending the </w:t>
      </w:r>
      <w:r>
        <w:rPr>
          <w:spacing w:val="-2"/>
          <w:sz w:val="24"/>
        </w:rPr>
        <w:t>hospital</w:t>
      </w:r>
    </w:p>
    <w:p>
      <w:pPr>
        <w:pStyle w:val="ListParagraph"/>
        <w:numPr>
          <w:ilvl w:val="3"/>
          <w:numId w:val="9"/>
        </w:numPr>
        <w:tabs>
          <w:tab w:pos="980" w:val="left" w:leader="none"/>
        </w:tabs>
        <w:spacing w:line="480" w:lineRule="auto" w:before="0" w:after="0"/>
        <w:ind w:left="980" w:right="857" w:hanging="360"/>
        <w:jc w:val="both"/>
        <w:rPr>
          <w:sz w:val="24"/>
        </w:rPr>
      </w:pPr>
      <w:r>
        <w:rPr>
          <w:sz w:val="24"/>
        </w:rPr>
        <w:t>To determine the susceptibility of </w:t>
      </w:r>
      <w:r>
        <w:rPr>
          <w:i/>
          <w:sz w:val="24"/>
        </w:rPr>
        <w:t>Plasmodium </w:t>
      </w:r>
      <w:r>
        <w:rPr>
          <w:sz w:val="24"/>
        </w:rPr>
        <w:t>species isolates to some antimalarial drugs commonly prescribed in Umaru Musa Yaradua Memorial Hospital (UMYMH), Sabon-Wuse, Niger State, Nigeria.</w:t>
      </w:r>
    </w:p>
    <w:p>
      <w:pPr>
        <w:pStyle w:val="ListParagraph"/>
        <w:numPr>
          <w:ilvl w:val="3"/>
          <w:numId w:val="9"/>
        </w:numPr>
        <w:tabs>
          <w:tab w:pos="979" w:val="left" w:leader="none"/>
        </w:tabs>
        <w:spacing w:line="240" w:lineRule="auto" w:before="0" w:after="0"/>
        <w:ind w:left="979" w:right="0" w:hanging="359"/>
        <w:jc w:val="both"/>
        <w:rPr>
          <w:sz w:val="24"/>
        </w:rPr>
      </w:pPr>
      <w:r>
        <w:rPr>
          <w:sz w:val="24"/>
        </w:rPr>
        <w:t>To</w:t>
      </w:r>
      <w:r>
        <w:rPr>
          <w:spacing w:val="29"/>
          <w:sz w:val="24"/>
        </w:rPr>
        <w:t>  </w:t>
      </w:r>
      <w:r>
        <w:rPr>
          <w:sz w:val="24"/>
        </w:rPr>
        <w:t>characterize</w:t>
      </w:r>
      <w:r>
        <w:rPr>
          <w:spacing w:val="28"/>
          <w:sz w:val="24"/>
        </w:rPr>
        <w:t>  </w:t>
      </w:r>
      <w:r>
        <w:rPr>
          <w:sz w:val="24"/>
        </w:rPr>
        <w:t>the</w:t>
      </w:r>
      <w:r>
        <w:rPr>
          <w:spacing w:val="31"/>
          <w:sz w:val="24"/>
        </w:rPr>
        <w:t>  </w:t>
      </w:r>
      <w:r>
        <w:rPr>
          <w:sz w:val="24"/>
        </w:rPr>
        <w:t>multi-drug</w:t>
      </w:r>
      <w:r>
        <w:rPr>
          <w:spacing w:val="28"/>
          <w:sz w:val="24"/>
        </w:rPr>
        <w:t>  </w:t>
      </w:r>
      <w:r>
        <w:rPr>
          <w:sz w:val="24"/>
        </w:rPr>
        <w:t>resistance</w:t>
      </w:r>
      <w:r>
        <w:rPr>
          <w:spacing w:val="29"/>
          <w:sz w:val="24"/>
        </w:rPr>
        <w:t>  </w:t>
      </w:r>
      <w:r>
        <w:rPr>
          <w:sz w:val="24"/>
        </w:rPr>
        <w:t>factor</w:t>
      </w:r>
      <w:r>
        <w:rPr>
          <w:spacing w:val="30"/>
          <w:sz w:val="24"/>
        </w:rPr>
        <w:t>  </w:t>
      </w:r>
      <w:r>
        <w:rPr>
          <w:sz w:val="24"/>
        </w:rPr>
        <w:t>present</w:t>
      </w:r>
      <w:r>
        <w:rPr>
          <w:spacing w:val="30"/>
          <w:sz w:val="24"/>
        </w:rPr>
        <w:t>  </w:t>
      </w:r>
      <w:r>
        <w:rPr>
          <w:sz w:val="24"/>
        </w:rPr>
        <w:t>among</w:t>
      </w:r>
      <w:r>
        <w:rPr>
          <w:spacing w:val="28"/>
          <w:sz w:val="24"/>
        </w:rPr>
        <w:t>  </w:t>
      </w:r>
      <w:r>
        <w:rPr>
          <w:sz w:val="24"/>
        </w:rPr>
        <w:t>the</w:t>
      </w:r>
      <w:r>
        <w:rPr>
          <w:spacing w:val="31"/>
          <w:sz w:val="24"/>
        </w:rPr>
        <w:t>  </w:t>
      </w:r>
      <w:r>
        <w:rPr>
          <w:spacing w:val="-2"/>
          <w:sz w:val="24"/>
        </w:rPr>
        <w:t>resistant</w:t>
      </w:r>
    </w:p>
    <w:p>
      <w:pPr>
        <w:pStyle w:val="BodyText"/>
      </w:pPr>
    </w:p>
    <w:p>
      <w:pPr>
        <w:spacing w:before="1"/>
        <w:ind w:left="980" w:right="0" w:firstLine="0"/>
        <w:jc w:val="left"/>
        <w:rPr>
          <w:sz w:val="24"/>
        </w:rPr>
      </w:pPr>
      <w:r>
        <w:rPr>
          <w:i/>
          <w:sz w:val="24"/>
        </w:rPr>
        <w:t>Plasmodium</w:t>
      </w:r>
      <w:r>
        <w:rPr>
          <w:i/>
          <w:spacing w:val="-1"/>
          <w:sz w:val="24"/>
        </w:rPr>
        <w:t> </w:t>
      </w:r>
      <w:r>
        <w:rPr>
          <w:i/>
          <w:sz w:val="24"/>
        </w:rPr>
        <w:t>falciparum </w:t>
      </w:r>
      <w:r>
        <w:rPr>
          <w:spacing w:val="-2"/>
          <w:sz w:val="24"/>
        </w:rPr>
        <w:t>isolates.</w:t>
      </w:r>
    </w:p>
    <w:p>
      <w:pPr>
        <w:spacing w:after="0"/>
        <w:jc w:val="left"/>
        <w:rPr>
          <w:sz w:val="24"/>
        </w:rPr>
        <w:sectPr>
          <w:pgSz w:w="11910" w:h="16840"/>
          <w:pgMar w:header="0" w:footer="1254" w:top="1340" w:bottom="1440" w:left="1180" w:right="580"/>
        </w:sectPr>
      </w:pPr>
    </w:p>
    <w:p>
      <w:pPr>
        <w:pStyle w:val="Heading2"/>
        <w:numPr>
          <w:ilvl w:val="2"/>
          <w:numId w:val="9"/>
        </w:numPr>
        <w:tabs>
          <w:tab w:pos="800" w:val="left" w:leader="none"/>
        </w:tabs>
        <w:spacing w:line="480" w:lineRule="auto" w:before="78" w:after="0"/>
        <w:ind w:left="260" w:right="7205" w:firstLine="0"/>
        <w:jc w:val="both"/>
      </w:pPr>
      <w:r>
        <w:rPr/>
        <w:t>Research</w:t>
      </w:r>
      <w:r>
        <w:rPr>
          <w:spacing w:val="-15"/>
        </w:rPr>
        <w:t> </w:t>
      </w:r>
      <w:r>
        <w:rPr/>
        <w:t>Hypothesis Null Hypothesis</w:t>
      </w:r>
    </w:p>
    <w:p>
      <w:pPr>
        <w:pStyle w:val="BodyText"/>
        <w:spacing w:line="480" w:lineRule="auto"/>
        <w:ind w:left="260" w:right="853"/>
        <w:jc w:val="both"/>
      </w:pPr>
      <w:r>
        <w:rPr/>
        <w:t>The </w:t>
      </w:r>
      <w:r>
        <w:rPr>
          <w:i/>
        </w:rPr>
        <w:t>Plasmodium </w:t>
      </w:r>
      <w:r>
        <w:rPr/>
        <w:t>species isolates obtained from patients attending Umaru Musa Yaradua Memorial Hospital (UMYMH), Sabon-Wuse, Niger State, Nigeria are not susceptible to the commonly prescribed antimalarial drugs in the hospital.</w:t>
      </w:r>
    </w:p>
    <w:p>
      <w:pPr>
        <w:pStyle w:val="Heading2"/>
        <w:spacing w:before="1"/>
      </w:pPr>
      <w:r>
        <w:rPr/>
        <w:t>Alternate</w:t>
      </w:r>
      <w:r>
        <w:rPr>
          <w:spacing w:val="-5"/>
        </w:rPr>
        <w:t> </w:t>
      </w:r>
      <w:r>
        <w:rPr>
          <w:spacing w:val="-2"/>
        </w:rPr>
        <w:t>Hypothesis</w:t>
      </w:r>
    </w:p>
    <w:p>
      <w:pPr>
        <w:pStyle w:val="BodyText"/>
        <w:spacing w:line="480" w:lineRule="auto" w:before="271"/>
        <w:ind w:left="260" w:right="854"/>
        <w:jc w:val="both"/>
      </w:pPr>
      <w:r>
        <w:rPr/>
        <w:t>The </w:t>
      </w:r>
      <w:r>
        <w:rPr>
          <w:i/>
        </w:rPr>
        <w:t>Plasmodium </w:t>
      </w:r>
      <w:r>
        <w:rPr/>
        <w:t>species isolates obtained from patients attending Umaru Musa Yaradua Memorial Hospital (UMYMH), Sabon-Wuse, Niger State, Nigeria are susceptible to the commonly prescribed antimalarial drugs in the hospital.</w:t>
      </w:r>
    </w:p>
    <w:p>
      <w:pPr>
        <w:pStyle w:val="BodyText"/>
      </w:pPr>
    </w:p>
    <w:p>
      <w:pPr>
        <w:pStyle w:val="BodyText"/>
        <w:spacing w:before="5"/>
      </w:pPr>
    </w:p>
    <w:p>
      <w:pPr>
        <w:pStyle w:val="Heading2"/>
      </w:pPr>
      <w:bookmarkStart w:name="_TOC_250031" w:id="17"/>
      <w:r>
        <w:rPr/>
        <w:t>1.5</w:t>
      </w:r>
      <w:r>
        <w:rPr>
          <w:spacing w:val="-2"/>
        </w:rPr>
        <w:t> </w:t>
      </w:r>
      <w:r>
        <w:rPr/>
        <w:t>Limitation of </w:t>
      </w:r>
      <w:bookmarkEnd w:id="17"/>
      <w:r>
        <w:rPr>
          <w:spacing w:val="-2"/>
        </w:rPr>
        <w:t>Research</w:t>
      </w:r>
    </w:p>
    <w:p>
      <w:pPr>
        <w:pStyle w:val="BodyText"/>
        <w:spacing w:line="480" w:lineRule="auto" w:before="272"/>
        <w:ind w:left="260" w:right="855"/>
        <w:jc w:val="both"/>
      </w:pPr>
      <w:r>
        <w:rPr/>
        <w:t>The study was carried out in the only Government Hospital in the town. Patients attending private hospital for malaria cases were not considered. The number of blood samples considered for </w:t>
      </w:r>
      <w:r>
        <w:rPr>
          <w:i/>
        </w:rPr>
        <w:t>in vitro </w:t>
      </w:r>
      <w:r>
        <w:rPr/>
        <w:t>micro-test was limited by the fire hazard that affected the Haematological Laboratory of the General Hospital, Minna where analysis of samples was </w:t>
      </w:r>
      <w:r>
        <w:rPr>
          <w:spacing w:val="-2"/>
        </w:rPr>
        <w:t>conducted.</w:t>
      </w:r>
    </w:p>
    <w:p>
      <w:pPr>
        <w:spacing w:after="0" w:line="480" w:lineRule="auto"/>
        <w:jc w:val="both"/>
        <w:sectPr>
          <w:pgSz w:w="11910" w:h="16840"/>
          <w:pgMar w:header="0" w:footer="1254" w:top="1340" w:bottom="1440" w:left="1180" w:right="580"/>
        </w:sectPr>
      </w:pPr>
    </w:p>
    <w:p>
      <w:pPr>
        <w:pStyle w:val="Heading1"/>
        <w:ind w:left="155" w:right="754"/>
      </w:pPr>
      <w:bookmarkStart w:name="_TOC_250030" w:id="18"/>
      <w:r>
        <w:rPr/>
        <w:t>CHAPTER</w:t>
      </w:r>
      <w:r>
        <w:rPr>
          <w:spacing w:val="-4"/>
        </w:rPr>
        <w:t> </w:t>
      </w:r>
      <w:bookmarkEnd w:id="18"/>
      <w:r>
        <w:rPr>
          <w:spacing w:val="-5"/>
        </w:rPr>
        <w:t>TWO</w:t>
      </w:r>
    </w:p>
    <w:p>
      <w:pPr>
        <w:pStyle w:val="BodyText"/>
        <w:rPr>
          <w:b/>
        </w:rPr>
      </w:pPr>
    </w:p>
    <w:p>
      <w:pPr>
        <w:pStyle w:val="Heading1"/>
        <w:numPr>
          <w:ilvl w:val="1"/>
          <w:numId w:val="10"/>
        </w:numPr>
        <w:tabs>
          <w:tab w:pos="620" w:val="left" w:leader="none"/>
        </w:tabs>
        <w:spacing w:line="240" w:lineRule="auto" w:before="0" w:after="0"/>
        <w:ind w:left="620" w:right="0" w:hanging="360"/>
        <w:jc w:val="both"/>
      </w:pPr>
      <w:bookmarkStart w:name="_TOC_250029" w:id="19"/>
      <w:r>
        <w:rPr/>
        <w:t>LITERATURE</w:t>
      </w:r>
      <w:bookmarkEnd w:id="19"/>
      <w:r>
        <w:rPr>
          <w:spacing w:val="-2"/>
        </w:rPr>
        <w:t> REVIEW</w:t>
      </w:r>
    </w:p>
    <w:p>
      <w:pPr>
        <w:pStyle w:val="BodyText"/>
        <w:rPr>
          <w:b/>
        </w:rPr>
      </w:pPr>
    </w:p>
    <w:p>
      <w:pPr>
        <w:pStyle w:val="Heading2"/>
        <w:numPr>
          <w:ilvl w:val="1"/>
          <w:numId w:val="10"/>
        </w:numPr>
        <w:tabs>
          <w:tab w:pos="620" w:val="left" w:leader="none"/>
        </w:tabs>
        <w:spacing w:line="240" w:lineRule="auto" w:before="1" w:after="0"/>
        <w:ind w:left="620" w:right="0" w:hanging="360"/>
        <w:jc w:val="both"/>
      </w:pPr>
      <w:bookmarkStart w:name="_TOC_250028" w:id="20"/>
      <w:r>
        <w:rPr/>
        <w:t>Historical</w:t>
      </w:r>
      <w:bookmarkEnd w:id="20"/>
      <w:r>
        <w:rPr>
          <w:spacing w:val="-2"/>
        </w:rPr>
        <w:t> Outline</w:t>
      </w:r>
    </w:p>
    <w:p>
      <w:pPr>
        <w:pStyle w:val="BodyText"/>
        <w:spacing w:line="480" w:lineRule="auto" w:before="271"/>
        <w:ind w:left="260" w:right="856"/>
        <w:jc w:val="both"/>
      </w:pPr>
      <w:r>
        <w:rPr/>
        <w:t>The history of malaria predates humanity, as this ancient disease evolved before humans did. Malaria, a widespread and potentially lethal infectious disease, has afflicted people for much of human history, and has affected settlement patterns (Carter </w:t>
      </w:r>
      <w:r>
        <w:rPr>
          <w:i/>
        </w:rPr>
        <w:t>et al.</w:t>
      </w:r>
      <w:r>
        <w:rPr/>
        <w:t>, 2002). The prevention and treatment of the disease have been investigated in science and medicine for hundreds of years, and, since the discovery of the parasite which causes it, attention has focused on its biology. These studies have continued up to the present day, since no effective Malaria vaccine has yet been developed and many of the older antimalarial drugs are losing effectiveness as the parasite evolves high levels of drug resistance. As malaria remains a major public health problem, causing 250 million cases of fever and approximately one million deaths annually, understanding its history is important.</w:t>
      </w:r>
    </w:p>
    <w:p>
      <w:pPr>
        <w:pStyle w:val="BodyText"/>
      </w:pPr>
    </w:p>
    <w:p>
      <w:pPr>
        <w:pStyle w:val="BodyText"/>
        <w:spacing w:before="1"/>
      </w:pPr>
    </w:p>
    <w:p>
      <w:pPr>
        <w:pStyle w:val="BodyText"/>
        <w:spacing w:line="480" w:lineRule="auto"/>
        <w:ind w:left="260" w:right="856"/>
        <w:jc w:val="both"/>
      </w:pPr>
      <w:r>
        <w:rPr/>
        <w:t>Malaria is an ancient disease and references to what was almost certainly malaria occur in a Chinese document from about 2700 BC, clay tablets from Mesopotamia from 2000 BC, Egyptian papyri</w:t>
      </w:r>
      <w:r>
        <w:rPr>
          <w:spacing w:val="-1"/>
        </w:rPr>
        <w:t> </w:t>
      </w:r>
      <w:r>
        <w:rPr/>
        <w:t>from</w:t>
      </w:r>
      <w:r>
        <w:rPr>
          <w:spacing w:val="-1"/>
        </w:rPr>
        <w:t> </w:t>
      </w:r>
      <w:r>
        <w:rPr/>
        <w:t>1570 BC and Hindu texts</w:t>
      </w:r>
      <w:r>
        <w:rPr>
          <w:spacing w:val="-2"/>
        </w:rPr>
        <w:t> </w:t>
      </w:r>
      <w:r>
        <w:rPr/>
        <w:t>as far</w:t>
      </w:r>
      <w:r>
        <w:rPr>
          <w:spacing w:val="-1"/>
        </w:rPr>
        <w:t> </w:t>
      </w:r>
      <w:r>
        <w:rPr/>
        <w:t>back as the</w:t>
      </w:r>
      <w:r>
        <w:rPr>
          <w:spacing w:val="-1"/>
        </w:rPr>
        <w:t> </w:t>
      </w:r>
      <w:r>
        <w:rPr/>
        <w:t>sixth century</w:t>
      </w:r>
      <w:r>
        <w:rPr>
          <w:spacing w:val="-3"/>
        </w:rPr>
        <w:t> </w:t>
      </w:r>
      <w:r>
        <w:rPr/>
        <w:t>BC. The</w:t>
      </w:r>
      <w:r>
        <w:rPr>
          <w:spacing w:val="-2"/>
        </w:rPr>
        <w:t> </w:t>
      </w:r>
      <w:r>
        <w:rPr/>
        <w:t>early Greeks, including homer in about 850 BC, Empedocles of agrigentum in about 550 BC and Hippocrates in about 400 BC, were well aware of the characteristic poor health and enlarged spleens seen in people suffering from malaria disease living in marshy places. For over 2500 years the idea that malaria fevers were caused by miasmas rising from the swamps persisted. the word malaria comes from the Italian mal’aria meaning spoiled air, although this has been disputed.</w:t>
      </w:r>
      <w:r>
        <w:rPr>
          <w:spacing w:val="-2"/>
        </w:rPr>
        <w:t> </w:t>
      </w:r>
      <w:r>
        <w:rPr/>
        <w:t>Scientific</w:t>
      </w:r>
      <w:r>
        <w:rPr>
          <w:spacing w:val="-2"/>
        </w:rPr>
        <w:t> </w:t>
      </w:r>
      <w:r>
        <w:rPr/>
        <w:t>studies</w:t>
      </w:r>
      <w:r>
        <w:rPr>
          <w:spacing w:val="-1"/>
        </w:rPr>
        <w:t> </w:t>
      </w:r>
      <w:r>
        <w:rPr/>
        <w:t>incriminated</w:t>
      </w:r>
      <w:r>
        <w:rPr>
          <w:spacing w:val="-1"/>
        </w:rPr>
        <w:t> </w:t>
      </w:r>
      <w:r>
        <w:rPr/>
        <w:t>mosquitoes</w:t>
      </w:r>
      <w:r>
        <w:rPr>
          <w:spacing w:val="-1"/>
        </w:rPr>
        <w:t> </w:t>
      </w:r>
      <w:r>
        <w:rPr/>
        <w:t>as</w:t>
      </w:r>
      <w:r>
        <w:rPr>
          <w:spacing w:val="-1"/>
        </w:rPr>
        <w:t> </w:t>
      </w:r>
      <w:r>
        <w:rPr/>
        <w:t>malaria</w:t>
      </w:r>
      <w:r>
        <w:rPr>
          <w:spacing w:val="-3"/>
        </w:rPr>
        <w:t> </w:t>
      </w:r>
      <w:r>
        <w:rPr/>
        <w:t>vectors,</w:t>
      </w:r>
      <w:r>
        <w:rPr>
          <w:spacing w:val="-1"/>
        </w:rPr>
        <w:t> </w:t>
      </w:r>
      <w:r>
        <w:rPr/>
        <w:t>first</w:t>
      </w:r>
      <w:r>
        <w:rPr>
          <w:spacing w:val="-1"/>
        </w:rPr>
        <w:t> </w:t>
      </w:r>
      <w:r>
        <w:rPr/>
        <w:t>for</w:t>
      </w:r>
      <w:r>
        <w:rPr>
          <w:spacing w:val="-3"/>
        </w:rPr>
        <w:t> </w:t>
      </w:r>
      <w:r>
        <w:rPr/>
        <w:t>avian</w:t>
      </w:r>
      <w:r>
        <w:rPr>
          <w:spacing w:val="-2"/>
        </w:rPr>
        <w:t> </w:t>
      </w:r>
      <w:r>
        <w:rPr/>
        <w:t>malaria by</w:t>
      </w:r>
      <w:r>
        <w:rPr>
          <w:spacing w:val="-6"/>
        </w:rPr>
        <w:t> </w:t>
      </w:r>
      <w:r>
        <w:rPr/>
        <w:t>Ronald</w:t>
      </w:r>
      <w:r>
        <w:rPr>
          <w:spacing w:val="-1"/>
        </w:rPr>
        <w:t> </w:t>
      </w:r>
      <w:r>
        <w:rPr/>
        <w:t>Ross</w:t>
      </w:r>
      <w:r>
        <w:rPr>
          <w:spacing w:val="-1"/>
        </w:rPr>
        <w:t> </w:t>
      </w:r>
      <w:r>
        <w:rPr/>
        <w:t>in</w:t>
      </w:r>
      <w:r>
        <w:rPr>
          <w:spacing w:val="-1"/>
        </w:rPr>
        <w:t> </w:t>
      </w:r>
      <w:r>
        <w:rPr/>
        <w:t>1987 and</w:t>
      </w:r>
      <w:r>
        <w:rPr>
          <w:spacing w:val="-1"/>
        </w:rPr>
        <w:t> </w:t>
      </w:r>
      <w:r>
        <w:rPr/>
        <w:t>then for</w:t>
      </w:r>
      <w:r>
        <w:rPr>
          <w:spacing w:val="-3"/>
        </w:rPr>
        <w:t> </w:t>
      </w:r>
      <w:r>
        <w:rPr/>
        <w:t>human</w:t>
      </w:r>
      <w:r>
        <w:rPr>
          <w:spacing w:val="-1"/>
        </w:rPr>
        <w:t> </w:t>
      </w:r>
      <w:r>
        <w:rPr/>
        <w:t>malaria</w:t>
      </w:r>
      <w:r>
        <w:rPr>
          <w:spacing w:val="-3"/>
        </w:rPr>
        <w:t> </w:t>
      </w:r>
      <w:r>
        <w:rPr/>
        <w:t>by</w:t>
      </w:r>
      <w:r>
        <w:rPr>
          <w:spacing w:val="-6"/>
        </w:rPr>
        <w:t> </w:t>
      </w:r>
      <w:r>
        <w:rPr/>
        <w:t>the Italian scientists</w:t>
      </w:r>
      <w:r>
        <w:rPr>
          <w:spacing w:val="-1"/>
        </w:rPr>
        <w:t> </w:t>
      </w:r>
      <w:r>
        <w:rPr/>
        <w:t>Giovanni</w:t>
      </w:r>
      <w:r>
        <w:rPr>
          <w:spacing w:val="-1"/>
        </w:rPr>
        <w:t> </w:t>
      </w:r>
      <w:r>
        <w:rPr/>
        <w:t>and co- workers between 1898 and 1900 (Francis, 2010).</w:t>
      </w:r>
    </w:p>
    <w:p>
      <w:pPr>
        <w:spacing w:after="0" w:line="480" w:lineRule="auto"/>
        <w:jc w:val="both"/>
        <w:sectPr>
          <w:pgSz w:w="11910" w:h="16840"/>
          <w:pgMar w:header="0" w:footer="1254" w:top="1340" w:bottom="1440" w:left="1180" w:right="580"/>
        </w:sectPr>
      </w:pPr>
    </w:p>
    <w:p>
      <w:pPr>
        <w:pStyle w:val="BodyText"/>
        <w:spacing w:line="480" w:lineRule="auto" w:before="74"/>
        <w:ind w:left="260" w:right="856"/>
        <w:jc w:val="both"/>
      </w:pPr>
      <w:r>
        <w:rPr/>
        <w:t>Over a century later it seems appropriate to attribute the various discoveries concerning the malaria parasites and their transmission as follows. Laveran was the first person to find </w:t>
      </w:r>
      <w:r>
        <w:rPr>
          <w:i/>
        </w:rPr>
        <w:t>Plasmodium </w:t>
      </w:r>
      <w:r>
        <w:rPr/>
        <w:t>parasites in the blood of patients suffering from malaria in 1880. MacCullum was the</w:t>
      </w:r>
      <w:r>
        <w:rPr>
          <w:spacing w:val="-1"/>
        </w:rPr>
        <w:t> </w:t>
      </w:r>
      <w:r>
        <w:rPr/>
        <w:t>first to observe and report</w:t>
      </w:r>
      <w:r>
        <w:rPr>
          <w:spacing w:val="-1"/>
        </w:rPr>
        <w:t> </w:t>
      </w:r>
      <w:r>
        <w:rPr/>
        <w:t>the</w:t>
      </w:r>
      <w:r>
        <w:rPr>
          <w:spacing w:val="-1"/>
        </w:rPr>
        <w:t> </w:t>
      </w:r>
      <w:r>
        <w:rPr/>
        <w:t>sexual stages of</w:t>
      </w:r>
      <w:r>
        <w:rPr>
          <w:spacing w:val="-1"/>
        </w:rPr>
        <w:t> </w:t>
      </w:r>
      <w:r>
        <w:rPr/>
        <w:t>a</w:t>
      </w:r>
      <w:r>
        <w:rPr>
          <w:spacing w:val="-1"/>
        </w:rPr>
        <w:t> </w:t>
      </w:r>
      <w:r>
        <w:rPr/>
        <w:t>malaria-like</w:t>
      </w:r>
      <w:r>
        <w:rPr>
          <w:spacing w:val="-1"/>
        </w:rPr>
        <w:t> </w:t>
      </w:r>
      <w:r>
        <w:rPr/>
        <w:t>parasite. In 1898 Grassi, Bignami and Bastienelli were the first to demonstrate that human malaria parasites were actually transmitted by mosquitoes. Ross reported that a blood-sucking insect could not take up infective organisms from an infected individual but could also transmit them later when it fed on an uninfected host (Schalagenhauf, 2004).</w:t>
      </w:r>
    </w:p>
    <w:p>
      <w:pPr>
        <w:pStyle w:val="BodyText"/>
      </w:pPr>
    </w:p>
    <w:p>
      <w:pPr>
        <w:pStyle w:val="BodyText"/>
        <w:spacing w:before="5"/>
      </w:pPr>
    </w:p>
    <w:p>
      <w:pPr>
        <w:pStyle w:val="Heading2"/>
        <w:numPr>
          <w:ilvl w:val="1"/>
          <w:numId w:val="10"/>
        </w:numPr>
        <w:tabs>
          <w:tab w:pos="620" w:val="left" w:leader="none"/>
        </w:tabs>
        <w:spacing w:line="480" w:lineRule="auto" w:before="0" w:after="0"/>
        <w:ind w:left="260" w:right="7244" w:firstLine="0"/>
        <w:jc w:val="both"/>
      </w:pPr>
      <w:r>
        <w:rPr/>
        <w:t>The</w:t>
      </w:r>
      <w:r>
        <w:rPr>
          <w:spacing w:val="-15"/>
        </w:rPr>
        <w:t> </w:t>
      </w:r>
      <w:r>
        <w:rPr/>
        <w:t>Malaria</w:t>
      </w:r>
      <w:r>
        <w:rPr>
          <w:spacing w:val="-15"/>
        </w:rPr>
        <w:t> </w:t>
      </w:r>
      <w:r>
        <w:rPr/>
        <w:t>Parasites </w:t>
      </w:r>
      <w:r>
        <w:rPr>
          <w:spacing w:val="-2"/>
        </w:rPr>
        <w:t>2.2.1Taxonomy</w:t>
      </w:r>
    </w:p>
    <w:p>
      <w:pPr>
        <w:pStyle w:val="BodyText"/>
        <w:spacing w:line="480" w:lineRule="auto"/>
        <w:ind w:left="260" w:right="855"/>
        <w:jc w:val="both"/>
      </w:pPr>
      <w:r>
        <w:rPr/>
        <w:t>The causative agents of malaria disease are protozoa of the genus Plasmodiidae, suborder haemosporidiidae, order Coccidia. There are over 100 species of </w:t>
      </w:r>
      <w:r>
        <w:rPr>
          <w:i/>
        </w:rPr>
        <w:t>Plasmodium </w:t>
      </w:r>
      <w:r>
        <w:rPr/>
        <w:t>and these are found in the blood of mammals, reptiles and birds. They</w:t>
      </w:r>
      <w:r>
        <w:rPr>
          <w:spacing w:val="-2"/>
        </w:rPr>
        <w:t> </w:t>
      </w:r>
      <w:r>
        <w:rPr/>
        <w:t>are recognized taxonomically</w:t>
      </w:r>
      <w:r>
        <w:rPr>
          <w:spacing w:val="-2"/>
        </w:rPr>
        <w:t> </w:t>
      </w:r>
      <w:r>
        <w:rPr/>
        <w:t>by</w:t>
      </w:r>
      <w:r>
        <w:rPr>
          <w:spacing w:val="-2"/>
        </w:rPr>
        <w:t> </w:t>
      </w:r>
      <w:r>
        <w:rPr/>
        <w:t>the presence of the two types of asexual division: schizogony, in the vertebrate host; and sporogony, in the insect vector. The great majority of malarial parasites are transmitted by mosquitoes, and the parasites of humans are exclusively transmitted by anophelines. Importantly, the parasites of humans are of two subgenera, </w:t>
      </w:r>
      <w:r>
        <w:rPr>
          <w:i/>
        </w:rPr>
        <w:t>Laverania </w:t>
      </w:r>
      <w:r>
        <w:rPr/>
        <w:t>and</w:t>
      </w:r>
      <w:r>
        <w:rPr>
          <w:spacing w:val="40"/>
        </w:rPr>
        <w:t> </w:t>
      </w:r>
      <w:r>
        <w:rPr>
          <w:i/>
        </w:rPr>
        <w:t>Plasmodium</w:t>
      </w:r>
      <w:r>
        <w:rPr/>
        <w:t>. The subgenus </w:t>
      </w:r>
      <w:r>
        <w:rPr>
          <w:i/>
        </w:rPr>
        <w:t>Plasmodium </w:t>
      </w:r>
      <w:r>
        <w:rPr/>
        <w:t>includes </w:t>
      </w:r>
      <w:r>
        <w:rPr>
          <w:i/>
        </w:rPr>
        <w:t>P. falciparum</w:t>
      </w:r>
      <w:r>
        <w:rPr/>
        <w:t>, the most pathogenic causative agent of malaria, and the closely related </w:t>
      </w:r>
      <w:r>
        <w:rPr>
          <w:i/>
        </w:rPr>
        <w:t>P. reichenowi</w:t>
      </w:r>
      <w:r>
        <w:rPr/>
        <w:t>, a parasite of the higher primates such as chimpanzee (Robert and Herbert, 2003). The subgenus </w:t>
      </w:r>
      <w:r>
        <w:rPr>
          <w:i/>
        </w:rPr>
        <w:t>Laverania </w:t>
      </w:r>
      <w:r>
        <w:rPr/>
        <w:t>includes the remaining parasites of humans, namely </w:t>
      </w:r>
      <w:r>
        <w:rPr>
          <w:i/>
        </w:rPr>
        <w:t>P. vivax, P. malariae </w:t>
      </w:r>
      <w:r>
        <w:rPr/>
        <w:t>and </w:t>
      </w:r>
      <w:r>
        <w:rPr>
          <w:i/>
        </w:rPr>
        <w:t>P. ovale</w:t>
      </w:r>
      <w:r>
        <w:rPr/>
        <w:t>. Parasites of the other mammals also fall into subgenera: </w:t>
      </w:r>
      <w:r>
        <w:rPr>
          <w:i/>
        </w:rPr>
        <w:t>Plasmodium </w:t>
      </w:r>
      <w:r>
        <w:rPr/>
        <w:t>and </w:t>
      </w:r>
      <w:r>
        <w:rPr>
          <w:i/>
        </w:rPr>
        <w:t>Vinckeia</w:t>
      </w:r>
      <w:r>
        <w:rPr/>
        <w:t>; the latter includes the parasites of lemurs and the lower mammals (Robert and Herbert, 2003).</w:t>
      </w:r>
    </w:p>
    <w:p>
      <w:pPr>
        <w:spacing w:after="0" w:line="480" w:lineRule="auto"/>
        <w:jc w:val="both"/>
        <w:sectPr>
          <w:pgSz w:w="11910" w:h="16840"/>
          <w:pgMar w:header="0" w:footer="1254" w:top="1340" w:bottom="1440" w:left="1180" w:right="580"/>
        </w:sectPr>
      </w:pPr>
    </w:p>
    <w:p>
      <w:pPr>
        <w:pStyle w:val="Heading2"/>
        <w:numPr>
          <w:ilvl w:val="2"/>
          <w:numId w:val="10"/>
        </w:numPr>
        <w:tabs>
          <w:tab w:pos="800" w:val="left" w:leader="none"/>
        </w:tabs>
        <w:spacing w:line="240" w:lineRule="auto" w:before="78" w:after="0"/>
        <w:ind w:left="800" w:right="0" w:hanging="540"/>
        <w:jc w:val="both"/>
      </w:pPr>
      <w:bookmarkStart w:name="_TOC_250027" w:id="21"/>
      <w:r>
        <w:rPr/>
        <w:t>Life</w:t>
      </w:r>
      <w:r>
        <w:rPr>
          <w:spacing w:val="-2"/>
        </w:rPr>
        <w:t> </w:t>
      </w:r>
      <w:r>
        <w:rPr/>
        <w:t>Cycle</w:t>
      </w:r>
      <w:r>
        <w:rPr>
          <w:spacing w:val="-1"/>
        </w:rPr>
        <w:t> </w:t>
      </w:r>
      <w:r>
        <w:rPr/>
        <w:t>of</w:t>
      </w:r>
      <w:r>
        <w:rPr>
          <w:spacing w:val="-1"/>
        </w:rPr>
        <w:t> </w:t>
      </w:r>
      <w:r>
        <w:rPr/>
        <w:t>Human</w:t>
      </w:r>
      <w:r>
        <w:rPr>
          <w:spacing w:val="-1"/>
        </w:rPr>
        <w:t> </w:t>
      </w:r>
      <w:r>
        <w:rPr/>
        <w:t>Malaria</w:t>
      </w:r>
      <w:r>
        <w:rPr>
          <w:spacing w:val="-1"/>
        </w:rPr>
        <w:t> </w:t>
      </w:r>
      <w:bookmarkEnd w:id="21"/>
      <w:r>
        <w:rPr>
          <w:spacing w:val="-2"/>
        </w:rPr>
        <w:t>Parasite</w:t>
      </w:r>
    </w:p>
    <w:p>
      <w:pPr>
        <w:pStyle w:val="BodyText"/>
        <w:spacing w:line="480" w:lineRule="auto" w:before="272"/>
        <w:ind w:left="260" w:right="856"/>
        <w:jc w:val="both"/>
      </w:pPr>
      <w:r>
        <w:rPr/>
        <w:t>The life cycle of the malaria parasite (</w:t>
      </w:r>
      <w:r>
        <w:rPr>
          <w:i/>
        </w:rPr>
        <w:t>Plasmodium</w:t>
      </w:r>
      <w:r>
        <w:rPr/>
        <w:t>) is complicated and involves two hosts, humans and female </w:t>
      </w:r>
      <w:r>
        <w:rPr>
          <w:i/>
        </w:rPr>
        <w:t>Anopheles </w:t>
      </w:r>
      <w:r>
        <w:rPr/>
        <w:t>mosquitoes. The disease is transmitted to humans when an infected </w:t>
      </w:r>
      <w:r>
        <w:rPr>
          <w:i/>
        </w:rPr>
        <w:t>Anopheles </w:t>
      </w:r>
      <w:r>
        <w:rPr/>
        <w:t>mosquito bites a person and injects the sporozoites (the injective stage) into the blood. This is shown in Fig. 2.1, where the illustration shows a mosquito taking a blood meal.</w:t>
      </w:r>
    </w:p>
    <w:p>
      <w:pPr>
        <w:pStyle w:val="BodyText"/>
      </w:pPr>
    </w:p>
    <w:p>
      <w:pPr>
        <w:pStyle w:val="BodyText"/>
      </w:pPr>
    </w:p>
    <w:p>
      <w:pPr>
        <w:pStyle w:val="BodyText"/>
        <w:spacing w:line="480" w:lineRule="auto" w:before="1"/>
        <w:ind w:left="260" w:right="855"/>
        <w:jc w:val="both"/>
      </w:pPr>
      <w:r>
        <w:rPr/>
        <w:t>The sporozoites infect liver cells </w:t>
      </w:r>
      <w:r>
        <w:rPr>
          <w:b/>
        </w:rPr>
        <w:t>(2) </w:t>
      </w:r>
      <w:r>
        <w:rPr/>
        <w:t>and mature into schizonts </w:t>
      </w:r>
      <w:r>
        <w:rPr>
          <w:b/>
        </w:rPr>
        <w:t>(3)</w:t>
      </w:r>
      <w:r>
        <w:rPr/>
        <w:t>, which rupture and release merozites </w:t>
      </w:r>
      <w:r>
        <w:rPr>
          <w:b/>
        </w:rPr>
        <w:t>(4) </w:t>
      </w:r>
      <w:r>
        <w:rPr/>
        <w:t>(of note, in </w:t>
      </w:r>
      <w:r>
        <w:rPr>
          <w:i/>
        </w:rPr>
        <w:t>P. vivax </w:t>
      </w:r>
      <w:r>
        <w:rPr/>
        <w:t>and </w:t>
      </w:r>
      <w:r>
        <w:rPr>
          <w:i/>
        </w:rPr>
        <w:t>P. ovale </w:t>
      </w:r>
      <w:r>
        <w:rPr/>
        <w:t>a dormant stage (hypnozotes) can persist in</w:t>
      </w:r>
      <w:r>
        <w:rPr>
          <w:spacing w:val="40"/>
        </w:rPr>
        <w:t> </w:t>
      </w:r>
      <w:r>
        <w:rPr/>
        <w:t>the liver and cause relapses by invading the bloodstream weeks, or even years later). After this initial replication in the liver (exo-erythrocytic schizogony</w:t>
      </w:r>
      <w:r>
        <w:rPr>
          <w:spacing w:val="-4"/>
        </w:rPr>
        <w:t> </w:t>
      </w:r>
      <w:r>
        <w:rPr/>
        <w:t>A), merozites infect red blood cells </w:t>
      </w:r>
      <w:r>
        <w:rPr>
          <w:b/>
        </w:rPr>
        <w:t>(5)</w:t>
      </w:r>
      <w:r>
        <w:rPr/>
        <w:t>. The ring stage trophozoites mature schizonts which rupture releasing merozites </w:t>
      </w:r>
      <w:r>
        <w:rPr>
          <w:b/>
        </w:rPr>
        <w:t>(6)</w:t>
      </w:r>
      <w:r>
        <w:rPr/>
        <w:t>. Some parasites differentiate into sexual erythrocytic stages (gametocytes) </w:t>
      </w:r>
      <w:r>
        <w:rPr>
          <w:b/>
        </w:rPr>
        <w:t>(7)</w:t>
      </w:r>
      <w:r>
        <w:rPr/>
        <w:t>. Blood stage parasites are responsible for clinical manifestations of the disease such as intermittent fever due to the synchronous lysis of the infected erythrocytes.</w:t>
      </w:r>
    </w:p>
    <w:p>
      <w:pPr>
        <w:pStyle w:val="BodyText"/>
      </w:pPr>
    </w:p>
    <w:p>
      <w:pPr>
        <w:pStyle w:val="BodyText"/>
      </w:pPr>
    </w:p>
    <w:p>
      <w:pPr>
        <w:pStyle w:val="BodyText"/>
        <w:spacing w:line="480" w:lineRule="auto"/>
        <w:ind w:left="260" w:right="856"/>
        <w:jc w:val="both"/>
        <w:rPr>
          <w:b/>
        </w:rPr>
      </w:pPr>
      <w:r>
        <w:rPr/>
        <w:t>The gametocytes, male (microgametocytes) and female (macro gametocytes), are</w:t>
      </w:r>
      <w:r>
        <w:rPr>
          <w:spacing w:val="-1"/>
        </w:rPr>
        <w:t> </w:t>
      </w:r>
      <w:r>
        <w:rPr/>
        <w:t>ingested by an</w:t>
      </w:r>
      <w:r>
        <w:rPr>
          <w:spacing w:val="-1"/>
        </w:rPr>
        <w:t> </w:t>
      </w:r>
      <w:r>
        <w:rPr>
          <w:i/>
        </w:rPr>
        <w:t>Anopheles</w:t>
      </w:r>
      <w:r>
        <w:rPr>
          <w:i/>
          <w:spacing w:val="-1"/>
        </w:rPr>
        <w:t> </w:t>
      </w:r>
      <w:r>
        <w:rPr/>
        <w:t>mosquito</w:t>
      </w:r>
      <w:r>
        <w:rPr>
          <w:spacing w:val="-1"/>
        </w:rPr>
        <w:t> </w:t>
      </w:r>
      <w:r>
        <w:rPr/>
        <w:t>during</w:t>
      </w:r>
      <w:r>
        <w:rPr>
          <w:spacing w:val="-3"/>
        </w:rPr>
        <w:t> </w:t>
      </w:r>
      <w:r>
        <w:rPr/>
        <w:t>a</w:t>
      </w:r>
      <w:r>
        <w:rPr>
          <w:spacing w:val="-2"/>
        </w:rPr>
        <w:t> </w:t>
      </w:r>
      <w:r>
        <w:rPr/>
        <w:t>blood</w:t>
      </w:r>
      <w:r>
        <w:rPr>
          <w:spacing w:val="-1"/>
        </w:rPr>
        <w:t> </w:t>
      </w:r>
      <w:r>
        <w:rPr/>
        <w:t>meal </w:t>
      </w:r>
      <w:r>
        <w:rPr>
          <w:b/>
        </w:rPr>
        <w:t>(8).</w:t>
      </w:r>
      <w:r>
        <w:rPr>
          <w:b/>
          <w:spacing w:val="-1"/>
        </w:rPr>
        <w:t> </w:t>
      </w:r>
      <w:r>
        <w:rPr/>
        <w:t>The</w:t>
      </w:r>
      <w:r>
        <w:rPr>
          <w:spacing w:val="-2"/>
        </w:rPr>
        <w:t> </w:t>
      </w:r>
      <w:r>
        <w:rPr/>
        <w:t>parasites’</w:t>
      </w:r>
      <w:r>
        <w:rPr>
          <w:spacing w:val="-2"/>
        </w:rPr>
        <w:t> </w:t>
      </w:r>
      <w:r>
        <w:rPr/>
        <w:t>multiplication</w:t>
      </w:r>
      <w:r>
        <w:rPr>
          <w:spacing w:val="-1"/>
        </w:rPr>
        <w:t> </w:t>
      </w:r>
      <w:r>
        <w:rPr/>
        <w:t>in</w:t>
      </w:r>
      <w:r>
        <w:rPr>
          <w:spacing w:val="-1"/>
        </w:rPr>
        <w:t> </w:t>
      </w:r>
      <w:r>
        <w:rPr/>
        <w:t>the</w:t>
      </w:r>
      <w:r>
        <w:rPr>
          <w:spacing w:val="-2"/>
        </w:rPr>
        <w:t> </w:t>
      </w:r>
      <w:r>
        <w:rPr/>
        <w:t>mosquito is known as the sporogonic cycle </w:t>
      </w:r>
      <w:r>
        <w:rPr>
          <w:b/>
        </w:rPr>
        <w:t>(C)</w:t>
      </w:r>
      <w:r>
        <w:rPr/>
        <w:t>. While in the mosquito’s stomach, the microgametes penetrate the macrogametes generating zygotes </w:t>
      </w:r>
      <w:r>
        <w:rPr>
          <w:b/>
        </w:rPr>
        <w:t>(9)</w:t>
      </w:r>
      <w:r>
        <w:rPr/>
        <w:t>. The zygotes in turn become motile and elongated (ookinetes) </w:t>
      </w:r>
      <w:r>
        <w:rPr>
          <w:b/>
        </w:rPr>
        <w:t>(10)</w:t>
      </w:r>
      <w:r>
        <w:rPr>
          <w:b/>
          <w:spacing w:val="-1"/>
        </w:rPr>
        <w:t> </w:t>
      </w:r>
      <w:r>
        <w:rPr/>
        <w:t>which invade</w:t>
      </w:r>
      <w:r>
        <w:rPr>
          <w:spacing w:val="-2"/>
        </w:rPr>
        <w:t> </w:t>
      </w:r>
      <w:r>
        <w:rPr/>
        <w:t>the</w:t>
      </w:r>
      <w:r>
        <w:rPr>
          <w:spacing w:val="-1"/>
        </w:rPr>
        <w:t> </w:t>
      </w:r>
      <w:r>
        <w:rPr/>
        <w:t>midgut wall of</w:t>
      </w:r>
      <w:r>
        <w:rPr>
          <w:spacing w:val="-1"/>
        </w:rPr>
        <w:t> </w:t>
      </w:r>
      <w:r>
        <w:rPr/>
        <w:t>the</w:t>
      </w:r>
      <w:r>
        <w:rPr>
          <w:spacing w:val="-3"/>
        </w:rPr>
        <w:t> </w:t>
      </w:r>
      <w:r>
        <w:rPr/>
        <w:t>mosquito,</w:t>
      </w:r>
      <w:r>
        <w:rPr>
          <w:spacing w:val="-5"/>
        </w:rPr>
        <w:t> </w:t>
      </w:r>
      <w:r>
        <w:rPr/>
        <w:t>which they</w:t>
      </w:r>
      <w:r>
        <w:rPr>
          <w:spacing w:val="-5"/>
        </w:rPr>
        <w:t> </w:t>
      </w:r>
      <w:r>
        <w:rPr/>
        <w:t>develop into occysts </w:t>
      </w:r>
      <w:r>
        <w:rPr>
          <w:b/>
        </w:rPr>
        <w:t>(11)</w:t>
      </w:r>
      <w:r>
        <w:rPr/>
        <w:t>. The occysts grow, rupture, and release sporozoites </w:t>
      </w:r>
      <w:r>
        <w:rPr>
          <w:b/>
        </w:rPr>
        <w:t>(12)</w:t>
      </w:r>
      <w:r>
        <w:rPr/>
        <w:t>, which make their way to the mosquito salivary glands. Inoculation of the sporozoites into a new human host perpetuates the malaria life cycle </w:t>
      </w:r>
      <w:r>
        <w:rPr>
          <w:b/>
        </w:rPr>
        <w:t>(1).</w:t>
      </w:r>
    </w:p>
    <w:p>
      <w:pPr>
        <w:spacing w:after="0" w:line="480" w:lineRule="auto"/>
        <w:jc w:val="both"/>
        <w:sectPr>
          <w:pgSz w:w="11910" w:h="16840"/>
          <w:pgMar w:header="0" w:footer="1254" w:top="1340" w:bottom="1440" w:left="1180" w:right="580"/>
        </w:sectPr>
      </w:pPr>
    </w:p>
    <w:p>
      <w:pPr>
        <w:pStyle w:val="BodyText"/>
        <w:ind w:left="260"/>
        <w:rPr>
          <w:sz w:val="20"/>
        </w:rPr>
      </w:pPr>
      <w:r>
        <w:rPr>
          <w:sz w:val="20"/>
        </w:rPr>
        <w:drawing>
          <wp:inline distT="0" distB="0" distL="0" distR="0">
            <wp:extent cx="4143221" cy="328422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4143221" cy="3284220"/>
                    </a:xfrm>
                    <a:prstGeom prst="rect">
                      <a:avLst/>
                    </a:prstGeom>
                  </pic:spPr>
                </pic:pic>
              </a:graphicData>
            </a:graphic>
          </wp:inline>
        </w:drawing>
      </w:r>
      <w:r>
        <w:rPr>
          <w:sz w:val="20"/>
        </w:rPr>
      </w:r>
    </w:p>
    <w:p>
      <w:pPr>
        <w:pStyle w:val="BodyText"/>
        <w:spacing w:before="171"/>
        <w:rPr>
          <w:b/>
        </w:rPr>
      </w:pPr>
    </w:p>
    <w:p>
      <w:pPr>
        <w:pStyle w:val="BodyText"/>
        <w:ind w:left="260"/>
      </w:pPr>
      <w:r>
        <w:rPr/>
        <w:t>Fig.</w:t>
      </w:r>
      <w:r>
        <w:rPr>
          <w:spacing w:val="-1"/>
        </w:rPr>
        <w:t> </w:t>
      </w:r>
      <w:r>
        <w:rPr/>
        <w:t>2.1: Life</w:t>
      </w:r>
      <w:r>
        <w:rPr>
          <w:spacing w:val="-1"/>
        </w:rPr>
        <w:t> </w:t>
      </w:r>
      <w:r>
        <w:rPr/>
        <w:t>cycles</w:t>
      </w:r>
      <w:r>
        <w:rPr>
          <w:spacing w:val="-1"/>
        </w:rPr>
        <w:t> </w:t>
      </w:r>
      <w:r>
        <w:rPr/>
        <w:t>of</w:t>
      </w:r>
      <w:r>
        <w:rPr>
          <w:spacing w:val="-1"/>
        </w:rPr>
        <w:t> </w:t>
      </w:r>
      <w:r>
        <w:rPr/>
        <w:t>malaria</w:t>
      </w:r>
      <w:r>
        <w:rPr>
          <w:spacing w:val="-1"/>
        </w:rPr>
        <w:t> </w:t>
      </w:r>
      <w:r>
        <w:rPr/>
        <w:t>parasite, </w:t>
      </w:r>
      <w:r>
        <w:rPr>
          <w:i/>
        </w:rPr>
        <w:t>Plasmodium</w:t>
      </w:r>
      <w:r>
        <w:rPr>
          <w:i/>
          <w:spacing w:val="-1"/>
        </w:rPr>
        <w:t> </w:t>
      </w:r>
      <w:r>
        <w:rPr/>
        <w:t>species</w:t>
      </w:r>
      <w:r>
        <w:rPr>
          <w:spacing w:val="-1"/>
        </w:rPr>
        <w:t> </w:t>
      </w:r>
      <w:r>
        <w:rPr/>
        <w:t>(Source:</w:t>
      </w:r>
      <w:r>
        <w:rPr>
          <w:spacing w:val="-1"/>
        </w:rPr>
        <w:t> </w:t>
      </w:r>
      <w:r>
        <w:rPr/>
        <w:t>CDC,</w:t>
      </w:r>
      <w:r>
        <w:rPr>
          <w:spacing w:val="58"/>
        </w:rPr>
        <w:t> </w:t>
      </w:r>
      <w:r>
        <w:rPr>
          <w:spacing w:val="-2"/>
        </w:rPr>
        <w:t>2012)</w:t>
      </w:r>
    </w:p>
    <w:p>
      <w:pPr>
        <w:spacing w:after="0"/>
        <w:sectPr>
          <w:pgSz w:w="11910" w:h="16840"/>
          <w:pgMar w:header="0" w:footer="1254" w:top="1440" w:bottom="1440" w:left="1180" w:right="580"/>
        </w:sectPr>
      </w:pPr>
    </w:p>
    <w:p>
      <w:pPr>
        <w:pStyle w:val="Heading2"/>
        <w:numPr>
          <w:ilvl w:val="1"/>
          <w:numId w:val="10"/>
        </w:numPr>
        <w:tabs>
          <w:tab w:pos="620" w:val="left" w:leader="none"/>
        </w:tabs>
        <w:spacing w:line="240" w:lineRule="auto" w:before="78" w:after="0"/>
        <w:ind w:left="620" w:right="0" w:hanging="360"/>
        <w:jc w:val="both"/>
      </w:pPr>
      <w:r>
        <w:rPr>
          <w:spacing w:val="-2"/>
        </w:rPr>
        <w:t>Malaria</w:t>
      </w:r>
    </w:p>
    <w:p>
      <w:pPr>
        <w:pStyle w:val="BodyText"/>
        <w:rPr>
          <w:b/>
        </w:rPr>
      </w:pPr>
    </w:p>
    <w:p>
      <w:pPr>
        <w:pStyle w:val="ListParagraph"/>
        <w:numPr>
          <w:ilvl w:val="2"/>
          <w:numId w:val="10"/>
        </w:numPr>
        <w:tabs>
          <w:tab w:pos="800" w:val="left" w:leader="none"/>
        </w:tabs>
        <w:spacing w:line="240" w:lineRule="auto" w:before="0" w:after="0"/>
        <w:ind w:left="800" w:right="0" w:hanging="540"/>
        <w:jc w:val="both"/>
        <w:rPr>
          <w:b/>
          <w:sz w:val="24"/>
        </w:rPr>
      </w:pPr>
      <w:r>
        <w:rPr>
          <w:b/>
          <w:spacing w:val="-2"/>
          <w:sz w:val="24"/>
        </w:rPr>
        <w:t>Epidemiology</w:t>
      </w:r>
    </w:p>
    <w:p>
      <w:pPr>
        <w:pStyle w:val="BodyText"/>
        <w:spacing w:line="480" w:lineRule="auto" w:before="272"/>
        <w:ind w:left="260" w:right="859"/>
        <w:jc w:val="both"/>
      </w:pPr>
      <w:r>
        <w:rPr/>
        <w:t>Malaria is one of the most important challenges to public health with about 300 to 500</w:t>
      </w:r>
      <w:r>
        <w:rPr>
          <w:spacing w:val="40"/>
        </w:rPr>
        <w:t> </w:t>
      </w:r>
      <w:r>
        <w:rPr/>
        <w:t>million global cases reported annually. More than 1 million people have been reported to die from the</w:t>
      </w:r>
      <w:r>
        <w:rPr>
          <w:spacing w:val="-1"/>
        </w:rPr>
        <w:t> </w:t>
      </w:r>
      <w:r>
        <w:rPr/>
        <w:t>malaria disease. Most of</w:t>
      </w:r>
      <w:r>
        <w:rPr>
          <w:spacing w:val="-1"/>
        </w:rPr>
        <w:t> </w:t>
      </w:r>
      <w:r>
        <w:rPr/>
        <w:t>these</w:t>
      </w:r>
      <w:r>
        <w:rPr>
          <w:spacing w:val="-1"/>
        </w:rPr>
        <w:t> </w:t>
      </w:r>
      <w:r>
        <w:rPr/>
        <w:t>are children under the age 5 years. Over 90.0%</w:t>
      </w:r>
      <w:r>
        <w:rPr>
          <w:spacing w:val="-1"/>
        </w:rPr>
        <w:t> </w:t>
      </w:r>
      <w:r>
        <w:rPr/>
        <w:t>of</w:t>
      </w:r>
      <w:r>
        <w:rPr>
          <w:spacing w:val="-1"/>
        </w:rPr>
        <w:t> </w:t>
      </w:r>
      <w:r>
        <w:rPr/>
        <w:t>the malaria cases and 75% of the deaths occur in sub-Saharan Africa (SSA). These childhood deaths,</w:t>
      </w:r>
      <w:r>
        <w:rPr>
          <w:spacing w:val="-2"/>
        </w:rPr>
        <w:t> </w:t>
      </w:r>
      <w:r>
        <w:rPr/>
        <w:t>were</w:t>
      </w:r>
      <w:r>
        <w:rPr>
          <w:spacing w:val="-2"/>
        </w:rPr>
        <w:t> </w:t>
      </w:r>
      <w:r>
        <w:rPr/>
        <w:t>reported</w:t>
      </w:r>
      <w:r>
        <w:rPr>
          <w:spacing w:val="-2"/>
        </w:rPr>
        <w:t> </w:t>
      </w:r>
      <w:r>
        <w:rPr/>
        <w:t>to be</w:t>
      </w:r>
      <w:r>
        <w:rPr>
          <w:spacing w:val="-3"/>
        </w:rPr>
        <w:t> </w:t>
      </w:r>
      <w:r>
        <w:rPr/>
        <w:t>due</w:t>
      </w:r>
      <w:r>
        <w:rPr>
          <w:spacing w:val="-1"/>
        </w:rPr>
        <w:t> </w:t>
      </w:r>
      <w:r>
        <w:rPr/>
        <w:t>to</w:t>
      </w:r>
      <w:r>
        <w:rPr>
          <w:spacing w:val="-2"/>
        </w:rPr>
        <w:t> </w:t>
      </w:r>
      <w:r>
        <w:rPr/>
        <w:t>cerebral</w:t>
      </w:r>
      <w:r>
        <w:rPr>
          <w:spacing w:val="-2"/>
        </w:rPr>
        <w:t> </w:t>
      </w:r>
      <w:r>
        <w:rPr/>
        <w:t>malaria</w:t>
      </w:r>
      <w:r>
        <w:rPr>
          <w:spacing w:val="-3"/>
        </w:rPr>
        <w:t> </w:t>
      </w:r>
      <w:r>
        <w:rPr/>
        <w:t>and anaemia</w:t>
      </w:r>
      <w:r>
        <w:rPr>
          <w:spacing w:val="-1"/>
        </w:rPr>
        <w:t> </w:t>
      </w:r>
      <w:r>
        <w:rPr/>
        <w:t>which constitute</w:t>
      </w:r>
      <w:r>
        <w:rPr>
          <w:spacing w:val="-3"/>
        </w:rPr>
        <w:t> </w:t>
      </w:r>
      <w:r>
        <w:rPr/>
        <w:t>20%</w:t>
      </w:r>
      <w:r>
        <w:rPr>
          <w:spacing w:val="-3"/>
        </w:rPr>
        <w:t> </w:t>
      </w:r>
      <w:r>
        <w:rPr/>
        <w:t>to</w:t>
      </w:r>
      <w:r>
        <w:rPr>
          <w:spacing w:val="-2"/>
        </w:rPr>
        <w:t> </w:t>
      </w:r>
      <w:r>
        <w:rPr/>
        <w:t>25% of child mortality in Africa (WHO, 2000; Teklehaimanot and Mejia, 2008).</w:t>
      </w:r>
    </w:p>
    <w:p>
      <w:pPr>
        <w:pStyle w:val="BodyText"/>
      </w:pPr>
    </w:p>
    <w:p>
      <w:pPr>
        <w:pStyle w:val="BodyText"/>
      </w:pPr>
    </w:p>
    <w:p>
      <w:pPr>
        <w:pStyle w:val="BodyText"/>
        <w:spacing w:line="480" w:lineRule="auto" w:before="1"/>
        <w:ind w:left="260" w:right="853"/>
        <w:jc w:val="both"/>
      </w:pPr>
      <w:r>
        <w:rPr/>
        <w:t>Malaria generally occurs in areas where environmental conditions allow both the vectors and parasites multiply. Malaria today is commonly found in tropical and subtropical area s and altitudes below 1500 metres, although in the past, malaria was endemic in North America, Europe, northern Asia and Korean peninsula. However, these malaria distributions were observed to be affected by climatic changes and population movements. P. falciparum has been reported to be the predominant species in the world (Fig. 2. 2).</w:t>
      </w:r>
      <w:r>
        <w:rPr>
          <w:spacing w:val="80"/>
        </w:rPr>
        <w:t>  </w:t>
      </w:r>
      <w:r>
        <w:rPr>
          <w:i/>
        </w:rPr>
        <w:t>P. vivax </w:t>
      </w:r>
      <w:r>
        <w:rPr/>
        <w:t>and </w:t>
      </w:r>
      <w:r>
        <w:rPr>
          <w:i/>
        </w:rPr>
        <w:t>P. ovale </w:t>
      </w:r>
      <w:r>
        <w:rPr/>
        <w:t>are traditionally thought to occupy complementary niches</w:t>
      </w:r>
      <w:r>
        <w:rPr>
          <w:i/>
        </w:rPr>
        <w:t>. P. ovale </w:t>
      </w:r>
      <w:r>
        <w:rPr/>
        <w:t>has been observed to be predominating in Sub-Saharan Africa</w:t>
      </w:r>
      <w:r>
        <w:rPr>
          <w:i/>
        </w:rPr>
        <w:t>. P. vivax </w:t>
      </w:r>
      <w:r>
        <w:rPr/>
        <w:t>and P. ovale are not always clearly distinguished</w:t>
      </w:r>
      <w:r>
        <w:rPr>
          <w:spacing w:val="-1"/>
        </w:rPr>
        <w:t> </w:t>
      </w:r>
      <w:r>
        <w:rPr/>
        <w:t>on the</w:t>
      </w:r>
      <w:r>
        <w:rPr>
          <w:spacing w:val="-1"/>
        </w:rPr>
        <w:t> </w:t>
      </w:r>
      <w:r>
        <w:rPr/>
        <w:t>basis of</w:t>
      </w:r>
      <w:r>
        <w:rPr>
          <w:spacing w:val="-1"/>
        </w:rPr>
        <w:t> </w:t>
      </w:r>
      <w:r>
        <w:rPr/>
        <w:t>morphologic</w:t>
      </w:r>
      <w:r>
        <w:rPr>
          <w:spacing w:val="-1"/>
        </w:rPr>
        <w:t> </w:t>
      </w:r>
      <w:r>
        <w:rPr/>
        <w:t>characteristics alone,</w:t>
      </w:r>
      <w:r>
        <w:rPr>
          <w:spacing w:val="-1"/>
        </w:rPr>
        <w:t> </w:t>
      </w:r>
      <w:r>
        <w:rPr/>
        <w:t>but the</w:t>
      </w:r>
      <w:r>
        <w:rPr>
          <w:spacing w:val="-1"/>
        </w:rPr>
        <w:t> </w:t>
      </w:r>
      <w:r>
        <w:rPr/>
        <w:t>use of</w:t>
      </w:r>
      <w:r>
        <w:rPr>
          <w:spacing w:val="-1"/>
        </w:rPr>
        <w:t> </w:t>
      </w:r>
      <w:r>
        <w:rPr/>
        <w:t>molecular</w:t>
      </w:r>
      <w:r>
        <w:rPr>
          <w:spacing w:val="-2"/>
        </w:rPr>
        <w:t> </w:t>
      </w:r>
      <w:r>
        <w:rPr/>
        <w:t>tools has been reported useful to help clarify their diagnosis and exact distribution. </w:t>
      </w:r>
      <w:r>
        <w:rPr>
          <w:i/>
        </w:rPr>
        <w:t>Plasmodium malariae </w:t>
      </w:r>
      <w:r>
        <w:rPr/>
        <w:t>has wide global distribution found in places such as South America, Asia and Africa, but it is less frequent than </w:t>
      </w:r>
      <w:r>
        <w:rPr>
          <w:i/>
        </w:rPr>
        <w:t>P. falciparum </w:t>
      </w:r>
      <w:r>
        <w:rPr/>
        <w:t>in terms of association with cases of malaria disease</w:t>
      </w:r>
      <w:r>
        <w:rPr>
          <w:i/>
        </w:rPr>
        <w:t>. P. knowlesi </w:t>
      </w:r>
      <w:r>
        <w:rPr/>
        <w:t>is mainly found in Southeast Asia.</w:t>
      </w:r>
    </w:p>
    <w:p>
      <w:pPr>
        <w:spacing w:after="0" w:line="480" w:lineRule="auto"/>
        <w:jc w:val="both"/>
        <w:sectPr>
          <w:pgSz w:w="11910" w:h="16840"/>
          <w:pgMar w:header="0" w:footer="1254" w:top="1340" w:bottom="1440" w:left="1180" w:right="580"/>
        </w:sectPr>
      </w:pPr>
    </w:p>
    <w:p>
      <w:pPr>
        <w:pStyle w:val="BodyText"/>
        <w:ind w:left="260"/>
        <w:rPr>
          <w:sz w:val="20"/>
        </w:rPr>
      </w:pPr>
      <w:r>
        <w:rPr>
          <w:sz w:val="20"/>
        </w:rPr>
        <w:drawing>
          <wp:inline distT="0" distB="0" distL="0" distR="0">
            <wp:extent cx="4713285" cy="3477005"/>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4713285" cy="3477005"/>
                    </a:xfrm>
                    <a:prstGeom prst="rect">
                      <a:avLst/>
                    </a:prstGeom>
                  </pic:spPr>
                </pic:pic>
              </a:graphicData>
            </a:graphic>
          </wp:inline>
        </w:drawing>
      </w:r>
      <w:r>
        <w:rPr>
          <w:sz w:val="20"/>
        </w:rPr>
      </w:r>
    </w:p>
    <w:p>
      <w:pPr>
        <w:pStyle w:val="BodyText"/>
        <w:spacing w:before="267"/>
        <w:ind w:left="260"/>
      </w:pPr>
      <w:r>
        <w:rPr/>
        <w:t>Fig.</w:t>
      </w:r>
      <w:r>
        <w:rPr>
          <w:spacing w:val="-1"/>
        </w:rPr>
        <w:t> </w:t>
      </w:r>
      <w:r>
        <w:rPr/>
        <w:t>2.2:</w:t>
      </w:r>
      <w:r>
        <w:rPr>
          <w:spacing w:val="-1"/>
        </w:rPr>
        <w:t> </w:t>
      </w:r>
      <w:r>
        <w:rPr/>
        <w:t>Geographical</w:t>
      </w:r>
      <w:r>
        <w:rPr>
          <w:spacing w:val="-1"/>
        </w:rPr>
        <w:t> </w:t>
      </w:r>
      <w:r>
        <w:rPr/>
        <w:t>distribution</w:t>
      </w:r>
      <w:r>
        <w:rPr>
          <w:spacing w:val="-1"/>
        </w:rPr>
        <w:t> </w:t>
      </w:r>
      <w:r>
        <w:rPr/>
        <w:t>of</w:t>
      </w:r>
      <w:r>
        <w:rPr>
          <w:spacing w:val="-1"/>
        </w:rPr>
        <w:t> </w:t>
      </w:r>
      <w:r>
        <w:rPr/>
        <w:t>malaria</w:t>
      </w:r>
      <w:r>
        <w:rPr>
          <w:spacing w:val="-2"/>
        </w:rPr>
        <w:t> </w:t>
      </w:r>
      <w:r>
        <w:rPr/>
        <w:t>disease</w:t>
      </w:r>
      <w:r>
        <w:rPr>
          <w:spacing w:val="-1"/>
        </w:rPr>
        <w:t> </w:t>
      </w:r>
      <w:r>
        <w:rPr/>
        <w:t>(source:</w:t>
      </w:r>
      <w:r>
        <w:rPr>
          <w:spacing w:val="-1"/>
        </w:rPr>
        <w:t> </w:t>
      </w:r>
      <w:r>
        <w:rPr/>
        <w:t>CDC,</w:t>
      </w:r>
      <w:r>
        <w:rPr>
          <w:spacing w:val="-1"/>
        </w:rPr>
        <w:t> </w:t>
      </w:r>
      <w:r>
        <w:rPr>
          <w:spacing w:val="-2"/>
        </w:rPr>
        <w:t>2014).</w:t>
      </w:r>
    </w:p>
    <w:p>
      <w:pPr>
        <w:spacing w:after="0"/>
        <w:sectPr>
          <w:pgSz w:w="11910" w:h="16840"/>
          <w:pgMar w:header="0" w:footer="1254" w:top="1420" w:bottom="1440" w:left="1180" w:right="580"/>
        </w:sectPr>
      </w:pPr>
    </w:p>
    <w:p>
      <w:pPr>
        <w:pStyle w:val="BodyText"/>
        <w:spacing w:line="480" w:lineRule="auto" w:before="74"/>
        <w:ind w:left="260" w:right="855"/>
        <w:jc w:val="both"/>
      </w:pPr>
      <w:r>
        <w:rPr/>
        <w:t>Evidence has shown that Nigeria has the largest population at risk of malaria in Africa. The disease is a major health problem in the country, with stable transmission throughout the country. It accounts for about 50% of out-patient consultation, 15 percent of hospital admission, and also prime among the top three causes of death in the country (National Malaria</w:t>
      </w:r>
      <w:r>
        <w:rPr>
          <w:spacing w:val="-2"/>
        </w:rPr>
        <w:t> </w:t>
      </w:r>
      <w:r>
        <w:rPr/>
        <w:t>Control plan</w:t>
      </w:r>
      <w:r>
        <w:rPr>
          <w:spacing w:val="-1"/>
        </w:rPr>
        <w:t> </w:t>
      </w:r>
      <w:r>
        <w:rPr/>
        <w:t>of</w:t>
      </w:r>
      <w:r>
        <w:rPr>
          <w:spacing w:val="-1"/>
        </w:rPr>
        <w:t> </w:t>
      </w:r>
      <w:r>
        <w:rPr/>
        <w:t>action 1996 to 2001). Approximately</w:t>
      </w:r>
      <w:r>
        <w:rPr>
          <w:spacing w:val="-8"/>
        </w:rPr>
        <w:t> </w:t>
      </w:r>
      <w:r>
        <w:rPr/>
        <w:t>50%</w:t>
      </w:r>
      <w:r>
        <w:rPr>
          <w:spacing w:val="-1"/>
        </w:rPr>
        <w:t> </w:t>
      </w:r>
      <w:r>
        <w:rPr/>
        <w:t>of</w:t>
      </w:r>
      <w:r>
        <w:rPr>
          <w:spacing w:val="-1"/>
        </w:rPr>
        <w:t> </w:t>
      </w:r>
      <w:r>
        <w:rPr/>
        <w:t>the</w:t>
      </w:r>
      <w:r>
        <w:rPr>
          <w:spacing w:val="-1"/>
        </w:rPr>
        <w:t> </w:t>
      </w:r>
      <w:r>
        <w:rPr/>
        <w:t>Nigerian population experience at least one episode per year with an official estimate of an average of four</w:t>
      </w:r>
      <w:r>
        <w:rPr>
          <w:spacing w:val="40"/>
        </w:rPr>
        <w:t> </w:t>
      </w:r>
      <w:r>
        <w:rPr/>
        <w:t>malaria attack per person per year (WHO, 1995 and WHO, 2002).</w:t>
      </w:r>
    </w:p>
    <w:p>
      <w:pPr>
        <w:pStyle w:val="BodyText"/>
      </w:pPr>
    </w:p>
    <w:p>
      <w:pPr>
        <w:pStyle w:val="BodyText"/>
      </w:pPr>
    </w:p>
    <w:p>
      <w:pPr>
        <w:pStyle w:val="BodyText"/>
        <w:spacing w:line="480" w:lineRule="auto" w:before="1"/>
        <w:ind w:left="260" w:right="854" w:firstLine="60"/>
        <w:jc w:val="both"/>
      </w:pPr>
      <w:r>
        <w:rPr/>
        <w:t>The magnitude of incidence and death due to malaria is a multiple of all other tropical diseases put together.</w:t>
      </w:r>
      <w:r>
        <w:rPr>
          <w:spacing w:val="40"/>
        </w:rPr>
        <w:t> </w:t>
      </w:r>
      <w:r>
        <w:rPr/>
        <w:t>It is responsible for over 90% of reported cases of tropical disease in Nigeria. Evidence from WHO (2005) shows that malaria incidence throughout Nigeria had been on the increase over the years ranging between 1.12 million at the beginning of 1990</w:t>
      </w:r>
      <w:r>
        <w:rPr>
          <w:spacing w:val="40"/>
        </w:rPr>
        <w:t> </w:t>
      </w:r>
      <w:r>
        <w:rPr/>
        <w:t>and 2.225 million by the turn of the millennium 2000 and2.61 million in 2003 (Alaba and Alaba, 2002).</w:t>
      </w:r>
    </w:p>
    <w:p>
      <w:pPr>
        <w:pStyle w:val="BodyText"/>
      </w:pPr>
    </w:p>
    <w:p>
      <w:pPr>
        <w:pStyle w:val="BodyText"/>
      </w:pPr>
    </w:p>
    <w:p>
      <w:pPr>
        <w:pStyle w:val="BodyText"/>
        <w:spacing w:line="480" w:lineRule="auto"/>
        <w:ind w:left="260" w:right="857"/>
        <w:jc w:val="both"/>
      </w:pPr>
      <w:r>
        <w:rPr/>
        <w:t>According to the latest estimates in Africa (WHO, 2014) there were about 198 million cases of malaria with an estimated 584,000 deaths. Malaria mortality rates have fallen by 47% globally since year 2000 and by 54% in WHO African Region. These reduction in malaria cases are associated with the scaling-up of</w:t>
      </w:r>
      <w:r>
        <w:rPr>
          <w:spacing w:val="40"/>
        </w:rPr>
        <w:t> </w:t>
      </w:r>
      <w:r>
        <w:rPr/>
        <w:t>WHO recommended malaria control measures, such as long-lasting</w:t>
      </w:r>
      <w:r>
        <w:rPr>
          <w:spacing w:val="-1"/>
        </w:rPr>
        <w:t> </w:t>
      </w:r>
      <w:r>
        <w:rPr/>
        <w:t>insecticidal nets (LLIN), indoor residual spraying</w:t>
      </w:r>
      <w:r>
        <w:rPr>
          <w:spacing w:val="-1"/>
        </w:rPr>
        <w:t> </w:t>
      </w:r>
      <w:r>
        <w:rPr/>
        <w:t>programmes (IRS) and access to artemisinin combination therapy (WHO, 2014).</w:t>
      </w:r>
      <w:r>
        <w:rPr>
          <w:spacing w:val="40"/>
        </w:rPr>
        <w:t> </w:t>
      </w:r>
      <w:r>
        <w:rPr/>
        <w:t>Most malaria caused deaths are reported to occur among children living in Africa where a child dies every minute from malaria. Country- malaria level burden estimates available for 2010 show that an estimated 80%</w:t>
      </w:r>
      <w:r>
        <w:rPr>
          <w:spacing w:val="-3"/>
        </w:rPr>
        <w:t> </w:t>
      </w:r>
      <w:r>
        <w:rPr/>
        <w:t>of</w:t>
      </w:r>
      <w:r>
        <w:rPr>
          <w:spacing w:val="-3"/>
        </w:rPr>
        <w:t> </w:t>
      </w:r>
      <w:r>
        <w:rPr/>
        <w:t>malaria</w:t>
      </w:r>
      <w:r>
        <w:rPr>
          <w:spacing w:val="-4"/>
        </w:rPr>
        <w:t> </w:t>
      </w:r>
      <w:r>
        <w:rPr/>
        <w:t>deaths</w:t>
      </w:r>
      <w:r>
        <w:rPr>
          <w:spacing w:val="-2"/>
        </w:rPr>
        <w:t> </w:t>
      </w:r>
      <w:r>
        <w:rPr/>
        <w:t>occur</w:t>
      </w:r>
      <w:r>
        <w:rPr>
          <w:spacing w:val="-2"/>
        </w:rPr>
        <w:t> </w:t>
      </w:r>
      <w:r>
        <w:rPr/>
        <w:t>in</w:t>
      </w:r>
      <w:r>
        <w:rPr>
          <w:spacing w:val="-2"/>
        </w:rPr>
        <w:t> </w:t>
      </w:r>
      <w:r>
        <w:rPr/>
        <w:t>just</w:t>
      </w:r>
      <w:r>
        <w:rPr>
          <w:spacing w:val="-2"/>
        </w:rPr>
        <w:t> </w:t>
      </w:r>
      <w:r>
        <w:rPr/>
        <w:t>14</w:t>
      </w:r>
      <w:r>
        <w:rPr>
          <w:spacing w:val="-2"/>
        </w:rPr>
        <w:t> </w:t>
      </w:r>
      <w:r>
        <w:rPr/>
        <w:t>countries.</w:t>
      </w:r>
      <w:r>
        <w:rPr>
          <w:spacing w:val="40"/>
        </w:rPr>
        <w:t> </w:t>
      </w:r>
      <w:r>
        <w:rPr/>
        <w:t>The</w:t>
      </w:r>
      <w:r>
        <w:rPr>
          <w:spacing w:val="-4"/>
        </w:rPr>
        <w:t> </w:t>
      </w:r>
      <w:r>
        <w:rPr/>
        <w:t>Democratic</w:t>
      </w:r>
      <w:r>
        <w:rPr>
          <w:spacing w:val="-3"/>
        </w:rPr>
        <w:t> </w:t>
      </w:r>
      <w:r>
        <w:rPr/>
        <w:t>Republic</w:t>
      </w:r>
      <w:r>
        <w:rPr>
          <w:spacing w:val="-3"/>
        </w:rPr>
        <w:t> </w:t>
      </w:r>
      <w:r>
        <w:rPr/>
        <w:t>of</w:t>
      </w:r>
      <w:r>
        <w:rPr>
          <w:spacing w:val="-2"/>
        </w:rPr>
        <w:t> </w:t>
      </w:r>
      <w:r>
        <w:rPr/>
        <w:t>the</w:t>
      </w:r>
      <w:r>
        <w:rPr>
          <w:spacing w:val="-2"/>
        </w:rPr>
        <w:t> </w:t>
      </w:r>
      <w:r>
        <w:rPr/>
        <w:t>Congo and Nigeria account for over 40% of the estimated total malaria caused deaths globally.</w:t>
      </w:r>
    </w:p>
    <w:p>
      <w:pPr>
        <w:spacing w:after="0" w:line="480" w:lineRule="auto"/>
        <w:jc w:val="both"/>
        <w:sectPr>
          <w:pgSz w:w="11910" w:h="16840"/>
          <w:pgMar w:header="0" w:footer="1254" w:top="1340" w:bottom="1440" w:left="1180" w:right="580"/>
        </w:sectPr>
      </w:pPr>
    </w:p>
    <w:p>
      <w:pPr>
        <w:pStyle w:val="Heading2"/>
        <w:numPr>
          <w:ilvl w:val="2"/>
          <w:numId w:val="10"/>
        </w:numPr>
        <w:tabs>
          <w:tab w:pos="800" w:val="left" w:leader="none"/>
        </w:tabs>
        <w:spacing w:line="240" w:lineRule="auto" w:before="78" w:after="0"/>
        <w:ind w:left="800" w:right="0" w:hanging="540"/>
        <w:jc w:val="both"/>
      </w:pPr>
      <w:r>
        <w:rPr/>
        <w:t>Diagnosis of</w:t>
      </w:r>
      <w:r>
        <w:rPr>
          <w:spacing w:val="1"/>
        </w:rPr>
        <w:t> </w:t>
      </w:r>
      <w:r>
        <w:rPr>
          <w:spacing w:val="-2"/>
        </w:rPr>
        <w:t>malaria</w:t>
      </w:r>
    </w:p>
    <w:p>
      <w:pPr>
        <w:pStyle w:val="BodyText"/>
        <w:spacing w:line="480" w:lineRule="auto" w:before="272"/>
        <w:ind w:left="260" w:right="854"/>
        <w:jc w:val="both"/>
      </w:pPr>
      <w:r>
        <w:rPr/>
        <w:t>Malaria must be recognized promptly in order to treat the patient in time and to prevent further spread of infection in the community via local mosquitoes. Malaria should be considered a potential medical emergency and should be treated accordingly. Delay in diagnosis and treatment is a leading cause of death in malaria patients in the United States.</w:t>
      </w:r>
    </w:p>
    <w:p>
      <w:pPr>
        <w:pStyle w:val="BodyText"/>
        <w:spacing w:line="480" w:lineRule="auto"/>
        <w:ind w:left="260" w:right="864"/>
        <w:jc w:val="both"/>
      </w:pPr>
      <w:r>
        <w:rPr/>
        <w:t>Malaria can be suspected based on the patient's travel history, symptoms, and the physical findings</w:t>
      </w:r>
      <w:r>
        <w:rPr>
          <w:spacing w:val="-1"/>
        </w:rPr>
        <w:t> </w:t>
      </w:r>
      <w:r>
        <w:rPr/>
        <w:t>at</w:t>
      </w:r>
      <w:r>
        <w:rPr>
          <w:spacing w:val="-1"/>
        </w:rPr>
        <w:t> </w:t>
      </w:r>
      <w:r>
        <w:rPr/>
        <w:t>examination.</w:t>
      </w:r>
      <w:r>
        <w:rPr>
          <w:spacing w:val="-3"/>
        </w:rPr>
        <w:t> </w:t>
      </w:r>
      <w:r>
        <w:rPr/>
        <w:t>However,</w:t>
      </w:r>
      <w:r>
        <w:rPr>
          <w:spacing w:val="-2"/>
        </w:rPr>
        <w:t> </w:t>
      </w:r>
      <w:r>
        <w:rPr/>
        <w:t>for</w:t>
      </w:r>
      <w:r>
        <w:rPr>
          <w:spacing w:val="-3"/>
        </w:rPr>
        <w:t> </w:t>
      </w:r>
      <w:r>
        <w:rPr/>
        <w:t>a</w:t>
      </w:r>
      <w:r>
        <w:rPr>
          <w:spacing w:val="-2"/>
        </w:rPr>
        <w:t> </w:t>
      </w:r>
      <w:r>
        <w:rPr/>
        <w:t>definitive</w:t>
      </w:r>
      <w:r>
        <w:rPr>
          <w:spacing w:val="-2"/>
        </w:rPr>
        <w:t> </w:t>
      </w:r>
      <w:r>
        <w:rPr/>
        <w:t>diagnosis</w:t>
      </w:r>
      <w:r>
        <w:rPr>
          <w:spacing w:val="-1"/>
        </w:rPr>
        <w:t> </w:t>
      </w:r>
      <w:r>
        <w:rPr/>
        <w:t>to</w:t>
      </w:r>
      <w:r>
        <w:rPr>
          <w:spacing w:val="-1"/>
        </w:rPr>
        <w:t> </w:t>
      </w:r>
      <w:r>
        <w:rPr/>
        <w:t>be</w:t>
      </w:r>
      <w:r>
        <w:rPr>
          <w:spacing w:val="-2"/>
        </w:rPr>
        <w:t> </w:t>
      </w:r>
      <w:r>
        <w:rPr/>
        <w:t>made,</w:t>
      </w:r>
      <w:r>
        <w:rPr>
          <w:spacing w:val="-1"/>
        </w:rPr>
        <w:t> </w:t>
      </w:r>
      <w:r>
        <w:rPr/>
        <w:t>laboratory</w:t>
      </w:r>
      <w:r>
        <w:rPr>
          <w:spacing w:val="-9"/>
        </w:rPr>
        <w:t> </w:t>
      </w:r>
      <w:r>
        <w:rPr/>
        <w:t>tests</w:t>
      </w:r>
      <w:r>
        <w:rPr>
          <w:spacing w:val="-1"/>
        </w:rPr>
        <w:t> </w:t>
      </w:r>
      <w:r>
        <w:rPr/>
        <w:t>must demonstrate the malaria parasites or their components.</w:t>
      </w:r>
    </w:p>
    <w:p>
      <w:pPr>
        <w:pStyle w:val="BodyText"/>
      </w:pPr>
    </w:p>
    <w:p>
      <w:pPr>
        <w:pStyle w:val="BodyText"/>
      </w:pPr>
    </w:p>
    <w:p>
      <w:pPr>
        <w:pStyle w:val="BodyText"/>
        <w:spacing w:line="480" w:lineRule="auto" w:before="1"/>
        <w:ind w:left="260" w:right="859"/>
        <w:jc w:val="both"/>
      </w:pPr>
      <w:r>
        <w:rPr/>
        <w:t>Diagnosis of malaria can be difficult where malaria is not endemic any more (such as in the United</w:t>
      </w:r>
      <w:r>
        <w:rPr>
          <w:spacing w:val="-1"/>
        </w:rPr>
        <w:t> </w:t>
      </w:r>
      <w:r>
        <w:rPr/>
        <w:t>States),</w:t>
      </w:r>
      <w:r>
        <w:rPr>
          <w:spacing w:val="-1"/>
        </w:rPr>
        <w:t> </w:t>
      </w:r>
      <w:r>
        <w:rPr/>
        <w:t>health-care</w:t>
      </w:r>
      <w:r>
        <w:rPr>
          <w:spacing w:val="-1"/>
        </w:rPr>
        <w:t> </w:t>
      </w:r>
      <w:r>
        <w:rPr/>
        <w:t>providers may</w:t>
      </w:r>
      <w:r>
        <w:rPr>
          <w:spacing w:val="-5"/>
        </w:rPr>
        <w:t> </w:t>
      </w:r>
      <w:r>
        <w:rPr/>
        <w:t>not be familiar</w:t>
      </w:r>
      <w:r>
        <w:rPr>
          <w:spacing w:val="-1"/>
        </w:rPr>
        <w:t> </w:t>
      </w:r>
      <w:r>
        <w:rPr/>
        <w:t>with the</w:t>
      </w:r>
      <w:r>
        <w:rPr>
          <w:spacing w:val="-1"/>
        </w:rPr>
        <w:t> </w:t>
      </w:r>
      <w:r>
        <w:rPr/>
        <w:t>disease. Clinicians seeing a malaria patient may forget to consider malaria among the potential diagnoses and not order the</w:t>
      </w:r>
      <w:r>
        <w:rPr>
          <w:spacing w:val="-2"/>
        </w:rPr>
        <w:t> </w:t>
      </w:r>
      <w:r>
        <w:rPr/>
        <w:t>needed</w:t>
      </w:r>
      <w:r>
        <w:rPr>
          <w:spacing w:val="-1"/>
        </w:rPr>
        <w:t> </w:t>
      </w:r>
      <w:r>
        <w:rPr/>
        <w:t>diagnostic</w:t>
      </w:r>
      <w:r>
        <w:rPr>
          <w:spacing w:val="-2"/>
        </w:rPr>
        <w:t> </w:t>
      </w:r>
      <w:r>
        <w:rPr/>
        <w:t>tests.</w:t>
      </w:r>
      <w:r>
        <w:rPr>
          <w:spacing w:val="-1"/>
        </w:rPr>
        <w:t> </w:t>
      </w:r>
      <w:r>
        <w:rPr/>
        <w:t>Laboratory</w:t>
      </w:r>
      <w:r>
        <w:rPr>
          <w:spacing w:val="-7"/>
        </w:rPr>
        <w:t> </w:t>
      </w:r>
      <w:r>
        <w:rPr/>
        <w:t>scientists</w:t>
      </w:r>
      <w:r>
        <w:rPr>
          <w:spacing w:val="-2"/>
        </w:rPr>
        <w:t> </w:t>
      </w:r>
      <w:r>
        <w:rPr/>
        <w:t>may</w:t>
      </w:r>
      <w:r>
        <w:rPr>
          <w:spacing w:val="-7"/>
        </w:rPr>
        <w:t> </w:t>
      </w:r>
      <w:r>
        <w:rPr/>
        <w:t>lack</w:t>
      </w:r>
      <w:r>
        <w:rPr>
          <w:spacing w:val="-2"/>
        </w:rPr>
        <w:t> </w:t>
      </w:r>
      <w:r>
        <w:rPr/>
        <w:t>experience</w:t>
      </w:r>
      <w:r>
        <w:rPr>
          <w:spacing w:val="-3"/>
        </w:rPr>
        <w:t> </w:t>
      </w:r>
      <w:r>
        <w:rPr/>
        <w:t>with</w:t>
      </w:r>
      <w:r>
        <w:rPr>
          <w:spacing w:val="-2"/>
        </w:rPr>
        <w:t> </w:t>
      </w:r>
      <w:r>
        <w:rPr/>
        <w:t>malaria</w:t>
      </w:r>
      <w:r>
        <w:rPr>
          <w:spacing w:val="-4"/>
        </w:rPr>
        <w:t> </w:t>
      </w:r>
      <w:r>
        <w:rPr/>
        <w:t>and</w:t>
      </w:r>
      <w:r>
        <w:rPr>
          <w:spacing w:val="-1"/>
        </w:rPr>
        <w:t> </w:t>
      </w:r>
      <w:r>
        <w:rPr/>
        <w:t>fail</w:t>
      </w:r>
      <w:r>
        <w:rPr>
          <w:spacing w:val="-2"/>
        </w:rPr>
        <w:t> </w:t>
      </w:r>
      <w:r>
        <w:rPr/>
        <w:t>to detect parasites when examining blood smears under the microscope.</w:t>
      </w:r>
    </w:p>
    <w:p>
      <w:pPr>
        <w:pStyle w:val="BodyText"/>
      </w:pPr>
    </w:p>
    <w:p>
      <w:pPr>
        <w:pStyle w:val="BodyText"/>
      </w:pPr>
    </w:p>
    <w:p>
      <w:pPr>
        <w:pStyle w:val="BodyText"/>
        <w:spacing w:line="480" w:lineRule="auto"/>
        <w:ind w:left="260" w:right="858"/>
        <w:jc w:val="both"/>
        <w:rPr>
          <w:b/>
        </w:rPr>
      </w:pPr>
      <w:r>
        <w:rPr/>
        <w:t>In some malaria-endemic areas, malaria transmission is so intense that a large proportion of the population is infected but not made ill by the parasites. Such carriers have developed just enough immunity</w:t>
      </w:r>
      <w:r>
        <w:rPr>
          <w:spacing w:val="-7"/>
        </w:rPr>
        <w:t> </w:t>
      </w:r>
      <w:r>
        <w:rPr/>
        <w:t>to</w:t>
      </w:r>
      <w:r>
        <w:rPr>
          <w:spacing w:val="-2"/>
        </w:rPr>
        <w:t> </w:t>
      </w:r>
      <w:r>
        <w:rPr/>
        <w:t>protect</w:t>
      </w:r>
      <w:r>
        <w:rPr>
          <w:spacing w:val="-2"/>
        </w:rPr>
        <w:t> </w:t>
      </w:r>
      <w:r>
        <w:rPr/>
        <w:t>them</w:t>
      </w:r>
      <w:r>
        <w:rPr>
          <w:spacing w:val="-2"/>
        </w:rPr>
        <w:t> </w:t>
      </w:r>
      <w:r>
        <w:rPr/>
        <w:t>from</w:t>
      </w:r>
      <w:r>
        <w:rPr>
          <w:spacing w:val="-2"/>
        </w:rPr>
        <w:t> </w:t>
      </w:r>
      <w:r>
        <w:rPr/>
        <w:t>malarial</w:t>
      </w:r>
      <w:r>
        <w:rPr>
          <w:spacing w:val="-2"/>
        </w:rPr>
        <w:t> </w:t>
      </w:r>
      <w:r>
        <w:rPr/>
        <w:t>illness</w:t>
      </w:r>
      <w:r>
        <w:rPr>
          <w:spacing w:val="-2"/>
        </w:rPr>
        <w:t> </w:t>
      </w:r>
      <w:r>
        <w:rPr/>
        <w:t>but</w:t>
      </w:r>
      <w:r>
        <w:rPr>
          <w:spacing w:val="-2"/>
        </w:rPr>
        <w:t> </w:t>
      </w:r>
      <w:r>
        <w:rPr/>
        <w:t>not</w:t>
      </w:r>
      <w:r>
        <w:rPr>
          <w:spacing w:val="-2"/>
        </w:rPr>
        <w:t> </w:t>
      </w:r>
      <w:r>
        <w:rPr/>
        <w:t>from</w:t>
      </w:r>
      <w:r>
        <w:rPr>
          <w:spacing w:val="-2"/>
        </w:rPr>
        <w:t> </w:t>
      </w:r>
      <w:r>
        <w:rPr/>
        <w:t>malarial</w:t>
      </w:r>
      <w:r>
        <w:rPr>
          <w:spacing w:val="-2"/>
        </w:rPr>
        <w:t> </w:t>
      </w:r>
      <w:r>
        <w:rPr/>
        <w:t>infection. In</w:t>
      </w:r>
      <w:r>
        <w:rPr>
          <w:spacing w:val="-2"/>
        </w:rPr>
        <w:t> </w:t>
      </w:r>
      <w:r>
        <w:rPr/>
        <w:t>that situation, finding malaria parasites in an ill person does not necessarily mean that the illness</w:t>
      </w:r>
      <w:r>
        <w:rPr>
          <w:spacing w:val="40"/>
        </w:rPr>
        <w:t> </w:t>
      </w:r>
      <w:r>
        <w:rPr/>
        <w:t>is caused by the parasite</w:t>
      </w:r>
      <w:r>
        <w:rPr>
          <w:b/>
        </w:rPr>
        <w:t>s.</w:t>
      </w:r>
    </w:p>
    <w:p>
      <w:pPr>
        <w:pStyle w:val="BodyText"/>
        <w:rPr>
          <w:b/>
        </w:rPr>
      </w:pPr>
    </w:p>
    <w:p>
      <w:pPr>
        <w:pStyle w:val="BodyText"/>
        <w:spacing w:before="1"/>
        <w:rPr>
          <w:b/>
        </w:rPr>
      </w:pPr>
    </w:p>
    <w:p>
      <w:pPr>
        <w:pStyle w:val="BodyText"/>
        <w:spacing w:line="480" w:lineRule="auto"/>
        <w:ind w:left="260" w:right="859"/>
        <w:jc w:val="both"/>
      </w:pPr>
      <w:hyperlink r:id="rId10">
        <w:r>
          <w:rPr/>
          <w:t>Clinical diagnosis</w:t>
        </w:r>
      </w:hyperlink>
      <w:r>
        <w:rPr/>
        <w:t> is based on the patient's signs and symptoms and on physical findings at examination. The first symptoms of malaria which are most often fever, chills, sweats, headaches, muscle pains, nausea and vomiting are often nonspecific because they overlap with</w:t>
      </w:r>
      <w:r>
        <w:rPr>
          <w:spacing w:val="54"/>
          <w:w w:val="150"/>
        </w:rPr>
        <w:t> </w:t>
      </w:r>
      <w:r>
        <w:rPr/>
        <w:t>common</w:t>
      </w:r>
      <w:r>
        <w:rPr>
          <w:spacing w:val="55"/>
          <w:w w:val="150"/>
        </w:rPr>
        <w:t> </w:t>
      </w:r>
      <w:r>
        <w:rPr/>
        <w:t>life-threatening</w:t>
      </w:r>
      <w:r>
        <w:rPr>
          <w:spacing w:val="52"/>
          <w:w w:val="150"/>
        </w:rPr>
        <w:t> </w:t>
      </w:r>
      <w:r>
        <w:rPr/>
        <w:t>diseases</w:t>
      </w:r>
      <w:r>
        <w:rPr>
          <w:spacing w:val="55"/>
          <w:w w:val="150"/>
        </w:rPr>
        <w:t> </w:t>
      </w:r>
      <w:r>
        <w:rPr/>
        <w:t>such</w:t>
      </w:r>
      <w:r>
        <w:rPr>
          <w:spacing w:val="54"/>
          <w:w w:val="150"/>
        </w:rPr>
        <w:t> </w:t>
      </w:r>
      <w:r>
        <w:rPr/>
        <w:t>as</w:t>
      </w:r>
      <w:r>
        <w:rPr>
          <w:spacing w:val="54"/>
          <w:w w:val="150"/>
        </w:rPr>
        <w:t> </w:t>
      </w:r>
      <w:r>
        <w:rPr/>
        <w:t>bacterial</w:t>
      </w:r>
      <w:r>
        <w:rPr>
          <w:spacing w:val="55"/>
          <w:w w:val="150"/>
        </w:rPr>
        <w:t> </w:t>
      </w:r>
      <w:r>
        <w:rPr/>
        <w:t>and</w:t>
      </w:r>
      <w:r>
        <w:rPr>
          <w:spacing w:val="55"/>
          <w:w w:val="150"/>
        </w:rPr>
        <w:t> </w:t>
      </w:r>
      <w:r>
        <w:rPr/>
        <w:t>common</w:t>
      </w:r>
      <w:r>
        <w:rPr>
          <w:spacing w:val="55"/>
          <w:w w:val="150"/>
        </w:rPr>
        <w:t> </w:t>
      </w:r>
      <w:r>
        <w:rPr/>
        <w:t>viral</w:t>
      </w:r>
      <w:r>
        <w:rPr>
          <w:spacing w:val="55"/>
          <w:w w:val="150"/>
        </w:rPr>
        <w:t> </w:t>
      </w:r>
      <w:r>
        <w:rPr>
          <w:spacing w:val="-2"/>
        </w:rPr>
        <w:t>infections</w:t>
      </w:r>
    </w:p>
    <w:p>
      <w:pPr>
        <w:spacing w:after="0" w:line="480" w:lineRule="auto"/>
        <w:jc w:val="both"/>
        <w:sectPr>
          <w:pgSz w:w="11910" w:h="16840"/>
          <w:pgMar w:header="0" w:footer="1254" w:top="1340" w:bottom="1440" w:left="1180" w:right="580"/>
        </w:sectPr>
      </w:pPr>
    </w:p>
    <w:p>
      <w:pPr>
        <w:pStyle w:val="BodyText"/>
        <w:spacing w:line="480" w:lineRule="auto" w:before="74"/>
        <w:ind w:left="260" w:right="856"/>
        <w:jc w:val="both"/>
      </w:pPr>
      <w:r>
        <w:rPr/>
        <w:t>(Mwangi</w:t>
      </w:r>
      <w:r>
        <w:rPr>
          <w:i/>
        </w:rPr>
        <w:t>, </w:t>
      </w:r>
      <w:r>
        <w:rPr/>
        <w:t>2005).</w:t>
      </w:r>
      <w:r>
        <w:rPr>
          <w:spacing w:val="40"/>
        </w:rPr>
        <w:t> </w:t>
      </w:r>
      <w:r>
        <w:rPr/>
        <w:t>Likewise, the physical findings are often nonspecific which includes elevated temperature, perspiration and tiredness. In severe malaria (caused by </w:t>
      </w:r>
      <w:r>
        <w:rPr>
          <w:i/>
        </w:rPr>
        <w:t>Plasmodium falciparum</w:t>
      </w:r>
      <w:r>
        <w:rPr/>
        <w:t>), clinical findings (confusion, coma, neurologic focal signs, severe anemia, respiratory</w:t>
      </w:r>
      <w:r>
        <w:rPr>
          <w:spacing w:val="-4"/>
        </w:rPr>
        <w:t> </w:t>
      </w:r>
      <w:r>
        <w:rPr/>
        <w:t>difficulties) are</w:t>
      </w:r>
      <w:r>
        <w:rPr>
          <w:spacing w:val="-1"/>
        </w:rPr>
        <w:t> </w:t>
      </w:r>
      <w:r>
        <w:rPr/>
        <w:t>more</w:t>
      </w:r>
      <w:r>
        <w:rPr>
          <w:spacing w:val="-1"/>
        </w:rPr>
        <w:t> </w:t>
      </w:r>
      <w:r>
        <w:rPr/>
        <w:t>striking</w:t>
      </w:r>
      <w:r>
        <w:rPr>
          <w:spacing w:val="-2"/>
        </w:rPr>
        <w:t> </w:t>
      </w:r>
      <w:r>
        <w:rPr/>
        <w:t>and may</w:t>
      </w:r>
      <w:r>
        <w:rPr>
          <w:spacing w:val="-2"/>
        </w:rPr>
        <w:t> </w:t>
      </w:r>
      <w:r>
        <w:rPr/>
        <w:t>increase the index of suspicion for</w:t>
      </w:r>
      <w:r>
        <w:rPr>
          <w:spacing w:val="-1"/>
        </w:rPr>
        <w:t> </w:t>
      </w:r>
      <w:r>
        <w:rPr/>
        <w:t>malaria. If possible, clinical findings should always be confirmed by a laboratory test for malaria. Microscopy remains the gold standard for laboratory confirmation of malaria.</w:t>
      </w:r>
      <w:r>
        <w:rPr>
          <w:spacing w:val="40"/>
        </w:rPr>
        <w:t> </w:t>
      </w:r>
      <w:r>
        <w:rPr/>
        <w:t>When performed in optimal conditions, the technique has a remarkable sensitivity. It is specific and enables</w:t>
      </w:r>
      <w:r>
        <w:rPr>
          <w:spacing w:val="-2"/>
        </w:rPr>
        <w:t> </w:t>
      </w:r>
      <w:r>
        <w:rPr/>
        <w:t>the</w:t>
      </w:r>
      <w:r>
        <w:rPr>
          <w:spacing w:val="-2"/>
        </w:rPr>
        <w:t> </w:t>
      </w:r>
      <w:r>
        <w:rPr/>
        <w:t>identification</w:t>
      </w:r>
      <w:r>
        <w:rPr>
          <w:spacing w:val="-1"/>
        </w:rPr>
        <w:t> </w:t>
      </w:r>
      <w:r>
        <w:rPr/>
        <w:t>of</w:t>
      </w:r>
      <w:r>
        <w:rPr>
          <w:spacing w:val="-2"/>
        </w:rPr>
        <w:t> </w:t>
      </w:r>
      <w:r>
        <w:rPr/>
        <w:t>the</w:t>
      </w:r>
      <w:r>
        <w:rPr>
          <w:spacing w:val="-2"/>
        </w:rPr>
        <w:t> </w:t>
      </w:r>
      <w:r>
        <w:rPr/>
        <w:t>parasite</w:t>
      </w:r>
      <w:r>
        <w:rPr>
          <w:spacing w:val="-2"/>
        </w:rPr>
        <w:t> </w:t>
      </w:r>
      <w:r>
        <w:rPr/>
        <w:t>at</w:t>
      </w:r>
      <w:r>
        <w:rPr>
          <w:spacing w:val="-1"/>
        </w:rPr>
        <w:t> </w:t>
      </w:r>
      <w:r>
        <w:rPr/>
        <w:t>the</w:t>
      </w:r>
      <w:r>
        <w:rPr>
          <w:spacing w:val="-2"/>
        </w:rPr>
        <w:t> </w:t>
      </w:r>
      <w:r>
        <w:rPr/>
        <w:t>species</w:t>
      </w:r>
      <w:r>
        <w:rPr>
          <w:spacing w:val="-2"/>
        </w:rPr>
        <w:t> </w:t>
      </w:r>
      <w:r>
        <w:rPr/>
        <w:t>level</w:t>
      </w:r>
      <w:r>
        <w:rPr>
          <w:spacing w:val="-1"/>
        </w:rPr>
        <w:t> </w:t>
      </w:r>
      <w:r>
        <w:rPr/>
        <w:t>as</w:t>
      </w:r>
      <w:r>
        <w:rPr>
          <w:spacing w:val="-1"/>
        </w:rPr>
        <w:t> </w:t>
      </w:r>
      <w:r>
        <w:rPr/>
        <w:t>well</w:t>
      </w:r>
      <w:r>
        <w:rPr>
          <w:spacing w:val="-1"/>
        </w:rPr>
        <w:t> </w:t>
      </w:r>
      <w:r>
        <w:rPr/>
        <w:t>as</w:t>
      </w:r>
      <w:r>
        <w:rPr>
          <w:spacing w:val="-1"/>
        </w:rPr>
        <w:t> </w:t>
      </w:r>
      <w:r>
        <w:rPr/>
        <w:t>quantitatively. It is also reasonably easy to perform and cheap (Marcel, 2003). However, microscopy depends on the quality of the reagents, the microscope, and on the experience of the microscopy scientist.</w:t>
      </w:r>
    </w:p>
    <w:p>
      <w:pPr>
        <w:pStyle w:val="BodyText"/>
      </w:pPr>
    </w:p>
    <w:p>
      <w:pPr>
        <w:pStyle w:val="BodyText"/>
        <w:spacing w:before="1"/>
      </w:pPr>
    </w:p>
    <w:p>
      <w:pPr>
        <w:pStyle w:val="BodyText"/>
        <w:spacing w:line="480" w:lineRule="auto"/>
        <w:ind w:left="260" w:right="852"/>
        <w:jc w:val="both"/>
      </w:pPr>
      <w:r>
        <w:rPr/>
        <w:t>Various test kits are available to detect antigens derived from malaria parasites. Such immunologic ("immunochromatographic") tests most often use a dipstick or cassette format, and provide results in 2-15 minutes. These "Rapid Diagnostic Tests" (RDTs) offer a useful alternative to microscopy in situations where reliable microscopic diagnosis is not available. Malaria RDTs are currently used in some clinical settings and programs. However, before malaria RDTs can be widely adopted, several issues remain to be addressed, including improving</w:t>
      </w:r>
      <w:r>
        <w:rPr>
          <w:spacing w:val="-2"/>
        </w:rPr>
        <w:t> </w:t>
      </w:r>
      <w:r>
        <w:rPr/>
        <w:t>their accuracy; lowering</w:t>
      </w:r>
      <w:r>
        <w:rPr>
          <w:spacing w:val="-3"/>
        </w:rPr>
        <w:t> </w:t>
      </w:r>
      <w:r>
        <w:rPr/>
        <w:t>their cost; and ensuring</w:t>
      </w:r>
      <w:r>
        <w:rPr>
          <w:spacing w:val="-3"/>
        </w:rPr>
        <w:t> </w:t>
      </w:r>
      <w:r>
        <w:rPr/>
        <w:t>their adequate performance under adverse field conditions. It is recommended that all RDTs are followed-up with microscopy</w:t>
      </w:r>
      <w:r>
        <w:rPr>
          <w:spacing w:val="40"/>
        </w:rPr>
        <w:t> </w:t>
      </w:r>
      <w:r>
        <w:rPr/>
        <w:t>to confirm the results and if positive, to quantify the proportion of red blood cells that are infected. The use of this RDT may</w:t>
      </w:r>
      <w:r>
        <w:rPr>
          <w:spacing w:val="-2"/>
        </w:rPr>
        <w:t> </w:t>
      </w:r>
      <w:r>
        <w:rPr/>
        <w:t>decrease the amount of time that it takes to determine that a patient is infected with malaria.</w:t>
      </w:r>
    </w:p>
    <w:p>
      <w:pPr>
        <w:pStyle w:val="BodyText"/>
      </w:pPr>
    </w:p>
    <w:p>
      <w:pPr>
        <w:pStyle w:val="BodyText"/>
        <w:spacing w:before="2"/>
      </w:pPr>
    </w:p>
    <w:p>
      <w:pPr>
        <w:pStyle w:val="BodyText"/>
        <w:spacing w:line="480" w:lineRule="auto"/>
        <w:ind w:left="260" w:right="860"/>
        <w:jc w:val="both"/>
      </w:pPr>
      <w:r>
        <w:rPr/>
        <w:t>Parasite nucleic acids are detected using polymerase chain reaction (PCR). Although this technique</w:t>
      </w:r>
      <w:r>
        <w:rPr>
          <w:spacing w:val="-2"/>
        </w:rPr>
        <w:t> </w:t>
      </w:r>
      <w:r>
        <w:rPr/>
        <w:t>may</w:t>
      </w:r>
      <w:r>
        <w:rPr>
          <w:spacing w:val="-3"/>
        </w:rPr>
        <w:t> </w:t>
      </w:r>
      <w:r>
        <w:rPr/>
        <w:t>be</w:t>
      </w:r>
      <w:r>
        <w:rPr>
          <w:spacing w:val="2"/>
        </w:rPr>
        <w:t> </w:t>
      </w:r>
      <w:r>
        <w:rPr/>
        <w:t>slightly</w:t>
      </w:r>
      <w:r>
        <w:rPr>
          <w:spacing w:val="-3"/>
        </w:rPr>
        <w:t> </w:t>
      </w:r>
      <w:r>
        <w:rPr/>
        <w:t>more</w:t>
      </w:r>
      <w:r>
        <w:rPr>
          <w:spacing w:val="-2"/>
        </w:rPr>
        <w:t> </w:t>
      </w:r>
      <w:r>
        <w:rPr/>
        <w:t>sensitive</w:t>
      </w:r>
      <w:r>
        <w:rPr>
          <w:spacing w:val="2"/>
        </w:rPr>
        <w:t> </w:t>
      </w:r>
      <w:r>
        <w:rPr/>
        <w:t>than</w:t>
      </w:r>
      <w:r>
        <w:rPr>
          <w:spacing w:val="1"/>
        </w:rPr>
        <w:t> </w:t>
      </w:r>
      <w:r>
        <w:rPr/>
        <w:t>smear</w:t>
      </w:r>
      <w:r>
        <w:rPr>
          <w:spacing w:val="1"/>
        </w:rPr>
        <w:t> </w:t>
      </w:r>
      <w:r>
        <w:rPr/>
        <w:t>microscopy,</w:t>
      </w:r>
      <w:r>
        <w:rPr>
          <w:spacing w:val="3"/>
        </w:rPr>
        <w:t> </w:t>
      </w:r>
      <w:r>
        <w:rPr/>
        <w:t>it is of</w:t>
      </w:r>
      <w:r>
        <w:rPr>
          <w:spacing w:val="1"/>
        </w:rPr>
        <w:t> </w:t>
      </w:r>
      <w:r>
        <w:rPr/>
        <w:t>limited utility</w:t>
      </w:r>
      <w:r>
        <w:rPr>
          <w:spacing w:val="-5"/>
        </w:rPr>
        <w:t> </w:t>
      </w:r>
      <w:r>
        <w:rPr/>
        <w:t>for</w:t>
      </w:r>
      <w:r>
        <w:rPr>
          <w:spacing w:val="2"/>
        </w:rPr>
        <w:t> </w:t>
      </w:r>
      <w:r>
        <w:rPr>
          <w:spacing w:val="-5"/>
        </w:rPr>
        <w:t>the</w:t>
      </w:r>
    </w:p>
    <w:p>
      <w:pPr>
        <w:spacing w:after="0" w:line="480" w:lineRule="auto"/>
        <w:jc w:val="both"/>
        <w:sectPr>
          <w:pgSz w:w="11910" w:h="16840"/>
          <w:pgMar w:header="0" w:footer="1254" w:top="1340" w:bottom="1440" w:left="1180" w:right="580"/>
        </w:sectPr>
      </w:pPr>
    </w:p>
    <w:p>
      <w:pPr>
        <w:pStyle w:val="BodyText"/>
        <w:spacing w:line="480" w:lineRule="auto" w:before="74"/>
        <w:ind w:left="260" w:right="862"/>
        <w:jc w:val="both"/>
      </w:pPr>
      <w:r>
        <w:rPr/>
        <w:t>diagnosis of acutely ill patients in the standard healthcare setting. PCR results are often not available quickly enough to be of value in establishing the diagnosis of malaria infection.</w:t>
      </w:r>
    </w:p>
    <w:p>
      <w:pPr>
        <w:pStyle w:val="BodyText"/>
        <w:spacing w:line="480" w:lineRule="auto"/>
        <w:ind w:left="260" w:right="862"/>
        <w:jc w:val="both"/>
      </w:pPr>
      <w:r>
        <w:rPr/>
        <w:t>PCR is most useful for confirming</w:t>
      </w:r>
      <w:r>
        <w:rPr>
          <w:spacing w:val="-3"/>
        </w:rPr>
        <w:t> </w:t>
      </w:r>
      <w:r>
        <w:rPr/>
        <w:t>the</w:t>
      </w:r>
      <w:r>
        <w:rPr>
          <w:spacing w:val="-1"/>
        </w:rPr>
        <w:t> </w:t>
      </w:r>
      <w:r>
        <w:rPr/>
        <w:t>species</w:t>
      </w:r>
      <w:r>
        <w:rPr>
          <w:spacing w:val="-1"/>
        </w:rPr>
        <w:t> </w:t>
      </w:r>
      <w:r>
        <w:rPr/>
        <w:t>of malaria</w:t>
      </w:r>
      <w:r>
        <w:rPr>
          <w:spacing w:val="-2"/>
        </w:rPr>
        <w:t> </w:t>
      </w:r>
      <w:r>
        <w:rPr/>
        <w:t>parasite after</w:t>
      </w:r>
      <w:r>
        <w:rPr>
          <w:spacing w:val="-1"/>
        </w:rPr>
        <w:t> </w:t>
      </w:r>
      <w:r>
        <w:rPr/>
        <w:t>the diagnosis has been established by either smear microscopy or RDT.</w:t>
      </w:r>
    </w:p>
    <w:p>
      <w:pPr>
        <w:pStyle w:val="BodyText"/>
      </w:pPr>
    </w:p>
    <w:p>
      <w:pPr>
        <w:pStyle w:val="BodyText"/>
      </w:pPr>
    </w:p>
    <w:p>
      <w:pPr>
        <w:pStyle w:val="BodyText"/>
        <w:spacing w:line="480" w:lineRule="auto"/>
        <w:ind w:left="260" w:right="859"/>
        <w:jc w:val="both"/>
      </w:pPr>
      <w:r>
        <w:rPr/>
        <w:t>Serology detects antibodies against malaria parasites, using either indirect immunofluorescence (IFA) or enzyme-linked immunosorbent assay (ELISA). Serology does not detect current infection but rather measures past exposure. In situations in which laboratory facilities are not available, a presumptive diagnosis may need to be made on clinical features alone, sometimes with the help of a suitable algorithm develop to suit local conditions. This will enable the physician to start treatment early and confirm the diagnosis later (Marcel, 2003).</w:t>
      </w:r>
    </w:p>
    <w:p>
      <w:pPr>
        <w:pStyle w:val="BodyText"/>
      </w:pPr>
    </w:p>
    <w:p>
      <w:pPr>
        <w:pStyle w:val="BodyText"/>
        <w:spacing w:before="1"/>
      </w:pPr>
    </w:p>
    <w:p>
      <w:pPr>
        <w:pStyle w:val="BodyText"/>
        <w:spacing w:line="480" w:lineRule="auto"/>
        <w:ind w:left="260" w:right="859"/>
        <w:jc w:val="both"/>
      </w:pPr>
      <w:r>
        <w:rPr/>
        <w:t>WHO recommends that all persons of all ages in all epidemiological settings with suspected malaria should receive a parasitological confirmation of diagnosis by either rapid diagnostic test (RDT) or microscopy (WHO, 2010b).</w:t>
      </w:r>
    </w:p>
    <w:p>
      <w:pPr>
        <w:pStyle w:val="BodyText"/>
      </w:pPr>
    </w:p>
    <w:p>
      <w:pPr>
        <w:pStyle w:val="BodyText"/>
        <w:spacing w:before="6"/>
      </w:pPr>
    </w:p>
    <w:p>
      <w:pPr>
        <w:pStyle w:val="Heading2"/>
        <w:numPr>
          <w:ilvl w:val="2"/>
          <w:numId w:val="10"/>
        </w:numPr>
        <w:tabs>
          <w:tab w:pos="800" w:val="left" w:leader="none"/>
        </w:tabs>
        <w:spacing w:line="240" w:lineRule="auto" w:before="0" w:after="0"/>
        <w:ind w:left="800" w:right="0" w:hanging="540"/>
        <w:jc w:val="both"/>
      </w:pPr>
      <w:r>
        <w:rPr/>
        <w:t>Economic</w:t>
      </w:r>
      <w:r>
        <w:rPr>
          <w:spacing w:val="-3"/>
        </w:rPr>
        <w:t> </w:t>
      </w:r>
      <w:r>
        <w:rPr/>
        <w:t>implication</w:t>
      </w:r>
      <w:r>
        <w:rPr>
          <w:spacing w:val="-1"/>
        </w:rPr>
        <w:t> </w:t>
      </w:r>
      <w:r>
        <w:rPr/>
        <w:t>of</w:t>
      </w:r>
      <w:r>
        <w:rPr>
          <w:spacing w:val="-1"/>
        </w:rPr>
        <w:t> </w:t>
      </w:r>
      <w:r>
        <w:rPr>
          <w:spacing w:val="-2"/>
        </w:rPr>
        <w:t>malaria</w:t>
      </w:r>
    </w:p>
    <w:p>
      <w:pPr>
        <w:pStyle w:val="BodyText"/>
        <w:spacing w:line="480" w:lineRule="auto" w:before="271"/>
        <w:ind w:left="260" w:right="855"/>
        <w:jc w:val="both"/>
      </w:pPr>
      <w:r>
        <w:rPr/>
        <w:t>The costs of malaria are enormous when measured in economic terms. It is estimated to cost Africa $12 billion every</w:t>
      </w:r>
      <w:r>
        <w:rPr>
          <w:spacing w:val="-3"/>
        </w:rPr>
        <w:t> </w:t>
      </w:r>
      <w:r>
        <w:rPr/>
        <w:t>year (Gallup and Sachs, 2001 and CDC, 2014).</w:t>
      </w:r>
      <w:r>
        <w:rPr>
          <w:spacing w:val="-1"/>
        </w:rPr>
        <w:t> </w:t>
      </w:r>
      <w:r>
        <w:rPr/>
        <w:t>This figure</w:t>
      </w:r>
      <w:r>
        <w:rPr>
          <w:spacing w:val="-1"/>
        </w:rPr>
        <w:t> </w:t>
      </w:r>
      <w:r>
        <w:rPr/>
        <w:t>factors in costs of health care, economic losses associated with infant and child mortality and</w:t>
      </w:r>
      <w:r>
        <w:rPr>
          <w:spacing w:val="40"/>
        </w:rPr>
        <w:t> </w:t>
      </w:r>
      <w:r>
        <w:rPr/>
        <w:t>morbidity, lost work time, days lost in education, decreased productivity</w:t>
      </w:r>
      <w:r>
        <w:rPr>
          <w:spacing w:val="-4"/>
        </w:rPr>
        <w:t> </w:t>
      </w:r>
      <w:r>
        <w:rPr/>
        <w:t>due to brain damage from cerebral malaria, and loss of investment and tourism.</w:t>
      </w:r>
    </w:p>
    <w:p>
      <w:pPr>
        <w:spacing w:after="0" w:line="480" w:lineRule="auto"/>
        <w:jc w:val="both"/>
        <w:sectPr>
          <w:pgSz w:w="11910" w:h="16840"/>
          <w:pgMar w:header="0" w:footer="1254" w:top="1340" w:bottom="1440" w:left="1180" w:right="580"/>
        </w:sectPr>
      </w:pPr>
    </w:p>
    <w:p>
      <w:pPr>
        <w:pStyle w:val="BodyText"/>
        <w:spacing w:line="480" w:lineRule="auto" w:before="74"/>
        <w:ind w:left="260" w:right="857"/>
        <w:jc w:val="both"/>
      </w:pPr>
      <w:r>
        <w:rPr/>
        <w:t>African countries south of the Sahara bear the heaviest burden of malaria. These countries have been reported to be among the poorest in the world with widespread poverty which continues to play a role in the burden of the disease. Malaria cases and deaths have been reported to rise steadily</w:t>
      </w:r>
      <w:r>
        <w:rPr>
          <w:spacing w:val="-5"/>
        </w:rPr>
        <w:t> </w:t>
      </w:r>
      <w:r>
        <w:rPr/>
        <w:t>in sub-Saharan Africa since the late 1970s, especially</w:t>
      </w:r>
      <w:r>
        <w:rPr>
          <w:spacing w:val="-5"/>
        </w:rPr>
        <w:t> </w:t>
      </w:r>
      <w:r>
        <w:rPr/>
        <w:t>in Nigeria. The emergence of resistance to Chloroquine, the cheap anti-malarial agent widely used for</w:t>
      </w:r>
      <w:r>
        <w:rPr>
          <w:spacing w:val="80"/>
        </w:rPr>
        <w:t> </w:t>
      </w:r>
      <w:r>
        <w:rPr/>
        <w:t>clinical management of uncomplicated malaria, has been associated with the major factor in this trend, aided by a general weakening in anti – malaria policy. Malaria occurrence is exacerbated by economic decline in the third world countries, which has direct implications for</w:t>
      </w:r>
      <w:r>
        <w:rPr>
          <w:spacing w:val="13"/>
        </w:rPr>
        <w:t> </w:t>
      </w:r>
      <w:r>
        <w:rPr/>
        <w:t>the</w:t>
      </w:r>
      <w:r>
        <w:rPr>
          <w:spacing w:val="15"/>
        </w:rPr>
        <w:t> </w:t>
      </w:r>
      <w:r>
        <w:rPr/>
        <w:t>people</w:t>
      </w:r>
      <w:r>
        <w:rPr>
          <w:spacing w:val="15"/>
        </w:rPr>
        <w:t> </w:t>
      </w:r>
      <w:r>
        <w:rPr/>
        <w:t>welfare.</w:t>
      </w:r>
      <w:r>
        <w:rPr>
          <w:spacing w:val="15"/>
        </w:rPr>
        <w:t> </w:t>
      </w:r>
      <w:r>
        <w:rPr/>
        <w:t>For</w:t>
      </w:r>
      <w:r>
        <w:rPr>
          <w:spacing w:val="14"/>
        </w:rPr>
        <w:t> </w:t>
      </w:r>
      <w:r>
        <w:rPr/>
        <w:t>instance,</w:t>
      </w:r>
      <w:r>
        <w:rPr>
          <w:spacing w:val="15"/>
        </w:rPr>
        <w:t> </w:t>
      </w:r>
      <w:r>
        <w:rPr/>
        <w:t>malaria</w:t>
      </w:r>
      <w:r>
        <w:rPr>
          <w:spacing w:val="14"/>
        </w:rPr>
        <w:t> </w:t>
      </w:r>
      <w:r>
        <w:rPr/>
        <w:t>has</w:t>
      </w:r>
      <w:r>
        <w:rPr>
          <w:spacing w:val="14"/>
        </w:rPr>
        <w:t> </w:t>
      </w:r>
      <w:r>
        <w:rPr/>
        <w:t>been</w:t>
      </w:r>
      <w:r>
        <w:rPr>
          <w:spacing w:val="15"/>
        </w:rPr>
        <w:t> </w:t>
      </w:r>
      <w:r>
        <w:rPr/>
        <w:t>reported</w:t>
      </w:r>
      <w:r>
        <w:rPr>
          <w:spacing w:val="15"/>
        </w:rPr>
        <w:t> </w:t>
      </w:r>
      <w:r>
        <w:rPr/>
        <w:t>to</w:t>
      </w:r>
      <w:r>
        <w:rPr>
          <w:spacing w:val="16"/>
        </w:rPr>
        <w:t> </w:t>
      </w:r>
      <w:r>
        <w:rPr/>
        <w:t>be</w:t>
      </w:r>
      <w:r>
        <w:rPr>
          <w:spacing w:val="14"/>
        </w:rPr>
        <w:t> </w:t>
      </w:r>
      <w:r>
        <w:rPr/>
        <w:t>responsible</w:t>
      </w:r>
      <w:r>
        <w:rPr>
          <w:spacing w:val="15"/>
        </w:rPr>
        <w:t> </w:t>
      </w:r>
      <w:r>
        <w:rPr/>
        <w:t>for</w:t>
      </w:r>
      <w:r>
        <w:rPr>
          <w:spacing w:val="14"/>
        </w:rPr>
        <w:t> </w:t>
      </w:r>
      <w:r>
        <w:rPr/>
        <w:t>about</w:t>
      </w:r>
      <w:r>
        <w:rPr>
          <w:spacing w:val="16"/>
        </w:rPr>
        <w:t> </w:t>
      </w:r>
      <w:r>
        <w:rPr>
          <w:spacing w:val="-10"/>
        </w:rPr>
        <w:t>a</w:t>
      </w:r>
    </w:p>
    <w:p>
      <w:pPr>
        <w:pStyle w:val="BodyText"/>
        <w:spacing w:line="480" w:lineRule="auto" w:before="1"/>
        <w:ind w:left="260" w:right="854"/>
        <w:jc w:val="both"/>
      </w:pPr>
      <w:r>
        <w:rPr/>
        <w:t>1.3 percent reduction in the average annual rate of economic growth for those countries with the highest malaria burden. In Nigeria, malaria is reported as the major cause of morbidity</w:t>
      </w:r>
      <w:r>
        <w:rPr>
          <w:spacing w:val="40"/>
        </w:rPr>
        <w:t> </w:t>
      </w:r>
      <w:r>
        <w:rPr/>
        <w:t>and mortality, especially among children below age five (Westling </w:t>
      </w:r>
      <w:r>
        <w:rPr>
          <w:i/>
        </w:rPr>
        <w:t>et al</w:t>
      </w:r>
      <w:r>
        <w:rPr/>
        <w:t>., 1997 and Alaba, </w:t>
      </w:r>
      <w:r>
        <w:rPr>
          <w:spacing w:val="-2"/>
        </w:rPr>
        <w:t>2007).</w:t>
      </w:r>
    </w:p>
    <w:p>
      <w:pPr>
        <w:pStyle w:val="BodyText"/>
      </w:pPr>
    </w:p>
    <w:p>
      <w:pPr>
        <w:pStyle w:val="BodyText"/>
      </w:pPr>
    </w:p>
    <w:p>
      <w:pPr>
        <w:pStyle w:val="BodyText"/>
        <w:spacing w:line="480" w:lineRule="auto"/>
        <w:ind w:left="260" w:right="856"/>
        <w:jc w:val="both"/>
      </w:pPr>
      <w:r>
        <w:rPr/>
        <w:t>Given the above scenarios, the drive of any government in the third world countries e.g. Nigeria to achieve the targets National Economic Empowerment and Development Strategy (NEEDS) and the Millennium Development Goals (MDGs) is currently threatened by the seemingly intractable trend of the ancient scourge which has compounded national and household poverty through intensive loss of productive time to attack and death in extreme cases. This is compounded by the development of resistance to the traditional first-line drug (Chloroquine), while the newly introduced therapy (ACT) would be largely beyond the reach of many due to poverty, if it was not heavily subsidized by international organisations. Malaria has been reported endemic throughout Nigeria and that over 50% of the country's population</w:t>
      </w:r>
      <w:r>
        <w:rPr>
          <w:spacing w:val="59"/>
          <w:w w:val="150"/>
        </w:rPr>
        <w:t> </w:t>
      </w:r>
      <w:r>
        <w:rPr/>
        <w:t>are</w:t>
      </w:r>
      <w:r>
        <w:rPr>
          <w:spacing w:val="60"/>
          <w:w w:val="150"/>
        </w:rPr>
        <w:t> </w:t>
      </w:r>
      <w:r>
        <w:rPr/>
        <w:t>living</w:t>
      </w:r>
      <w:r>
        <w:rPr>
          <w:spacing w:val="59"/>
          <w:w w:val="150"/>
        </w:rPr>
        <w:t> </w:t>
      </w:r>
      <w:r>
        <w:rPr/>
        <w:t>below</w:t>
      </w:r>
      <w:r>
        <w:rPr>
          <w:spacing w:val="61"/>
          <w:w w:val="150"/>
        </w:rPr>
        <w:t> </w:t>
      </w:r>
      <w:r>
        <w:rPr/>
        <w:t>poverty</w:t>
      </w:r>
      <w:r>
        <w:rPr>
          <w:spacing w:val="56"/>
          <w:w w:val="150"/>
        </w:rPr>
        <w:t> </w:t>
      </w:r>
      <w:r>
        <w:rPr/>
        <w:t>line,</w:t>
      </w:r>
      <w:r>
        <w:rPr>
          <w:spacing w:val="61"/>
          <w:w w:val="150"/>
        </w:rPr>
        <w:t> </w:t>
      </w:r>
      <w:r>
        <w:rPr/>
        <w:t>and</w:t>
      </w:r>
      <w:r>
        <w:rPr>
          <w:spacing w:val="63"/>
          <w:w w:val="150"/>
        </w:rPr>
        <w:t> </w:t>
      </w:r>
      <w:r>
        <w:rPr/>
        <w:t>hence</w:t>
      </w:r>
      <w:r>
        <w:rPr>
          <w:spacing w:val="61"/>
          <w:w w:val="150"/>
        </w:rPr>
        <w:t> </w:t>
      </w:r>
      <w:r>
        <w:rPr/>
        <w:t>malaria</w:t>
      </w:r>
      <w:r>
        <w:rPr>
          <w:spacing w:val="59"/>
          <w:w w:val="150"/>
        </w:rPr>
        <w:t> </w:t>
      </w:r>
      <w:r>
        <w:rPr/>
        <w:t>incidence</w:t>
      </w:r>
      <w:r>
        <w:rPr>
          <w:spacing w:val="61"/>
          <w:w w:val="150"/>
        </w:rPr>
        <w:t> </w:t>
      </w:r>
      <w:r>
        <w:rPr/>
        <w:t>may</w:t>
      </w:r>
      <w:r>
        <w:rPr>
          <w:spacing w:val="57"/>
          <w:w w:val="150"/>
        </w:rPr>
        <w:t> </w:t>
      </w:r>
      <w:r>
        <w:rPr>
          <w:spacing w:val="-2"/>
        </w:rPr>
        <w:t>increase</w:t>
      </w:r>
    </w:p>
    <w:p>
      <w:pPr>
        <w:spacing w:after="0" w:line="480" w:lineRule="auto"/>
        <w:jc w:val="both"/>
        <w:sectPr>
          <w:pgSz w:w="11910" w:h="16840"/>
          <w:pgMar w:header="0" w:footer="1254" w:top="1340" w:bottom="1440" w:left="1180" w:right="580"/>
        </w:sectPr>
      </w:pPr>
    </w:p>
    <w:p>
      <w:pPr>
        <w:pStyle w:val="BodyText"/>
        <w:spacing w:line="480" w:lineRule="auto" w:before="74"/>
        <w:ind w:left="260" w:right="866"/>
        <w:jc w:val="both"/>
      </w:pPr>
      <w:r>
        <w:rPr/>
        <w:t>significantly, because many may not be able to afford the newly introduced drugs due to </w:t>
      </w:r>
      <w:r>
        <w:rPr>
          <w:spacing w:val="-2"/>
        </w:rPr>
        <w:t>poverty.</w:t>
      </w:r>
    </w:p>
    <w:p>
      <w:pPr>
        <w:pStyle w:val="BodyText"/>
      </w:pPr>
    </w:p>
    <w:p>
      <w:pPr>
        <w:pStyle w:val="BodyText"/>
      </w:pPr>
    </w:p>
    <w:p>
      <w:pPr>
        <w:pStyle w:val="BodyText"/>
        <w:spacing w:line="480" w:lineRule="auto"/>
        <w:ind w:left="260" w:right="854"/>
        <w:jc w:val="both"/>
      </w:pPr>
      <w:r>
        <w:rPr/>
        <w:t>There are several reports on the relationship between malaria and the economic growth in the literatures (WHO, 2000; Teklehaimanot and Mejia, 2008; Alaba and Alaba, 2009). Most of these reports highlight the mathematical significance of malaria to gross national production. The links between malaria and poverty are multiple and complex. Therefore a better understanding of the direction and magnitude of the causal relationship is needed, along with better understanding of the nature of poverty that is related to malaria. Poverty sustains the conditions where malaria thrives, and malaria impedes economic growth and thus keeps communities in poverty. The potential dual relationship between poverty and malaria is</w:t>
      </w:r>
      <w:r>
        <w:rPr>
          <w:spacing w:val="40"/>
        </w:rPr>
        <w:t> </w:t>
      </w:r>
      <w:r>
        <w:rPr/>
        <w:t>amply highlight by poor households which experience high malaria prevalence, that in turn maintains them in poverty thus these households are trapped in perpetual cycle of poverty (WHO, 2006).</w:t>
      </w:r>
    </w:p>
    <w:p>
      <w:pPr>
        <w:pStyle w:val="BodyText"/>
      </w:pPr>
    </w:p>
    <w:p>
      <w:pPr>
        <w:pStyle w:val="BodyText"/>
        <w:spacing w:before="1"/>
      </w:pPr>
    </w:p>
    <w:p>
      <w:pPr>
        <w:pStyle w:val="BodyText"/>
        <w:spacing w:line="480" w:lineRule="auto"/>
        <w:ind w:left="260" w:right="856"/>
        <w:jc w:val="both"/>
      </w:pPr>
      <w:r>
        <w:rPr/>
        <w:t>There are many pathways through which the relationship between malaria and poverty operates e.g. at the household level, poor housing systems exposes people to contact with myriads of infective mosquitoes. Simple preventive measures such as insecticide-treated bed nets are unaffordable to these people and lack of financial resources prevents people from seeking timely medical health care if available in the vicinity. Often, peak malaria transmission coincides with farming seasons and harvesting times. Many</w:t>
      </w:r>
      <w:r>
        <w:rPr>
          <w:spacing w:val="-3"/>
        </w:rPr>
        <w:t> </w:t>
      </w:r>
      <w:r>
        <w:rPr/>
        <w:t>days of work lost to illness can mean food insecurity for the entire family and the nation at large.</w:t>
      </w:r>
    </w:p>
    <w:p>
      <w:pPr>
        <w:spacing w:after="0" w:line="480" w:lineRule="auto"/>
        <w:jc w:val="both"/>
        <w:sectPr>
          <w:pgSz w:w="11910" w:h="16840"/>
          <w:pgMar w:header="0" w:footer="1254" w:top="1340" w:bottom="1440" w:left="1180" w:right="580"/>
        </w:sectPr>
      </w:pPr>
    </w:p>
    <w:p>
      <w:pPr>
        <w:pStyle w:val="Heading2"/>
        <w:numPr>
          <w:ilvl w:val="1"/>
          <w:numId w:val="10"/>
        </w:numPr>
        <w:tabs>
          <w:tab w:pos="620" w:val="left" w:leader="none"/>
        </w:tabs>
        <w:spacing w:line="240" w:lineRule="auto" w:before="78" w:after="0"/>
        <w:ind w:left="620" w:right="0" w:hanging="360"/>
        <w:jc w:val="both"/>
      </w:pPr>
      <w:bookmarkStart w:name="_TOC_250026" w:id="22"/>
      <w:r>
        <w:rPr/>
        <w:t>Treatment</w:t>
      </w:r>
      <w:r>
        <w:rPr>
          <w:spacing w:val="-3"/>
        </w:rPr>
        <w:t> </w:t>
      </w:r>
      <w:r>
        <w:rPr/>
        <w:t>of</w:t>
      </w:r>
      <w:r>
        <w:rPr>
          <w:spacing w:val="-3"/>
        </w:rPr>
        <w:t> </w:t>
      </w:r>
      <w:bookmarkEnd w:id="22"/>
      <w:r>
        <w:rPr>
          <w:spacing w:val="-2"/>
        </w:rPr>
        <w:t>Malaria</w:t>
      </w:r>
    </w:p>
    <w:p>
      <w:pPr>
        <w:pStyle w:val="BodyText"/>
        <w:spacing w:line="480" w:lineRule="auto" w:before="272"/>
        <w:ind w:left="260" w:right="853"/>
        <w:jc w:val="both"/>
      </w:pPr>
      <w:r>
        <w:rPr/>
        <w:t>The treatment of malaria is depended on three main factors such as: the infecting species of </w:t>
      </w:r>
      <w:r>
        <w:rPr>
          <w:i/>
        </w:rPr>
        <w:t>Plasmodium </w:t>
      </w:r>
      <w:r>
        <w:rPr/>
        <w:t>parasite population, the clinical situation of the patient (for example, adult,</w:t>
      </w:r>
      <w:r>
        <w:rPr>
          <w:spacing w:val="40"/>
        </w:rPr>
        <w:t> </w:t>
      </w:r>
      <w:r>
        <w:rPr/>
        <w:t>child, or pregnant female) and the drug susceptibility of the infecting parasites. </w:t>
      </w:r>
      <w:r>
        <w:rPr>
          <w:i/>
        </w:rPr>
        <w:t>Plasmodium species </w:t>
      </w:r>
      <w:r>
        <w:rPr/>
        <w:t>susceptibility to antimalarial drugs varies with geographical locations where the infection was acquired. Different areas of the world have varying types of </w:t>
      </w:r>
      <w:r>
        <w:rPr>
          <w:i/>
        </w:rPr>
        <w:t>Plasmodium </w:t>
      </w:r>
      <w:r>
        <w:rPr/>
        <w:t>resistant peculiar to that location. The effective antimalarial drugs for different malaria must be prescribed by a doctor who is familiar with malaria treatment protocols.</w:t>
      </w:r>
    </w:p>
    <w:p>
      <w:pPr>
        <w:pStyle w:val="BodyText"/>
      </w:pPr>
    </w:p>
    <w:p>
      <w:pPr>
        <w:pStyle w:val="BodyText"/>
      </w:pPr>
    </w:p>
    <w:p>
      <w:pPr>
        <w:pStyle w:val="BodyText"/>
        <w:spacing w:line="480" w:lineRule="auto" w:before="1"/>
        <w:ind w:left="260" w:right="852"/>
        <w:jc w:val="both"/>
      </w:pPr>
      <w:r>
        <w:rPr/>
        <w:t>Resistance to antimalarial drugs has been documented for </w:t>
      </w:r>
      <w:r>
        <w:rPr>
          <w:i/>
        </w:rPr>
        <w:t>P. falciparum, P. malariae </w:t>
      </w:r>
      <w:r>
        <w:rPr/>
        <w:t>and </w:t>
      </w:r>
      <w:r>
        <w:rPr>
          <w:i/>
        </w:rPr>
        <w:t>P. vivax</w:t>
      </w:r>
      <w:r>
        <w:rPr/>
        <w:t>. In </w:t>
      </w:r>
      <w:r>
        <w:rPr>
          <w:i/>
        </w:rPr>
        <w:t>P. falciparum</w:t>
      </w:r>
      <w:r>
        <w:rPr/>
        <w:t>, resistance has been observed in all currently used antimalarial drugs (Amodiaquine, Chloroquine, Mefloquine, Quinine, and Sulfadoxine-pyrimethamine) and, more recently, in artemisinin derivatives (WHO, 2010b). Chloroquine phosphate is the anti- malarial drug of choice for</w:t>
      </w:r>
      <w:r>
        <w:rPr>
          <w:spacing w:val="-1"/>
        </w:rPr>
        <w:t> </w:t>
      </w:r>
      <w:r>
        <w:rPr/>
        <w:t>all malarial parasites except for</w:t>
      </w:r>
      <w:r>
        <w:rPr>
          <w:spacing w:val="-2"/>
        </w:rPr>
        <w:t> </w:t>
      </w:r>
      <w:r>
        <w:rPr/>
        <w:t>chloroquine-resistant </w:t>
      </w:r>
      <w:r>
        <w:rPr>
          <w:i/>
        </w:rPr>
        <w:t>Plasmodium </w:t>
      </w:r>
      <w:r>
        <w:rPr/>
        <w:t>strains. Although, some strains of </w:t>
      </w:r>
      <w:r>
        <w:rPr>
          <w:i/>
        </w:rPr>
        <w:t>P. malariae </w:t>
      </w:r>
      <w:r>
        <w:rPr/>
        <w:t>have been reported susceptible to chloroquine, however, </w:t>
      </w:r>
      <w:r>
        <w:rPr>
          <w:i/>
        </w:rPr>
        <w:t>P. falciparum</w:t>
      </w:r>
      <w:r>
        <w:rPr/>
        <w:t>, </w:t>
      </w:r>
      <w:r>
        <w:rPr>
          <w:i/>
        </w:rPr>
        <w:t>P. vivax</w:t>
      </w:r>
      <w:r>
        <w:rPr/>
        <w:t>, and </w:t>
      </w:r>
      <w:r>
        <w:rPr>
          <w:i/>
        </w:rPr>
        <w:t>P. ovale </w:t>
      </w:r>
      <w:r>
        <w:rPr/>
        <w:t>strains have been documented as resistant to chloroquine</w:t>
      </w:r>
      <w:r>
        <w:rPr>
          <w:spacing w:val="-3"/>
        </w:rPr>
        <w:t> </w:t>
      </w:r>
      <w:r>
        <w:rPr/>
        <w:t>which is</w:t>
      </w:r>
      <w:r>
        <w:rPr>
          <w:spacing w:val="-2"/>
        </w:rPr>
        <w:t> </w:t>
      </w:r>
      <w:r>
        <w:rPr/>
        <w:t>usually</w:t>
      </w:r>
      <w:r>
        <w:rPr>
          <w:spacing w:val="-6"/>
        </w:rPr>
        <w:t> </w:t>
      </w:r>
      <w:r>
        <w:rPr/>
        <w:t>indicated</w:t>
      </w:r>
      <w:r>
        <w:rPr>
          <w:spacing w:val="-2"/>
        </w:rPr>
        <w:t> </w:t>
      </w:r>
      <w:r>
        <w:rPr/>
        <w:t>by</w:t>
      </w:r>
      <w:r>
        <w:rPr>
          <w:spacing w:val="-5"/>
        </w:rPr>
        <w:t> </w:t>
      </w:r>
      <w:r>
        <w:rPr/>
        <w:t>drug-treatment</w:t>
      </w:r>
      <w:r>
        <w:rPr>
          <w:spacing w:val="-2"/>
        </w:rPr>
        <w:t> </w:t>
      </w:r>
      <w:r>
        <w:rPr/>
        <w:t>failure</w:t>
      </w:r>
      <w:r>
        <w:rPr>
          <w:spacing w:val="-1"/>
        </w:rPr>
        <w:t> </w:t>
      </w:r>
      <w:r>
        <w:rPr/>
        <w:t>in</w:t>
      </w:r>
      <w:r>
        <w:rPr>
          <w:spacing w:val="-2"/>
        </w:rPr>
        <w:t> </w:t>
      </w:r>
      <w:r>
        <w:rPr/>
        <w:t>the</w:t>
      </w:r>
      <w:r>
        <w:rPr>
          <w:spacing w:val="-3"/>
        </w:rPr>
        <w:t> </w:t>
      </w:r>
      <w:r>
        <w:rPr/>
        <w:t>individual</w:t>
      </w:r>
      <w:r>
        <w:rPr>
          <w:spacing w:val="-2"/>
        </w:rPr>
        <w:t> </w:t>
      </w:r>
      <w:r>
        <w:rPr/>
        <w:t>patient.</w:t>
      </w:r>
      <w:r>
        <w:rPr>
          <w:spacing w:val="-2"/>
        </w:rPr>
        <w:t> </w:t>
      </w:r>
      <w:r>
        <w:rPr/>
        <w:t>The specialized laboratories to test for patient's parasites for anti-malarial susceptibility are not used frequently. Consequently, treatment is often based on </w:t>
      </w:r>
      <w:r>
        <w:rPr>
          <w:i/>
        </w:rPr>
        <w:t>Plasmodium species </w:t>
      </w:r>
      <w:r>
        <w:rPr/>
        <w:t>diagnosed which usually</w:t>
      </w:r>
      <w:r>
        <w:rPr>
          <w:spacing w:val="-2"/>
        </w:rPr>
        <w:t> </w:t>
      </w:r>
      <w:r>
        <w:rPr/>
        <w:t>is blind treatment with attendant consequence of drug-resistance for country</w:t>
      </w:r>
      <w:r>
        <w:rPr>
          <w:spacing w:val="-2"/>
        </w:rPr>
        <w:t> </w:t>
      </w:r>
      <w:r>
        <w:rPr/>
        <w:t>or world region where the patient became infested. The WHO's anti-malarial treatment policy (WHO, 2006) has recommended the treatment of uncomplicated </w:t>
      </w:r>
      <w:r>
        <w:rPr>
          <w:i/>
        </w:rPr>
        <w:t>P. falciparum </w:t>
      </w:r>
      <w:r>
        <w:rPr/>
        <w:t>malaria with artemisinin-derived combination therapy (ACTs) such as Artesunate-Amodiaquine, Artesunate-Mefloquine, Artesunate-Pyronaridine, Dihydroartemisinin-Piperaquine, and Chlorproguanil-Dapsoneartesunate.</w:t>
      </w:r>
      <w:r>
        <w:rPr>
          <w:spacing w:val="60"/>
          <w:w w:val="150"/>
        </w:rPr>
        <w:t> </w:t>
      </w:r>
      <w:r>
        <w:rPr/>
        <w:t>This</w:t>
      </w:r>
      <w:r>
        <w:rPr>
          <w:spacing w:val="60"/>
          <w:w w:val="150"/>
        </w:rPr>
        <w:t> </w:t>
      </w:r>
      <w:r>
        <w:rPr/>
        <w:t>recommendation</w:t>
      </w:r>
      <w:r>
        <w:rPr>
          <w:spacing w:val="60"/>
          <w:w w:val="150"/>
        </w:rPr>
        <w:t> </w:t>
      </w:r>
      <w:r>
        <w:rPr/>
        <w:t>has</w:t>
      </w:r>
      <w:r>
        <w:rPr>
          <w:spacing w:val="61"/>
          <w:w w:val="150"/>
        </w:rPr>
        <w:t> </w:t>
      </w:r>
      <w:r>
        <w:rPr/>
        <w:t>been</w:t>
      </w:r>
      <w:r>
        <w:rPr>
          <w:spacing w:val="62"/>
          <w:w w:val="150"/>
        </w:rPr>
        <w:t> </w:t>
      </w:r>
      <w:r>
        <w:rPr/>
        <w:t>celebrated</w:t>
      </w:r>
      <w:r>
        <w:rPr>
          <w:spacing w:val="62"/>
          <w:w w:val="150"/>
        </w:rPr>
        <w:t> </w:t>
      </w:r>
      <w:r>
        <w:rPr/>
        <w:t>as</w:t>
      </w:r>
      <w:r>
        <w:rPr>
          <w:spacing w:val="61"/>
          <w:w w:val="150"/>
        </w:rPr>
        <w:t> </w:t>
      </w:r>
      <w:r>
        <w:rPr>
          <w:spacing w:val="-2"/>
        </w:rPr>
        <w:t>being</w:t>
      </w:r>
    </w:p>
    <w:p>
      <w:pPr>
        <w:spacing w:after="0" w:line="480" w:lineRule="auto"/>
        <w:jc w:val="both"/>
        <w:sectPr>
          <w:pgSz w:w="11910" w:h="16840"/>
          <w:pgMar w:header="0" w:footer="1254" w:top="1340" w:bottom="1440" w:left="1180" w:right="580"/>
        </w:sectPr>
      </w:pPr>
    </w:p>
    <w:p>
      <w:pPr>
        <w:pStyle w:val="BodyText"/>
        <w:spacing w:line="480" w:lineRule="auto" w:before="74"/>
        <w:ind w:left="260" w:right="857"/>
        <w:jc w:val="both"/>
      </w:pPr>
      <w:r>
        <w:rPr/>
        <w:t>effective in the treatment of Chloroquine-resistant </w:t>
      </w:r>
      <w:r>
        <w:rPr>
          <w:i/>
        </w:rPr>
        <w:t>P. falciparum</w:t>
      </w:r>
      <w:r>
        <w:rPr/>
        <w:t>. Unfortunately, in 2009, some reports have shown that </w:t>
      </w:r>
      <w:r>
        <w:rPr>
          <w:i/>
        </w:rPr>
        <w:t>P. falciparum</w:t>
      </w:r>
      <w:r>
        <w:rPr/>
        <w:t>-infected individuals have parasites ACT drugs- treatment failure.</w:t>
      </w:r>
    </w:p>
    <w:p>
      <w:pPr>
        <w:pStyle w:val="BodyText"/>
      </w:pPr>
    </w:p>
    <w:p>
      <w:pPr>
        <w:pStyle w:val="BodyText"/>
        <w:spacing w:before="4"/>
      </w:pPr>
    </w:p>
    <w:p>
      <w:pPr>
        <w:pStyle w:val="Heading2"/>
        <w:numPr>
          <w:ilvl w:val="2"/>
          <w:numId w:val="10"/>
        </w:numPr>
        <w:tabs>
          <w:tab w:pos="800" w:val="left" w:leader="none"/>
        </w:tabs>
        <w:spacing w:line="240" w:lineRule="auto" w:before="1" w:after="0"/>
        <w:ind w:left="800" w:right="0" w:hanging="540"/>
        <w:jc w:val="both"/>
      </w:pPr>
      <w:r>
        <w:rPr/>
        <w:t>Classification</w:t>
      </w:r>
      <w:r>
        <w:rPr>
          <w:spacing w:val="-5"/>
        </w:rPr>
        <w:t> </w:t>
      </w:r>
      <w:r>
        <w:rPr/>
        <w:t>of</w:t>
      </w:r>
      <w:r>
        <w:rPr>
          <w:spacing w:val="-3"/>
        </w:rPr>
        <w:t> </w:t>
      </w:r>
      <w:r>
        <w:rPr/>
        <w:t>antimalarial</w:t>
      </w:r>
      <w:r>
        <w:rPr>
          <w:spacing w:val="-3"/>
        </w:rPr>
        <w:t> </w:t>
      </w:r>
      <w:r>
        <w:rPr>
          <w:spacing w:val="-2"/>
        </w:rPr>
        <w:t>drugs</w:t>
      </w:r>
    </w:p>
    <w:p>
      <w:pPr>
        <w:pStyle w:val="BodyText"/>
        <w:spacing w:line="480" w:lineRule="auto" w:before="271"/>
        <w:ind w:left="260" w:right="855"/>
        <w:jc w:val="both"/>
      </w:pPr>
      <w:r>
        <w:rPr/>
        <w:t>Antimalarial medications are designed to inhibit or kill malaria parasites. The drugs may also be used for prevention of </w:t>
      </w:r>
      <w:r>
        <w:rPr>
          <w:i/>
        </w:rPr>
        <w:t>Plasmodium </w:t>
      </w:r>
      <w:r>
        <w:rPr/>
        <w:t>species infections of individuals visiting a malaria- endemic region who have no immunity (Malaria prophylaxis), or routine intermittent treatment of certain groups in endemic regions (Intermittent prevention therapy) (WHO, </w:t>
      </w:r>
      <w:r>
        <w:rPr>
          <w:spacing w:val="-2"/>
        </w:rPr>
        <w:t>2010b).</w:t>
      </w:r>
    </w:p>
    <w:p>
      <w:pPr>
        <w:pStyle w:val="BodyText"/>
      </w:pPr>
    </w:p>
    <w:p>
      <w:pPr>
        <w:pStyle w:val="BodyText"/>
        <w:spacing w:before="1"/>
      </w:pPr>
    </w:p>
    <w:p>
      <w:pPr>
        <w:pStyle w:val="BodyText"/>
        <w:spacing w:line="480" w:lineRule="auto"/>
        <w:ind w:left="260" w:right="856"/>
        <w:jc w:val="both"/>
      </w:pPr>
      <w:r>
        <w:rPr/>
        <w:t>Antimalarial drugs can be classified by the chemical group to which they belong to and this</w:t>
      </w:r>
      <w:r>
        <w:rPr>
          <w:spacing w:val="40"/>
        </w:rPr>
        <w:t> </w:t>
      </w:r>
      <w:r>
        <w:rPr/>
        <w:t>in turn determines the stage of the life cycle they affect. The principal antimalarial agents, classified according to their drug group and activity are:</w:t>
      </w:r>
    </w:p>
    <w:p>
      <w:pPr>
        <w:pStyle w:val="ListParagraph"/>
        <w:numPr>
          <w:ilvl w:val="0"/>
          <w:numId w:val="11"/>
        </w:numPr>
        <w:tabs>
          <w:tab w:pos="979" w:val="left" w:leader="none"/>
        </w:tabs>
        <w:spacing w:line="240" w:lineRule="auto" w:before="0" w:after="0"/>
        <w:ind w:left="979" w:right="0" w:hanging="359"/>
        <w:jc w:val="both"/>
        <w:rPr>
          <w:sz w:val="24"/>
        </w:rPr>
      </w:pPr>
      <w:r>
        <w:rPr>
          <w:sz w:val="24"/>
        </w:rPr>
        <w:t>The</w:t>
      </w:r>
      <w:r>
        <w:rPr>
          <w:spacing w:val="7"/>
          <w:sz w:val="24"/>
        </w:rPr>
        <w:t> </w:t>
      </w:r>
      <w:r>
        <w:rPr>
          <w:sz w:val="24"/>
        </w:rPr>
        <w:t>4-methanolquinoline</w:t>
      </w:r>
      <w:r>
        <w:rPr>
          <w:spacing w:val="9"/>
          <w:sz w:val="24"/>
        </w:rPr>
        <w:t> </w:t>
      </w:r>
      <w:r>
        <w:rPr>
          <w:sz w:val="24"/>
        </w:rPr>
        <w:t>derivatives,</w:t>
      </w:r>
      <w:r>
        <w:rPr>
          <w:spacing w:val="13"/>
          <w:sz w:val="24"/>
        </w:rPr>
        <w:t> </w:t>
      </w:r>
      <w:r>
        <w:rPr>
          <w:sz w:val="24"/>
        </w:rPr>
        <w:t>such</w:t>
      </w:r>
      <w:r>
        <w:rPr>
          <w:spacing w:val="12"/>
          <w:sz w:val="24"/>
        </w:rPr>
        <w:t> </w:t>
      </w:r>
      <w:r>
        <w:rPr>
          <w:sz w:val="24"/>
        </w:rPr>
        <w:t>as</w:t>
      </w:r>
      <w:r>
        <w:rPr>
          <w:spacing w:val="11"/>
          <w:sz w:val="24"/>
        </w:rPr>
        <w:t> </w:t>
      </w:r>
      <w:r>
        <w:rPr>
          <w:sz w:val="24"/>
        </w:rPr>
        <w:t>the</w:t>
      </w:r>
      <w:r>
        <w:rPr>
          <w:spacing w:val="12"/>
          <w:sz w:val="24"/>
        </w:rPr>
        <w:t> </w:t>
      </w:r>
      <w:r>
        <w:rPr>
          <w:sz w:val="24"/>
        </w:rPr>
        <w:t>cinchona</w:t>
      </w:r>
      <w:r>
        <w:rPr>
          <w:spacing w:val="11"/>
          <w:sz w:val="24"/>
        </w:rPr>
        <w:t> </w:t>
      </w:r>
      <w:r>
        <w:rPr>
          <w:sz w:val="24"/>
        </w:rPr>
        <w:t>alkaloids</w:t>
      </w:r>
      <w:r>
        <w:rPr>
          <w:spacing w:val="11"/>
          <w:sz w:val="24"/>
        </w:rPr>
        <w:t> </w:t>
      </w:r>
      <w:r>
        <w:rPr>
          <w:sz w:val="24"/>
        </w:rPr>
        <w:t>and</w:t>
      </w:r>
      <w:r>
        <w:rPr>
          <w:spacing w:val="16"/>
          <w:sz w:val="24"/>
        </w:rPr>
        <w:t> </w:t>
      </w:r>
      <w:r>
        <w:rPr>
          <w:spacing w:val="-2"/>
          <w:sz w:val="24"/>
        </w:rPr>
        <w:t>mefloquine.</w:t>
      </w:r>
    </w:p>
    <w:p>
      <w:pPr>
        <w:pStyle w:val="BodyText"/>
      </w:pPr>
    </w:p>
    <w:p>
      <w:pPr>
        <w:pStyle w:val="BodyText"/>
        <w:spacing w:line="480" w:lineRule="auto"/>
        <w:ind w:left="980" w:right="856"/>
        <w:jc w:val="both"/>
      </w:pPr>
      <w:r>
        <w:rPr/>
        <w:t>The main cinchona alkaloid quinine and its optical isomer quinidine are rapid-acting blood schizontocides with some gametocytocidal activity. Mefloquine also acts as a blood schizontocide.</w:t>
      </w:r>
    </w:p>
    <w:p>
      <w:pPr>
        <w:pStyle w:val="ListParagraph"/>
        <w:numPr>
          <w:ilvl w:val="0"/>
          <w:numId w:val="11"/>
        </w:numPr>
        <w:tabs>
          <w:tab w:pos="980" w:val="left" w:leader="none"/>
        </w:tabs>
        <w:spacing w:line="480" w:lineRule="auto" w:before="1" w:after="0"/>
        <w:ind w:left="980" w:right="861" w:hanging="360"/>
        <w:jc w:val="both"/>
        <w:rPr>
          <w:sz w:val="24"/>
        </w:rPr>
      </w:pPr>
      <w:r>
        <w:rPr>
          <w:spacing w:val="-5"/>
          <w:sz w:val="24"/>
        </w:rPr>
        <w:t> </w:t>
      </w:r>
      <w:r>
        <w:rPr>
          <w:sz w:val="24"/>
        </w:rPr>
        <w:t>The 4-aminoquinolines, such as chloroquine, hydroxychloroquine, and amodaquine, are rapid-acting blood schizontocides with some gametocytocidal activity.</w:t>
      </w:r>
    </w:p>
    <w:p>
      <w:pPr>
        <w:pStyle w:val="ListParagraph"/>
        <w:numPr>
          <w:ilvl w:val="0"/>
          <w:numId w:val="11"/>
        </w:numPr>
        <w:tabs>
          <w:tab w:pos="980" w:val="left" w:leader="none"/>
        </w:tabs>
        <w:spacing w:line="480" w:lineRule="auto" w:before="0" w:after="0"/>
        <w:ind w:left="980" w:right="863" w:hanging="360"/>
        <w:jc w:val="both"/>
        <w:rPr>
          <w:sz w:val="24"/>
        </w:rPr>
      </w:pPr>
      <w:r>
        <w:rPr>
          <w:sz w:val="24"/>
        </w:rPr>
        <w:t>The 8-aminoquinolines, such as primaquine and tafenoquine, are tissue schizontocides; primaquine also has gametocytocidal activity and some activity at other stages of the parasite’s life cycle.</w:t>
      </w:r>
    </w:p>
    <w:p>
      <w:pPr>
        <w:pStyle w:val="ListParagraph"/>
        <w:numPr>
          <w:ilvl w:val="0"/>
          <w:numId w:val="11"/>
        </w:numPr>
        <w:tabs>
          <w:tab w:pos="980" w:val="left" w:leader="none"/>
        </w:tabs>
        <w:spacing w:line="480" w:lineRule="auto" w:before="1" w:after="0"/>
        <w:ind w:left="980" w:right="857" w:hanging="360"/>
        <w:jc w:val="both"/>
        <w:rPr>
          <w:sz w:val="24"/>
        </w:rPr>
      </w:pPr>
      <w:r>
        <w:rPr>
          <w:spacing w:val="-4"/>
          <w:sz w:val="24"/>
        </w:rPr>
        <w:t> </w:t>
      </w:r>
      <w:r>
        <w:rPr>
          <w:sz w:val="24"/>
        </w:rPr>
        <w:t>The biguanides, such as proguanil and chlorproguanil, have dihydrofolatereductase inhibitory</w:t>
      </w:r>
      <w:r>
        <w:rPr>
          <w:spacing w:val="34"/>
          <w:sz w:val="24"/>
        </w:rPr>
        <w:t> </w:t>
      </w:r>
      <w:r>
        <w:rPr>
          <w:sz w:val="24"/>
        </w:rPr>
        <w:t>activity</w:t>
      </w:r>
      <w:r>
        <w:rPr>
          <w:spacing w:val="37"/>
          <w:sz w:val="24"/>
        </w:rPr>
        <w:t> </w:t>
      </w:r>
      <w:r>
        <w:rPr>
          <w:sz w:val="24"/>
        </w:rPr>
        <w:t>and</w:t>
      </w:r>
      <w:r>
        <w:rPr>
          <w:spacing w:val="39"/>
          <w:sz w:val="24"/>
        </w:rPr>
        <w:t> </w:t>
      </w:r>
      <w:r>
        <w:rPr>
          <w:sz w:val="24"/>
        </w:rPr>
        <w:t>thus</w:t>
      </w:r>
      <w:r>
        <w:rPr>
          <w:spacing w:val="39"/>
          <w:sz w:val="24"/>
        </w:rPr>
        <w:t> </w:t>
      </w:r>
      <w:r>
        <w:rPr>
          <w:sz w:val="24"/>
        </w:rPr>
        <w:t>inhibit</w:t>
      </w:r>
      <w:r>
        <w:rPr>
          <w:spacing w:val="40"/>
          <w:sz w:val="24"/>
        </w:rPr>
        <w:t> </w:t>
      </w:r>
      <w:r>
        <w:rPr>
          <w:sz w:val="24"/>
        </w:rPr>
        <w:t>folate</w:t>
      </w:r>
      <w:r>
        <w:rPr>
          <w:spacing w:val="39"/>
          <w:sz w:val="24"/>
        </w:rPr>
        <w:t> </w:t>
      </w:r>
      <w:r>
        <w:rPr>
          <w:sz w:val="24"/>
        </w:rPr>
        <w:t>synthesis</w:t>
      </w:r>
      <w:r>
        <w:rPr>
          <w:spacing w:val="40"/>
          <w:sz w:val="24"/>
        </w:rPr>
        <w:t> </w:t>
      </w:r>
      <w:r>
        <w:rPr>
          <w:sz w:val="24"/>
        </w:rPr>
        <w:t>in</w:t>
      </w:r>
      <w:r>
        <w:rPr>
          <w:spacing w:val="40"/>
          <w:sz w:val="24"/>
        </w:rPr>
        <w:t> </w:t>
      </w:r>
      <w:r>
        <w:rPr>
          <w:sz w:val="24"/>
        </w:rPr>
        <w:t>the</w:t>
      </w:r>
      <w:r>
        <w:rPr>
          <w:spacing w:val="39"/>
          <w:sz w:val="24"/>
        </w:rPr>
        <w:t> </w:t>
      </w:r>
      <w:r>
        <w:rPr>
          <w:sz w:val="24"/>
        </w:rPr>
        <w:t>parasite.</w:t>
      </w:r>
      <w:r>
        <w:rPr>
          <w:spacing w:val="39"/>
          <w:sz w:val="24"/>
        </w:rPr>
        <w:t> </w:t>
      </w:r>
      <w:r>
        <w:rPr>
          <w:sz w:val="24"/>
        </w:rPr>
        <w:t>They</w:t>
      </w:r>
      <w:r>
        <w:rPr>
          <w:spacing w:val="37"/>
          <w:sz w:val="24"/>
        </w:rPr>
        <w:t> </w:t>
      </w:r>
      <w:r>
        <w:rPr>
          <w:sz w:val="24"/>
        </w:rPr>
        <w:t>are</w:t>
      </w:r>
      <w:r>
        <w:rPr>
          <w:spacing w:val="38"/>
          <w:sz w:val="24"/>
        </w:rPr>
        <w:t> </w:t>
      </w:r>
      <w:r>
        <w:rPr>
          <w:sz w:val="24"/>
        </w:rPr>
        <w:t>tissue</w:t>
      </w:r>
    </w:p>
    <w:p>
      <w:pPr>
        <w:spacing w:after="0" w:line="480" w:lineRule="auto"/>
        <w:jc w:val="both"/>
        <w:rPr>
          <w:sz w:val="24"/>
        </w:rPr>
        <w:sectPr>
          <w:pgSz w:w="11910" w:h="16840"/>
          <w:pgMar w:header="0" w:footer="1254" w:top="1340" w:bottom="1440" w:left="1180" w:right="580"/>
        </w:sectPr>
      </w:pPr>
    </w:p>
    <w:p>
      <w:pPr>
        <w:pStyle w:val="BodyText"/>
        <w:spacing w:line="480" w:lineRule="auto" w:before="74"/>
        <w:ind w:left="980" w:right="861"/>
        <w:jc w:val="both"/>
      </w:pPr>
      <w:r>
        <w:rPr/>
        <w:t>schizontocides and slow-acting blood schizontocides with some sporontocidal</w:t>
      </w:r>
      <w:r>
        <w:rPr>
          <w:spacing w:val="40"/>
        </w:rPr>
        <w:t> </w:t>
      </w:r>
      <w:r>
        <w:rPr>
          <w:spacing w:val="-2"/>
        </w:rPr>
        <w:t>activity.</w:t>
      </w:r>
    </w:p>
    <w:p>
      <w:pPr>
        <w:pStyle w:val="ListParagraph"/>
        <w:numPr>
          <w:ilvl w:val="0"/>
          <w:numId w:val="11"/>
        </w:numPr>
        <w:tabs>
          <w:tab w:pos="980" w:val="left" w:leader="none"/>
        </w:tabs>
        <w:spacing w:line="480" w:lineRule="auto" w:before="0" w:after="0"/>
        <w:ind w:left="980" w:right="855" w:hanging="360"/>
        <w:jc w:val="both"/>
        <w:rPr>
          <w:sz w:val="24"/>
        </w:rPr>
      </w:pPr>
      <w:r>
        <w:rPr>
          <w:spacing w:val="-2"/>
          <w:sz w:val="24"/>
        </w:rPr>
        <w:t> </w:t>
      </w:r>
      <w:r>
        <w:rPr>
          <w:sz w:val="24"/>
        </w:rPr>
        <w:t>The diaminopyrimidines, such as pyrimethamine. Pyrimethamine is a dihydrofolatereductase inhibitor and has actions similar to those of the biguanides. It</w:t>
      </w:r>
      <w:r>
        <w:rPr>
          <w:spacing w:val="40"/>
          <w:sz w:val="24"/>
        </w:rPr>
        <w:t> </w:t>
      </w:r>
      <w:r>
        <w:rPr>
          <w:sz w:val="24"/>
        </w:rPr>
        <w:t>is usually administered with other antimalarials that inhibit different stages of folate synthesis, such as a sulfonamide or sulfone, to form synergistic combinations.</w:t>
      </w:r>
    </w:p>
    <w:p>
      <w:pPr>
        <w:pStyle w:val="ListParagraph"/>
        <w:numPr>
          <w:ilvl w:val="0"/>
          <w:numId w:val="11"/>
        </w:numPr>
        <w:tabs>
          <w:tab w:pos="980" w:val="left" w:leader="none"/>
        </w:tabs>
        <w:spacing w:line="480" w:lineRule="auto" w:before="1" w:after="0"/>
        <w:ind w:left="980" w:right="860" w:hanging="360"/>
        <w:jc w:val="both"/>
        <w:rPr>
          <w:sz w:val="24"/>
        </w:rPr>
      </w:pPr>
      <w:r>
        <w:rPr>
          <w:sz w:val="24"/>
        </w:rPr>
        <w:t>The dichlorobenzylidinelumefantrine, a blood schizontocide given in combination with the artemisinin derivative artemether.</w:t>
      </w:r>
    </w:p>
    <w:p>
      <w:pPr>
        <w:pStyle w:val="ListParagraph"/>
        <w:numPr>
          <w:ilvl w:val="0"/>
          <w:numId w:val="11"/>
        </w:numPr>
        <w:tabs>
          <w:tab w:pos="980" w:val="left" w:leader="none"/>
        </w:tabs>
        <w:spacing w:line="480" w:lineRule="auto" w:before="0" w:after="0"/>
        <w:ind w:left="980" w:right="858" w:hanging="360"/>
        <w:jc w:val="both"/>
        <w:rPr>
          <w:sz w:val="24"/>
        </w:rPr>
      </w:pPr>
      <w:r>
        <w:rPr>
          <w:sz w:val="24"/>
        </w:rPr>
        <w:t>The hydroxynaphthoquinones, such as atovaquone. Atovaquone has </w:t>
      </w:r>
      <w:r>
        <w:rPr>
          <w:sz w:val="24"/>
        </w:rPr>
        <w:t>blood schizontocidal activity and is usually given in combination with proguanil.</w:t>
      </w:r>
    </w:p>
    <w:p>
      <w:pPr>
        <w:pStyle w:val="ListParagraph"/>
        <w:numPr>
          <w:ilvl w:val="0"/>
          <w:numId w:val="11"/>
        </w:numPr>
        <w:tabs>
          <w:tab w:pos="1039" w:val="left" w:leader="none"/>
        </w:tabs>
        <w:spacing w:line="240" w:lineRule="auto" w:before="0" w:after="0"/>
        <w:ind w:left="1039" w:right="0" w:hanging="419"/>
        <w:jc w:val="both"/>
        <w:rPr>
          <w:sz w:val="24"/>
        </w:rPr>
      </w:pPr>
      <w:r>
        <w:rPr>
          <w:sz w:val="24"/>
        </w:rPr>
        <w:t>The</w:t>
      </w:r>
      <w:r>
        <w:rPr>
          <w:spacing w:val="-5"/>
          <w:sz w:val="24"/>
        </w:rPr>
        <w:t> </w:t>
      </w:r>
      <w:r>
        <w:rPr>
          <w:sz w:val="24"/>
        </w:rPr>
        <w:t>9-phenanthrenemethanols,</w:t>
      </w:r>
      <w:r>
        <w:rPr>
          <w:spacing w:val="-1"/>
          <w:sz w:val="24"/>
        </w:rPr>
        <w:t> </w:t>
      </w:r>
      <w:r>
        <w:rPr>
          <w:sz w:val="24"/>
        </w:rPr>
        <w:t>such</w:t>
      </w:r>
      <w:r>
        <w:rPr>
          <w:spacing w:val="-1"/>
          <w:sz w:val="24"/>
        </w:rPr>
        <w:t> </w:t>
      </w:r>
      <w:r>
        <w:rPr>
          <w:sz w:val="24"/>
        </w:rPr>
        <w:t>as</w:t>
      </w:r>
      <w:r>
        <w:rPr>
          <w:spacing w:val="-1"/>
          <w:sz w:val="24"/>
        </w:rPr>
        <w:t> </w:t>
      </w:r>
      <w:r>
        <w:rPr>
          <w:sz w:val="24"/>
        </w:rPr>
        <w:t>the</w:t>
      </w:r>
      <w:r>
        <w:rPr>
          <w:spacing w:val="-1"/>
          <w:sz w:val="24"/>
        </w:rPr>
        <w:t> </w:t>
      </w:r>
      <w:r>
        <w:rPr>
          <w:sz w:val="24"/>
        </w:rPr>
        <w:t>blood</w:t>
      </w:r>
      <w:r>
        <w:rPr>
          <w:spacing w:val="2"/>
          <w:sz w:val="24"/>
        </w:rPr>
        <w:t> </w:t>
      </w:r>
      <w:r>
        <w:rPr>
          <w:spacing w:val="-2"/>
          <w:sz w:val="24"/>
        </w:rPr>
        <w:t>schizontocidehalofantrine.</w:t>
      </w:r>
    </w:p>
    <w:p>
      <w:pPr>
        <w:pStyle w:val="BodyText"/>
      </w:pPr>
    </w:p>
    <w:p>
      <w:pPr>
        <w:pStyle w:val="ListParagraph"/>
        <w:numPr>
          <w:ilvl w:val="0"/>
          <w:numId w:val="11"/>
        </w:numPr>
        <w:tabs>
          <w:tab w:pos="980" w:val="left" w:leader="none"/>
        </w:tabs>
        <w:spacing w:line="480" w:lineRule="auto" w:before="0" w:after="0"/>
        <w:ind w:left="980" w:right="867" w:hanging="360"/>
        <w:jc w:val="both"/>
        <w:rPr>
          <w:sz w:val="24"/>
        </w:rPr>
      </w:pPr>
      <w:r>
        <w:rPr>
          <w:sz w:val="24"/>
        </w:rPr>
        <w:t>The sesquiterpene lactones, such as artemisinin and its deratives, act mainly as blood </w:t>
      </w:r>
      <w:r>
        <w:rPr>
          <w:spacing w:val="-2"/>
          <w:sz w:val="24"/>
        </w:rPr>
        <w:t>schizontocides.</w:t>
      </w:r>
    </w:p>
    <w:p>
      <w:pPr>
        <w:pStyle w:val="ListParagraph"/>
        <w:numPr>
          <w:ilvl w:val="0"/>
          <w:numId w:val="11"/>
        </w:numPr>
        <w:tabs>
          <w:tab w:pos="980" w:val="left" w:leader="none"/>
        </w:tabs>
        <w:spacing w:line="480" w:lineRule="auto" w:before="0" w:after="0"/>
        <w:ind w:left="980" w:right="854" w:hanging="360"/>
        <w:jc w:val="both"/>
        <w:rPr>
          <w:sz w:val="24"/>
        </w:rPr>
      </w:pPr>
      <w:r>
        <w:rPr>
          <w:sz w:val="24"/>
        </w:rPr>
        <w:t>The sulfonamides, such as sulfadoxine and sulfametopyrazine, which are dihydropteroate synthase inhibitors and thus inhibit folate synthesis. They act mainly as blood schizontocides and are usually administered with pyrimethamine.</w:t>
      </w:r>
    </w:p>
    <w:p>
      <w:pPr>
        <w:pStyle w:val="ListParagraph"/>
        <w:numPr>
          <w:ilvl w:val="0"/>
          <w:numId w:val="11"/>
        </w:numPr>
        <w:tabs>
          <w:tab w:pos="980" w:val="left" w:leader="none"/>
        </w:tabs>
        <w:spacing w:line="480" w:lineRule="auto" w:before="0" w:after="0"/>
        <w:ind w:left="980" w:right="856" w:hanging="360"/>
        <w:jc w:val="both"/>
        <w:rPr>
          <w:sz w:val="24"/>
        </w:rPr>
      </w:pPr>
      <w:r>
        <w:rPr>
          <w:sz w:val="24"/>
        </w:rPr>
        <w:t>The tetracyclines, such as doxycycline and tetracycline, are blood schizontocides and also have some activity against tissue forms.</w:t>
      </w:r>
    </w:p>
    <w:p>
      <w:pPr>
        <w:pStyle w:val="ListParagraph"/>
        <w:numPr>
          <w:ilvl w:val="0"/>
          <w:numId w:val="11"/>
        </w:numPr>
        <w:tabs>
          <w:tab w:pos="980" w:val="left" w:leader="none"/>
        </w:tabs>
        <w:spacing w:line="480" w:lineRule="auto" w:before="1" w:after="0"/>
        <w:ind w:left="980" w:right="861" w:hanging="360"/>
        <w:jc w:val="both"/>
        <w:rPr>
          <w:sz w:val="24"/>
        </w:rPr>
      </w:pPr>
      <w:r>
        <w:rPr>
          <w:sz w:val="24"/>
        </w:rPr>
        <w:t>The lincosamide, clindamycin, which is also sometimes used, has a similar action to the tetracyclines.</w:t>
      </w:r>
    </w:p>
    <w:p>
      <w:pPr>
        <w:pStyle w:val="ListParagraph"/>
        <w:numPr>
          <w:ilvl w:val="0"/>
          <w:numId w:val="11"/>
        </w:numPr>
        <w:tabs>
          <w:tab w:pos="980" w:val="left" w:leader="none"/>
        </w:tabs>
        <w:spacing w:line="480" w:lineRule="auto" w:before="0" w:after="0"/>
        <w:ind w:left="980" w:right="855" w:hanging="360"/>
        <w:jc w:val="both"/>
        <w:rPr>
          <w:sz w:val="24"/>
        </w:rPr>
      </w:pPr>
      <w:r>
        <w:rPr>
          <w:sz w:val="24"/>
        </w:rPr>
        <w:t>The sulfone, dapsone, which has similar antimalarial actions and uses to the sulfonamides (WHO, 2006).</w:t>
      </w:r>
    </w:p>
    <w:p>
      <w:pPr>
        <w:spacing w:after="0" w:line="480" w:lineRule="auto"/>
        <w:jc w:val="both"/>
        <w:rPr>
          <w:sz w:val="24"/>
        </w:rPr>
        <w:sectPr>
          <w:pgSz w:w="11910" w:h="16840"/>
          <w:pgMar w:header="0" w:footer="1254" w:top="1340" w:bottom="1440" w:left="1180" w:right="580"/>
        </w:sectPr>
      </w:pPr>
    </w:p>
    <w:p>
      <w:pPr>
        <w:pStyle w:val="Heading2"/>
        <w:numPr>
          <w:ilvl w:val="2"/>
          <w:numId w:val="10"/>
        </w:numPr>
        <w:tabs>
          <w:tab w:pos="800" w:val="left" w:leader="none"/>
        </w:tabs>
        <w:spacing w:line="240" w:lineRule="auto" w:before="78" w:after="0"/>
        <w:ind w:left="800" w:right="0" w:hanging="540"/>
        <w:jc w:val="both"/>
      </w:pPr>
      <w:r>
        <w:rPr/>
        <w:t>Pharmacology</w:t>
      </w:r>
      <w:r>
        <w:rPr>
          <w:spacing w:val="-5"/>
        </w:rPr>
        <w:t> </w:t>
      </w:r>
      <w:r>
        <w:rPr/>
        <w:t>of</w:t>
      </w:r>
      <w:r>
        <w:rPr>
          <w:spacing w:val="-2"/>
        </w:rPr>
        <w:t> </w:t>
      </w:r>
      <w:r>
        <w:rPr/>
        <w:t>Antimalarial</w:t>
      </w:r>
      <w:r>
        <w:rPr>
          <w:spacing w:val="-2"/>
        </w:rPr>
        <w:t> Agents</w:t>
      </w:r>
    </w:p>
    <w:p>
      <w:pPr>
        <w:pStyle w:val="ListParagraph"/>
        <w:numPr>
          <w:ilvl w:val="3"/>
          <w:numId w:val="10"/>
        </w:numPr>
        <w:tabs>
          <w:tab w:pos="919" w:val="left" w:leader="none"/>
        </w:tabs>
        <w:spacing w:line="480" w:lineRule="auto" w:before="272" w:after="0"/>
        <w:ind w:left="260" w:right="853" w:firstLine="0"/>
        <w:jc w:val="both"/>
        <w:rPr>
          <w:sz w:val="24"/>
        </w:rPr>
      </w:pPr>
      <w:r>
        <w:rPr>
          <w:b/>
          <w:i/>
          <w:sz w:val="24"/>
        </w:rPr>
        <w:t>Chloroquine</w:t>
      </w:r>
      <w:r>
        <w:rPr>
          <w:b/>
          <w:sz w:val="24"/>
        </w:rPr>
        <w:t>. </w:t>
      </w:r>
      <w:r>
        <w:rPr>
          <w:sz w:val="24"/>
        </w:rPr>
        <w:t>Drugs such as Chloroquine, Primaquine, Proguanil, Amodiaquine and Sulfadoxine/Pyrimethamine were developed during World War II to protect the troops from malaria(Greenwood, 1995). Chloroquine, a synthetic 4-aminoquinoline, proved to be the</w:t>
      </w:r>
      <w:r>
        <w:rPr>
          <w:spacing w:val="40"/>
          <w:sz w:val="24"/>
        </w:rPr>
        <w:t> </w:t>
      </w:r>
      <w:r>
        <w:rPr>
          <w:sz w:val="24"/>
        </w:rPr>
        <w:t>most efficient and important antimalarial and was widely used throughout the world. However, after ten to twelve years of use, Chloroquine resistance appeared in </w:t>
      </w:r>
      <w:r>
        <w:rPr>
          <w:i/>
          <w:sz w:val="24"/>
        </w:rPr>
        <w:t>P. falciparum</w:t>
      </w:r>
      <w:r>
        <w:rPr>
          <w:sz w:val="24"/>
        </w:rPr>
        <w:t>. By</w:t>
      </w:r>
      <w:r>
        <w:rPr>
          <w:spacing w:val="-5"/>
          <w:sz w:val="24"/>
        </w:rPr>
        <w:t> </w:t>
      </w:r>
      <w:r>
        <w:rPr>
          <w:sz w:val="24"/>
        </w:rPr>
        <w:t>the</w:t>
      </w:r>
      <w:r>
        <w:rPr>
          <w:spacing w:val="-1"/>
          <w:sz w:val="24"/>
        </w:rPr>
        <w:t> </w:t>
      </w:r>
      <w:r>
        <w:rPr>
          <w:sz w:val="24"/>
        </w:rPr>
        <w:t>late</w:t>
      </w:r>
      <w:r>
        <w:rPr>
          <w:spacing w:val="-1"/>
          <w:sz w:val="24"/>
        </w:rPr>
        <w:t> </w:t>
      </w:r>
      <w:r>
        <w:rPr>
          <w:sz w:val="24"/>
        </w:rPr>
        <w:t>1970s Chloroquine</w:t>
      </w:r>
      <w:r>
        <w:rPr>
          <w:spacing w:val="-1"/>
          <w:sz w:val="24"/>
        </w:rPr>
        <w:t> </w:t>
      </w:r>
      <w:r>
        <w:rPr>
          <w:sz w:val="24"/>
        </w:rPr>
        <w:t>resistance</w:t>
      </w:r>
      <w:r>
        <w:rPr>
          <w:spacing w:val="-1"/>
          <w:sz w:val="24"/>
        </w:rPr>
        <w:t> </w:t>
      </w:r>
      <w:r>
        <w:rPr>
          <w:sz w:val="24"/>
        </w:rPr>
        <w:t>had reached Africa and has since spread across sub- Saharan Africa (Kuhn </w:t>
      </w:r>
      <w:r>
        <w:rPr>
          <w:i/>
          <w:sz w:val="24"/>
        </w:rPr>
        <w:t>et al</w:t>
      </w:r>
      <w:r>
        <w:rPr>
          <w:sz w:val="24"/>
        </w:rPr>
        <w:t>., 2003).</w:t>
      </w:r>
    </w:p>
    <w:p>
      <w:pPr>
        <w:pStyle w:val="BodyText"/>
      </w:pPr>
    </w:p>
    <w:p>
      <w:pPr>
        <w:pStyle w:val="BodyText"/>
      </w:pPr>
    </w:p>
    <w:p>
      <w:pPr>
        <w:pStyle w:val="BodyText"/>
        <w:spacing w:line="480" w:lineRule="auto" w:before="1"/>
        <w:ind w:left="260" w:right="854"/>
        <w:jc w:val="both"/>
      </w:pPr>
      <w:r>
        <w:rPr>
          <w:b/>
        </w:rPr>
        <w:t>Structure of Chloroquine</w:t>
      </w:r>
      <w:r>
        <w:rPr/>
        <w:t>: The D, L and DL forms of Chloroquine have equal potency in duck malaria, but the D-isomer is somewhat less toxic than the L-isomer in mammals. A chlorine atom attached to position 7 of the quinoline ring (Fig. 2.3) confers the greatest antimalarial activity in both avian and human malarias. Research on the structure-activity relationships of Chloroquine and related alkaloid compounds continues in an effort to find new effective antimalarial drugs with</w:t>
      </w:r>
      <w:r>
        <w:rPr>
          <w:spacing w:val="40"/>
        </w:rPr>
        <w:t> </w:t>
      </w:r>
      <w:r>
        <w:rPr/>
        <w:t>improved</w:t>
      </w:r>
      <w:r>
        <w:rPr>
          <w:spacing w:val="40"/>
        </w:rPr>
        <w:t> </w:t>
      </w:r>
      <w:r>
        <w:rPr/>
        <w:t>safety</w:t>
      </w:r>
      <w:r>
        <w:rPr>
          <w:spacing w:val="-2"/>
        </w:rPr>
        <w:t> </w:t>
      </w:r>
      <w:r>
        <w:rPr/>
        <w:t>profiles that can be used successfully against Chloroquine and multidrug-resistant strains of </w:t>
      </w:r>
      <w:r>
        <w:rPr>
          <w:i/>
        </w:rPr>
        <w:t>P. falciparum </w:t>
      </w:r>
      <w:r>
        <w:rPr/>
        <w:t>(examples include the bisoquinolines and short-chain chloroquines) (Kaur </w:t>
      </w:r>
      <w:r>
        <w:rPr>
          <w:i/>
        </w:rPr>
        <w:t>et al</w:t>
      </w:r>
      <w:r>
        <w:rPr/>
        <w:t>., 2010). The oral formulations are the sulphate and phosphate salt. The parental formulation is in the hydrochloride salt. Both</w:t>
      </w:r>
      <w:r>
        <w:rPr>
          <w:spacing w:val="40"/>
        </w:rPr>
        <w:t> </w:t>
      </w:r>
      <w:r>
        <w:rPr/>
        <w:t>the sulphate and phosphate salts are readily solube in water (in ratio 1:3) (Basco, 2007).</w:t>
      </w:r>
    </w:p>
    <w:p>
      <w:pPr>
        <w:spacing w:after="0" w:line="480" w:lineRule="auto"/>
        <w:jc w:val="both"/>
        <w:sectPr>
          <w:pgSz w:w="11910" w:h="16840"/>
          <w:pgMar w:header="0" w:footer="1254" w:top="1340" w:bottom="1440" w:left="1180" w:right="580"/>
        </w:sectPr>
      </w:pPr>
    </w:p>
    <w:p>
      <w:pPr>
        <w:pStyle w:val="BodyText"/>
        <w:ind w:left="260"/>
        <w:rPr>
          <w:sz w:val="20"/>
        </w:rPr>
      </w:pPr>
      <w:r>
        <w:rPr>
          <w:sz w:val="20"/>
        </w:rPr>
        <w:drawing>
          <wp:inline distT="0" distB="0" distL="0" distR="0">
            <wp:extent cx="3615051" cy="1427321"/>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3615051" cy="1427321"/>
                    </a:xfrm>
                    <a:prstGeom prst="rect">
                      <a:avLst/>
                    </a:prstGeom>
                  </pic:spPr>
                </pic:pic>
              </a:graphicData>
            </a:graphic>
          </wp:inline>
        </w:drawing>
      </w:r>
      <w:r>
        <w:rPr>
          <w:sz w:val="20"/>
        </w:rPr>
      </w:r>
    </w:p>
    <w:p>
      <w:pPr>
        <w:pStyle w:val="Heading2"/>
        <w:spacing w:before="134"/>
        <w:jc w:val="left"/>
      </w:pPr>
      <w:r>
        <w:rPr/>
        <w:t>Fig.</w:t>
      </w:r>
      <w:r>
        <w:rPr>
          <w:spacing w:val="-1"/>
        </w:rPr>
        <w:t> </w:t>
      </w:r>
      <w:r>
        <w:rPr/>
        <w:t>2.3:</w:t>
      </w:r>
      <w:r>
        <w:rPr>
          <w:spacing w:val="-2"/>
        </w:rPr>
        <w:t> </w:t>
      </w:r>
      <w:r>
        <w:rPr/>
        <w:t>Chemical</w:t>
      </w:r>
      <w:r>
        <w:rPr>
          <w:spacing w:val="-1"/>
        </w:rPr>
        <w:t> </w:t>
      </w:r>
      <w:r>
        <w:rPr/>
        <w:t>structure</w:t>
      </w:r>
      <w:r>
        <w:rPr>
          <w:spacing w:val="-3"/>
        </w:rPr>
        <w:t> </w:t>
      </w:r>
      <w:r>
        <w:rPr/>
        <w:t>of </w:t>
      </w:r>
      <w:r>
        <w:rPr>
          <w:spacing w:val="-2"/>
        </w:rPr>
        <w:t>Chloroquine</w:t>
      </w:r>
    </w:p>
    <w:p>
      <w:pPr>
        <w:spacing w:after="0"/>
        <w:jc w:val="left"/>
        <w:sectPr>
          <w:pgSz w:w="11910" w:h="16840"/>
          <w:pgMar w:header="0" w:footer="1254" w:top="1840" w:bottom="1440" w:left="1180" w:right="580"/>
        </w:sectPr>
      </w:pPr>
    </w:p>
    <w:p>
      <w:pPr>
        <w:pStyle w:val="BodyText"/>
        <w:spacing w:line="480" w:lineRule="auto" w:before="74"/>
        <w:ind w:left="260" w:right="854"/>
        <w:jc w:val="both"/>
      </w:pPr>
      <w:r>
        <w:rPr>
          <w:b/>
        </w:rPr>
        <w:t>Mode of action: </w:t>
      </w:r>
      <w:r>
        <w:rPr/>
        <w:t>The mechanism of plasmodical action of chloroquine (CQ) is not</w:t>
      </w:r>
      <w:r>
        <w:rPr>
          <w:spacing w:val="40"/>
        </w:rPr>
        <w:t> </w:t>
      </w:r>
      <w:r>
        <w:rPr/>
        <w:t>completely understood. A clue to the mechanism of action of CQ came from the observation that</w:t>
      </w:r>
      <w:r>
        <w:rPr>
          <w:spacing w:val="-2"/>
        </w:rPr>
        <w:t> </w:t>
      </w:r>
      <w:r>
        <w:rPr/>
        <w:t>it</w:t>
      </w:r>
      <w:r>
        <w:rPr>
          <w:spacing w:val="-2"/>
        </w:rPr>
        <w:t> </w:t>
      </w:r>
      <w:r>
        <w:rPr/>
        <w:t>is</w:t>
      </w:r>
      <w:r>
        <w:rPr>
          <w:spacing w:val="-2"/>
        </w:rPr>
        <w:t> </w:t>
      </w:r>
      <w:r>
        <w:rPr/>
        <w:t>active</w:t>
      </w:r>
      <w:r>
        <w:rPr>
          <w:spacing w:val="-3"/>
        </w:rPr>
        <w:t> </w:t>
      </w:r>
      <w:r>
        <w:rPr/>
        <w:t>only</w:t>
      </w:r>
      <w:r>
        <w:rPr>
          <w:spacing w:val="-6"/>
        </w:rPr>
        <w:t> </w:t>
      </w:r>
      <w:r>
        <w:rPr/>
        <w:t>against</w:t>
      </w:r>
      <w:r>
        <w:rPr>
          <w:spacing w:val="-2"/>
        </w:rPr>
        <w:t> </w:t>
      </w:r>
      <w:r>
        <w:rPr/>
        <w:t>the</w:t>
      </w:r>
      <w:r>
        <w:rPr>
          <w:spacing w:val="-1"/>
        </w:rPr>
        <w:t> </w:t>
      </w:r>
      <w:r>
        <w:rPr/>
        <w:t>erythrocytic</w:t>
      </w:r>
      <w:r>
        <w:rPr>
          <w:spacing w:val="-3"/>
        </w:rPr>
        <w:t> </w:t>
      </w:r>
      <w:r>
        <w:rPr/>
        <w:t>stages</w:t>
      </w:r>
      <w:r>
        <w:rPr>
          <w:spacing w:val="-2"/>
        </w:rPr>
        <w:t> </w:t>
      </w:r>
      <w:r>
        <w:rPr/>
        <w:t>of</w:t>
      </w:r>
      <w:r>
        <w:rPr>
          <w:spacing w:val="-2"/>
        </w:rPr>
        <w:t> </w:t>
      </w:r>
      <w:r>
        <w:rPr/>
        <w:t>malaria</w:t>
      </w:r>
      <w:r>
        <w:rPr>
          <w:spacing w:val="-3"/>
        </w:rPr>
        <w:t> </w:t>
      </w:r>
      <w:r>
        <w:rPr/>
        <w:t>parasites. It</w:t>
      </w:r>
      <w:r>
        <w:rPr>
          <w:spacing w:val="-2"/>
        </w:rPr>
        <w:t> </w:t>
      </w:r>
      <w:r>
        <w:rPr/>
        <w:t>is</w:t>
      </w:r>
      <w:r>
        <w:rPr>
          <w:spacing w:val="-2"/>
        </w:rPr>
        <w:t> </w:t>
      </w:r>
      <w:r>
        <w:rPr/>
        <w:t>not</w:t>
      </w:r>
      <w:r>
        <w:rPr>
          <w:spacing w:val="-2"/>
        </w:rPr>
        <w:t> </w:t>
      </w:r>
      <w:r>
        <w:rPr/>
        <w:t>active</w:t>
      </w:r>
      <w:r>
        <w:rPr>
          <w:spacing w:val="-1"/>
        </w:rPr>
        <w:t> </w:t>
      </w:r>
      <w:r>
        <w:rPr/>
        <w:t>against preerytrocytic or hypnozite-stage parasites in the liver (Peters, 1970), nor against mature gametocytes (Sinden, 1982). Studies using ultra structural device has suggested that the parasites food vacuole in the target of chloroquine’s activity. There is also evidence to show that chloroquine interfes with the parasites mechanism for</w:t>
      </w:r>
      <w:r>
        <w:rPr>
          <w:spacing w:val="-1"/>
        </w:rPr>
        <w:t> </w:t>
      </w:r>
      <w:r>
        <w:rPr/>
        <w:t>detoxifying</w:t>
      </w:r>
      <w:r>
        <w:rPr>
          <w:spacing w:val="-2"/>
        </w:rPr>
        <w:t> </w:t>
      </w:r>
      <w:r>
        <w:rPr/>
        <w:t>ferriprotoporphyrin IX and</w:t>
      </w:r>
      <w:r>
        <w:rPr>
          <w:spacing w:val="-1"/>
        </w:rPr>
        <w:t> </w:t>
      </w:r>
      <w:r>
        <w:rPr/>
        <w:t>superoxide</w:t>
      </w:r>
      <w:r>
        <w:rPr>
          <w:spacing w:val="-2"/>
        </w:rPr>
        <w:t> </w:t>
      </w:r>
      <w:r>
        <w:rPr/>
        <w:t>anions</w:t>
      </w:r>
      <w:r>
        <w:rPr>
          <w:spacing w:val="-1"/>
        </w:rPr>
        <w:t> </w:t>
      </w:r>
      <w:r>
        <w:rPr/>
        <w:t>resulting</w:t>
      </w:r>
      <w:r>
        <w:rPr>
          <w:spacing w:val="-3"/>
        </w:rPr>
        <w:t> </w:t>
      </w:r>
      <w:r>
        <w:rPr/>
        <w:t>from</w:t>
      </w:r>
      <w:r>
        <w:rPr>
          <w:spacing w:val="-1"/>
        </w:rPr>
        <w:t> </w:t>
      </w:r>
      <w:r>
        <w:rPr/>
        <w:t>its</w:t>
      </w:r>
      <w:r>
        <w:rPr>
          <w:spacing w:val="-1"/>
        </w:rPr>
        <w:t> </w:t>
      </w:r>
      <w:r>
        <w:rPr/>
        <w:t>digestion</w:t>
      </w:r>
      <w:r>
        <w:rPr>
          <w:spacing w:val="-1"/>
        </w:rPr>
        <w:t> </w:t>
      </w:r>
      <w:r>
        <w:rPr/>
        <w:t>of</w:t>
      </w:r>
      <w:r>
        <w:rPr>
          <w:spacing w:val="-2"/>
        </w:rPr>
        <w:t> </w:t>
      </w:r>
      <w:r>
        <w:rPr/>
        <w:t>haemoglobin</w:t>
      </w:r>
      <w:r>
        <w:rPr>
          <w:spacing w:val="-1"/>
        </w:rPr>
        <w:t> </w:t>
      </w:r>
      <w:r>
        <w:rPr/>
        <w:t>so</w:t>
      </w:r>
      <w:r>
        <w:rPr>
          <w:spacing w:val="-1"/>
        </w:rPr>
        <w:t> </w:t>
      </w:r>
      <w:r>
        <w:rPr/>
        <w:t>that</w:t>
      </w:r>
      <w:r>
        <w:rPr>
          <w:spacing w:val="-1"/>
        </w:rPr>
        <w:t> </w:t>
      </w:r>
      <w:r>
        <w:rPr/>
        <w:t>the</w:t>
      </w:r>
      <w:r>
        <w:rPr>
          <w:spacing w:val="-2"/>
        </w:rPr>
        <w:t> </w:t>
      </w:r>
      <w:r>
        <w:rPr/>
        <w:t>malaria</w:t>
      </w:r>
      <w:r>
        <w:rPr>
          <w:spacing w:val="-3"/>
        </w:rPr>
        <w:t> </w:t>
      </w:r>
      <w:r>
        <w:rPr/>
        <w:t>parasite is killed by accumulation of these toxic products (Rosenthal, 2001). Thus, the selectivity of action of quinoline drugs appears to derive from the fact that they target a parasite specific process, namely some aspect of haemoglobin digestion.</w:t>
      </w:r>
    </w:p>
    <w:p>
      <w:pPr>
        <w:pStyle w:val="BodyText"/>
      </w:pPr>
    </w:p>
    <w:p>
      <w:pPr>
        <w:pStyle w:val="BodyText"/>
        <w:spacing w:before="1"/>
      </w:pPr>
    </w:p>
    <w:p>
      <w:pPr>
        <w:spacing w:line="480" w:lineRule="auto" w:before="0"/>
        <w:ind w:left="260" w:right="855" w:firstLine="0"/>
        <w:jc w:val="both"/>
        <w:rPr>
          <w:sz w:val="24"/>
        </w:rPr>
      </w:pPr>
      <w:r>
        <w:rPr>
          <w:b/>
          <w:sz w:val="24"/>
        </w:rPr>
        <w:t>Therapeutic uses of chloroquine: </w:t>
      </w:r>
      <w:r>
        <w:rPr>
          <w:sz w:val="24"/>
        </w:rPr>
        <w:t>Chloroquine is used for prophylaxis and treatment of malaria due to susceptible stains of </w:t>
      </w:r>
      <w:r>
        <w:rPr>
          <w:i/>
          <w:sz w:val="24"/>
        </w:rPr>
        <w:t>Plasmodium ovale, P. vivax and P. malariae</w:t>
      </w:r>
      <w:r>
        <w:rPr>
          <w:sz w:val="24"/>
        </w:rPr>
        <w:t>. It has also been used for susceptible strains of </w:t>
      </w:r>
      <w:r>
        <w:rPr>
          <w:i/>
          <w:sz w:val="24"/>
        </w:rPr>
        <w:t>P. falciparum </w:t>
      </w:r>
      <w:r>
        <w:rPr>
          <w:sz w:val="24"/>
        </w:rPr>
        <w:t>but it is important to note that in the majority of the world </w:t>
      </w:r>
      <w:r>
        <w:rPr>
          <w:i/>
          <w:sz w:val="24"/>
        </w:rPr>
        <w:t>P. falciparum </w:t>
      </w:r>
      <w:r>
        <w:rPr>
          <w:sz w:val="24"/>
        </w:rPr>
        <w:t>is now resistant to chloroquine, which should therefore not be given as treatment. Chloroquine is a rapid-acting blood schizontocide with some gametocytocidal activity against </w:t>
      </w:r>
      <w:r>
        <w:rPr>
          <w:i/>
          <w:sz w:val="24"/>
        </w:rPr>
        <w:t>P. ovale, P. vivax, P. malariae, </w:t>
      </w:r>
      <w:r>
        <w:rPr>
          <w:sz w:val="24"/>
        </w:rPr>
        <w:t>and immature gametocytes</w:t>
      </w:r>
      <w:r>
        <w:rPr>
          <w:spacing w:val="40"/>
          <w:sz w:val="24"/>
        </w:rPr>
        <w:t> </w:t>
      </w:r>
      <w:r>
        <w:rPr>
          <w:sz w:val="24"/>
        </w:rPr>
        <w:t>of </w:t>
      </w:r>
      <w:r>
        <w:rPr>
          <w:i/>
          <w:sz w:val="24"/>
        </w:rPr>
        <w:t>P. falciparum </w:t>
      </w:r>
      <w:r>
        <w:rPr>
          <w:sz w:val="24"/>
        </w:rPr>
        <w:t>(WHO, 2006).</w:t>
      </w:r>
    </w:p>
    <w:p>
      <w:pPr>
        <w:pStyle w:val="BodyText"/>
      </w:pPr>
    </w:p>
    <w:p>
      <w:pPr>
        <w:pStyle w:val="BodyText"/>
        <w:spacing w:before="1"/>
      </w:pPr>
    </w:p>
    <w:p>
      <w:pPr>
        <w:pStyle w:val="ListParagraph"/>
        <w:numPr>
          <w:ilvl w:val="3"/>
          <w:numId w:val="10"/>
        </w:numPr>
        <w:tabs>
          <w:tab w:pos="982" w:val="left" w:leader="none"/>
        </w:tabs>
        <w:spacing w:line="480" w:lineRule="auto" w:before="0" w:after="0"/>
        <w:ind w:left="260" w:right="855" w:firstLine="0"/>
        <w:jc w:val="both"/>
        <w:rPr>
          <w:sz w:val="24"/>
        </w:rPr>
      </w:pPr>
      <w:r>
        <w:rPr>
          <w:b/>
          <w:i/>
          <w:sz w:val="24"/>
        </w:rPr>
        <w:t>Amodiaquine</w:t>
      </w:r>
      <w:r>
        <w:rPr>
          <w:b/>
          <w:sz w:val="24"/>
        </w:rPr>
        <w:t>. </w:t>
      </w:r>
      <w:r>
        <w:rPr>
          <w:sz w:val="24"/>
        </w:rPr>
        <w:t>Amodiaquine</w:t>
      </w:r>
      <w:r>
        <w:rPr>
          <w:spacing w:val="-2"/>
          <w:sz w:val="24"/>
        </w:rPr>
        <w:t> </w:t>
      </w:r>
      <w:r>
        <w:rPr>
          <w:sz w:val="24"/>
        </w:rPr>
        <w:t>is</w:t>
      </w:r>
      <w:r>
        <w:rPr>
          <w:spacing w:val="-1"/>
          <w:sz w:val="24"/>
        </w:rPr>
        <w:t> </w:t>
      </w:r>
      <w:r>
        <w:rPr>
          <w:sz w:val="24"/>
        </w:rPr>
        <w:t>a</w:t>
      </w:r>
      <w:r>
        <w:rPr>
          <w:spacing w:val="-2"/>
          <w:sz w:val="24"/>
        </w:rPr>
        <w:t> </w:t>
      </w:r>
      <w:r>
        <w:rPr>
          <w:sz w:val="24"/>
        </w:rPr>
        <w:t>mannich-base</w:t>
      </w:r>
      <w:r>
        <w:rPr>
          <w:spacing w:val="-2"/>
          <w:sz w:val="24"/>
        </w:rPr>
        <w:t> </w:t>
      </w:r>
      <w:r>
        <w:rPr>
          <w:sz w:val="24"/>
        </w:rPr>
        <w:t>type</w:t>
      </w:r>
      <w:r>
        <w:rPr>
          <w:spacing w:val="-2"/>
          <w:sz w:val="24"/>
        </w:rPr>
        <w:t> </w:t>
      </w:r>
      <w:r>
        <w:rPr>
          <w:sz w:val="24"/>
        </w:rPr>
        <w:t>4-aminoquinoline</w:t>
      </w:r>
      <w:r>
        <w:rPr>
          <w:spacing w:val="-2"/>
          <w:sz w:val="24"/>
        </w:rPr>
        <w:t> </w:t>
      </w:r>
      <w:r>
        <w:rPr>
          <w:sz w:val="24"/>
        </w:rPr>
        <w:t>derivative</w:t>
      </w:r>
      <w:r>
        <w:rPr>
          <w:spacing w:val="-2"/>
          <w:sz w:val="24"/>
        </w:rPr>
        <w:t> </w:t>
      </w:r>
      <w:r>
        <w:rPr>
          <w:sz w:val="24"/>
        </w:rPr>
        <w:t>with a mode of action similar to that of Chloroquine (Basco, 2007). This antimalarial was briefly recommended for prophylaxis in travellers during the 1980s, but was subsequently</w:t>
      </w:r>
      <w:r>
        <w:rPr>
          <w:spacing w:val="40"/>
          <w:sz w:val="24"/>
        </w:rPr>
        <w:t> </w:t>
      </w:r>
      <w:r>
        <w:rPr>
          <w:sz w:val="24"/>
        </w:rPr>
        <w:t>abandoned after reports that it can induce immune-mediated granulocytopenia in some</w:t>
      </w:r>
      <w:r>
        <w:rPr>
          <w:spacing w:val="40"/>
          <w:sz w:val="24"/>
        </w:rPr>
        <w:t> </w:t>
      </w:r>
      <w:r>
        <w:rPr>
          <w:sz w:val="24"/>
        </w:rPr>
        <w:t>patents</w:t>
      </w:r>
      <w:r>
        <w:rPr>
          <w:spacing w:val="22"/>
          <w:sz w:val="24"/>
        </w:rPr>
        <w:t> </w:t>
      </w:r>
      <w:r>
        <w:rPr>
          <w:sz w:val="24"/>
        </w:rPr>
        <w:t>(Hatton,</w:t>
      </w:r>
      <w:r>
        <w:rPr>
          <w:spacing w:val="23"/>
          <w:sz w:val="24"/>
        </w:rPr>
        <w:t> </w:t>
      </w:r>
      <w:r>
        <w:rPr>
          <w:sz w:val="24"/>
        </w:rPr>
        <w:t>et</w:t>
      </w:r>
      <w:r>
        <w:rPr>
          <w:spacing w:val="26"/>
          <w:sz w:val="24"/>
        </w:rPr>
        <w:t> </w:t>
      </w:r>
      <w:r>
        <w:rPr>
          <w:sz w:val="24"/>
        </w:rPr>
        <w:t>al.,</w:t>
      </w:r>
      <w:r>
        <w:rPr>
          <w:spacing w:val="24"/>
          <w:sz w:val="24"/>
        </w:rPr>
        <w:t> </w:t>
      </w:r>
      <w:r>
        <w:rPr>
          <w:sz w:val="24"/>
        </w:rPr>
        <w:t>1986).</w:t>
      </w:r>
      <w:r>
        <w:rPr>
          <w:spacing w:val="23"/>
          <w:sz w:val="24"/>
        </w:rPr>
        <w:t> </w:t>
      </w:r>
      <w:r>
        <w:rPr>
          <w:sz w:val="24"/>
        </w:rPr>
        <w:t>Amodiaquine</w:t>
      </w:r>
      <w:r>
        <w:rPr>
          <w:spacing w:val="22"/>
          <w:sz w:val="24"/>
        </w:rPr>
        <w:t> </w:t>
      </w:r>
      <w:r>
        <w:rPr>
          <w:sz w:val="24"/>
        </w:rPr>
        <w:t>is</w:t>
      </w:r>
      <w:r>
        <w:rPr>
          <w:spacing w:val="24"/>
          <w:sz w:val="24"/>
        </w:rPr>
        <w:t> </w:t>
      </w:r>
      <w:r>
        <w:rPr>
          <w:sz w:val="24"/>
        </w:rPr>
        <w:t>more</w:t>
      </w:r>
      <w:r>
        <w:rPr>
          <w:spacing w:val="22"/>
          <w:sz w:val="24"/>
        </w:rPr>
        <w:t> </w:t>
      </w:r>
      <w:r>
        <w:rPr>
          <w:sz w:val="24"/>
        </w:rPr>
        <w:t>palatable</w:t>
      </w:r>
      <w:r>
        <w:rPr>
          <w:spacing w:val="23"/>
          <w:sz w:val="24"/>
        </w:rPr>
        <w:t> </w:t>
      </w:r>
      <w:r>
        <w:rPr>
          <w:sz w:val="24"/>
        </w:rPr>
        <w:t>than</w:t>
      </w:r>
      <w:r>
        <w:rPr>
          <w:spacing w:val="25"/>
          <w:sz w:val="24"/>
        </w:rPr>
        <w:t> </w:t>
      </w:r>
      <w:r>
        <w:rPr>
          <w:sz w:val="24"/>
        </w:rPr>
        <w:t>chloroquine</w:t>
      </w:r>
      <w:r>
        <w:rPr>
          <w:spacing w:val="23"/>
          <w:sz w:val="24"/>
        </w:rPr>
        <w:t> </w:t>
      </w:r>
      <w:r>
        <w:rPr>
          <w:sz w:val="24"/>
        </w:rPr>
        <w:t>and</w:t>
      </w:r>
      <w:r>
        <w:rPr>
          <w:spacing w:val="23"/>
          <w:sz w:val="24"/>
        </w:rPr>
        <w:t> </w:t>
      </w:r>
      <w:r>
        <w:rPr>
          <w:sz w:val="24"/>
        </w:rPr>
        <w:t>may</w:t>
      </w:r>
      <w:r>
        <w:rPr>
          <w:spacing w:val="18"/>
          <w:sz w:val="24"/>
        </w:rPr>
        <w:t> </w:t>
      </w:r>
      <w:r>
        <w:rPr>
          <w:spacing w:val="-5"/>
          <w:sz w:val="24"/>
        </w:rPr>
        <w:t>be</w:t>
      </w:r>
    </w:p>
    <w:p>
      <w:pPr>
        <w:spacing w:after="0" w:line="480" w:lineRule="auto"/>
        <w:jc w:val="both"/>
        <w:rPr>
          <w:sz w:val="24"/>
        </w:rPr>
        <w:sectPr>
          <w:pgSz w:w="11910" w:h="16840"/>
          <w:pgMar w:header="0" w:footer="1254" w:top="1340" w:bottom="1440" w:left="1180" w:right="580"/>
        </w:sectPr>
      </w:pPr>
    </w:p>
    <w:p>
      <w:pPr>
        <w:pStyle w:val="BodyText"/>
        <w:spacing w:line="480" w:lineRule="auto" w:before="74"/>
        <w:ind w:left="260" w:right="858"/>
        <w:jc w:val="both"/>
      </w:pPr>
      <w:r>
        <w:rPr/>
        <w:t>more effecyive. It is not recommended as a first line of treatment (WHO, 1993). To prevent emergence and spread of drug resistant malaria parasites WHO recommends that Amodiaquine be given with artesimin derivative, such as Artesunate, for the treatment of falciparum malaria (WHO, 2006).</w:t>
      </w:r>
    </w:p>
    <w:p>
      <w:pPr>
        <w:pStyle w:val="BodyText"/>
      </w:pPr>
    </w:p>
    <w:p>
      <w:pPr>
        <w:pStyle w:val="BodyText"/>
      </w:pPr>
    </w:p>
    <w:p>
      <w:pPr>
        <w:pStyle w:val="BodyText"/>
        <w:spacing w:line="480" w:lineRule="auto"/>
        <w:ind w:left="260" w:right="856"/>
        <w:jc w:val="both"/>
      </w:pPr>
      <w:r>
        <w:rPr>
          <w:b/>
        </w:rPr>
        <w:t>Structure</w:t>
      </w:r>
      <w:r>
        <w:rPr>
          <w:b/>
          <w:spacing w:val="-2"/>
        </w:rPr>
        <w:t> </w:t>
      </w:r>
      <w:r>
        <w:rPr>
          <w:b/>
        </w:rPr>
        <w:t>of Amodiaquine</w:t>
      </w:r>
      <w:r>
        <w:rPr/>
        <w:t>: Amodiaquine</w:t>
      </w:r>
      <w:r>
        <w:rPr>
          <w:spacing w:val="-1"/>
        </w:rPr>
        <w:t> </w:t>
      </w:r>
      <w:r>
        <w:rPr/>
        <w:t>is closely</w:t>
      </w:r>
      <w:r>
        <w:rPr>
          <w:spacing w:val="-3"/>
        </w:rPr>
        <w:t> </w:t>
      </w:r>
      <w:r>
        <w:rPr/>
        <w:t>related to chloroquine, differing</w:t>
      </w:r>
      <w:r>
        <w:rPr>
          <w:spacing w:val="-3"/>
        </w:rPr>
        <w:t> </w:t>
      </w:r>
      <w:r>
        <w:rPr/>
        <w:t>only</w:t>
      </w:r>
      <w:r>
        <w:rPr>
          <w:spacing w:val="-5"/>
        </w:rPr>
        <w:t> </w:t>
      </w:r>
      <w:r>
        <w:rPr/>
        <w:t>by having a p-hydroxxyanillino aromatic ring</w:t>
      </w:r>
      <w:r>
        <w:rPr>
          <w:spacing w:val="-1"/>
        </w:rPr>
        <w:t> </w:t>
      </w:r>
      <w:r>
        <w:rPr/>
        <w:t>in its side chain (Fig. 2.4). Amodiaquine is a more active inhibitor of the growth of </w:t>
      </w:r>
      <w:r>
        <w:rPr>
          <w:i/>
        </w:rPr>
        <w:t>P. falciparum in vitro </w:t>
      </w:r>
      <w:r>
        <w:rPr/>
        <w:t>than chloroquine (Ekweozor </w:t>
      </w:r>
      <w:r>
        <w:rPr>
          <w:i/>
        </w:rPr>
        <w:t>et al</w:t>
      </w:r>
      <w:r>
        <w:rPr/>
        <w:t>., 1987), which has a significantly reduced activity.</w:t>
      </w:r>
    </w:p>
    <w:p>
      <w:pPr>
        <w:spacing w:after="0" w:line="480" w:lineRule="auto"/>
        <w:jc w:val="both"/>
        <w:sectPr>
          <w:pgSz w:w="11910" w:h="16840"/>
          <w:pgMar w:header="0" w:footer="1254" w:top="1340" w:bottom="1440" w:left="1180" w:right="580"/>
        </w:sectPr>
      </w:pPr>
    </w:p>
    <w:p>
      <w:pPr>
        <w:pStyle w:val="BodyText"/>
        <w:ind w:left="345"/>
        <w:rPr>
          <w:sz w:val="20"/>
        </w:rPr>
      </w:pPr>
      <w:r>
        <w:rPr>
          <w:sz w:val="20"/>
        </w:rPr>
        <w:drawing>
          <wp:inline distT="0" distB="0" distL="0" distR="0">
            <wp:extent cx="2818307" cy="973835"/>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2" cstate="print"/>
                    <a:stretch>
                      <a:fillRect/>
                    </a:stretch>
                  </pic:blipFill>
                  <pic:spPr>
                    <a:xfrm>
                      <a:off x="0" y="0"/>
                      <a:ext cx="2818307" cy="973835"/>
                    </a:xfrm>
                    <a:prstGeom prst="rect">
                      <a:avLst/>
                    </a:prstGeom>
                  </pic:spPr>
                </pic:pic>
              </a:graphicData>
            </a:graphic>
          </wp:inline>
        </w:drawing>
      </w:r>
      <w:r>
        <w:rPr>
          <w:sz w:val="20"/>
        </w:rPr>
      </w:r>
    </w:p>
    <w:p>
      <w:pPr>
        <w:pStyle w:val="BodyText"/>
        <w:spacing w:before="54"/>
      </w:pPr>
    </w:p>
    <w:p>
      <w:pPr>
        <w:pStyle w:val="Heading2"/>
        <w:jc w:val="left"/>
      </w:pPr>
      <w:r>
        <w:rPr/>
        <w:t>Fig.</w:t>
      </w:r>
      <w:r>
        <w:rPr>
          <w:spacing w:val="-1"/>
        </w:rPr>
        <w:t> </w:t>
      </w:r>
      <w:r>
        <w:rPr/>
        <w:t>2.4:</w:t>
      </w:r>
      <w:r>
        <w:rPr>
          <w:spacing w:val="-2"/>
        </w:rPr>
        <w:t> </w:t>
      </w:r>
      <w:r>
        <w:rPr/>
        <w:t>Chemical</w:t>
      </w:r>
      <w:r>
        <w:rPr>
          <w:spacing w:val="-1"/>
        </w:rPr>
        <w:t> </w:t>
      </w:r>
      <w:r>
        <w:rPr/>
        <w:t>structure</w:t>
      </w:r>
      <w:r>
        <w:rPr>
          <w:spacing w:val="-3"/>
        </w:rPr>
        <w:t> </w:t>
      </w:r>
      <w:r>
        <w:rPr/>
        <w:t>of</w:t>
      </w:r>
      <w:r>
        <w:rPr>
          <w:spacing w:val="1"/>
        </w:rPr>
        <w:t> </w:t>
      </w:r>
      <w:r>
        <w:rPr>
          <w:spacing w:val="-2"/>
        </w:rPr>
        <w:t>Amodiaquine</w:t>
      </w:r>
    </w:p>
    <w:p>
      <w:pPr>
        <w:spacing w:after="0"/>
        <w:jc w:val="left"/>
        <w:sectPr>
          <w:pgSz w:w="11910" w:h="16840"/>
          <w:pgMar w:header="0" w:footer="1254" w:top="1880" w:bottom="1440" w:left="1180" w:right="580"/>
        </w:sectPr>
      </w:pPr>
    </w:p>
    <w:p>
      <w:pPr>
        <w:pStyle w:val="BodyText"/>
        <w:spacing w:line="480" w:lineRule="auto" w:before="74"/>
        <w:ind w:left="260" w:right="854"/>
        <w:jc w:val="both"/>
      </w:pPr>
      <w:r>
        <w:rPr>
          <w:b/>
        </w:rPr>
        <w:t>Mode of action: </w:t>
      </w:r>
      <w:r>
        <w:rPr/>
        <w:t>The mechanism of Amodiaquine action is similar to that of Chloroquine (WHO, 2006). Amodiaquine competitively inhibits CQ accumulation and vice versa, suggesting that these compounds share similar mechanism of accumulation (Fitch, 1973).</w:t>
      </w:r>
    </w:p>
    <w:p>
      <w:pPr>
        <w:pStyle w:val="BodyText"/>
      </w:pPr>
    </w:p>
    <w:p>
      <w:pPr>
        <w:pStyle w:val="BodyText"/>
      </w:pPr>
    </w:p>
    <w:p>
      <w:pPr>
        <w:pStyle w:val="BodyText"/>
        <w:spacing w:line="480" w:lineRule="auto"/>
        <w:ind w:left="260" w:right="854"/>
        <w:jc w:val="both"/>
      </w:pPr>
      <w:r>
        <w:rPr>
          <w:b/>
        </w:rPr>
        <w:t>Therapeutic uses of Amodiaquine: </w:t>
      </w:r>
      <w:r>
        <w:rPr/>
        <w:t>Amodiaquine is effective against some chloroquine resistant strains of P. falciparum, although there have been reports of cross resistance among malaria parasites (WHO, 2010b). To prevent the emergence and the spread of drug resistant parasites WHO recommends that amodiaquine be given with artemisin derivative, such as artesunate, for the treatment of falciparum malaria, amodiaquine is not recommended for the prophylaxis of malaria because of resistance and the risk of major toxicity. Amodiaquine is given by mouth as the hydrochloride, butt doses are expressed in terms of amodiaquine base. For the treatment of </w:t>
      </w:r>
      <w:r>
        <w:rPr>
          <w:i/>
        </w:rPr>
        <w:t>P. falciparum </w:t>
      </w:r>
      <w:r>
        <w:rPr/>
        <w:t>malaria and uncomplicated chloroquine-resistant </w:t>
      </w:r>
      <w:r>
        <w:rPr>
          <w:i/>
        </w:rPr>
        <w:t>P. vivax </w:t>
      </w:r>
      <w:r>
        <w:rPr/>
        <w:t>malaria a total dose of 30mg/kg is given over 3 days (10 mg/kg daily for three days) (Olliaro and Mussano, 2003).</w:t>
      </w:r>
    </w:p>
    <w:p>
      <w:pPr>
        <w:pStyle w:val="BodyText"/>
      </w:pPr>
    </w:p>
    <w:p>
      <w:pPr>
        <w:pStyle w:val="BodyText"/>
        <w:spacing w:before="1"/>
      </w:pPr>
    </w:p>
    <w:p>
      <w:pPr>
        <w:pStyle w:val="ListParagraph"/>
        <w:numPr>
          <w:ilvl w:val="3"/>
          <w:numId w:val="10"/>
        </w:numPr>
        <w:tabs>
          <w:tab w:pos="1015" w:val="left" w:leader="none"/>
        </w:tabs>
        <w:spacing w:line="480" w:lineRule="auto" w:before="0" w:after="0"/>
        <w:ind w:left="260" w:right="856" w:firstLine="0"/>
        <w:jc w:val="both"/>
        <w:rPr>
          <w:sz w:val="24"/>
        </w:rPr>
      </w:pPr>
      <w:r>
        <w:rPr>
          <w:b/>
          <w:i/>
          <w:sz w:val="24"/>
        </w:rPr>
        <w:t>Artemisinin and its derivatives</w:t>
      </w:r>
      <w:r>
        <w:rPr>
          <w:b/>
          <w:sz w:val="24"/>
        </w:rPr>
        <w:t>. </w:t>
      </w:r>
      <w:r>
        <w:rPr>
          <w:sz w:val="24"/>
        </w:rPr>
        <w:t>Artemisinin, a sesquiterpene lactone endoperoxide derived from the weed </w:t>
      </w:r>
      <w:r>
        <w:rPr>
          <w:i/>
          <w:sz w:val="24"/>
        </w:rPr>
        <w:t>qinghao </w:t>
      </w:r>
      <w:r>
        <w:rPr>
          <w:sz w:val="24"/>
        </w:rPr>
        <w:t>(Artemisia annua), also called sweet wormwood or annual wormwood, was used by Chinese herbal medicine practicioners for more than 2000 years, initially</w:t>
      </w:r>
      <w:r>
        <w:rPr>
          <w:spacing w:val="-10"/>
          <w:sz w:val="24"/>
        </w:rPr>
        <w:t> </w:t>
      </w:r>
      <w:r>
        <w:rPr>
          <w:sz w:val="24"/>
        </w:rPr>
        <w:t>to</w:t>
      </w:r>
      <w:r>
        <w:rPr>
          <w:spacing w:val="-2"/>
          <w:sz w:val="24"/>
        </w:rPr>
        <w:t> </w:t>
      </w:r>
      <w:r>
        <w:rPr>
          <w:sz w:val="24"/>
        </w:rPr>
        <w:t>treat</w:t>
      </w:r>
      <w:r>
        <w:rPr>
          <w:spacing w:val="-2"/>
          <w:sz w:val="24"/>
        </w:rPr>
        <w:t> </w:t>
      </w:r>
      <w:r>
        <w:rPr>
          <w:sz w:val="24"/>
        </w:rPr>
        <w:t>haemorrhoids</w:t>
      </w:r>
      <w:r>
        <w:rPr>
          <w:spacing w:val="-2"/>
          <w:sz w:val="24"/>
        </w:rPr>
        <w:t> </w:t>
      </w:r>
      <w:r>
        <w:rPr>
          <w:sz w:val="24"/>
        </w:rPr>
        <w:t>(Klayman,</w:t>
      </w:r>
      <w:r>
        <w:rPr>
          <w:spacing w:val="-2"/>
          <w:sz w:val="24"/>
        </w:rPr>
        <w:t> </w:t>
      </w:r>
      <w:r>
        <w:rPr>
          <w:sz w:val="24"/>
        </w:rPr>
        <w:t>1985). As</w:t>
      </w:r>
      <w:r>
        <w:rPr>
          <w:spacing w:val="-2"/>
          <w:sz w:val="24"/>
        </w:rPr>
        <w:t> </w:t>
      </w:r>
      <w:r>
        <w:rPr>
          <w:sz w:val="24"/>
        </w:rPr>
        <w:t>early</w:t>
      </w:r>
      <w:r>
        <w:rPr>
          <w:spacing w:val="-5"/>
          <w:sz w:val="24"/>
        </w:rPr>
        <w:t> </w:t>
      </w:r>
      <w:r>
        <w:rPr>
          <w:sz w:val="24"/>
        </w:rPr>
        <w:t>as</w:t>
      </w:r>
      <w:r>
        <w:rPr>
          <w:spacing w:val="-2"/>
          <w:sz w:val="24"/>
        </w:rPr>
        <w:t> </w:t>
      </w:r>
      <w:r>
        <w:rPr>
          <w:sz w:val="24"/>
        </w:rPr>
        <w:t>340</w:t>
      </w:r>
      <w:r>
        <w:rPr>
          <w:spacing w:val="-2"/>
          <w:sz w:val="24"/>
        </w:rPr>
        <w:t> </w:t>
      </w:r>
      <w:r>
        <w:rPr>
          <w:sz w:val="24"/>
        </w:rPr>
        <w:t>A.D,</w:t>
      </w:r>
      <w:r>
        <w:rPr>
          <w:spacing w:val="-2"/>
          <w:sz w:val="24"/>
        </w:rPr>
        <w:t> </w:t>
      </w:r>
      <w:r>
        <w:rPr>
          <w:sz w:val="24"/>
        </w:rPr>
        <w:t>Ge</w:t>
      </w:r>
      <w:r>
        <w:rPr>
          <w:spacing w:val="-1"/>
          <w:sz w:val="24"/>
        </w:rPr>
        <w:t> </w:t>
      </w:r>
      <w:r>
        <w:rPr>
          <w:sz w:val="24"/>
        </w:rPr>
        <w:t>Hong</w:t>
      </w:r>
      <w:r>
        <w:rPr>
          <w:spacing w:val="-5"/>
          <w:sz w:val="24"/>
        </w:rPr>
        <w:t> </w:t>
      </w:r>
      <w:r>
        <w:rPr>
          <w:sz w:val="24"/>
        </w:rPr>
        <w:t>prescribed</w:t>
      </w:r>
      <w:r>
        <w:rPr>
          <w:spacing w:val="-2"/>
          <w:sz w:val="24"/>
        </w:rPr>
        <w:t> </w:t>
      </w:r>
      <w:r>
        <w:rPr>
          <w:sz w:val="24"/>
        </w:rPr>
        <w:t>tea made from </w:t>
      </w:r>
      <w:r>
        <w:rPr>
          <w:i/>
          <w:sz w:val="24"/>
        </w:rPr>
        <w:t>qinghao </w:t>
      </w:r>
      <w:r>
        <w:rPr>
          <w:sz w:val="24"/>
        </w:rPr>
        <w:t>as a remedy for fevers and in 1956, Li Shizhen, a famous herbalists recommended it to relieve the symptoms of malaria and specified that the extract be prepared in cold water</w:t>
      </w:r>
      <w:r>
        <w:rPr>
          <w:spacing w:val="-2"/>
          <w:sz w:val="24"/>
        </w:rPr>
        <w:t> </w:t>
      </w:r>
      <w:r>
        <w:rPr>
          <w:sz w:val="24"/>
        </w:rPr>
        <w:t>(Klayman, 1985). By</w:t>
      </w:r>
      <w:r>
        <w:rPr>
          <w:spacing w:val="-5"/>
          <w:sz w:val="24"/>
        </w:rPr>
        <w:t> </w:t>
      </w:r>
      <w:r>
        <w:rPr>
          <w:sz w:val="24"/>
        </w:rPr>
        <w:t>1972, Chinese scientists had extracted</w:t>
      </w:r>
      <w:r>
        <w:rPr>
          <w:spacing w:val="-1"/>
          <w:sz w:val="24"/>
        </w:rPr>
        <w:t> </w:t>
      </w:r>
      <w:r>
        <w:rPr>
          <w:sz w:val="24"/>
        </w:rPr>
        <w:t>and crystallized the major antimalarial ingredient now known as artemisinin,</w:t>
      </w:r>
    </w:p>
    <w:p>
      <w:pPr>
        <w:spacing w:after="0" w:line="480" w:lineRule="auto"/>
        <w:jc w:val="both"/>
        <w:rPr>
          <w:sz w:val="24"/>
        </w:rPr>
        <w:sectPr>
          <w:pgSz w:w="11910" w:h="16840"/>
          <w:pgMar w:header="0" w:footer="1254" w:top="1340" w:bottom="1440" w:left="1180" w:right="580"/>
        </w:sectPr>
      </w:pPr>
    </w:p>
    <w:p>
      <w:pPr>
        <w:pStyle w:val="BodyText"/>
        <w:spacing w:line="480" w:lineRule="auto" w:before="74"/>
        <w:ind w:left="260" w:right="858"/>
        <w:jc w:val="both"/>
      </w:pPr>
      <w:r>
        <w:rPr>
          <w:b/>
        </w:rPr>
        <w:t>Structures of Artemisinin and its derivatives: </w:t>
      </w:r>
      <w:r>
        <w:rPr/>
        <w:t>Three semisynthetic derivatives with improved potency and bioavailability have since largely replaced the use of artemisinin (Fig. 2.5). These include dihydroartemisinin, a reduced product; artemether, an oil-solube methyl ether; and artesunate, the water solube hemisuccinate ester of dihydroartemisinin (WHO, </w:t>
      </w:r>
      <w:r>
        <w:rPr>
          <w:spacing w:val="-2"/>
        </w:rPr>
        <w:t>2006).</w:t>
      </w:r>
    </w:p>
    <w:p>
      <w:pPr>
        <w:spacing w:after="0" w:line="480" w:lineRule="auto"/>
        <w:jc w:val="both"/>
        <w:sectPr>
          <w:pgSz w:w="11910" w:h="16840"/>
          <w:pgMar w:header="0" w:footer="1254" w:top="1340" w:bottom="1440" w:left="1180" w:right="580"/>
        </w:sectPr>
      </w:pPr>
    </w:p>
    <w:p>
      <w:pPr>
        <w:spacing w:line="240" w:lineRule="auto"/>
        <w:ind w:left="299" w:right="0" w:firstLine="0"/>
        <w:jc w:val="left"/>
        <w:rPr>
          <w:sz w:val="20"/>
        </w:rPr>
      </w:pPr>
      <w:r>
        <w:rPr>
          <w:sz w:val="20"/>
        </w:rPr>
        <w:drawing>
          <wp:inline distT="0" distB="0" distL="0" distR="0">
            <wp:extent cx="1773487" cy="1624202"/>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1773487" cy="1624202"/>
                    </a:xfrm>
                    <a:prstGeom prst="rect">
                      <a:avLst/>
                    </a:prstGeom>
                  </pic:spPr>
                </pic:pic>
              </a:graphicData>
            </a:graphic>
          </wp:inline>
        </w:drawing>
      </w:r>
      <w:r>
        <w:rPr>
          <w:sz w:val="20"/>
        </w:rPr>
      </w:r>
      <w:r>
        <w:rPr>
          <w:spacing w:val="86"/>
          <w:sz w:val="20"/>
        </w:rPr>
        <w:t> </w:t>
      </w:r>
      <w:r>
        <w:rPr>
          <w:spacing w:val="86"/>
          <w:position w:val="8"/>
          <w:sz w:val="20"/>
        </w:rPr>
        <w:drawing>
          <wp:inline distT="0" distB="0" distL="0" distR="0">
            <wp:extent cx="1238456" cy="146113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238456" cy="1461134"/>
                    </a:xfrm>
                    <a:prstGeom prst="rect">
                      <a:avLst/>
                    </a:prstGeom>
                  </pic:spPr>
                </pic:pic>
              </a:graphicData>
            </a:graphic>
          </wp:inline>
        </w:drawing>
      </w:r>
      <w:r>
        <w:rPr>
          <w:spacing w:val="86"/>
          <w:position w:val="8"/>
          <w:sz w:val="20"/>
        </w:rPr>
      </w:r>
    </w:p>
    <w:p>
      <w:pPr>
        <w:pStyle w:val="BodyText"/>
        <w:tabs>
          <w:tab w:pos="4580" w:val="left" w:leader="none"/>
        </w:tabs>
        <w:spacing w:before="171"/>
        <w:ind w:left="260"/>
      </w:pPr>
      <w:r>
        <w:rPr>
          <w:spacing w:val="-2"/>
        </w:rPr>
        <w:t>Artemisinin</w:t>
      </w:r>
      <w:r>
        <w:rPr/>
        <w:tab/>
      </w:r>
      <w:r>
        <w:rPr>
          <w:spacing w:val="-2"/>
        </w:rPr>
        <w:t>Artemether</w:t>
      </w:r>
    </w:p>
    <w:p>
      <w:pPr>
        <w:pStyle w:val="BodyText"/>
        <w:rPr>
          <w:sz w:val="20"/>
        </w:rPr>
      </w:pPr>
    </w:p>
    <w:p>
      <w:pPr>
        <w:pStyle w:val="BodyText"/>
        <w:spacing w:before="94"/>
        <w:rPr>
          <w:sz w:val="20"/>
        </w:rPr>
      </w:pPr>
      <w:r>
        <w:rPr/>
        <w:drawing>
          <wp:anchor distT="0" distB="0" distL="0" distR="0" allowOverlap="1" layoutInCell="1" locked="0" behindDoc="1" simplePos="0" relativeHeight="487593472">
            <wp:simplePos x="0" y="0"/>
            <wp:positionH relativeFrom="page">
              <wp:posOffset>934852</wp:posOffset>
            </wp:positionH>
            <wp:positionV relativeFrom="paragraph">
              <wp:posOffset>221580</wp:posOffset>
            </wp:positionV>
            <wp:extent cx="1486129" cy="1673352"/>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5" cstate="print"/>
                    <a:stretch>
                      <a:fillRect/>
                    </a:stretch>
                  </pic:blipFill>
                  <pic:spPr>
                    <a:xfrm>
                      <a:off x="0" y="0"/>
                      <a:ext cx="1486129" cy="1673352"/>
                    </a:xfrm>
                    <a:prstGeom prst="rect">
                      <a:avLst/>
                    </a:prstGeom>
                  </pic:spPr>
                </pic:pic>
              </a:graphicData>
            </a:graphic>
          </wp:anchor>
        </w:drawing>
      </w:r>
      <w:r>
        <w:rPr/>
        <w:drawing>
          <wp:anchor distT="0" distB="0" distL="0" distR="0" allowOverlap="1" layoutInCell="1" locked="0" behindDoc="1" simplePos="0" relativeHeight="487593984">
            <wp:simplePos x="0" y="0"/>
            <wp:positionH relativeFrom="page">
              <wp:posOffset>2463871</wp:posOffset>
            </wp:positionH>
            <wp:positionV relativeFrom="paragraph">
              <wp:posOffset>266882</wp:posOffset>
            </wp:positionV>
            <wp:extent cx="1794924" cy="1601628"/>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16" cstate="print"/>
                    <a:stretch>
                      <a:fillRect/>
                    </a:stretch>
                  </pic:blipFill>
                  <pic:spPr>
                    <a:xfrm>
                      <a:off x="0" y="0"/>
                      <a:ext cx="1794924" cy="1601628"/>
                    </a:xfrm>
                    <a:prstGeom prst="rect">
                      <a:avLst/>
                    </a:prstGeom>
                  </pic:spPr>
                </pic:pic>
              </a:graphicData>
            </a:graphic>
          </wp:anchor>
        </w:drawing>
      </w:r>
    </w:p>
    <w:p>
      <w:pPr>
        <w:pStyle w:val="BodyText"/>
        <w:tabs>
          <w:tab w:pos="6021" w:val="left" w:leader="none"/>
        </w:tabs>
        <w:spacing w:before="120"/>
        <w:ind w:left="260"/>
      </w:pPr>
      <w:r>
        <w:rPr>
          <w:spacing w:val="-2"/>
        </w:rPr>
        <w:t>Dihydroartemisinin</w:t>
      </w:r>
      <w:r>
        <w:rPr/>
        <w:tab/>
      </w:r>
      <w:r>
        <w:rPr>
          <w:spacing w:val="-2"/>
        </w:rPr>
        <w:t>Artesunate</w:t>
      </w:r>
    </w:p>
    <w:p>
      <w:pPr>
        <w:pStyle w:val="Heading2"/>
        <w:spacing w:before="141"/>
        <w:jc w:val="left"/>
      </w:pPr>
      <w:r>
        <w:rPr/>
        <w:t>Fig.</w:t>
      </w:r>
      <w:r>
        <w:rPr>
          <w:spacing w:val="-2"/>
        </w:rPr>
        <w:t> </w:t>
      </w:r>
      <w:r>
        <w:rPr/>
        <w:t>2.5:</w:t>
      </w:r>
      <w:r>
        <w:rPr>
          <w:spacing w:val="-1"/>
        </w:rPr>
        <w:t> </w:t>
      </w:r>
      <w:r>
        <w:rPr/>
        <w:t>Chemical</w:t>
      </w:r>
      <w:r>
        <w:rPr>
          <w:spacing w:val="-1"/>
        </w:rPr>
        <w:t> </w:t>
      </w:r>
      <w:r>
        <w:rPr/>
        <w:t>Structure</w:t>
      </w:r>
      <w:r>
        <w:rPr>
          <w:spacing w:val="-4"/>
        </w:rPr>
        <w:t> </w:t>
      </w:r>
      <w:r>
        <w:rPr/>
        <w:t>of artemisinin and</w:t>
      </w:r>
      <w:r>
        <w:rPr>
          <w:spacing w:val="-2"/>
        </w:rPr>
        <w:t> </w:t>
      </w:r>
      <w:r>
        <w:rPr/>
        <w:t>its</w:t>
      </w:r>
      <w:r>
        <w:rPr>
          <w:spacing w:val="-1"/>
        </w:rPr>
        <w:t> </w:t>
      </w:r>
      <w:r>
        <w:rPr/>
        <w:t>derivatives</w:t>
      </w:r>
      <w:r>
        <w:rPr>
          <w:spacing w:val="3"/>
        </w:rPr>
        <w:t> </w:t>
      </w:r>
      <w:r>
        <w:rPr/>
        <w:t>(Agtmael</w:t>
      </w:r>
      <w:r>
        <w:rPr>
          <w:spacing w:val="-1"/>
        </w:rPr>
        <w:t> </w:t>
      </w:r>
      <w:r>
        <w:rPr>
          <w:i/>
        </w:rPr>
        <w:t>et</w:t>
      </w:r>
      <w:r>
        <w:rPr>
          <w:i/>
          <w:spacing w:val="-1"/>
        </w:rPr>
        <w:t> </w:t>
      </w:r>
      <w:r>
        <w:rPr>
          <w:i/>
        </w:rPr>
        <w:t>al</w:t>
      </w:r>
      <w:r>
        <w:rPr/>
        <w:t>.,</w:t>
      </w:r>
      <w:r>
        <w:rPr>
          <w:spacing w:val="-1"/>
        </w:rPr>
        <w:t> </w:t>
      </w:r>
      <w:r>
        <w:rPr>
          <w:spacing w:val="-2"/>
        </w:rPr>
        <w:t>1999)</w:t>
      </w:r>
    </w:p>
    <w:p>
      <w:pPr>
        <w:spacing w:after="0"/>
        <w:jc w:val="left"/>
        <w:sectPr>
          <w:pgSz w:w="11910" w:h="16840"/>
          <w:pgMar w:header="0" w:footer="1254" w:top="1880" w:bottom="1440" w:left="1180" w:right="580"/>
        </w:sectPr>
      </w:pPr>
    </w:p>
    <w:p>
      <w:pPr>
        <w:pStyle w:val="BodyText"/>
        <w:spacing w:line="360" w:lineRule="auto" w:before="76"/>
        <w:ind w:left="260" w:right="854"/>
        <w:jc w:val="both"/>
      </w:pPr>
      <w:r>
        <w:rPr>
          <w:b/>
        </w:rPr>
        <w:t>Mode of action: </w:t>
      </w:r>
      <w:r>
        <w:rPr/>
        <w:t>Artemisinin is a sesquiterpene lactone that contains a labile peroxide bridge (David, 2001). The mechanism of artemisini action involves two steps (Meshnick, 2001). First, heme iron within the parasite catalyzes cleavage of the endoperoxide bridge. This is followed by rearrangement to produce a carbon-centered radical that alkylates and damages macromolecules in the parasite, likely including the ortholog of sarco/endoplasmic reticulum Ca</w:t>
      </w:r>
      <w:r>
        <w:rPr>
          <w:vertAlign w:val="superscript"/>
        </w:rPr>
        <w:t>2+</w:t>
      </w:r>
      <w:r>
        <w:rPr>
          <w:vertAlign w:val="baseline"/>
        </w:rPr>
        <w:t>-ATPase (Eekstein-Ludwig </w:t>
      </w:r>
      <w:r>
        <w:rPr>
          <w:i/>
          <w:vertAlign w:val="baseline"/>
        </w:rPr>
        <w:t>et al</w:t>
      </w:r>
      <w:r>
        <w:rPr>
          <w:vertAlign w:val="baseline"/>
        </w:rPr>
        <w:t>., 2003). Artemisinin and its derivatives exhibit antiparasitic activity </w:t>
      </w:r>
      <w:r>
        <w:rPr>
          <w:i/>
          <w:vertAlign w:val="baseline"/>
        </w:rPr>
        <w:t>in vitro </w:t>
      </w:r>
      <w:r>
        <w:rPr>
          <w:vertAlign w:val="baseline"/>
        </w:rPr>
        <w:t>against other protozoa, including </w:t>
      </w:r>
      <w:r>
        <w:rPr>
          <w:i/>
          <w:vertAlign w:val="baseline"/>
        </w:rPr>
        <w:t>Leishmania </w:t>
      </w:r>
      <w:r>
        <w:rPr>
          <w:vertAlign w:val="baseline"/>
        </w:rPr>
        <w:t>major and </w:t>
      </w:r>
      <w:r>
        <w:rPr>
          <w:i/>
          <w:vertAlign w:val="baseline"/>
        </w:rPr>
        <w:t>Toxoplasma gondii</w:t>
      </w:r>
      <w:r>
        <w:rPr>
          <w:vertAlign w:val="baseline"/>
        </w:rPr>
        <w:t>, and have been used alone or in combination in patients with schistosomiasis (Utzinger </w:t>
      </w:r>
      <w:r>
        <w:rPr>
          <w:i/>
          <w:vertAlign w:val="baseline"/>
        </w:rPr>
        <w:t>et al</w:t>
      </w:r>
      <w:r>
        <w:rPr>
          <w:vertAlign w:val="baseline"/>
        </w:rPr>
        <w:t>., 2003). Artemisinin has been largely replaced by the more potent dihydroartemisinin and its derivatives i.e. artemether, artemotil and artesunate (WHO, </w:t>
      </w:r>
      <w:r>
        <w:rPr>
          <w:spacing w:val="-2"/>
          <w:vertAlign w:val="baseline"/>
        </w:rPr>
        <w:t>2010b).</w:t>
      </w:r>
    </w:p>
    <w:p>
      <w:pPr>
        <w:pStyle w:val="BodyText"/>
        <w:spacing w:before="273"/>
      </w:pPr>
    </w:p>
    <w:p>
      <w:pPr>
        <w:pStyle w:val="BodyText"/>
        <w:spacing w:line="480" w:lineRule="auto"/>
        <w:ind w:left="260" w:right="858"/>
        <w:jc w:val="both"/>
      </w:pPr>
      <w:r>
        <w:rPr>
          <w:b/>
        </w:rPr>
        <w:t>Therapeutic uses of artemisinin and its derivatives: </w:t>
      </w:r>
      <w:r>
        <w:rPr/>
        <w:t>The artemisinins generally are not used alone because of their low efficacy and to prevent the selection of resistant parasites. Nevertheless, artesunate has proven exceedingly useful when combined with other antimalarials for the first-line of treatment of malaria, in a series of trials in Africa, South America and Asia (Adjuik </w:t>
      </w:r>
      <w:r>
        <w:rPr>
          <w:i/>
        </w:rPr>
        <w:t>et al</w:t>
      </w:r>
      <w:r>
        <w:rPr/>
        <w:t>., 2004).</w:t>
      </w:r>
    </w:p>
    <w:p>
      <w:pPr>
        <w:pStyle w:val="BodyText"/>
      </w:pPr>
    </w:p>
    <w:p>
      <w:pPr>
        <w:pStyle w:val="BodyText"/>
        <w:spacing w:before="6"/>
      </w:pPr>
    </w:p>
    <w:p>
      <w:pPr>
        <w:pStyle w:val="Heading2"/>
        <w:numPr>
          <w:ilvl w:val="1"/>
          <w:numId w:val="10"/>
        </w:numPr>
        <w:tabs>
          <w:tab w:pos="680" w:val="left" w:leader="none"/>
        </w:tabs>
        <w:spacing w:line="240" w:lineRule="auto" w:before="0" w:after="0"/>
        <w:ind w:left="680" w:right="0" w:hanging="420"/>
        <w:jc w:val="both"/>
      </w:pPr>
      <w:bookmarkStart w:name="_TOC_250025" w:id="23"/>
      <w:r>
        <w:rPr/>
        <w:t>Types</w:t>
      </w:r>
      <w:r>
        <w:rPr>
          <w:spacing w:val="-2"/>
        </w:rPr>
        <w:t> </w:t>
      </w:r>
      <w:r>
        <w:rPr/>
        <w:t>of Antimalarial</w:t>
      </w:r>
      <w:r>
        <w:rPr>
          <w:spacing w:val="-2"/>
        </w:rPr>
        <w:t> </w:t>
      </w:r>
      <w:r>
        <w:rPr/>
        <w:t>Drug</w:t>
      </w:r>
      <w:r>
        <w:rPr>
          <w:spacing w:val="-1"/>
        </w:rPr>
        <w:t> </w:t>
      </w:r>
      <w:r>
        <w:rPr/>
        <w:t>Resistance</w:t>
      </w:r>
      <w:r>
        <w:rPr>
          <w:spacing w:val="-3"/>
        </w:rPr>
        <w:t> </w:t>
      </w:r>
      <w:bookmarkEnd w:id="23"/>
      <w:r>
        <w:rPr>
          <w:spacing w:val="-2"/>
        </w:rPr>
        <w:t>Mechanisms</w:t>
      </w:r>
    </w:p>
    <w:p>
      <w:pPr>
        <w:pStyle w:val="BodyText"/>
        <w:spacing w:line="480" w:lineRule="auto" w:before="271"/>
        <w:ind w:left="260" w:right="854"/>
        <w:jc w:val="both"/>
      </w:pPr>
      <w:r>
        <w:rPr/>
        <w:t>Antimalarial drug resistance has emerged as one of the greatest challenges facing malaria treatment (Lawrence, 2010). Resistance started with chloroquine, followed by resistance to sulfadoxine-pyrimethamine and mefloquine. Recently, the first evidence of artemisinin resistance has been found in Cambodia (Lawrence, 2010). A better understanding of the mechanism of antimalarial resistance will provide the tools to prevent and control the spread of resistance.</w:t>
      </w:r>
    </w:p>
    <w:p>
      <w:pPr>
        <w:spacing w:after="0" w:line="480" w:lineRule="auto"/>
        <w:jc w:val="both"/>
        <w:sectPr>
          <w:pgSz w:w="11910" w:h="16840"/>
          <w:pgMar w:header="0" w:footer="1254" w:top="1340" w:bottom="1440" w:left="1180" w:right="580"/>
        </w:sectPr>
      </w:pPr>
    </w:p>
    <w:p>
      <w:pPr>
        <w:pStyle w:val="Heading2"/>
        <w:numPr>
          <w:ilvl w:val="2"/>
          <w:numId w:val="10"/>
        </w:numPr>
        <w:tabs>
          <w:tab w:pos="800" w:val="left" w:leader="none"/>
        </w:tabs>
        <w:spacing w:line="240" w:lineRule="auto" w:before="78" w:after="0"/>
        <w:ind w:left="800" w:right="0" w:hanging="540"/>
        <w:jc w:val="both"/>
      </w:pPr>
      <w:r>
        <w:rPr/>
        <w:t>Mechanism</w:t>
      </w:r>
      <w:r>
        <w:rPr>
          <w:spacing w:val="-4"/>
        </w:rPr>
        <w:t> </w:t>
      </w:r>
      <w:r>
        <w:rPr/>
        <w:t>of</w:t>
      </w:r>
      <w:r>
        <w:rPr>
          <w:spacing w:val="1"/>
        </w:rPr>
        <w:t> </w:t>
      </w:r>
      <w:r>
        <w:rPr/>
        <w:t>Chloroquine</w:t>
      </w:r>
      <w:r>
        <w:rPr>
          <w:spacing w:val="-1"/>
        </w:rPr>
        <w:t> </w:t>
      </w:r>
      <w:r>
        <w:rPr>
          <w:spacing w:val="-2"/>
        </w:rPr>
        <w:t>resistance</w:t>
      </w:r>
    </w:p>
    <w:p>
      <w:pPr>
        <w:pStyle w:val="BodyText"/>
        <w:spacing w:line="480" w:lineRule="auto" w:before="272"/>
        <w:ind w:left="260" w:right="855"/>
        <w:jc w:val="both"/>
      </w:pPr>
      <w:r>
        <w:rPr/>
        <w:t>Although the mechanism of resistance of Chloroquine has been extensively studied, it is not yet fully elucidated (Lawrence, 2010). It has been demonstrated (Kikkilaya, 2011) that Chloroquine acts by getting accumulated in the food vacuole where it inhibits heme polymerase</w:t>
      </w:r>
      <w:r>
        <w:rPr>
          <w:spacing w:val="-1"/>
        </w:rPr>
        <w:t> </w:t>
      </w:r>
      <w:r>
        <w:rPr/>
        <w:t>(Fig. 2.6).</w:t>
      </w:r>
      <w:r>
        <w:rPr>
          <w:spacing w:val="-1"/>
        </w:rPr>
        <w:t> </w:t>
      </w:r>
      <w:r>
        <w:rPr/>
        <w:t>The</w:t>
      </w:r>
      <w:r>
        <w:rPr>
          <w:spacing w:val="-1"/>
        </w:rPr>
        <w:t> </w:t>
      </w:r>
      <w:r>
        <w:rPr/>
        <w:t>accumulation is due</w:t>
      </w:r>
      <w:r>
        <w:rPr>
          <w:spacing w:val="-1"/>
        </w:rPr>
        <w:t> </w:t>
      </w:r>
      <w:r>
        <w:rPr/>
        <w:t>to the</w:t>
      </w:r>
      <w:r>
        <w:rPr>
          <w:spacing w:val="-1"/>
        </w:rPr>
        <w:t> </w:t>
      </w:r>
      <w:r>
        <w:rPr/>
        <w:t>fact that Chloroquine</w:t>
      </w:r>
      <w:r>
        <w:rPr>
          <w:spacing w:val="-1"/>
        </w:rPr>
        <w:t> </w:t>
      </w:r>
      <w:r>
        <w:rPr/>
        <w:t>is a</w:t>
      </w:r>
      <w:r>
        <w:rPr>
          <w:spacing w:val="-1"/>
        </w:rPr>
        <w:t> </w:t>
      </w:r>
      <w:r>
        <w:rPr/>
        <w:t>diprotic</w:t>
      </w:r>
      <w:r>
        <w:rPr>
          <w:spacing w:val="-1"/>
        </w:rPr>
        <w:t> </w:t>
      </w:r>
      <w:r>
        <w:rPr/>
        <w:t>weak base and, at physiological pH (~7.4), it can be found in its un-protonated (CQ), mono- protonated (CQ</w:t>
      </w:r>
      <w:r>
        <w:rPr>
          <w:vertAlign w:val="superscript"/>
        </w:rPr>
        <w:t>+</w:t>
      </w:r>
      <w:r>
        <w:rPr>
          <w:vertAlign w:val="baseline"/>
        </w:rPr>
        <w:t>) and di-protonated (CQ</w:t>
      </w:r>
      <w:r>
        <w:rPr>
          <w:vertAlign w:val="superscript"/>
        </w:rPr>
        <w:t>++</w:t>
      </w:r>
      <w:r>
        <w:rPr>
          <w:vertAlign w:val="baseline"/>
        </w:rPr>
        <w:t>) forms. The uncharged chloroquine is the only membrane permeable form of the molecule and it freely diffuses into the erythrocyte up to</w:t>
      </w:r>
      <w:r>
        <w:rPr>
          <w:spacing w:val="80"/>
          <w:vertAlign w:val="baseline"/>
        </w:rPr>
        <w:t> </w:t>
      </w:r>
      <w:r>
        <w:rPr>
          <w:vertAlign w:val="baseline"/>
        </w:rPr>
        <w:t>the digestive vacuole. In this compartment, chloroquine molecules become protonated and, since membranes are not permeable to charged species, the drug accumulates into the acidic digestive vacuole (Yayon </w:t>
      </w:r>
      <w:r>
        <w:rPr>
          <w:i/>
          <w:vertAlign w:val="baseline"/>
        </w:rPr>
        <w:t>et al.</w:t>
      </w:r>
      <w:r>
        <w:rPr>
          <w:vertAlign w:val="baseline"/>
        </w:rPr>
        <w:t>, 1984) where it is believed to bind haematin, a toxic by- product of the haemoglobin proteolysis (Bray </w:t>
      </w:r>
      <w:r>
        <w:rPr>
          <w:i/>
          <w:vertAlign w:val="baseline"/>
        </w:rPr>
        <w:t>et al.</w:t>
      </w:r>
      <w:r>
        <w:rPr>
          <w:vertAlign w:val="baseline"/>
        </w:rPr>
        <w:t>,1998), preventing its incorporation into the haemozoin crystal (Slater </w:t>
      </w:r>
      <w:r>
        <w:rPr>
          <w:i/>
          <w:vertAlign w:val="baseline"/>
        </w:rPr>
        <w:t>et al.</w:t>
      </w:r>
      <w:r>
        <w:rPr>
          <w:vertAlign w:val="baseline"/>
        </w:rPr>
        <w:t>, 1993). The free haematin seems to interfere with the parasite detoxification processes and thereby damage the </w:t>
      </w:r>
      <w:r>
        <w:rPr>
          <w:i/>
          <w:vertAlign w:val="baseline"/>
        </w:rPr>
        <w:t>Plasmodium </w:t>
      </w:r>
      <w:r>
        <w:rPr>
          <w:vertAlign w:val="baseline"/>
        </w:rPr>
        <w:t>membranes (Sagioka</w:t>
      </w:r>
      <w:r>
        <w:rPr>
          <w:spacing w:val="40"/>
          <w:vertAlign w:val="baseline"/>
        </w:rPr>
        <w:t> </w:t>
      </w:r>
      <w:r>
        <w:rPr>
          <w:i/>
          <w:vertAlign w:val="baseline"/>
        </w:rPr>
        <w:t>et al.</w:t>
      </w:r>
      <w:r>
        <w:rPr>
          <w:vertAlign w:val="baseline"/>
        </w:rPr>
        <w:t>, 1987).</w:t>
      </w:r>
    </w:p>
    <w:p>
      <w:pPr>
        <w:pStyle w:val="BodyText"/>
      </w:pPr>
    </w:p>
    <w:p>
      <w:pPr>
        <w:pStyle w:val="BodyText"/>
        <w:spacing w:before="1"/>
      </w:pPr>
    </w:p>
    <w:p>
      <w:pPr>
        <w:pStyle w:val="BodyText"/>
        <w:spacing w:line="480" w:lineRule="auto"/>
        <w:ind w:left="260" w:right="855" w:firstLine="60"/>
        <w:jc w:val="both"/>
      </w:pPr>
      <w:r>
        <w:rPr/>
        <w:t>Resistant strains are able to efflux the drug by an active pump mechanism and release the drug at least 40 to 50 times faster than sensitive strains, thereby rendering the drug</w:t>
      </w:r>
      <w:r>
        <w:rPr>
          <w:spacing w:val="40"/>
        </w:rPr>
        <w:t> </w:t>
      </w:r>
      <w:r>
        <w:rPr/>
        <w:t>ineffective. There is an increase in the surface area of the resistant parasites, permitting more efficient pinocytosis. Binding of chloroquine with haemoglobin breakdown product to form toxic complexes is also prevented.</w:t>
      </w:r>
      <w:r>
        <w:rPr>
          <w:spacing w:val="40"/>
        </w:rPr>
        <w:t> </w:t>
      </w:r>
      <w:r>
        <w:rPr/>
        <w:t>Chloroquine resistance has also been clearly associated with multiple mutations in genes encoding for membrane transporters located in the digestive vacuole, namely</w:t>
      </w:r>
      <w:r>
        <w:rPr>
          <w:spacing w:val="-4"/>
        </w:rPr>
        <w:t> </w:t>
      </w:r>
      <w:r>
        <w:rPr/>
        <w:t>the chloroquine resistance transporters PfCRT</w:t>
      </w:r>
      <w:r>
        <w:rPr>
          <w:spacing w:val="40"/>
        </w:rPr>
        <w:t> </w:t>
      </w:r>
      <w:r>
        <w:rPr/>
        <w:t>and the multi-drug</w:t>
      </w:r>
      <w:r>
        <w:rPr>
          <w:spacing w:val="-1"/>
        </w:rPr>
        <w:t> </w:t>
      </w:r>
      <w:r>
        <w:rPr/>
        <w:t>resistance transporter 1 PfMDRI (Lawrence, 2010).</w:t>
      </w:r>
    </w:p>
    <w:p>
      <w:pPr>
        <w:spacing w:after="0" w:line="480" w:lineRule="auto"/>
        <w:jc w:val="both"/>
        <w:sectPr>
          <w:pgSz w:w="11910" w:h="16840"/>
          <w:pgMar w:header="0" w:footer="1254" w:top="1340" w:bottom="1440" w:left="1180" w:right="580"/>
        </w:sectPr>
      </w:pPr>
    </w:p>
    <w:p>
      <w:pPr>
        <w:pStyle w:val="BodyText"/>
        <w:ind w:left="290"/>
        <w:rPr>
          <w:sz w:val="20"/>
        </w:rPr>
      </w:pPr>
      <w:r>
        <w:rPr>
          <w:sz w:val="20"/>
        </w:rPr>
        <w:drawing>
          <wp:inline distT="0" distB="0" distL="0" distR="0">
            <wp:extent cx="3810409" cy="3457575"/>
            <wp:effectExtent l="0" t="0" r="0" b="0"/>
            <wp:docPr id="26" name="Image 26" descr="food vacuole"/>
            <wp:cNvGraphicFramePr>
              <a:graphicFrameLocks/>
            </wp:cNvGraphicFramePr>
            <a:graphic>
              <a:graphicData uri="http://schemas.openxmlformats.org/drawingml/2006/picture">
                <pic:pic>
                  <pic:nvPicPr>
                    <pic:cNvPr id="26" name="Image 26" descr="food vacuole"/>
                    <pic:cNvPicPr/>
                  </pic:nvPicPr>
                  <pic:blipFill>
                    <a:blip r:embed="rId17" cstate="print"/>
                    <a:stretch>
                      <a:fillRect/>
                    </a:stretch>
                  </pic:blipFill>
                  <pic:spPr>
                    <a:xfrm>
                      <a:off x="0" y="0"/>
                      <a:ext cx="3810409" cy="3457575"/>
                    </a:xfrm>
                    <a:prstGeom prst="rect">
                      <a:avLst/>
                    </a:prstGeom>
                  </pic:spPr>
                </pic:pic>
              </a:graphicData>
            </a:graphic>
          </wp:inline>
        </w:drawing>
      </w:r>
      <w:r>
        <w:rPr>
          <w:sz w:val="20"/>
        </w:rPr>
      </w:r>
    </w:p>
    <w:p>
      <w:pPr>
        <w:pStyle w:val="Heading2"/>
        <w:spacing w:before="136"/>
        <w:jc w:val="left"/>
      </w:pPr>
      <w:r>
        <w:rPr/>
        <w:t>Fig.</w:t>
      </w:r>
      <w:r>
        <w:rPr>
          <w:spacing w:val="-4"/>
        </w:rPr>
        <w:t> </w:t>
      </w:r>
      <w:r>
        <w:rPr/>
        <w:t>2.6:</w:t>
      </w:r>
      <w:r>
        <w:rPr>
          <w:spacing w:val="-1"/>
        </w:rPr>
        <w:t> </w:t>
      </w:r>
      <w:r>
        <w:rPr/>
        <w:t>Mechanism</w:t>
      </w:r>
      <w:r>
        <w:rPr>
          <w:spacing w:val="-5"/>
        </w:rPr>
        <w:t> </w:t>
      </w:r>
      <w:r>
        <w:rPr/>
        <w:t>of Chloroquine</w:t>
      </w:r>
      <w:r>
        <w:rPr>
          <w:spacing w:val="-3"/>
        </w:rPr>
        <w:t> </w:t>
      </w:r>
      <w:r>
        <w:rPr/>
        <w:t>drug</w:t>
      </w:r>
      <w:r>
        <w:rPr>
          <w:spacing w:val="-1"/>
        </w:rPr>
        <w:t> </w:t>
      </w:r>
      <w:r>
        <w:rPr/>
        <w:t>action</w:t>
      </w:r>
      <w:r>
        <w:rPr>
          <w:spacing w:val="-2"/>
        </w:rPr>
        <w:t> </w:t>
      </w:r>
      <w:r>
        <w:rPr/>
        <w:t>(Wiser,</w:t>
      </w:r>
      <w:r>
        <w:rPr>
          <w:spacing w:val="-1"/>
        </w:rPr>
        <w:t> </w:t>
      </w:r>
      <w:r>
        <w:rPr>
          <w:spacing w:val="-2"/>
        </w:rPr>
        <w:t>2003)</w:t>
      </w:r>
    </w:p>
    <w:p>
      <w:pPr>
        <w:spacing w:after="0"/>
        <w:jc w:val="left"/>
        <w:sectPr>
          <w:pgSz w:w="11910" w:h="16840"/>
          <w:pgMar w:header="0" w:footer="1254" w:top="1840" w:bottom="1440" w:left="1180" w:right="580"/>
        </w:sectPr>
      </w:pPr>
    </w:p>
    <w:p>
      <w:pPr>
        <w:pStyle w:val="ListParagraph"/>
        <w:numPr>
          <w:ilvl w:val="2"/>
          <w:numId w:val="10"/>
        </w:numPr>
        <w:tabs>
          <w:tab w:pos="860" w:val="left" w:leader="none"/>
        </w:tabs>
        <w:spacing w:line="240" w:lineRule="auto" w:before="78" w:after="0"/>
        <w:ind w:left="860" w:right="0" w:hanging="600"/>
        <w:jc w:val="both"/>
        <w:rPr>
          <w:b/>
          <w:sz w:val="24"/>
        </w:rPr>
      </w:pPr>
      <w:r>
        <w:rPr>
          <w:b/>
          <w:sz w:val="24"/>
        </w:rPr>
        <w:t>Mechanism</w:t>
      </w:r>
      <w:r>
        <w:rPr>
          <w:b/>
          <w:spacing w:val="-4"/>
          <w:sz w:val="24"/>
        </w:rPr>
        <w:t> </w:t>
      </w:r>
      <w:r>
        <w:rPr>
          <w:b/>
          <w:sz w:val="24"/>
        </w:rPr>
        <w:t>of</w:t>
      </w:r>
      <w:r>
        <w:rPr>
          <w:b/>
          <w:spacing w:val="1"/>
          <w:sz w:val="24"/>
        </w:rPr>
        <w:t> </w:t>
      </w:r>
      <w:r>
        <w:rPr>
          <w:b/>
          <w:sz w:val="24"/>
        </w:rPr>
        <w:t>antifolate</w:t>
      </w:r>
      <w:r>
        <w:rPr>
          <w:b/>
          <w:spacing w:val="-2"/>
          <w:sz w:val="24"/>
        </w:rPr>
        <w:t> resistance</w:t>
      </w:r>
    </w:p>
    <w:p>
      <w:pPr>
        <w:pStyle w:val="BodyText"/>
        <w:spacing w:line="480" w:lineRule="auto" w:before="272"/>
        <w:ind w:left="260" w:right="856"/>
        <w:jc w:val="both"/>
      </w:pPr>
      <w:r>
        <w:rPr/>
        <w:t>Folate metabolism is the target of several antimalarials as well as drugs used against other pathogens. Reduced folates serve as co-factors in a many one-carbon transfer reactions involved</w:t>
      </w:r>
      <w:r>
        <w:rPr>
          <w:spacing w:val="-2"/>
        </w:rPr>
        <w:t> </w:t>
      </w:r>
      <w:r>
        <w:rPr/>
        <w:t>in</w:t>
      </w:r>
      <w:r>
        <w:rPr>
          <w:spacing w:val="-2"/>
        </w:rPr>
        <w:t> </w:t>
      </w:r>
      <w:r>
        <w:rPr/>
        <w:t>the</w:t>
      </w:r>
      <w:r>
        <w:rPr>
          <w:spacing w:val="-3"/>
        </w:rPr>
        <w:t> </w:t>
      </w:r>
      <w:r>
        <w:rPr/>
        <w:t>biosynthesis</w:t>
      </w:r>
      <w:r>
        <w:rPr>
          <w:spacing w:val="-2"/>
        </w:rPr>
        <w:t> </w:t>
      </w:r>
      <w:r>
        <w:rPr/>
        <w:t>of</w:t>
      </w:r>
      <w:r>
        <w:rPr>
          <w:spacing w:val="-2"/>
        </w:rPr>
        <w:t> </w:t>
      </w:r>
      <w:r>
        <w:rPr/>
        <w:t>amino</w:t>
      </w:r>
      <w:r>
        <w:rPr>
          <w:spacing w:val="-2"/>
        </w:rPr>
        <w:t> </w:t>
      </w:r>
      <w:r>
        <w:rPr/>
        <w:t>acids</w:t>
      </w:r>
      <w:r>
        <w:rPr>
          <w:spacing w:val="-2"/>
        </w:rPr>
        <w:t> </w:t>
      </w:r>
      <w:r>
        <w:rPr/>
        <w:t>and</w:t>
      </w:r>
      <w:r>
        <w:rPr>
          <w:spacing w:val="-2"/>
        </w:rPr>
        <w:t> </w:t>
      </w:r>
      <w:r>
        <w:rPr/>
        <w:t>nucleotides.</w:t>
      </w:r>
      <w:r>
        <w:rPr>
          <w:spacing w:val="-2"/>
        </w:rPr>
        <w:t> </w:t>
      </w:r>
      <w:r>
        <w:rPr/>
        <w:t>Due</w:t>
      </w:r>
      <w:r>
        <w:rPr>
          <w:spacing w:val="-4"/>
        </w:rPr>
        <w:t> </w:t>
      </w:r>
      <w:r>
        <w:rPr/>
        <w:t>to</w:t>
      </w:r>
      <w:r>
        <w:rPr>
          <w:spacing w:val="-2"/>
        </w:rPr>
        <w:t> </w:t>
      </w:r>
      <w:r>
        <w:rPr/>
        <w:t>its</w:t>
      </w:r>
      <w:r>
        <w:rPr>
          <w:spacing w:val="-2"/>
        </w:rPr>
        <w:t> </w:t>
      </w:r>
      <w:r>
        <w:rPr/>
        <w:t>high</w:t>
      </w:r>
      <w:r>
        <w:rPr>
          <w:spacing w:val="-1"/>
        </w:rPr>
        <w:t> </w:t>
      </w:r>
      <w:r>
        <w:rPr/>
        <w:t>rate</w:t>
      </w:r>
      <w:r>
        <w:rPr>
          <w:spacing w:val="-2"/>
        </w:rPr>
        <w:t> </w:t>
      </w:r>
      <w:r>
        <w:rPr/>
        <w:t>of</w:t>
      </w:r>
      <w:r>
        <w:rPr>
          <w:spacing w:val="-2"/>
        </w:rPr>
        <w:t> </w:t>
      </w:r>
      <w:r>
        <w:rPr/>
        <w:t>replication the malaria parasite has a high demand for nucleotides as precursors for DNA synthesis, and thus is particularly sensitive to antifolates (Fig. 2.7). The two primary targets of antifolate metabolism are the de novo biosynthesis of folates and dihydrofolatereductase (DHFR) as denoted with the boxed arrows in the diagram. Folate is synthesized from 3 basic building blocks, GTP, p-aminobenzoic acid (pABA), and glutamate, in a pathway involving 5 enzymes. One of these enzymes, dihydropteroate synthase (DHPS), is inhibited by sulpha- based drugs. Sulfadoxine and dapsone are two common antimalarials that inhibit DHPS.DHFR is an enzyme that reduces dihydrofolate to tetrahydrofolate. Inhibiting DHFR will lead to an arrest in DNA synthesis and subsequent parasite death. Pyrimethamine and proguanil are the two most common DHFR inhibitors used as antimalarials. Most often inhibitors of DHPS and DHFR are used in combination.</w:t>
      </w:r>
      <w:r>
        <w:rPr>
          <w:spacing w:val="40"/>
        </w:rPr>
        <w:t> </w:t>
      </w:r>
      <w:r>
        <w:rPr/>
        <w:t>Fancidar, which is a combination of sulfadoxine and pyrimethamine, is widely used for the treatment of uncomplicated</w:t>
      </w:r>
      <w:r>
        <w:rPr>
          <w:spacing w:val="40"/>
        </w:rPr>
        <w:t> </w:t>
      </w:r>
      <w:r>
        <w:rPr>
          <w:i/>
        </w:rPr>
        <w:t>falciparum </w:t>
      </w:r>
      <w:r>
        <w:rPr/>
        <w:t>malaria. Specific point mutations in these enzymes lead to a lower affinity for the drugs, which appear to be responsible for antifolate drug resistance (Lawrence, 2010).</w:t>
      </w:r>
    </w:p>
    <w:p>
      <w:pPr>
        <w:spacing w:after="0" w:line="480" w:lineRule="auto"/>
        <w:jc w:val="both"/>
        <w:sectPr>
          <w:pgSz w:w="11910" w:h="16840"/>
          <w:pgMar w:header="0" w:footer="1254" w:top="1340" w:bottom="1440" w:left="1180" w:right="580"/>
        </w:sectPr>
      </w:pPr>
    </w:p>
    <w:p>
      <w:pPr>
        <w:pStyle w:val="BodyText"/>
        <w:spacing w:before="1"/>
        <w:rPr>
          <w:sz w:val="16"/>
        </w:rPr>
      </w:pPr>
    </w:p>
    <w:p>
      <w:pPr>
        <w:pStyle w:val="BodyText"/>
        <w:ind w:left="379"/>
        <w:rPr>
          <w:sz w:val="20"/>
        </w:rPr>
      </w:pPr>
      <w:r>
        <w:rPr>
          <w:sz w:val="20"/>
        </w:rPr>
        <w:drawing>
          <wp:inline distT="0" distB="0" distL="0" distR="0">
            <wp:extent cx="5175229" cy="1470659"/>
            <wp:effectExtent l="0" t="0" r="0" b="0"/>
            <wp:docPr id="27" name="Image 27" descr="folate metabolism"/>
            <wp:cNvGraphicFramePr>
              <a:graphicFrameLocks/>
            </wp:cNvGraphicFramePr>
            <a:graphic>
              <a:graphicData uri="http://schemas.openxmlformats.org/drawingml/2006/picture">
                <pic:pic>
                  <pic:nvPicPr>
                    <pic:cNvPr id="27" name="Image 27" descr="folate metabolism"/>
                    <pic:cNvPicPr/>
                  </pic:nvPicPr>
                  <pic:blipFill>
                    <a:blip r:embed="rId18" cstate="print"/>
                    <a:stretch>
                      <a:fillRect/>
                    </a:stretch>
                  </pic:blipFill>
                  <pic:spPr>
                    <a:xfrm>
                      <a:off x="0" y="0"/>
                      <a:ext cx="5175229" cy="1470659"/>
                    </a:xfrm>
                    <a:prstGeom prst="rect">
                      <a:avLst/>
                    </a:prstGeom>
                  </pic:spPr>
                </pic:pic>
              </a:graphicData>
            </a:graphic>
          </wp:inline>
        </w:drawing>
      </w:r>
      <w:r>
        <w:rPr>
          <w:sz w:val="20"/>
        </w:rPr>
      </w:r>
    </w:p>
    <w:p>
      <w:pPr>
        <w:pStyle w:val="Heading2"/>
        <w:spacing w:before="272"/>
        <w:jc w:val="left"/>
      </w:pPr>
      <w:r>
        <w:rPr/>
        <w:t>Fig.</w:t>
      </w:r>
      <w:r>
        <w:rPr>
          <w:spacing w:val="-2"/>
        </w:rPr>
        <w:t> </w:t>
      </w:r>
      <w:r>
        <w:rPr/>
        <w:t>2.7:</w:t>
      </w:r>
      <w:r>
        <w:rPr>
          <w:spacing w:val="-1"/>
        </w:rPr>
        <w:t> </w:t>
      </w:r>
      <w:r>
        <w:rPr/>
        <w:t>Simplified</w:t>
      </w:r>
      <w:r>
        <w:rPr>
          <w:spacing w:val="-1"/>
        </w:rPr>
        <w:t> </w:t>
      </w:r>
      <w:r>
        <w:rPr/>
        <w:t>scheme</w:t>
      </w:r>
      <w:r>
        <w:rPr>
          <w:spacing w:val="-2"/>
        </w:rPr>
        <w:t> </w:t>
      </w:r>
      <w:r>
        <w:rPr/>
        <w:t>of folate</w:t>
      </w:r>
      <w:r>
        <w:rPr>
          <w:spacing w:val="-3"/>
        </w:rPr>
        <w:t> </w:t>
      </w:r>
      <w:r>
        <w:rPr/>
        <w:t>metabolism</w:t>
      </w:r>
      <w:r>
        <w:rPr>
          <w:spacing w:val="2"/>
        </w:rPr>
        <w:t> </w:t>
      </w:r>
      <w:r>
        <w:rPr/>
        <w:t>(Wiser,</w:t>
      </w:r>
      <w:r>
        <w:rPr>
          <w:spacing w:val="-1"/>
        </w:rPr>
        <w:t> </w:t>
      </w:r>
      <w:r>
        <w:rPr>
          <w:spacing w:val="-2"/>
        </w:rPr>
        <w:t>2003)</w:t>
      </w:r>
    </w:p>
    <w:p>
      <w:pPr>
        <w:spacing w:after="0"/>
        <w:jc w:val="left"/>
        <w:sectPr>
          <w:pgSz w:w="11910" w:h="16840"/>
          <w:pgMar w:header="0" w:footer="1254" w:top="1920" w:bottom="1440" w:left="1180" w:right="580"/>
        </w:sectPr>
      </w:pPr>
    </w:p>
    <w:p>
      <w:pPr>
        <w:pStyle w:val="ListParagraph"/>
        <w:numPr>
          <w:ilvl w:val="2"/>
          <w:numId w:val="10"/>
        </w:numPr>
        <w:tabs>
          <w:tab w:pos="800" w:val="left" w:leader="none"/>
        </w:tabs>
        <w:spacing w:line="240" w:lineRule="auto" w:before="78" w:after="0"/>
        <w:ind w:left="800" w:right="0" w:hanging="540"/>
        <w:jc w:val="both"/>
        <w:rPr>
          <w:b/>
          <w:sz w:val="24"/>
        </w:rPr>
      </w:pPr>
      <w:r>
        <w:rPr>
          <w:b/>
          <w:sz w:val="24"/>
        </w:rPr>
        <w:t>Mechanism</w:t>
      </w:r>
      <w:r>
        <w:rPr>
          <w:b/>
          <w:spacing w:val="-8"/>
          <w:sz w:val="24"/>
        </w:rPr>
        <w:t> </w:t>
      </w:r>
      <w:r>
        <w:rPr>
          <w:b/>
          <w:sz w:val="24"/>
        </w:rPr>
        <w:t>of</w:t>
      </w:r>
      <w:r>
        <w:rPr>
          <w:b/>
          <w:spacing w:val="-2"/>
          <w:sz w:val="24"/>
        </w:rPr>
        <w:t> </w:t>
      </w:r>
      <w:r>
        <w:rPr>
          <w:b/>
          <w:sz w:val="24"/>
        </w:rPr>
        <w:t>artemisinin</w:t>
      </w:r>
      <w:r>
        <w:rPr>
          <w:b/>
          <w:spacing w:val="-2"/>
          <w:sz w:val="24"/>
        </w:rPr>
        <w:t> </w:t>
      </w:r>
      <w:r>
        <w:rPr>
          <w:b/>
          <w:sz w:val="24"/>
        </w:rPr>
        <w:t>compounds</w:t>
      </w:r>
      <w:r>
        <w:rPr>
          <w:b/>
          <w:spacing w:val="-2"/>
          <w:sz w:val="24"/>
        </w:rPr>
        <w:t> resistance</w:t>
      </w:r>
    </w:p>
    <w:p>
      <w:pPr>
        <w:pStyle w:val="BodyText"/>
        <w:spacing w:line="480" w:lineRule="auto" w:before="272"/>
        <w:ind w:left="260" w:right="853"/>
        <w:jc w:val="both"/>
      </w:pPr>
      <w:r>
        <w:rPr/>
        <w:t>These</w:t>
      </w:r>
      <w:r>
        <w:rPr>
          <w:spacing w:val="-1"/>
        </w:rPr>
        <w:t> </w:t>
      </w:r>
      <w:r>
        <w:rPr/>
        <w:t>are</w:t>
      </w:r>
      <w:r>
        <w:rPr>
          <w:spacing w:val="-1"/>
        </w:rPr>
        <w:t> </w:t>
      </w:r>
      <w:r>
        <w:rPr/>
        <w:t>peroxide</w:t>
      </w:r>
      <w:r>
        <w:rPr>
          <w:spacing w:val="-1"/>
        </w:rPr>
        <w:t> </w:t>
      </w:r>
      <w:r>
        <w:rPr/>
        <w:t>antimalarial which release carbon centred free</w:t>
      </w:r>
      <w:r>
        <w:rPr>
          <w:spacing w:val="-1"/>
        </w:rPr>
        <w:t> </w:t>
      </w:r>
      <w:r>
        <w:rPr/>
        <w:t>radicals when they</w:t>
      </w:r>
      <w:r>
        <w:rPr>
          <w:spacing w:val="-5"/>
        </w:rPr>
        <w:t> </w:t>
      </w:r>
      <w:r>
        <w:rPr/>
        <w:t>come</w:t>
      </w:r>
      <w:r>
        <w:rPr>
          <w:spacing w:val="-1"/>
        </w:rPr>
        <w:t> </w:t>
      </w:r>
      <w:r>
        <w:rPr/>
        <w:t>in contacts with heme.</w:t>
      </w:r>
      <w:r>
        <w:rPr>
          <w:spacing w:val="-1"/>
        </w:rPr>
        <w:t> </w:t>
      </w:r>
      <w:r>
        <w:rPr/>
        <w:t>Examples are</w:t>
      </w:r>
      <w:r>
        <w:rPr>
          <w:spacing w:val="-2"/>
        </w:rPr>
        <w:t> </w:t>
      </w:r>
      <w:r>
        <w:rPr/>
        <w:t>artesunate and artemether,</w:t>
      </w:r>
      <w:r>
        <w:rPr>
          <w:spacing w:val="-1"/>
        </w:rPr>
        <w:t> </w:t>
      </w:r>
      <w:r>
        <w:rPr/>
        <w:t>which are</w:t>
      </w:r>
      <w:r>
        <w:rPr>
          <w:spacing w:val="-2"/>
        </w:rPr>
        <w:t> </w:t>
      </w:r>
      <w:r>
        <w:rPr/>
        <w:t>derived from Chinese herb qingho (Aremisiaannua). They were introduced recently as malaria treatment </w:t>
      </w:r>
      <w:hyperlink r:id="rId19">
        <w:r>
          <w:rPr/>
          <w:t>(www</w:t>
        </w:r>
      </w:hyperlink>
      <w:r>
        <w:rPr/>
        <w:t>. Malariasite.com). Several studies indicate PfaTP6, an active transporter enzyme found on membranous structures within the parasite cytoplasm, play a key role in artemisinins effectiveness. Stable resistance to artemisinin and atesunate, a derivative of artemisinin, has been induced in laboratory lines of a rodent parasite, suggesting that resistance to artemisinin derivatives</w:t>
      </w:r>
      <w:r>
        <w:rPr>
          <w:spacing w:val="-1"/>
        </w:rPr>
        <w:t> </w:t>
      </w:r>
      <w:r>
        <w:rPr/>
        <w:t>as</w:t>
      </w:r>
      <w:r>
        <w:rPr>
          <w:spacing w:val="-3"/>
        </w:rPr>
        <w:t> </w:t>
      </w:r>
      <w:r>
        <w:rPr/>
        <w:t>potential</w:t>
      </w:r>
      <w:r>
        <w:rPr>
          <w:spacing w:val="-3"/>
        </w:rPr>
        <w:t> </w:t>
      </w:r>
      <w:r>
        <w:rPr/>
        <w:t>therapeutic</w:t>
      </w:r>
      <w:r>
        <w:rPr>
          <w:spacing w:val="-2"/>
        </w:rPr>
        <w:t> </w:t>
      </w:r>
      <w:r>
        <w:rPr/>
        <w:t>failure. Indeed,</w:t>
      </w:r>
      <w:r>
        <w:rPr>
          <w:spacing w:val="-3"/>
        </w:rPr>
        <w:t> </w:t>
      </w:r>
      <w:r>
        <w:rPr/>
        <w:t>some</w:t>
      </w:r>
      <w:r>
        <w:rPr>
          <w:spacing w:val="-4"/>
        </w:rPr>
        <w:t> </w:t>
      </w:r>
      <w:r>
        <w:rPr/>
        <w:t>resistance</w:t>
      </w:r>
      <w:r>
        <w:rPr>
          <w:spacing w:val="-2"/>
        </w:rPr>
        <w:t> </w:t>
      </w:r>
      <w:r>
        <w:rPr/>
        <w:t>has</w:t>
      </w:r>
      <w:r>
        <w:rPr>
          <w:spacing w:val="-1"/>
        </w:rPr>
        <w:t> </w:t>
      </w:r>
      <w:r>
        <w:rPr/>
        <w:t>recently</w:t>
      </w:r>
      <w:r>
        <w:rPr>
          <w:spacing w:val="-6"/>
        </w:rPr>
        <w:t> </w:t>
      </w:r>
      <w:r>
        <w:rPr/>
        <w:t>been</w:t>
      </w:r>
      <w:r>
        <w:rPr>
          <w:spacing w:val="-3"/>
        </w:rPr>
        <w:t> </w:t>
      </w:r>
      <w:r>
        <w:rPr/>
        <w:t>reported in Cambodia and Thailand (Lawrence, 2010).</w:t>
      </w:r>
    </w:p>
    <w:p>
      <w:pPr>
        <w:pStyle w:val="BodyText"/>
      </w:pPr>
    </w:p>
    <w:p>
      <w:pPr>
        <w:pStyle w:val="BodyText"/>
        <w:spacing w:before="8"/>
      </w:pPr>
    </w:p>
    <w:p>
      <w:pPr>
        <w:pStyle w:val="ListParagraph"/>
        <w:numPr>
          <w:ilvl w:val="1"/>
          <w:numId w:val="10"/>
        </w:numPr>
        <w:tabs>
          <w:tab w:pos="620" w:val="left" w:leader="none"/>
        </w:tabs>
        <w:spacing w:line="240" w:lineRule="auto" w:before="0" w:after="0"/>
        <w:ind w:left="620" w:right="0" w:hanging="360"/>
        <w:jc w:val="both"/>
        <w:rPr>
          <w:b/>
          <w:sz w:val="24"/>
        </w:rPr>
      </w:pPr>
      <w:r>
        <w:rPr>
          <w:b/>
          <w:i/>
          <w:sz w:val="24"/>
        </w:rPr>
        <w:t>In</w:t>
      </w:r>
      <w:r>
        <w:rPr>
          <w:b/>
          <w:i/>
          <w:spacing w:val="-3"/>
          <w:sz w:val="24"/>
        </w:rPr>
        <w:t> </w:t>
      </w:r>
      <w:r>
        <w:rPr>
          <w:b/>
          <w:i/>
          <w:sz w:val="24"/>
        </w:rPr>
        <w:t>Vitro</w:t>
      </w:r>
      <w:r>
        <w:rPr>
          <w:b/>
          <w:i/>
          <w:spacing w:val="-2"/>
          <w:sz w:val="24"/>
        </w:rPr>
        <w:t> </w:t>
      </w:r>
      <w:r>
        <w:rPr>
          <w:b/>
          <w:spacing w:val="-2"/>
          <w:sz w:val="24"/>
        </w:rPr>
        <w:t>Tests</w:t>
      </w:r>
    </w:p>
    <w:p>
      <w:pPr>
        <w:pStyle w:val="BodyText"/>
        <w:spacing w:line="480" w:lineRule="auto" w:before="233"/>
        <w:ind w:left="260" w:right="854"/>
        <w:jc w:val="both"/>
      </w:pPr>
      <w:r>
        <w:rPr/>
        <w:t>The </w:t>
      </w:r>
      <w:r>
        <w:rPr>
          <w:i/>
        </w:rPr>
        <w:t>in vitro </w:t>
      </w:r>
      <w:r>
        <w:rPr/>
        <w:t>assay is a research tool that is commonly used for monitoring drug resistance (Basco, 2007). The problem related with the assessment of antimalarial drug resistance </w:t>
      </w:r>
      <w:r>
        <w:rPr>
          <w:i/>
        </w:rPr>
        <w:t>in</w:t>
      </w:r>
      <w:r>
        <w:rPr>
          <w:i/>
          <w:spacing w:val="40"/>
        </w:rPr>
        <w:t> </w:t>
      </w:r>
      <w:r>
        <w:rPr>
          <w:i/>
        </w:rPr>
        <w:t>vivo </w:t>
      </w:r>
      <w:r>
        <w:rPr/>
        <w:t>led to the introduction of a number of </w:t>
      </w:r>
      <w:r>
        <w:rPr>
          <w:i/>
        </w:rPr>
        <w:t>in vitro </w:t>
      </w:r>
      <w:r>
        <w:rPr/>
        <w:t>tests (WHO, 2010a) for the measurement of antimalarial drug susceptibility.</w:t>
      </w:r>
      <w:r>
        <w:rPr>
          <w:spacing w:val="80"/>
        </w:rPr>
        <w:t> </w:t>
      </w:r>
      <w:r>
        <w:rPr>
          <w:i/>
        </w:rPr>
        <w:t>In vitro </w:t>
      </w:r>
      <w:r>
        <w:rPr/>
        <w:t>tests avoid many of the factors that influence the </w:t>
      </w:r>
      <w:r>
        <w:rPr>
          <w:i/>
        </w:rPr>
        <w:t>in vivo </w:t>
      </w:r>
      <w:r>
        <w:rPr/>
        <w:t>test by removing parasites from the host and placing them in suitable controlled experimental growth conditions. This test accurately reflects the intrinsic antimalarial drug resistance (Boland, 2001).</w:t>
      </w:r>
    </w:p>
    <w:p>
      <w:pPr>
        <w:pStyle w:val="BodyText"/>
        <w:spacing w:line="480" w:lineRule="auto" w:before="241"/>
        <w:ind w:left="260" w:right="857"/>
        <w:jc w:val="both"/>
      </w:pPr>
      <w:r>
        <w:rPr/>
        <w:t>A number of studies have been done using the in vitro tests (Ramadhan </w:t>
      </w:r>
      <w:r>
        <w:rPr>
          <w:i/>
        </w:rPr>
        <w:t>et al</w:t>
      </w:r>
      <w:r>
        <w:rPr/>
        <w:t>., 2000; Oyedeji </w:t>
      </w:r>
      <w:r>
        <w:rPr>
          <w:i/>
        </w:rPr>
        <w:t>et al</w:t>
      </w:r>
      <w:r>
        <w:rPr/>
        <w:t>., 2005; Folarin </w:t>
      </w:r>
      <w:r>
        <w:rPr>
          <w:i/>
        </w:rPr>
        <w:t>et al</w:t>
      </w:r>
      <w:r>
        <w:rPr/>
        <w:t>., 2008; Olasehinde </w:t>
      </w:r>
      <w:r>
        <w:rPr>
          <w:i/>
        </w:rPr>
        <w:t>et al.</w:t>
      </w:r>
      <w:r>
        <w:rPr/>
        <w:t>, 2014) to monitor antimalarial drug resistance in endemic regions of the world, Nigeria inclusive.</w:t>
      </w:r>
      <w:r>
        <w:rPr>
          <w:spacing w:val="40"/>
        </w:rPr>
        <w:t> </w:t>
      </w:r>
      <w:r>
        <w:rPr/>
        <w:t>Most of the researches done in Nigeria are in the southwest Nigeria, and a few in the Northern Nigeria.</w:t>
      </w:r>
    </w:p>
    <w:p>
      <w:pPr>
        <w:spacing w:after="0" w:line="480" w:lineRule="auto"/>
        <w:jc w:val="both"/>
        <w:sectPr>
          <w:pgSz w:w="11910" w:h="16840"/>
          <w:pgMar w:header="0" w:footer="1254" w:top="1340" w:bottom="1440" w:left="1180" w:right="580"/>
        </w:sectPr>
      </w:pPr>
    </w:p>
    <w:p>
      <w:pPr>
        <w:pStyle w:val="Heading2"/>
        <w:numPr>
          <w:ilvl w:val="1"/>
          <w:numId w:val="10"/>
        </w:numPr>
        <w:tabs>
          <w:tab w:pos="620" w:val="left" w:leader="none"/>
        </w:tabs>
        <w:spacing w:line="240" w:lineRule="auto" w:before="78" w:after="0"/>
        <w:ind w:left="620" w:right="0" w:hanging="360"/>
        <w:jc w:val="both"/>
      </w:pPr>
      <w:bookmarkStart w:name="_TOC_250024" w:id="24"/>
      <w:r>
        <w:rPr/>
        <w:t>Molecular</w:t>
      </w:r>
      <w:r>
        <w:rPr>
          <w:spacing w:val="-5"/>
        </w:rPr>
        <w:t> </w:t>
      </w:r>
      <w:r>
        <w:rPr/>
        <w:t>Characterization</w:t>
      </w:r>
      <w:r>
        <w:rPr>
          <w:spacing w:val="-1"/>
        </w:rPr>
        <w:t> </w:t>
      </w:r>
      <w:r>
        <w:rPr/>
        <w:t>of</w:t>
      </w:r>
      <w:r>
        <w:rPr>
          <w:spacing w:val="-2"/>
        </w:rPr>
        <w:t> </w:t>
      </w:r>
      <w:r>
        <w:rPr/>
        <w:t>Antimalarial Resistance</w:t>
      </w:r>
      <w:bookmarkEnd w:id="24"/>
      <w:r>
        <w:rPr>
          <w:spacing w:val="-2"/>
        </w:rPr>
        <w:t> Genes</w:t>
      </w:r>
    </w:p>
    <w:p>
      <w:pPr>
        <w:pStyle w:val="BodyText"/>
        <w:spacing w:line="480" w:lineRule="auto" w:before="272"/>
        <w:ind w:left="260" w:right="856"/>
        <w:jc w:val="both"/>
      </w:pPr>
      <w:r>
        <w:rPr>
          <w:i/>
        </w:rPr>
        <w:t>Plasmodium falciparum </w:t>
      </w:r>
      <w:r>
        <w:rPr/>
        <w:t>malaria parasite has become resistant to most avoidable antimalarial drugs, such as chloroquine, amodiaquine and Suifadoxine-pyrimethamine ( WHO, 2005) . To circumvent the problem of drug resistance, national health authorities of many concerned countries, with the support of World Health Organisation, have resorted to the use of arthemisinin-based combination therapies (ACTs) for the first-line treatment of uncomplicated malaria. However, a decrease in the sensitivity to arthemisinin has been recently documented in Cambodia, necessitating an increased vigilance in monitoring drug – resistant malaria (Dondorp </w:t>
      </w:r>
      <w:r>
        <w:rPr>
          <w:i/>
        </w:rPr>
        <w:t>et al</w:t>
      </w:r>
      <w:r>
        <w:rPr/>
        <w:t>., 2010).</w:t>
      </w:r>
      <w:r>
        <w:rPr>
          <w:spacing w:val="40"/>
        </w:rPr>
        <w:t> </w:t>
      </w:r>
      <w:r>
        <w:rPr/>
        <w:t>In Nigeria, malaria is still a major public health </w:t>
      </w:r>
      <w:r>
        <w:rPr>
          <w:spacing w:val="-2"/>
        </w:rPr>
        <w:t>problem.</w:t>
      </w:r>
    </w:p>
    <w:p>
      <w:pPr>
        <w:pStyle w:val="BodyText"/>
      </w:pPr>
    </w:p>
    <w:p>
      <w:pPr>
        <w:pStyle w:val="BodyText"/>
        <w:spacing w:before="1"/>
      </w:pPr>
    </w:p>
    <w:p>
      <w:pPr>
        <w:pStyle w:val="BodyText"/>
        <w:spacing w:line="480" w:lineRule="auto"/>
        <w:ind w:left="260" w:right="855"/>
        <w:jc w:val="both"/>
      </w:pPr>
      <w:r>
        <w:rPr/>
        <w:t>Detection of parasite genetic material through polymerase-chain reaction (PCR) techniques is becoming a more frequently used tool in the diagnosis of malaria, as well as the diagnosis</w:t>
      </w:r>
      <w:r>
        <w:rPr>
          <w:spacing w:val="80"/>
        </w:rPr>
        <w:t> </w:t>
      </w:r>
      <w:r>
        <w:rPr/>
        <w:t>and surveillance of drug resistance in malaria (Olasehinde </w:t>
      </w:r>
      <w:r>
        <w:rPr>
          <w:i/>
        </w:rPr>
        <w:t>et al</w:t>
      </w:r>
      <w:r>
        <w:rPr/>
        <w:t>., 2014).</w:t>
      </w:r>
      <w:r>
        <w:rPr>
          <w:spacing w:val="80"/>
        </w:rPr>
        <w:t> </w:t>
      </w:r>
      <w:r>
        <w:rPr/>
        <w:t>Specific primers have</w:t>
      </w:r>
      <w:r>
        <w:rPr>
          <w:spacing w:val="-1"/>
        </w:rPr>
        <w:t> </w:t>
      </w:r>
      <w:r>
        <w:rPr/>
        <w:t>been developed for each of</w:t>
      </w:r>
      <w:r>
        <w:rPr>
          <w:spacing w:val="-1"/>
        </w:rPr>
        <w:t> </w:t>
      </w:r>
      <w:r>
        <w:rPr/>
        <w:t>the</w:t>
      </w:r>
      <w:r>
        <w:rPr>
          <w:spacing w:val="-1"/>
        </w:rPr>
        <w:t> </w:t>
      </w:r>
      <w:r>
        <w:rPr/>
        <w:t>four</w:t>
      </w:r>
      <w:r>
        <w:rPr>
          <w:spacing w:val="-2"/>
        </w:rPr>
        <w:t> </w:t>
      </w:r>
      <w:r>
        <w:rPr/>
        <w:t>species of</w:t>
      </w:r>
      <w:r>
        <w:rPr>
          <w:spacing w:val="-1"/>
        </w:rPr>
        <w:t> </w:t>
      </w:r>
      <w:r>
        <w:rPr/>
        <w:t>human malaria. One</w:t>
      </w:r>
      <w:r>
        <w:rPr>
          <w:spacing w:val="-1"/>
        </w:rPr>
        <w:t> </w:t>
      </w:r>
      <w:r>
        <w:rPr/>
        <w:t>important use</w:t>
      </w:r>
      <w:r>
        <w:rPr>
          <w:spacing w:val="-1"/>
        </w:rPr>
        <w:t> </w:t>
      </w:r>
      <w:r>
        <w:rPr/>
        <w:t>of</w:t>
      </w:r>
      <w:r>
        <w:rPr>
          <w:spacing w:val="-1"/>
        </w:rPr>
        <w:t> </w:t>
      </w:r>
      <w:r>
        <w:rPr/>
        <w:t>this new technology is in detecting mixed infections or differentiating between infecting species when microscopic examination is inconclusive (Beck, 1999). In addition, improved PCR techniques could prove useful for conducting molecular epidemiology investigations of malaria clusters or epidemics (Purfield </w:t>
      </w:r>
      <w:r>
        <w:rPr>
          <w:i/>
        </w:rPr>
        <w:t>et al</w:t>
      </w:r>
      <w:r>
        <w:rPr/>
        <w:t>., 2004).</w:t>
      </w:r>
    </w:p>
    <w:p>
      <w:pPr>
        <w:pStyle w:val="BodyText"/>
      </w:pPr>
    </w:p>
    <w:p>
      <w:pPr>
        <w:pStyle w:val="BodyText"/>
        <w:spacing w:before="1"/>
      </w:pPr>
    </w:p>
    <w:p>
      <w:pPr>
        <w:pStyle w:val="BodyText"/>
        <w:spacing w:line="480" w:lineRule="auto"/>
        <w:ind w:left="260" w:right="857"/>
        <w:jc w:val="both"/>
      </w:pPr>
      <w:r>
        <w:rPr/>
        <w:t>The frequency</w:t>
      </w:r>
      <w:r>
        <w:rPr>
          <w:spacing w:val="-3"/>
        </w:rPr>
        <w:t> </w:t>
      </w:r>
      <w:r>
        <w:rPr/>
        <w:t>of occurrence of specific gene mutations within a sample of</w:t>
      </w:r>
      <w:r>
        <w:rPr>
          <w:spacing w:val="-1"/>
        </w:rPr>
        <w:t> </w:t>
      </w:r>
      <w:r>
        <w:rPr/>
        <w:t>parasites obtained from patients from a given area could provide an indication of the frequency of drug resistance in that area analogous to information derived from </w:t>
      </w:r>
      <w:r>
        <w:rPr>
          <w:i/>
        </w:rPr>
        <w:t>in vitro </w:t>
      </w:r>
      <w:r>
        <w:rPr/>
        <w:t>method (Basco, 2007). Advantages include the need for only small amounts of genetic material as opposed to live parasites,</w:t>
      </w:r>
      <w:r>
        <w:rPr>
          <w:spacing w:val="9"/>
        </w:rPr>
        <w:t> </w:t>
      </w:r>
      <w:r>
        <w:rPr/>
        <w:t>independence</w:t>
      </w:r>
      <w:r>
        <w:rPr>
          <w:spacing w:val="12"/>
        </w:rPr>
        <w:t> </w:t>
      </w:r>
      <w:r>
        <w:rPr/>
        <w:t>from</w:t>
      </w:r>
      <w:r>
        <w:rPr>
          <w:spacing w:val="10"/>
        </w:rPr>
        <w:t> </w:t>
      </w:r>
      <w:r>
        <w:rPr/>
        <w:t>host</w:t>
      </w:r>
      <w:r>
        <w:rPr>
          <w:spacing w:val="12"/>
        </w:rPr>
        <w:t> </w:t>
      </w:r>
      <w:r>
        <w:rPr/>
        <w:t>and</w:t>
      </w:r>
      <w:r>
        <w:rPr>
          <w:spacing w:val="12"/>
        </w:rPr>
        <w:t> </w:t>
      </w:r>
      <w:r>
        <w:rPr/>
        <w:t>environmental</w:t>
      </w:r>
      <w:r>
        <w:rPr>
          <w:spacing w:val="11"/>
        </w:rPr>
        <w:t> </w:t>
      </w:r>
      <w:r>
        <w:rPr/>
        <w:t>factors</w:t>
      </w:r>
      <w:r>
        <w:rPr>
          <w:spacing w:val="11"/>
        </w:rPr>
        <w:t> </w:t>
      </w:r>
      <w:r>
        <w:rPr/>
        <w:t>and</w:t>
      </w:r>
      <w:r>
        <w:rPr>
          <w:spacing w:val="12"/>
        </w:rPr>
        <w:t> </w:t>
      </w:r>
      <w:r>
        <w:rPr/>
        <w:t>the</w:t>
      </w:r>
      <w:r>
        <w:rPr>
          <w:spacing w:val="13"/>
        </w:rPr>
        <w:t> </w:t>
      </w:r>
      <w:r>
        <w:rPr/>
        <w:t>ability</w:t>
      </w:r>
      <w:r>
        <w:rPr>
          <w:spacing w:val="8"/>
        </w:rPr>
        <w:t> </w:t>
      </w:r>
      <w:r>
        <w:rPr/>
        <w:t>to</w:t>
      </w:r>
      <w:r>
        <w:rPr>
          <w:spacing w:val="14"/>
        </w:rPr>
        <w:t> </w:t>
      </w:r>
      <w:r>
        <w:rPr/>
        <w:t>conduct</w:t>
      </w:r>
      <w:r>
        <w:rPr>
          <w:spacing w:val="14"/>
        </w:rPr>
        <w:t> </w:t>
      </w:r>
      <w:r>
        <w:rPr>
          <w:spacing w:val="-2"/>
        </w:rPr>
        <w:t>large</w:t>
      </w:r>
    </w:p>
    <w:p>
      <w:pPr>
        <w:spacing w:after="0" w:line="480" w:lineRule="auto"/>
        <w:jc w:val="both"/>
        <w:sectPr>
          <w:pgSz w:w="11910" w:h="16840"/>
          <w:pgMar w:header="0" w:footer="1254" w:top="1340" w:bottom="1440" w:left="1180" w:right="580"/>
        </w:sectPr>
      </w:pPr>
    </w:p>
    <w:p>
      <w:pPr>
        <w:pStyle w:val="BodyText"/>
        <w:spacing w:line="480" w:lineRule="auto" w:before="74"/>
        <w:ind w:left="260" w:right="853"/>
        <w:jc w:val="both"/>
      </w:pPr>
      <w:r>
        <w:rPr/>
        <w:t>numbers of tests in a relatively short period of time (Beck, 1999).</w:t>
      </w:r>
      <w:r>
        <w:rPr>
          <w:spacing w:val="40"/>
        </w:rPr>
        <w:t> </w:t>
      </w:r>
      <w:r>
        <w:rPr/>
        <w:t>Primary disadvantages of these methods are overall high cost, high degree of training required, need for special equipment, absolute requirement for electricity, and potential for cross-contamination between samples (Olasehinde </w:t>
      </w:r>
      <w:r>
        <w:rPr>
          <w:i/>
        </w:rPr>
        <w:t>et al</w:t>
      </w:r>
      <w:r>
        <w:rPr/>
        <w:t>., 2014; Berzins and Anders, 1999).</w:t>
      </w:r>
      <w:r>
        <w:rPr>
          <w:spacing w:val="40"/>
        </w:rPr>
        <w:t> </w:t>
      </w:r>
      <w:r>
        <w:rPr/>
        <w:t>Sidhu </w:t>
      </w:r>
      <w:r>
        <w:rPr>
          <w:i/>
        </w:rPr>
        <w:t>et al</w:t>
      </w:r>
      <w:r>
        <w:rPr/>
        <w:t>., (2002) also reported that confirmation of the association between given mutations and actual drug resistance is difficult, especially when resistance involves more than one gene locus and multiple mutations.</w:t>
      </w:r>
    </w:p>
    <w:p>
      <w:pPr>
        <w:pStyle w:val="BodyText"/>
      </w:pPr>
    </w:p>
    <w:p>
      <w:pPr>
        <w:pStyle w:val="BodyText"/>
      </w:pPr>
    </w:p>
    <w:p>
      <w:pPr>
        <w:pStyle w:val="BodyText"/>
        <w:spacing w:line="480" w:lineRule="auto" w:before="1"/>
        <w:ind w:left="260" w:right="854"/>
        <w:jc w:val="both"/>
      </w:pPr>
      <w:r>
        <w:rPr/>
        <w:t>Chloroquine resistance is manifested by impaired CQ uptake by the parasite vacuole, which</w:t>
      </w:r>
      <w:r>
        <w:rPr>
          <w:spacing w:val="40"/>
        </w:rPr>
        <w:t> </w:t>
      </w:r>
      <w:r>
        <w:rPr/>
        <w:t>is correlated with mutations in several genes. A single mutation K76T in the P. falciparum chloroquine resistance transporter gene (</w:t>
      </w:r>
      <w:r>
        <w:rPr>
          <w:i/>
        </w:rPr>
        <w:t>pfcrt</w:t>
      </w:r>
      <w:r>
        <w:rPr/>
        <w:t>) has been demonstrated to be a major determinant of CQ resistance in </w:t>
      </w:r>
      <w:r>
        <w:rPr>
          <w:i/>
        </w:rPr>
        <w:t>P. falciparum </w:t>
      </w:r>
      <w:r>
        <w:rPr/>
        <w:t>(Yang et al., 2007; Fidock </w:t>
      </w:r>
      <w:r>
        <w:rPr>
          <w:i/>
        </w:rPr>
        <w:t>et al</w:t>
      </w:r>
      <w:r>
        <w:rPr/>
        <w:t>., 2000; Sidhu</w:t>
      </w:r>
      <w:r>
        <w:rPr>
          <w:spacing w:val="40"/>
        </w:rPr>
        <w:t> </w:t>
      </w:r>
      <w:r>
        <w:rPr>
          <w:i/>
        </w:rPr>
        <w:t>et al</w:t>
      </w:r>
      <w:r>
        <w:rPr/>
        <w:t>., 2002). All P. falciparum clinical samples that are resistant to CQ contain K76T mutation (Djimde </w:t>
      </w:r>
      <w:r>
        <w:rPr>
          <w:i/>
        </w:rPr>
        <w:t>et al</w:t>
      </w:r>
      <w:r>
        <w:rPr/>
        <w:t>., 2001).</w:t>
      </w:r>
    </w:p>
    <w:p>
      <w:pPr>
        <w:pStyle w:val="BodyText"/>
      </w:pPr>
    </w:p>
    <w:p>
      <w:pPr>
        <w:pStyle w:val="BodyText"/>
      </w:pPr>
    </w:p>
    <w:p>
      <w:pPr>
        <w:pStyle w:val="BodyText"/>
        <w:spacing w:line="480" w:lineRule="auto"/>
        <w:ind w:left="260" w:right="856"/>
        <w:jc w:val="both"/>
      </w:pPr>
      <w:r>
        <w:rPr/>
        <w:t>Other epistatic markers such as P. falciparum multidrug resistant 1 (pfmdr1) gene also affect the final outcome of CQ resistance (Reed et al., 2000; Babiker </w:t>
      </w:r>
      <w:r>
        <w:rPr>
          <w:i/>
        </w:rPr>
        <w:t>et al</w:t>
      </w:r>
      <w:r>
        <w:rPr/>
        <w:t>., 2001). Five single nucleotide polymorphisms (SNPs) of pfmdr1 N86Y, Y183F, S1034C, N1042D and D1246Y were identified in field isolates from different regions of the world (Yang </w:t>
      </w:r>
      <w:r>
        <w:rPr>
          <w:i/>
        </w:rPr>
        <w:t>et al</w:t>
      </w:r>
      <w:r>
        <w:rPr/>
        <w:t>., 2007).</w:t>
      </w:r>
    </w:p>
    <w:p>
      <w:pPr>
        <w:pStyle w:val="BodyText"/>
        <w:spacing w:line="480" w:lineRule="auto" w:before="1"/>
        <w:ind w:left="260" w:right="856"/>
        <w:jc w:val="both"/>
      </w:pPr>
      <w:r>
        <w:rPr/>
        <w:t>Sidhu </w:t>
      </w:r>
      <w:r>
        <w:rPr>
          <w:i/>
        </w:rPr>
        <w:t>et al</w:t>
      </w:r>
      <w:r>
        <w:rPr/>
        <w:t>. (2005) reported that that N1042D of </w:t>
      </w:r>
      <w:r>
        <w:rPr>
          <w:i/>
        </w:rPr>
        <w:t>pfmdr</w:t>
      </w:r>
      <w:r>
        <w:rPr/>
        <w:t>1, a prevalent mutation in South America, contributes to quinine instead of chloroquine resistance, suggesting that </w:t>
      </w:r>
      <w:r>
        <w:rPr>
          <w:i/>
        </w:rPr>
        <w:t>pfmdr</w:t>
      </w:r>
      <w:r>
        <w:rPr/>
        <w:t>1 mutations can affect parasite susceptibility to a wide range of antimalarials depending on the parasite’s genetic background.</w:t>
      </w:r>
    </w:p>
    <w:p>
      <w:pPr>
        <w:spacing w:after="0" w:line="480" w:lineRule="auto"/>
        <w:jc w:val="both"/>
        <w:sectPr>
          <w:pgSz w:w="11910" w:h="16840"/>
          <w:pgMar w:header="0" w:footer="1254" w:top="1340" w:bottom="1440" w:left="1180" w:right="580"/>
        </w:sectPr>
      </w:pPr>
    </w:p>
    <w:p>
      <w:pPr>
        <w:pStyle w:val="BodyText"/>
        <w:spacing w:line="480" w:lineRule="auto" w:before="74"/>
        <w:ind w:left="260" w:right="857"/>
        <w:jc w:val="both"/>
      </w:pPr>
      <w:r>
        <w:rPr/>
        <w:t>The mechanism of action of artemisinin is not well understood. One of the hypotheses is based on the specific inhibition of </w:t>
      </w:r>
      <w:r>
        <w:rPr>
          <w:i/>
        </w:rPr>
        <w:t>P. falciparum </w:t>
      </w:r>
      <w:r>
        <w:rPr/>
        <w:t>ATPase 6 (PfATP6), an orthologue gene product of the mammal sacro-endoplasmic reticulum calcium dependent ATPase (SERCA). Initial</w:t>
      </w:r>
      <w:r>
        <w:rPr>
          <w:spacing w:val="-3"/>
        </w:rPr>
        <w:t> </w:t>
      </w:r>
      <w:r>
        <w:rPr/>
        <w:t>laboratory</w:t>
      </w:r>
      <w:r>
        <w:rPr>
          <w:spacing w:val="-8"/>
        </w:rPr>
        <w:t> </w:t>
      </w:r>
      <w:r>
        <w:rPr/>
        <w:t>studies</w:t>
      </w:r>
      <w:r>
        <w:rPr>
          <w:spacing w:val="-1"/>
        </w:rPr>
        <w:t> </w:t>
      </w:r>
      <w:r>
        <w:rPr/>
        <w:t>have</w:t>
      </w:r>
      <w:r>
        <w:rPr>
          <w:spacing w:val="-4"/>
        </w:rPr>
        <w:t> </w:t>
      </w:r>
      <w:r>
        <w:rPr/>
        <w:t>suggested</w:t>
      </w:r>
      <w:r>
        <w:rPr>
          <w:spacing w:val="-3"/>
        </w:rPr>
        <w:t> </w:t>
      </w:r>
      <w:r>
        <w:rPr/>
        <w:t>that</w:t>
      </w:r>
      <w:r>
        <w:rPr>
          <w:spacing w:val="-1"/>
        </w:rPr>
        <w:t> </w:t>
      </w:r>
      <w:r>
        <w:rPr/>
        <w:t>L263E</w:t>
      </w:r>
      <w:r>
        <w:rPr>
          <w:spacing w:val="-3"/>
        </w:rPr>
        <w:t> </w:t>
      </w:r>
      <w:r>
        <w:rPr/>
        <w:t>substitution</w:t>
      </w:r>
      <w:r>
        <w:rPr>
          <w:spacing w:val="-3"/>
        </w:rPr>
        <w:t> </w:t>
      </w:r>
      <w:r>
        <w:rPr/>
        <w:t>in</w:t>
      </w:r>
      <w:r>
        <w:rPr>
          <w:spacing w:val="-3"/>
        </w:rPr>
        <w:t> </w:t>
      </w:r>
      <w:r>
        <w:rPr/>
        <w:t>PfATP6</w:t>
      </w:r>
      <w:r>
        <w:rPr>
          <w:spacing w:val="-5"/>
        </w:rPr>
        <w:t> </w:t>
      </w:r>
      <w:r>
        <w:rPr/>
        <w:t>affects</w:t>
      </w:r>
      <w:r>
        <w:rPr>
          <w:spacing w:val="-3"/>
        </w:rPr>
        <w:t> </w:t>
      </w:r>
      <w:r>
        <w:rPr/>
        <w:t>that</w:t>
      </w:r>
      <w:r>
        <w:rPr>
          <w:spacing w:val="-3"/>
        </w:rPr>
        <w:t> </w:t>
      </w:r>
      <w:r>
        <w:rPr/>
        <w:t>active site and induces conformational changes, reducing the affinity between the enzyme and artemisinin. Subsequent studies carried out on field isolates have shown an association between increased 50% inhibitory concentration (IC</w:t>
      </w:r>
      <w:r>
        <w:rPr>
          <w:vertAlign w:val="subscript"/>
        </w:rPr>
        <w:t>50</w:t>
      </w:r>
      <w:r>
        <w:rPr>
          <w:vertAlign w:val="baseline"/>
        </w:rPr>
        <w:t>) for artemether and either a single amino acid substitution S769B</w:t>
      </w:r>
      <w:r>
        <w:rPr>
          <w:spacing w:val="40"/>
          <w:vertAlign w:val="baseline"/>
        </w:rPr>
        <w:t> </w:t>
      </w:r>
      <w:r>
        <w:rPr>
          <w:vertAlign w:val="baseline"/>
        </w:rPr>
        <w:t>(in South American strains) or double amino acid substitutions E431K and A623E (in Africa strains)</w:t>
      </w:r>
      <w:r>
        <w:rPr>
          <w:spacing w:val="40"/>
          <w:vertAlign w:val="baseline"/>
        </w:rPr>
        <w:t> </w:t>
      </w:r>
      <w:r>
        <w:rPr>
          <w:vertAlign w:val="baseline"/>
        </w:rPr>
        <w:t>(Jambou </w:t>
      </w:r>
      <w:r>
        <w:rPr>
          <w:i/>
          <w:vertAlign w:val="baseline"/>
        </w:rPr>
        <w:t>et al</w:t>
      </w:r>
      <w:r>
        <w:rPr>
          <w:vertAlign w:val="baseline"/>
        </w:rPr>
        <w:t>., 2005).</w:t>
      </w:r>
    </w:p>
    <w:p>
      <w:pPr>
        <w:spacing w:after="0" w:line="480" w:lineRule="auto"/>
        <w:jc w:val="both"/>
        <w:sectPr>
          <w:pgSz w:w="11910" w:h="16840"/>
          <w:pgMar w:header="0" w:footer="1254" w:top="1340" w:bottom="1440" w:left="1180" w:right="580"/>
        </w:sectPr>
      </w:pPr>
    </w:p>
    <w:p>
      <w:pPr>
        <w:pStyle w:val="Heading1"/>
        <w:ind w:left="1391" w:right="1991"/>
      </w:pPr>
      <w:bookmarkStart w:name="_TOC_250023" w:id="25"/>
      <w:r>
        <w:rPr/>
        <w:t>CHAPTER</w:t>
      </w:r>
      <w:r>
        <w:rPr>
          <w:spacing w:val="-4"/>
        </w:rPr>
        <w:t> </w:t>
      </w:r>
      <w:bookmarkEnd w:id="25"/>
      <w:r>
        <w:rPr>
          <w:spacing w:val="-2"/>
        </w:rPr>
        <w:t>THREE</w:t>
      </w:r>
    </w:p>
    <w:p>
      <w:pPr>
        <w:pStyle w:val="BodyText"/>
        <w:rPr>
          <w:b/>
        </w:rPr>
      </w:pPr>
    </w:p>
    <w:p>
      <w:pPr>
        <w:pStyle w:val="Heading1"/>
        <w:numPr>
          <w:ilvl w:val="1"/>
          <w:numId w:val="12"/>
        </w:numPr>
        <w:tabs>
          <w:tab w:pos="620" w:val="left" w:leader="none"/>
        </w:tabs>
        <w:spacing w:line="240" w:lineRule="auto" w:before="0" w:after="0"/>
        <w:ind w:left="620" w:right="0" w:hanging="360"/>
        <w:jc w:val="both"/>
      </w:pPr>
      <w:bookmarkStart w:name="_TOC_250022" w:id="26"/>
      <w:r>
        <w:rPr/>
        <w:t>MATERIALS</w:t>
      </w:r>
      <w:r>
        <w:rPr>
          <w:spacing w:val="-1"/>
        </w:rPr>
        <w:t> </w:t>
      </w:r>
      <w:r>
        <w:rPr/>
        <w:t>AND</w:t>
      </w:r>
      <w:r>
        <w:rPr>
          <w:spacing w:val="-1"/>
        </w:rPr>
        <w:t> </w:t>
      </w:r>
      <w:bookmarkEnd w:id="26"/>
      <w:r>
        <w:rPr>
          <w:spacing w:val="-2"/>
        </w:rPr>
        <w:t>METHODS</w:t>
      </w:r>
    </w:p>
    <w:p>
      <w:pPr>
        <w:pStyle w:val="BodyText"/>
        <w:rPr>
          <w:b/>
        </w:rPr>
      </w:pPr>
    </w:p>
    <w:p>
      <w:pPr>
        <w:pStyle w:val="Heading2"/>
        <w:numPr>
          <w:ilvl w:val="1"/>
          <w:numId w:val="12"/>
        </w:numPr>
        <w:tabs>
          <w:tab w:pos="620" w:val="left" w:leader="none"/>
        </w:tabs>
        <w:spacing w:line="240" w:lineRule="auto" w:before="1" w:after="0"/>
        <w:ind w:left="620" w:right="0" w:hanging="360"/>
        <w:jc w:val="both"/>
      </w:pPr>
      <w:bookmarkStart w:name="_TOC_250021" w:id="27"/>
      <w:bookmarkEnd w:id="27"/>
      <w:r>
        <w:rPr>
          <w:spacing w:val="-2"/>
        </w:rPr>
        <w:t>Materials</w:t>
      </w:r>
    </w:p>
    <w:p>
      <w:pPr>
        <w:pStyle w:val="BodyText"/>
        <w:spacing w:before="271"/>
        <w:ind w:left="260"/>
        <w:jc w:val="both"/>
      </w:pPr>
      <w:r>
        <w:rPr/>
        <w:t>The</w:t>
      </w:r>
      <w:r>
        <w:rPr>
          <w:spacing w:val="-6"/>
        </w:rPr>
        <w:t> </w:t>
      </w:r>
      <w:r>
        <w:rPr/>
        <w:t>following</w:t>
      </w:r>
      <w:r>
        <w:rPr>
          <w:spacing w:val="-1"/>
        </w:rPr>
        <w:t> </w:t>
      </w:r>
      <w:r>
        <w:rPr/>
        <w:t>equipment</w:t>
      </w:r>
      <w:r>
        <w:rPr>
          <w:spacing w:val="1"/>
        </w:rPr>
        <w:t> </w:t>
      </w:r>
      <w:r>
        <w:rPr/>
        <w:t>,</w:t>
      </w:r>
      <w:r>
        <w:rPr>
          <w:spacing w:val="-1"/>
        </w:rPr>
        <w:t> </w:t>
      </w:r>
      <w:r>
        <w:rPr/>
        <w:t>reagent</w:t>
      </w:r>
      <w:r>
        <w:rPr>
          <w:spacing w:val="1"/>
        </w:rPr>
        <w:t> </w:t>
      </w:r>
      <w:r>
        <w:rPr/>
        <w:t>and</w:t>
      </w:r>
      <w:r>
        <w:rPr>
          <w:spacing w:val="-1"/>
        </w:rPr>
        <w:t> </w:t>
      </w:r>
      <w:r>
        <w:rPr/>
        <w:t>chemicals</w:t>
      </w:r>
      <w:r>
        <w:rPr>
          <w:spacing w:val="1"/>
        </w:rPr>
        <w:t> </w:t>
      </w:r>
      <w:r>
        <w:rPr/>
        <w:t>were</w:t>
      </w:r>
      <w:r>
        <w:rPr>
          <w:spacing w:val="-3"/>
        </w:rPr>
        <w:t> </w:t>
      </w:r>
      <w:r>
        <w:rPr/>
        <w:t>used</w:t>
      </w:r>
      <w:r>
        <w:rPr>
          <w:spacing w:val="-1"/>
        </w:rPr>
        <w:t> </w:t>
      </w:r>
      <w:r>
        <w:rPr/>
        <w:t>for</w:t>
      </w:r>
      <w:r>
        <w:rPr>
          <w:spacing w:val="-3"/>
        </w:rPr>
        <w:t> </w:t>
      </w:r>
      <w:r>
        <w:rPr/>
        <w:t>the</w:t>
      </w:r>
      <w:r>
        <w:rPr>
          <w:spacing w:val="-1"/>
        </w:rPr>
        <w:t> </w:t>
      </w:r>
      <w:r>
        <w:rPr>
          <w:spacing w:val="-2"/>
        </w:rPr>
        <w:t>study.</w:t>
      </w:r>
    </w:p>
    <w:p>
      <w:pPr>
        <w:pStyle w:val="BodyText"/>
        <w:spacing w:before="4"/>
      </w:pPr>
    </w:p>
    <w:p>
      <w:pPr>
        <w:pStyle w:val="Heading2"/>
        <w:numPr>
          <w:ilvl w:val="2"/>
          <w:numId w:val="12"/>
        </w:numPr>
        <w:tabs>
          <w:tab w:pos="979" w:val="left" w:leader="none"/>
        </w:tabs>
        <w:spacing w:line="240" w:lineRule="auto" w:before="1" w:after="0"/>
        <w:ind w:left="979" w:right="0" w:hanging="719"/>
        <w:jc w:val="both"/>
      </w:pPr>
      <w:bookmarkStart w:name="_TOC_250020" w:id="28"/>
      <w:bookmarkEnd w:id="28"/>
      <w:r>
        <w:rPr>
          <w:spacing w:val="-2"/>
        </w:rPr>
        <w:t>Equipment</w:t>
      </w:r>
    </w:p>
    <w:p>
      <w:pPr>
        <w:pStyle w:val="BodyText"/>
        <w:spacing w:line="480" w:lineRule="auto" w:before="271"/>
        <w:ind w:left="260" w:right="853"/>
        <w:jc w:val="both"/>
      </w:pPr>
      <w:r>
        <w:rPr/>
        <w:t>Tissue</w:t>
      </w:r>
      <w:r>
        <w:rPr>
          <w:spacing w:val="40"/>
        </w:rPr>
        <w:t> </w:t>
      </w:r>
      <w:r>
        <w:rPr/>
        <w:t>culture plates 12 x 8 wells (Becton Dickinsin Labware, New Jersy, model – Falcon 3072), Micropipette- 0-50 µL,</w:t>
      </w:r>
      <w:r>
        <w:rPr>
          <w:spacing w:val="40"/>
        </w:rPr>
        <w:t> </w:t>
      </w:r>
      <w:r>
        <w:rPr/>
        <w:t>0-100 µL and 100-1000 µL (Micropet), Microscope (Fischer Scientific Company), Microscope slides, Autoclave (GULFEX Medical and Scientific, England, model – LS-B75L), Anaerobic jar (Gaspak system, model – BQBBL), Incubator (Biochemical, model SHP-250), Weighing balance (OHAUS, model – SPJ303), Sterile pipette tips and Heparinise falcum tube (Skytec Medical).</w:t>
      </w:r>
    </w:p>
    <w:p>
      <w:pPr>
        <w:pStyle w:val="BodyText"/>
      </w:pPr>
    </w:p>
    <w:p>
      <w:pPr>
        <w:pStyle w:val="BodyText"/>
        <w:spacing w:before="6"/>
      </w:pPr>
    </w:p>
    <w:p>
      <w:pPr>
        <w:pStyle w:val="Heading2"/>
        <w:numPr>
          <w:ilvl w:val="2"/>
          <w:numId w:val="12"/>
        </w:numPr>
        <w:tabs>
          <w:tab w:pos="979" w:val="left" w:leader="none"/>
        </w:tabs>
        <w:spacing w:line="240" w:lineRule="auto" w:before="0" w:after="0"/>
        <w:ind w:left="979" w:right="0" w:hanging="719"/>
        <w:jc w:val="both"/>
      </w:pPr>
      <w:bookmarkStart w:name="_TOC_250019" w:id="29"/>
      <w:bookmarkEnd w:id="29"/>
      <w:r>
        <w:rPr>
          <w:spacing w:val="-4"/>
        </w:rPr>
        <w:t>Drugs</w:t>
      </w:r>
    </w:p>
    <w:p>
      <w:pPr>
        <w:pStyle w:val="BodyText"/>
        <w:spacing w:line="480" w:lineRule="auto" w:before="271"/>
        <w:ind w:left="260" w:right="864"/>
        <w:jc w:val="both"/>
      </w:pPr>
      <w:r>
        <w:rPr/>
        <w:t>Choroquine diphosphate powder (IPCA Laboratories Ltd), Amodiaquine dihydrochloride (Pfizer Afrique de l’Ouest) and Artesunate (Greenfield Pharm. Co. Ltd).</w:t>
      </w:r>
    </w:p>
    <w:p>
      <w:pPr>
        <w:pStyle w:val="BodyText"/>
      </w:pPr>
    </w:p>
    <w:p>
      <w:pPr>
        <w:pStyle w:val="BodyText"/>
      </w:pPr>
    </w:p>
    <w:p>
      <w:pPr>
        <w:pStyle w:val="Heading2"/>
        <w:numPr>
          <w:ilvl w:val="2"/>
          <w:numId w:val="12"/>
        </w:numPr>
        <w:tabs>
          <w:tab w:pos="800" w:val="left" w:leader="none"/>
        </w:tabs>
        <w:spacing w:line="240" w:lineRule="auto" w:before="0" w:after="0"/>
        <w:ind w:left="800" w:right="0" w:hanging="540"/>
        <w:jc w:val="both"/>
        <w:rPr>
          <w:b w:val="0"/>
        </w:rPr>
      </w:pPr>
      <w:bookmarkStart w:name="_TOC_250018" w:id="30"/>
      <w:bookmarkEnd w:id="30"/>
      <w:r>
        <w:rPr>
          <w:spacing w:val="-2"/>
        </w:rPr>
        <w:t>Chemical</w:t>
      </w:r>
    </w:p>
    <w:p>
      <w:pPr>
        <w:pStyle w:val="BodyText"/>
        <w:spacing w:before="1"/>
        <w:rPr>
          <w:b/>
        </w:rPr>
      </w:pPr>
    </w:p>
    <w:p>
      <w:pPr>
        <w:pStyle w:val="BodyText"/>
        <w:spacing w:line="480" w:lineRule="auto"/>
        <w:ind w:left="260" w:right="856"/>
        <w:jc w:val="both"/>
      </w:pPr>
      <w:r>
        <w:rPr/>
        <w:t>RPMI</w:t>
      </w:r>
      <w:r>
        <w:rPr>
          <w:spacing w:val="-9"/>
        </w:rPr>
        <w:t> </w:t>
      </w:r>
      <w:r>
        <w:rPr/>
        <w:t>1640</w:t>
      </w:r>
      <w:r>
        <w:rPr>
          <w:spacing w:val="-3"/>
        </w:rPr>
        <w:t> </w:t>
      </w:r>
      <w:r>
        <w:rPr/>
        <w:t>liquid</w:t>
      </w:r>
      <w:r>
        <w:rPr>
          <w:spacing w:val="-3"/>
        </w:rPr>
        <w:t> </w:t>
      </w:r>
      <w:r>
        <w:rPr/>
        <w:t>medium</w:t>
      </w:r>
      <w:r>
        <w:rPr>
          <w:spacing w:val="-3"/>
        </w:rPr>
        <w:t> </w:t>
      </w:r>
      <w:r>
        <w:rPr/>
        <w:t>(Sigma</w:t>
      </w:r>
      <w:r>
        <w:rPr>
          <w:spacing w:val="-3"/>
        </w:rPr>
        <w:t> </w:t>
      </w:r>
      <w:r>
        <w:rPr/>
        <w:t>Aldrich),</w:t>
      </w:r>
      <w:r>
        <w:rPr>
          <w:spacing w:val="-3"/>
        </w:rPr>
        <w:t> </w:t>
      </w:r>
      <w:r>
        <w:rPr/>
        <w:t>Giemsa</w:t>
      </w:r>
      <w:r>
        <w:rPr>
          <w:spacing w:val="-3"/>
        </w:rPr>
        <w:t> </w:t>
      </w:r>
      <w:r>
        <w:rPr/>
        <w:t>stain,</w:t>
      </w:r>
      <w:r>
        <w:rPr>
          <w:spacing w:val="-3"/>
        </w:rPr>
        <w:t> </w:t>
      </w:r>
      <w:r>
        <w:rPr/>
        <w:t>Methanol</w:t>
      </w:r>
      <w:r>
        <w:rPr>
          <w:spacing w:val="-3"/>
        </w:rPr>
        <w:t> </w:t>
      </w:r>
      <w:r>
        <w:rPr/>
        <w:t>(Gainland</w:t>
      </w:r>
      <w:r>
        <w:rPr>
          <w:spacing w:val="-3"/>
        </w:rPr>
        <w:t> </w:t>
      </w:r>
      <w:r>
        <w:rPr/>
        <w:t>Chemical</w:t>
      </w:r>
      <w:r>
        <w:rPr>
          <w:spacing w:val="-3"/>
        </w:rPr>
        <w:t> </w:t>
      </w:r>
      <w:r>
        <w:rPr/>
        <w:t>Co. United Kingdom), Buffer tablets (Hopkin and Williams, Chadwel Heath, Essex, England).</w:t>
      </w:r>
    </w:p>
    <w:p>
      <w:pPr>
        <w:pStyle w:val="BodyText"/>
      </w:pPr>
    </w:p>
    <w:p>
      <w:pPr>
        <w:pStyle w:val="BodyText"/>
        <w:spacing w:before="5"/>
      </w:pPr>
    </w:p>
    <w:p>
      <w:pPr>
        <w:pStyle w:val="Heading2"/>
        <w:numPr>
          <w:ilvl w:val="2"/>
          <w:numId w:val="12"/>
        </w:numPr>
        <w:tabs>
          <w:tab w:pos="979" w:val="left" w:leader="none"/>
        </w:tabs>
        <w:spacing w:line="240" w:lineRule="auto" w:before="0" w:after="0"/>
        <w:ind w:left="979" w:right="0" w:hanging="719"/>
        <w:jc w:val="both"/>
      </w:pPr>
      <w:bookmarkStart w:name="_TOC_250017" w:id="31"/>
      <w:bookmarkEnd w:id="31"/>
      <w:r>
        <w:rPr>
          <w:spacing w:val="-2"/>
        </w:rPr>
        <w:t>Others</w:t>
      </w:r>
    </w:p>
    <w:p>
      <w:pPr>
        <w:pStyle w:val="BodyText"/>
        <w:spacing w:before="271"/>
        <w:ind w:left="260"/>
        <w:jc w:val="both"/>
      </w:pPr>
      <w:r>
        <w:rPr/>
        <w:t>Aluminium</w:t>
      </w:r>
      <w:r>
        <w:rPr>
          <w:spacing w:val="-3"/>
        </w:rPr>
        <w:t> </w:t>
      </w:r>
      <w:r>
        <w:rPr/>
        <w:t>foil,</w:t>
      </w:r>
      <w:r>
        <w:rPr>
          <w:spacing w:val="-1"/>
        </w:rPr>
        <w:t> </w:t>
      </w:r>
      <w:r>
        <w:rPr/>
        <w:t>Rack,</w:t>
      </w:r>
      <w:r>
        <w:rPr>
          <w:spacing w:val="-1"/>
        </w:rPr>
        <w:t> </w:t>
      </w:r>
      <w:r>
        <w:rPr/>
        <w:t>plastic</w:t>
      </w:r>
      <w:r>
        <w:rPr>
          <w:spacing w:val="-2"/>
        </w:rPr>
        <w:t> </w:t>
      </w:r>
      <w:r>
        <w:rPr/>
        <w:t>covered</w:t>
      </w:r>
      <w:r>
        <w:rPr>
          <w:spacing w:val="-1"/>
        </w:rPr>
        <w:t> </w:t>
      </w:r>
      <w:r>
        <w:rPr/>
        <w:t>wire,</w:t>
      </w:r>
      <w:r>
        <w:rPr>
          <w:spacing w:val="2"/>
        </w:rPr>
        <w:t> </w:t>
      </w:r>
      <w:r>
        <w:rPr/>
        <w:t>Alcohol</w:t>
      </w:r>
      <w:r>
        <w:rPr>
          <w:spacing w:val="-1"/>
        </w:rPr>
        <w:t> </w:t>
      </w:r>
      <w:r>
        <w:rPr/>
        <w:t>swabs,</w:t>
      </w:r>
      <w:r>
        <w:rPr>
          <w:spacing w:val="-1"/>
        </w:rPr>
        <w:t> </w:t>
      </w:r>
      <w:r>
        <w:rPr/>
        <w:t>Glass</w:t>
      </w:r>
      <w:r>
        <w:rPr>
          <w:spacing w:val="-1"/>
        </w:rPr>
        <w:t> </w:t>
      </w:r>
      <w:r>
        <w:rPr/>
        <w:t>writing</w:t>
      </w:r>
      <w:r>
        <w:rPr>
          <w:spacing w:val="-3"/>
        </w:rPr>
        <w:t> </w:t>
      </w:r>
      <w:r>
        <w:rPr/>
        <w:t>pencil, </w:t>
      </w:r>
      <w:r>
        <w:rPr>
          <w:spacing w:val="-2"/>
        </w:rPr>
        <w:t>Forceps</w:t>
      </w:r>
    </w:p>
    <w:p>
      <w:pPr>
        <w:spacing w:after="0"/>
        <w:jc w:val="both"/>
        <w:sectPr>
          <w:pgSz w:w="11910" w:h="16840"/>
          <w:pgMar w:header="0" w:footer="1254" w:top="1340" w:bottom="1440" w:left="1180" w:right="580"/>
        </w:sectPr>
      </w:pPr>
    </w:p>
    <w:p>
      <w:pPr>
        <w:pStyle w:val="Heading2"/>
        <w:numPr>
          <w:ilvl w:val="1"/>
          <w:numId w:val="12"/>
        </w:numPr>
        <w:tabs>
          <w:tab w:pos="620" w:val="left" w:leader="none"/>
        </w:tabs>
        <w:spacing w:line="240" w:lineRule="auto" w:before="78" w:after="0"/>
        <w:ind w:left="620" w:right="0" w:hanging="360"/>
        <w:jc w:val="both"/>
      </w:pPr>
      <w:bookmarkStart w:name="_TOC_250016" w:id="32"/>
      <w:bookmarkEnd w:id="32"/>
      <w:r>
        <w:rPr>
          <w:spacing w:val="-2"/>
        </w:rPr>
        <w:t>Methods</w:t>
      </w:r>
    </w:p>
    <w:p>
      <w:pPr>
        <w:pStyle w:val="BodyText"/>
        <w:rPr>
          <w:b/>
        </w:rPr>
      </w:pPr>
    </w:p>
    <w:p>
      <w:pPr>
        <w:pStyle w:val="ListParagraph"/>
        <w:numPr>
          <w:ilvl w:val="2"/>
          <w:numId w:val="12"/>
        </w:numPr>
        <w:tabs>
          <w:tab w:pos="800" w:val="left" w:leader="none"/>
        </w:tabs>
        <w:spacing w:line="240" w:lineRule="auto" w:before="0" w:after="0"/>
        <w:ind w:left="800" w:right="0" w:hanging="540"/>
        <w:jc w:val="both"/>
        <w:rPr>
          <w:b/>
          <w:sz w:val="24"/>
        </w:rPr>
      </w:pPr>
      <w:r>
        <w:rPr>
          <w:b/>
          <w:sz w:val="24"/>
        </w:rPr>
        <w:t>The</w:t>
      </w:r>
      <w:r>
        <w:rPr>
          <w:b/>
          <w:spacing w:val="-2"/>
          <w:sz w:val="24"/>
        </w:rPr>
        <w:t> </w:t>
      </w:r>
      <w:r>
        <w:rPr>
          <w:b/>
          <w:sz w:val="24"/>
        </w:rPr>
        <w:t>Study</w:t>
      </w:r>
      <w:r>
        <w:rPr>
          <w:b/>
          <w:spacing w:val="-1"/>
          <w:sz w:val="24"/>
        </w:rPr>
        <w:t> </w:t>
      </w:r>
      <w:r>
        <w:rPr>
          <w:b/>
          <w:sz w:val="24"/>
        </w:rPr>
        <w:t>Centre</w:t>
      </w:r>
      <w:r>
        <w:rPr>
          <w:b/>
          <w:spacing w:val="-1"/>
          <w:sz w:val="24"/>
        </w:rPr>
        <w:t> </w:t>
      </w:r>
      <w:r>
        <w:rPr>
          <w:b/>
          <w:sz w:val="24"/>
        </w:rPr>
        <w:t>and</w:t>
      </w:r>
      <w:r>
        <w:rPr>
          <w:b/>
          <w:spacing w:val="-1"/>
          <w:sz w:val="24"/>
        </w:rPr>
        <w:t> </w:t>
      </w:r>
      <w:r>
        <w:rPr>
          <w:b/>
          <w:sz w:val="24"/>
        </w:rPr>
        <w:t>Ethical </w:t>
      </w:r>
      <w:r>
        <w:rPr>
          <w:b/>
          <w:spacing w:val="-2"/>
          <w:sz w:val="24"/>
        </w:rPr>
        <w:t>Clearance</w:t>
      </w:r>
    </w:p>
    <w:p>
      <w:pPr>
        <w:pStyle w:val="BodyText"/>
        <w:rPr>
          <w:b/>
        </w:rPr>
      </w:pPr>
    </w:p>
    <w:p>
      <w:pPr>
        <w:pStyle w:val="ListParagraph"/>
        <w:numPr>
          <w:ilvl w:val="0"/>
          <w:numId w:val="13"/>
        </w:numPr>
        <w:tabs>
          <w:tab w:pos="500" w:val="left" w:leader="none"/>
        </w:tabs>
        <w:spacing w:line="240" w:lineRule="auto" w:before="1" w:after="0"/>
        <w:ind w:left="500" w:right="0" w:hanging="240"/>
        <w:jc w:val="both"/>
        <w:rPr>
          <w:b/>
          <w:sz w:val="24"/>
        </w:rPr>
      </w:pPr>
      <w:r>
        <w:rPr>
          <w:b/>
          <w:sz w:val="24"/>
        </w:rPr>
        <w:t>Study</w:t>
      </w:r>
      <w:r>
        <w:rPr>
          <w:b/>
          <w:spacing w:val="-2"/>
          <w:sz w:val="24"/>
        </w:rPr>
        <w:t> Centre</w:t>
      </w:r>
    </w:p>
    <w:p>
      <w:pPr>
        <w:pStyle w:val="BodyText"/>
        <w:spacing w:line="480" w:lineRule="auto" w:before="271"/>
        <w:ind w:left="260" w:right="855"/>
        <w:jc w:val="both"/>
      </w:pPr>
      <w:r>
        <w:rPr/>
        <w:t>The study was carried out at Umaru Musa Yaradua Memorial Hospital (UMYMH), Sabon- Wuse, Niger State, Nigeria. Sabon-Wuse is a town located on Abuja-Kaduna highway with a population of 84,000 (NPC, 2007). Sabon-Wuse is the Headquarter of Tafa Local Government Area.</w:t>
      </w:r>
    </w:p>
    <w:p>
      <w:pPr>
        <w:pStyle w:val="Heading2"/>
        <w:numPr>
          <w:ilvl w:val="0"/>
          <w:numId w:val="13"/>
        </w:numPr>
        <w:tabs>
          <w:tab w:pos="513" w:val="left" w:leader="none"/>
        </w:tabs>
        <w:spacing w:line="240" w:lineRule="auto" w:before="5" w:after="0"/>
        <w:ind w:left="513" w:right="0" w:hanging="253"/>
        <w:jc w:val="both"/>
      </w:pPr>
      <w:r>
        <w:rPr/>
        <w:t>Ethical </w:t>
      </w:r>
      <w:r>
        <w:rPr>
          <w:spacing w:val="-2"/>
        </w:rPr>
        <w:t>Clearance</w:t>
      </w:r>
    </w:p>
    <w:p>
      <w:pPr>
        <w:pStyle w:val="BodyText"/>
        <w:spacing w:line="480" w:lineRule="auto" w:before="272"/>
        <w:ind w:left="260" w:right="855"/>
        <w:jc w:val="both"/>
      </w:pPr>
      <w:r>
        <w:rPr/>
        <w:t>The study protocol was approved by the Ethics Committee of Umaru Musa Yaradua Memorial Hospital Management Board (Appendix I).</w:t>
      </w:r>
    </w:p>
    <w:p>
      <w:pPr>
        <w:pStyle w:val="BodyText"/>
      </w:pPr>
    </w:p>
    <w:p>
      <w:pPr>
        <w:pStyle w:val="BodyText"/>
        <w:spacing w:before="4"/>
      </w:pPr>
    </w:p>
    <w:p>
      <w:pPr>
        <w:pStyle w:val="Heading2"/>
        <w:numPr>
          <w:ilvl w:val="2"/>
          <w:numId w:val="12"/>
        </w:numPr>
        <w:tabs>
          <w:tab w:pos="800" w:val="left" w:leader="none"/>
        </w:tabs>
        <w:spacing w:line="240" w:lineRule="auto" w:before="1" w:after="0"/>
        <w:ind w:left="800" w:right="0" w:hanging="540"/>
        <w:jc w:val="left"/>
      </w:pPr>
      <w:bookmarkStart w:name="_TOC_250015" w:id="33"/>
      <w:r>
        <w:rPr/>
        <w:t>Retrospective</w:t>
      </w:r>
      <w:r>
        <w:rPr>
          <w:spacing w:val="-6"/>
        </w:rPr>
        <w:t> </w:t>
      </w:r>
      <w:bookmarkEnd w:id="33"/>
      <w:r>
        <w:rPr>
          <w:spacing w:val="-2"/>
        </w:rPr>
        <w:t>Study</w:t>
      </w:r>
    </w:p>
    <w:p>
      <w:pPr>
        <w:pStyle w:val="BodyText"/>
        <w:spacing w:line="480" w:lineRule="auto" w:before="271"/>
        <w:ind w:left="260" w:right="855"/>
      </w:pPr>
      <w:r>
        <w:rPr/>
        <w:t>The</w:t>
      </w:r>
      <w:r>
        <w:rPr>
          <w:spacing w:val="33"/>
        </w:rPr>
        <w:t> </w:t>
      </w:r>
      <w:r>
        <w:rPr/>
        <w:t>medical</w:t>
      </w:r>
      <w:r>
        <w:rPr>
          <w:spacing w:val="35"/>
        </w:rPr>
        <w:t> </w:t>
      </w:r>
      <w:r>
        <w:rPr/>
        <w:t>records</w:t>
      </w:r>
      <w:r>
        <w:rPr>
          <w:spacing w:val="35"/>
        </w:rPr>
        <w:t> </w:t>
      </w:r>
      <w:r>
        <w:rPr/>
        <w:t>of</w:t>
      </w:r>
      <w:r>
        <w:rPr>
          <w:spacing w:val="36"/>
        </w:rPr>
        <w:t> </w:t>
      </w:r>
      <w:r>
        <w:rPr/>
        <w:t>reported</w:t>
      </w:r>
      <w:r>
        <w:rPr>
          <w:spacing w:val="37"/>
        </w:rPr>
        <w:t> </w:t>
      </w:r>
      <w:r>
        <w:rPr/>
        <w:t>malaria</w:t>
      </w:r>
      <w:r>
        <w:rPr>
          <w:spacing w:val="36"/>
        </w:rPr>
        <w:t> </w:t>
      </w:r>
      <w:r>
        <w:rPr/>
        <w:t>cases</w:t>
      </w:r>
      <w:r>
        <w:rPr>
          <w:spacing w:val="35"/>
        </w:rPr>
        <w:t> </w:t>
      </w:r>
      <w:r>
        <w:rPr/>
        <w:t>for</w:t>
      </w:r>
      <w:r>
        <w:rPr>
          <w:spacing w:val="34"/>
        </w:rPr>
        <w:t> </w:t>
      </w:r>
      <w:r>
        <w:rPr/>
        <w:t>2011</w:t>
      </w:r>
      <w:r>
        <w:rPr>
          <w:spacing w:val="35"/>
        </w:rPr>
        <w:t> </w:t>
      </w:r>
      <w:r>
        <w:rPr/>
        <w:t>and</w:t>
      </w:r>
      <w:r>
        <w:rPr>
          <w:spacing w:val="37"/>
        </w:rPr>
        <w:t> </w:t>
      </w:r>
      <w:r>
        <w:rPr/>
        <w:t>2012</w:t>
      </w:r>
      <w:r>
        <w:rPr>
          <w:spacing w:val="37"/>
        </w:rPr>
        <w:t> </w:t>
      </w:r>
      <w:r>
        <w:rPr/>
        <w:t>were</w:t>
      </w:r>
      <w:r>
        <w:rPr>
          <w:spacing w:val="36"/>
        </w:rPr>
        <w:t> </w:t>
      </w:r>
      <w:r>
        <w:rPr/>
        <w:t>collated</w:t>
      </w:r>
      <w:r>
        <w:rPr>
          <w:spacing w:val="37"/>
        </w:rPr>
        <w:t> </w:t>
      </w:r>
      <w:r>
        <w:rPr/>
        <w:t>from</w:t>
      </w:r>
      <w:r>
        <w:rPr>
          <w:spacing w:val="35"/>
        </w:rPr>
        <w:t> </w:t>
      </w:r>
      <w:r>
        <w:rPr/>
        <w:t>the medical records office of the hospital. Data extracted included:-</w:t>
      </w:r>
    </w:p>
    <w:p>
      <w:pPr>
        <w:pStyle w:val="ListParagraph"/>
        <w:numPr>
          <w:ilvl w:val="0"/>
          <w:numId w:val="14"/>
        </w:numPr>
        <w:tabs>
          <w:tab w:pos="979" w:val="left" w:leader="none"/>
        </w:tabs>
        <w:spacing w:line="240" w:lineRule="auto" w:before="0" w:after="0"/>
        <w:ind w:left="979" w:right="0" w:hanging="359"/>
        <w:jc w:val="left"/>
        <w:rPr>
          <w:sz w:val="24"/>
        </w:rPr>
      </w:pPr>
      <w:r>
        <w:rPr>
          <w:sz w:val="24"/>
        </w:rPr>
        <w:t>No</w:t>
      </w:r>
      <w:r>
        <w:rPr>
          <w:spacing w:val="-1"/>
          <w:sz w:val="24"/>
        </w:rPr>
        <w:t> </w:t>
      </w:r>
      <w:r>
        <w:rPr>
          <w:sz w:val="24"/>
        </w:rPr>
        <w:t>of</w:t>
      </w:r>
      <w:r>
        <w:rPr>
          <w:spacing w:val="-2"/>
          <w:sz w:val="24"/>
        </w:rPr>
        <w:t> </w:t>
      </w:r>
      <w:r>
        <w:rPr>
          <w:sz w:val="24"/>
        </w:rPr>
        <w:t>reported</w:t>
      </w:r>
      <w:r>
        <w:rPr>
          <w:spacing w:val="-1"/>
          <w:sz w:val="24"/>
        </w:rPr>
        <w:t> </w:t>
      </w:r>
      <w:r>
        <w:rPr>
          <w:sz w:val="24"/>
        </w:rPr>
        <w:t>malaria</w:t>
      </w:r>
      <w:r>
        <w:rPr>
          <w:spacing w:val="-1"/>
          <w:sz w:val="24"/>
        </w:rPr>
        <w:t> </w:t>
      </w:r>
      <w:r>
        <w:rPr>
          <w:spacing w:val="-4"/>
          <w:sz w:val="24"/>
        </w:rPr>
        <w:t>cases</w:t>
      </w:r>
    </w:p>
    <w:p>
      <w:pPr>
        <w:pStyle w:val="BodyText"/>
      </w:pPr>
    </w:p>
    <w:p>
      <w:pPr>
        <w:pStyle w:val="ListParagraph"/>
        <w:numPr>
          <w:ilvl w:val="0"/>
          <w:numId w:val="14"/>
        </w:numPr>
        <w:tabs>
          <w:tab w:pos="979" w:val="left" w:leader="none"/>
        </w:tabs>
        <w:spacing w:line="240" w:lineRule="auto" w:before="0" w:after="0"/>
        <w:ind w:left="979" w:right="0" w:hanging="359"/>
        <w:jc w:val="left"/>
        <w:rPr>
          <w:sz w:val="24"/>
        </w:rPr>
      </w:pPr>
      <w:r>
        <w:rPr>
          <w:sz w:val="24"/>
        </w:rPr>
        <w:t>Age</w:t>
      </w:r>
      <w:r>
        <w:rPr>
          <w:spacing w:val="-3"/>
          <w:sz w:val="24"/>
        </w:rPr>
        <w:t> </w:t>
      </w:r>
      <w:r>
        <w:rPr>
          <w:sz w:val="24"/>
        </w:rPr>
        <w:t>group</w:t>
      </w:r>
      <w:r>
        <w:rPr>
          <w:spacing w:val="-2"/>
          <w:sz w:val="24"/>
        </w:rPr>
        <w:t> </w:t>
      </w:r>
      <w:r>
        <w:rPr>
          <w:sz w:val="24"/>
        </w:rPr>
        <w:t>(age</w:t>
      </w:r>
      <w:r>
        <w:rPr>
          <w:spacing w:val="-2"/>
          <w:sz w:val="24"/>
        </w:rPr>
        <w:t> </w:t>
      </w:r>
      <w:r>
        <w:rPr>
          <w:sz w:val="24"/>
        </w:rPr>
        <w:t>0-5,</w:t>
      </w:r>
      <w:r>
        <w:rPr>
          <w:spacing w:val="-1"/>
          <w:sz w:val="24"/>
        </w:rPr>
        <w:t> </w:t>
      </w:r>
      <w:r>
        <w:rPr>
          <w:sz w:val="24"/>
        </w:rPr>
        <w:t>6-18</w:t>
      </w:r>
      <w:r>
        <w:rPr>
          <w:spacing w:val="2"/>
          <w:sz w:val="24"/>
        </w:rPr>
        <w:t> </w:t>
      </w:r>
      <w:r>
        <w:rPr>
          <w:sz w:val="24"/>
        </w:rPr>
        <w:t>and</w:t>
      </w:r>
      <w:r>
        <w:rPr>
          <w:spacing w:val="-1"/>
          <w:sz w:val="24"/>
        </w:rPr>
        <w:t> </w:t>
      </w:r>
      <w:r>
        <w:rPr>
          <w:sz w:val="24"/>
        </w:rPr>
        <w:t>adult</w:t>
      </w:r>
      <w:r>
        <w:rPr>
          <w:spacing w:val="-1"/>
          <w:sz w:val="24"/>
        </w:rPr>
        <w:t> </w:t>
      </w:r>
      <w:r>
        <w:rPr>
          <w:sz w:val="24"/>
        </w:rPr>
        <w:t>(above</w:t>
      </w:r>
      <w:r>
        <w:rPr>
          <w:spacing w:val="-2"/>
          <w:sz w:val="24"/>
        </w:rPr>
        <w:t> </w:t>
      </w:r>
      <w:r>
        <w:rPr>
          <w:sz w:val="24"/>
        </w:rPr>
        <w:t>18</w:t>
      </w:r>
      <w:r>
        <w:rPr>
          <w:spacing w:val="4"/>
          <w:sz w:val="24"/>
        </w:rPr>
        <w:t> </w:t>
      </w:r>
      <w:r>
        <w:rPr>
          <w:spacing w:val="-2"/>
          <w:sz w:val="24"/>
        </w:rPr>
        <w:t>years))</w:t>
      </w:r>
    </w:p>
    <w:p>
      <w:pPr>
        <w:pStyle w:val="BodyText"/>
      </w:pPr>
    </w:p>
    <w:p>
      <w:pPr>
        <w:pStyle w:val="ListParagraph"/>
        <w:numPr>
          <w:ilvl w:val="0"/>
          <w:numId w:val="14"/>
        </w:numPr>
        <w:tabs>
          <w:tab w:pos="979" w:val="left" w:leader="none"/>
        </w:tabs>
        <w:spacing w:line="240" w:lineRule="auto" w:before="0" w:after="0"/>
        <w:ind w:left="979" w:right="0" w:hanging="359"/>
        <w:jc w:val="left"/>
        <w:rPr>
          <w:sz w:val="24"/>
        </w:rPr>
      </w:pPr>
      <w:r>
        <w:rPr>
          <w:sz w:val="24"/>
        </w:rPr>
        <w:t>Sex</w:t>
      </w:r>
      <w:r>
        <w:rPr>
          <w:spacing w:val="1"/>
          <w:sz w:val="24"/>
        </w:rPr>
        <w:t> </w:t>
      </w:r>
      <w:r>
        <w:rPr>
          <w:spacing w:val="-2"/>
          <w:sz w:val="24"/>
        </w:rPr>
        <w:t>(male/female)</w:t>
      </w:r>
    </w:p>
    <w:p>
      <w:pPr>
        <w:pStyle w:val="BodyText"/>
        <w:spacing w:before="1"/>
      </w:pPr>
    </w:p>
    <w:p>
      <w:pPr>
        <w:pStyle w:val="ListParagraph"/>
        <w:numPr>
          <w:ilvl w:val="0"/>
          <w:numId w:val="14"/>
        </w:numPr>
        <w:tabs>
          <w:tab w:pos="979" w:val="left" w:leader="none"/>
        </w:tabs>
        <w:spacing w:line="240" w:lineRule="auto" w:before="0" w:after="0"/>
        <w:ind w:left="979" w:right="0" w:hanging="359"/>
        <w:jc w:val="left"/>
        <w:rPr>
          <w:sz w:val="24"/>
        </w:rPr>
      </w:pPr>
      <w:r>
        <w:rPr>
          <w:sz w:val="24"/>
        </w:rPr>
        <w:t>Occupation</w:t>
      </w:r>
      <w:r>
        <w:rPr>
          <w:spacing w:val="-4"/>
          <w:sz w:val="24"/>
        </w:rPr>
        <w:t> </w:t>
      </w:r>
      <w:r>
        <w:rPr>
          <w:sz w:val="24"/>
        </w:rPr>
        <w:t>(student,</w:t>
      </w:r>
      <w:r>
        <w:rPr>
          <w:spacing w:val="1"/>
          <w:sz w:val="24"/>
        </w:rPr>
        <w:t> </w:t>
      </w:r>
      <w:r>
        <w:rPr>
          <w:sz w:val="24"/>
        </w:rPr>
        <w:t>civil</w:t>
      </w:r>
      <w:r>
        <w:rPr>
          <w:spacing w:val="-1"/>
          <w:sz w:val="24"/>
        </w:rPr>
        <w:t> </w:t>
      </w:r>
      <w:r>
        <w:rPr>
          <w:sz w:val="24"/>
        </w:rPr>
        <w:t>servant,</w:t>
      </w:r>
      <w:r>
        <w:rPr>
          <w:spacing w:val="-1"/>
          <w:sz w:val="24"/>
        </w:rPr>
        <w:t> </w:t>
      </w:r>
      <w:r>
        <w:rPr>
          <w:sz w:val="24"/>
        </w:rPr>
        <w:t>business,</w:t>
      </w:r>
      <w:r>
        <w:rPr>
          <w:spacing w:val="-1"/>
          <w:sz w:val="24"/>
        </w:rPr>
        <w:t> </w:t>
      </w:r>
      <w:r>
        <w:rPr>
          <w:sz w:val="24"/>
        </w:rPr>
        <w:t>housewife</w:t>
      </w:r>
      <w:r>
        <w:rPr>
          <w:spacing w:val="-3"/>
          <w:sz w:val="24"/>
        </w:rPr>
        <w:t> </w:t>
      </w:r>
      <w:r>
        <w:rPr>
          <w:sz w:val="24"/>
        </w:rPr>
        <w:t>and</w:t>
      </w:r>
      <w:r>
        <w:rPr>
          <w:spacing w:val="-1"/>
          <w:sz w:val="24"/>
        </w:rPr>
        <w:t> </w:t>
      </w:r>
      <w:r>
        <w:rPr>
          <w:spacing w:val="-2"/>
          <w:sz w:val="24"/>
        </w:rPr>
        <w:t>unknown)</w:t>
      </w:r>
    </w:p>
    <w:p>
      <w:pPr>
        <w:pStyle w:val="BodyText"/>
      </w:pPr>
    </w:p>
    <w:p>
      <w:pPr>
        <w:pStyle w:val="ListParagraph"/>
        <w:numPr>
          <w:ilvl w:val="0"/>
          <w:numId w:val="14"/>
        </w:numPr>
        <w:tabs>
          <w:tab w:pos="979" w:val="left" w:leader="none"/>
        </w:tabs>
        <w:spacing w:line="240" w:lineRule="auto" w:before="0" w:after="0"/>
        <w:ind w:left="979" w:right="0" w:hanging="359"/>
        <w:jc w:val="left"/>
        <w:rPr>
          <w:sz w:val="24"/>
        </w:rPr>
      </w:pPr>
      <w:r>
        <w:rPr>
          <w:sz w:val="24"/>
        </w:rPr>
        <w:t>Antimalarial</w:t>
      </w:r>
      <w:r>
        <w:rPr>
          <w:spacing w:val="-3"/>
          <w:sz w:val="24"/>
        </w:rPr>
        <w:t> </w:t>
      </w:r>
      <w:r>
        <w:rPr>
          <w:sz w:val="24"/>
        </w:rPr>
        <w:t>drugs</w:t>
      </w:r>
      <w:r>
        <w:rPr>
          <w:spacing w:val="-2"/>
          <w:sz w:val="24"/>
        </w:rPr>
        <w:t> prescribed</w:t>
      </w:r>
    </w:p>
    <w:p>
      <w:pPr>
        <w:pStyle w:val="BodyText"/>
      </w:pPr>
    </w:p>
    <w:p>
      <w:pPr>
        <w:pStyle w:val="BodyText"/>
        <w:spacing w:before="2"/>
      </w:pPr>
    </w:p>
    <w:p>
      <w:pPr>
        <w:pStyle w:val="BodyText"/>
        <w:spacing w:line="480" w:lineRule="auto"/>
        <w:ind w:left="260" w:right="855"/>
      </w:pPr>
      <w:r>
        <w:rPr/>
        <w:t>The</w:t>
      </w:r>
      <w:r>
        <w:rPr>
          <w:spacing w:val="40"/>
        </w:rPr>
        <w:t> </w:t>
      </w:r>
      <w:r>
        <w:rPr/>
        <w:t>format</w:t>
      </w:r>
      <w:r>
        <w:rPr>
          <w:spacing w:val="40"/>
        </w:rPr>
        <w:t> </w:t>
      </w:r>
      <w:r>
        <w:rPr/>
        <w:t>of</w:t>
      </w:r>
      <w:r>
        <w:rPr>
          <w:spacing w:val="40"/>
        </w:rPr>
        <w:t> </w:t>
      </w:r>
      <w:r>
        <w:rPr/>
        <w:t>the</w:t>
      </w:r>
      <w:r>
        <w:rPr>
          <w:spacing w:val="40"/>
        </w:rPr>
        <w:t> </w:t>
      </w:r>
      <w:r>
        <w:rPr/>
        <w:t>data</w:t>
      </w:r>
      <w:r>
        <w:rPr>
          <w:spacing w:val="40"/>
        </w:rPr>
        <w:t> </w:t>
      </w:r>
      <w:r>
        <w:rPr/>
        <w:t>sheet</w:t>
      </w:r>
      <w:r>
        <w:rPr>
          <w:spacing w:val="40"/>
        </w:rPr>
        <w:t> </w:t>
      </w:r>
      <w:r>
        <w:rPr/>
        <w:t>is</w:t>
      </w:r>
      <w:r>
        <w:rPr>
          <w:spacing w:val="40"/>
        </w:rPr>
        <w:t> </w:t>
      </w:r>
      <w:r>
        <w:rPr/>
        <w:t>shown</w:t>
      </w:r>
      <w:r>
        <w:rPr>
          <w:spacing w:val="40"/>
        </w:rPr>
        <w:t> </w:t>
      </w:r>
      <w:r>
        <w:rPr/>
        <w:t>in</w:t>
      </w:r>
      <w:r>
        <w:rPr>
          <w:spacing w:val="40"/>
        </w:rPr>
        <w:t> </w:t>
      </w:r>
      <w:r>
        <w:rPr/>
        <w:t>Appendix</w:t>
      </w:r>
      <w:r>
        <w:rPr>
          <w:spacing w:val="40"/>
        </w:rPr>
        <w:t> </w:t>
      </w:r>
      <w:r>
        <w:rPr/>
        <w:t>II.</w:t>
      </w:r>
      <w:r>
        <w:rPr>
          <w:spacing w:val="40"/>
        </w:rPr>
        <w:t> </w:t>
      </w:r>
      <w:r>
        <w:rPr/>
        <w:t>The</w:t>
      </w:r>
      <w:r>
        <w:rPr>
          <w:spacing w:val="40"/>
        </w:rPr>
        <w:t> </w:t>
      </w:r>
      <w:r>
        <w:rPr/>
        <w:t>records</w:t>
      </w:r>
      <w:r>
        <w:rPr>
          <w:spacing w:val="40"/>
        </w:rPr>
        <w:t> </w:t>
      </w:r>
      <w:r>
        <w:rPr/>
        <w:t>were</w:t>
      </w:r>
      <w:r>
        <w:rPr>
          <w:spacing w:val="40"/>
        </w:rPr>
        <w:t> </w:t>
      </w:r>
      <w:r>
        <w:rPr/>
        <w:t>analysed</w:t>
      </w:r>
      <w:r>
        <w:rPr>
          <w:spacing w:val="40"/>
        </w:rPr>
        <w:t> </w:t>
      </w:r>
      <w:r>
        <w:rPr/>
        <w:t>using frequency analysis.</w:t>
      </w:r>
    </w:p>
    <w:p>
      <w:pPr>
        <w:pStyle w:val="BodyText"/>
      </w:pPr>
    </w:p>
    <w:p>
      <w:pPr>
        <w:pStyle w:val="BodyText"/>
        <w:spacing w:before="5"/>
      </w:pPr>
    </w:p>
    <w:p>
      <w:pPr>
        <w:pStyle w:val="ListParagraph"/>
        <w:numPr>
          <w:ilvl w:val="2"/>
          <w:numId w:val="12"/>
        </w:numPr>
        <w:tabs>
          <w:tab w:pos="800" w:val="left" w:leader="none"/>
        </w:tabs>
        <w:spacing w:line="240" w:lineRule="auto" w:before="0" w:after="0"/>
        <w:ind w:left="800" w:right="0" w:hanging="540"/>
        <w:jc w:val="left"/>
        <w:rPr>
          <w:b/>
          <w:sz w:val="24"/>
        </w:rPr>
      </w:pPr>
      <w:r>
        <w:rPr>
          <w:b/>
          <w:sz w:val="24"/>
        </w:rPr>
        <w:t>Profile</w:t>
      </w:r>
      <w:r>
        <w:rPr>
          <w:b/>
          <w:spacing w:val="-3"/>
          <w:sz w:val="24"/>
        </w:rPr>
        <w:t> </w:t>
      </w:r>
      <w:r>
        <w:rPr>
          <w:b/>
          <w:sz w:val="24"/>
        </w:rPr>
        <w:t>of</w:t>
      </w:r>
      <w:r>
        <w:rPr>
          <w:b/>
          <w:spacing w:val="1"/>
          <w:sz w:val="24"/>
        </w:rPr>
        <w:t> </w:t>
      </w:r>
      <w:r>
        <w:rPr>
          <w:b/>
          <w:i/>
          <w:sz w:val="24"/>
        </w:rPr>
        <w:t>Plasmodium</w:t>
      </w:r>
      <w:r>
        <w:rPr>
          <w:b/>
          <w:i/>
          <w:spacing w:val="1"/>
          <w:sz w:val="24"/>
        </w:rPr>
        <w:t> </w:t>
      </w:r>
      <w:r>
        <w:rPr>
          <w:b/>
          <w:sz w:val="24"/>
        </w:rPr>
        <w:t>species</w:t>
      </w:r>
      <w:r>
        <w:rPr>
          <w:b/>
          <w:spacing w:val="-1"/>
          <w:sz w:val="24"/>
        </w:rPr>
        <w:t> </w:t>
      </w:r>
      <w:r>
        <w:rPr>
          <w:b/>
          <w:spacing w:val="-2"/>
          <w:sz w:val="24"/>
        </w:rPr>
        <w:t>isolates</w:t>
      </w:r>
    </w:p>
    <w:p>
      <w:pPr>
        <w:pStyle w:val="BodyText"/>
        <w:spacing w:line="552" w:lineRule="exact" w:before="55"/>
        <w:ind w:left="260" w:right="855"/>
      </w:pPr>
      <w:r>
        <w:rPr/>
        <w:t>A</w:t>
      </w:r>
      <w:r>
        <w:rPr>
          <w:spacing w:val="-1"/>
        </w:rPr>
        <w:t> </w:t>
      </w:r>
      <w:r>
        <w:rPr/>
        <w:t>total of 160 patients (aged between 1-70 years) who</w:t>
      </w:r>
      <w:r>
        <w:rPr>
          <w:spacing w:val="-1"/>
        </w:rPr>
        <w:t> </w:t>
      </w:r>
      <w:r>
        <w:rPr/>
        <w:t>reported to the</w:t>
      </w:r>
      <w:r>
        <w:rPr>
          <w:spacing w:val="-1"/>
        </w:rPr>
        <w:t> </w:t>
      </w:r>
      <w:r>
        <w:rPr/>
        <w:t>hospital with history</w:t>
      </w:r>
      <w:r>
        <w:rPr>
          <w:spacing w:val="-3"/>
        </w:rPr>
        <w:t> </w:t>
      </w:r>
      <w:r>
        <w:rPr/>
        <w:t>of fever</w:t>
      </w:r>
      <w:r>
        <w:rPr>
          <w:spacing w:val="12"/>
        </w:rPr>
        <w:t> </w:t>
      </w:r>
      <w:r>
        <w:rPr/>
        <w:t>(axiliary</w:t>
      </w:r>
      <w:r>
        <w:rPr>
          <w:spacing w:val="7"/>
        </w:rPr>
        <w:t> </w:t>
      </w:r>
      <w:r>
        <w:rPr/>
        <w:t>temperature</w:t>
      </w:r>
      <w:r>
        <w:rPr>
          <w:spacing w:val="10"/>
        </w:rPr>
        <w:t> </w:t>
      </w:r>
      <w:r>
        <w:rPr/>
        <w:t>&gt;</w:t>
      </w:r>
      <w:r>
        <w:rPr>
          <w:spacing w:val="12"/>
        </w:rPr>
        <w:t> </w:t>
      </w:r>
      <w:r>
        <w:rPr/>
        <w:t>37.5°C)</w:t>
      </w:r>
      <w:r>
        <w:rPr>
          <w:spacing w:val="11"/>
        </w:rPr>
        <w:t> </w:t>
      </w:r>
      <w:r>
        <w:rPr/>
        <w:t>were</w:t>
      </w:r>
      <w:r>
        <w:rPr>
          <w:spacing w:val="12"/>
        </w:rPr>
        <w:t> </w:t>
      </w:r>
      <w:r>
        <w:rPr/>
        <w:t>enrolled</w:t>
      </w:r>
      <w:r>
        <w:rPr>
          <w:spacing w:val="11"/>
        </w:rPr>
        <w:t> </w:t>
      </w:r>
      <w:r>
        <w:rPr/>
        <w:t>in</w:t>
      </w:r>
      <w:r>
        <w:rPr>
          <w:spacing w:val="12"/>
        </w:rPr>
        <w:t> </w:t>
      </w:r>
      <w:r>
        <w:rPr/>
        <w:t>this</w:t>
      </w:r>
      <w:r>
        <w:rPr>
          <w:spacing w:val="12"/>
        </w:rPr>
        <w:t> </w:t>
      </w:r>
      <w:r>
        <w:rPr/>
        <w:t>part</w:t>
      </w:r>
      <w:r>
        <w:rPr>
          <w:spacing w:val="11"/>
        </w:rPr>
        <w:t> </w:t>
      </w:r>
      <w:r>
        <w:rPr/>
        <w:t>of</w:t>
      </w:r>
      <w:r>
        <w:rPr>
          <w:spacing w:val="11"/>
        </w:rPr>
        <w:t> </w:t>
      </w:r>
      <w:r>
        <w:rPr/>
        <w:t>the</w:t>
      </w:r>
      <w:r>
        <w:rPr>
          <w:spacing w:val="11"/>
        </w:rPr>
        <w:t> </w:t>
      </w:r>
      <w:r>
        <w:rPr/>
        <w:t>study.</w:t>
      </w:r>
      <w:r>
        <w:rPr>
          <w:spacing w:val="11"/>
        </w:rPr>
        <w:t> </w:t>
      </w:r>
      <w:r>
        <w:rPr/>
        <w:t>Each</w:t>
      </w:r>
      <w:r>
        <w:rPr>
          <w:spacing w:val="11"/>
        </w:rPr>
        <w:t> </w:t>
      </w:r>
      <w:r>
        <w:rPr/>
        <w:t>age</w:t>
      </w:r>
      <w:r>
        <w:rPr>
          <w:spacing w:val="13"/>
        </w:rPr>
        <w:t> </w:t>
      </w:r>
      <w:r>
        <w:rPr>
          <w:spacing w:val="-2"/>
        </w:rPr>
        <w:t>group</w:t>
      </w:r>
    </w:p>
    <w:p>
      <w:pPr>
        <w:spacing w:after="0" w:line="552" w:lineRule="exact"/>
        <w:sectPr>
          <w:pgSz w:w="11910" w:h="16840"/>
          <w:pgMar w:header="0" w:footer="1254" w:top="1340" w:bottom="1440" w:left="1180" w:right="580"/>
        </w:sectPr>
      </w:pPr>
    </w:p>
    <w:p>
      <w:pPr>
        <w:pStyle w:val="BodyText"/>
        <w:spacing w:line="480" w:lineRule="auto" w:before="74"/>
        <w:ind w:left="260" w:right="856"/>
        <w:jc w:val="both"/>
      </w:pPr>
      <w:r>
        <w:rPr/>
        <w:t>(0 – 5 years, 6 – 18 years, 19 – 30 years and above 30 years) had 40 patients (20 male and 20 females). The blood samples were collected and tested for the presence and type of </w:t>
      </w:r>
      <w:r>
        <w:rPr>
          <w:i/>
        </w:rPr>
        <w:t>Plasmodium </w:t>
      </w:r>
      <w:r>
        <w:rPr/>
        <w:t>species. This study was carried out between March and July 2014.</w:t>
      </w:r>
    </w:p>
    <w:p>
      <w:pPr>
        <w:pStyle w:val="BodyText"/>
      </w:pPr>
    </w:p>
    <w:p>
      <w:pPr>
        <w:pStyle w:val="BodyText"/>
        <w:spacing w:before="4"/>
      </w:pPr>
    </w:p>
    <w:p>
      <w:pPr>
        <w:pStyle w:val="Heading2"/>
        <w:numPr>
          <w:ilvl w:val="2"/>
          <w:numId w:val="12"/>
        </w:numPr>
        <w:tabs>
          <w:tab w:pos="800" w:val="left" w:leader="none"/>
        </w:tabs>
        <w:spacing w:line="240" w:lineRule="auto" w:before="1" w:after="0"/>
        <w:ind w:left="800" w:right="0" w:hanging="540"/>
        <w:jc w:val="both"/>
      </w:pPr>
      <w:r>
        <w:rPr/>
        <w:t>Patient</w:t>
      </w:r>
      <w:r>
        <w:rPr>
          <w:spacing w:val="-2"/>
        </w:rPr>
        <w:t> </w:t>
      </w:r>
      <w:r>
        <w:rPr/>
        <w:t>and</w:t>
      </w:r>
      <w:r>
        <w:rPr>
          <w:spacing w:val="-1"/>
        </w:rPr>
        <w:t> </w:t>
      </w:r>
      <w:r>
        <w:rPr/>
        <w:t>Study</w:t>
      </w:r>
      <w:r>
        <w:rPr>
          <w:spacing w:val="-3"/>
        </w:rPr>
        <w:t> </w:t>
      </w:r>
      <w:r>
        <w:rPr>
          <w:spacing w:val="-2"/>
        </w:rPr>
        <w:t>Protocol</w:t>
      </w:r>
    </w:p>
    <w:p>
      <w:pPr>
        <w:pStyle w:val="BodyText"/>
        <w:spacing w:line="480" w:lineRule="auto" w:before="271"/>
        <w:ind w:left="260" w:right="851"/>
        <w:jc w:val="both"/>
      </w:pPr>
      <w:r>
        <w:rPr/>
        <w:t>Blood samples were collected, with the assistance of Medical laboratory scientists, from patients attending the hospital. About 350 male and female patients (aged between 1-70</w:t>
      </w:r>
      <w:r>
        <w:rPr>
          <w:spacing w:val="40"/>
        </w:rPr>
        <w:t> </w:t>
      </w:r>
      <w:r>
        <w:rPr/>
        <w:t>years) who reported to the hospital with history</w:t>
      </w:r>
      <w:r>
        <w:rPr>
          <w:spacing w:val="-4"/>
        </w:rPr>
        <w:t> </w:t>
      </w:r>
      <w:r>
        <w:rPr/>
        <w:t>of fever (axiliary</w:t>
      </w:r>
      <w:r>
        <w:rPr>
          <w:spacing w:val="-4"/>
        </w:rPr>
        <w:t> </w:t>
      </w:r>
      <w:r>
        <w:rPr/>
        <w:t>temperature &gt; 37.5°C) were enrolled after determining the level parasitemia. The patients reported not to have taken any antimalarial medication during the preceding four weeks. Informed consent was obtained from the patients or, in case of children, from their parents. All patients that had mono infection with </w:t>
      </w:r>
      <w:r>
        <w:rPr>
          <w:i/>
        </w:rPr>
        <w:t>P. falciparum </w:t>
      </w:r>
      <w:r>
        <w:rPr/>
        <w:t>and parasitaemia level being &gt;1000 - &lt; 80,000 asexual parasites per µl of blood were then used for the </w:t>
      </w:r>
      <w:r>
        <w:rPr>
          <w:i/>
        </w:rPr>
        <w:t>in vitro </w:t>
      </w:r>
      <w:r>
        <w:rPr/>
        <w:t>study (WHO, 2001). This part of the research lasted from September 2014 to August 2015. All patients that have taken antimalarial drugs within 2 weeks preceding the study, or with any other symptoms or signs of non-malaria etiology were excluded from the study.</w:t>
      </w:r>
    </w:p>
    <w:p>
      <w:pPr>
        <w:pStyle w:val="BodyText"/>
      </w:pPr>
    </w:p>
    <w:p>
      <w:pPr>
        <w:pStyle w:val="BodyText"/>
        <w:spacing w:before="7"/>
      </w:pPr>
    </w:p>
    <w:p>
      <w:pPr>
        <w:pStyle w:val="ListParagraph"/>
        <w:numPr>
          <w:ilvl w:val="2"/>
          <w:numId w:val="12"/>
        </w:numPr>
        <w:tabs>
          <w:tab w:pos="859" w:val="left" w:leader="none"/>
        </w:tabs>
        <w:spacing w:line="240" w:lineRule="auto" w:before="0" w:after="0"/>
        <w:ind w:left="859" w:right="0" w:hanging="599"/>
        <w:jc w:val="both"/>
        <w:rPr>
          <w:b/>
          <w:sz w:val="24"/>
        </w:rPr>
      </w:pPr>
      <w:r>
        <w:rPr>
          <w:b/>
          <w:sz w:val="24"/>
        </w:rPr>
        <w:t>Performance</w:t>
      </w:r>
      <w:r>
        <w:rPr>
          <w:b/>
          <w:spacing w:val="-4"/>
          <w:sz w:val="24"/>
        </w:rPr>
        <w:t> </w:t>
      </w:r>
      <w:r>
        <w:rPr>
          <w:b/>
          <w:sz w:val="24"/>
        </w:rPr>
        <w:t>of</w:t>
      </w:r>
      <w:r>
        <w:rPr>
          <w:b/>
          <w:spacing w:val="-1"/>
          <w:sz w:val="24"/>
        </w:rPr>
        <w:t> </w:t>
      </w:r>
      <w:r>
        <w:rPr>
          <w:b/>
          <w:sz w:val="24"/>
        </w:rPr>
        <w:t>the</w:t>
      </w:r>
      <w:r>
        <w:rPr>
          <w:b/>
          <w:spacing w:val="-1"/>
          <w:sz w:val="24"/>
        </w:rPr>
        <w:t> </w:t>
      </w:r>
      <w:r>
        <w:rPr>
          <w:b/>
          <w:i/>
          <w:sz w:val="24"/>
        </w:rPr>
        <w:t>in</w:t>
      </w:r>
      <w:r>
        <w:rPr>
          <w:b/>
          <w:i/>
          <w:spacing w:val="-1"/>
          <w:sz w:val="24"/>
        </w:rPr>
        <w:t> </w:t>
      </w:r>
      <w:r>
        <w:rPr>
          <w:b/>
          <w:i/>
          <w:sz w:val="24"/>
        </w:rPr>
        <w:t>vitro</w:t>
      </w:r>
      <w:r>
        <w:rPr>
          <w:b/>
          <w:i/>
          <w:spacing w:val="-2"/>
          <w:sz w:val="24"/>
        </w:rPr>
        <w:t> </w:t>
      </w:r>
      <w:r>
        <w:rPr>
          <w:b/>
          <w:sz w:val="24"/>
        </w:rPr>
        <w:t>micro-</w:t>
      </w:r>
      <w:r>
        <w:rPr>
          <w:b/>
          <w:spacing w:val="-4"/>
          <w:sz w:val="24"/>
        </w:rPr>
        <w:t>test</w:t>
      </w:r>
    </w:p>
    <w:p>
      <w:pPr>
        <w:pStyle w:val="ListParagraph"/>
        <w:numPr>
          <w:ilvl w:val="3"/>
          <w:numId w:val="12"/>
        </w:numPr>
        <w:tabs>
          <w:tab w:pos="1097" w:val="left" w:leader="none"/>
        </w:tabs>
        <w:spacing w:line="480" w:lineRule="auto" w:before="271" w:after="0"/>
        <w:ind w:left="260" w:right="854" w:firstLine="0"/>
        <w:jc w:val="both"/>
        <w:rPr>
          <w:sz w:val="24"/>
        </w:rPr>
      </w:pPr>
      <w:r>
        <w:rPr>
          <w:b/>
          <w:i/>
          <w:sz w:val="24"/>
        </w:rPr>
        <w:t>Antimalarial drug dilutions and preparation of plates</w:t>
      </w:r>
      <w:r>
        <w:rPr>
          <w:b/>
          <w:sz w:val="24"/>
        </w:rPr>
        <w:t>. </w:t>
      </w:r>
      <w:r>
        <w:rPr>
          <w:sz w:val="24"/>
        </w:rPr>
        <w:t>Stock solutions of antimalarial drugs, viz: Chloroquine, Amodiaquine and Artesunate, and a combination of Artesunate-Amodiaquine were</w:t>
      </w:r>
      <w:r>
        <w:rPr>
          <w:spacing w:val="-2"/>
          <w:sz w:val="24"/>
        </w:rPr>
        <w:t> </w:t>
      </w:r>
      <w:r>
        <w:rPr>
          <w:sz w:val="24"/>
        </w:rPr>
        <w:t>prepared in appropriate solvents (Appendix III). The</w:t>
      </w:r>
      <w:r>
        <w:rPr>
          <w:spacing w:val="-1"/>
          <w:sz w:val="24"/>
        </w:rPr>
        <w:t> </w:t>
      </w:r>
      <w:r>
        <w:rPr>
          <w:sz w:val="24"/>
        </w:rPr>
        <w:t>solutions were then filtered with 0.22 µm membrane filter (Millipore) aseptically. Further dilution of each drug was made to obtain a working solution of desired concentrations. From the</w:t>
      </w:r>
      <w:r>
        <w:rPr>
          <w:spacing w:val="40"/>
          <w:sz w:val="24"/>
        </w:rPr>
        <w:t> </w:t>
      </w:r>
      <w:r>
        <w:rPr>
          <w:sz w:val="24"/>
        </w:rPr>
        <w:t>working</w:t>
      </w:r>
      <w:r>
        <w:rPr>
          <w:spacing w:val="-1"/>
          <w:sz w:val="24"/>
        </w:rPr>
        <w:t> </w:t>
      </w:r>
      <w:r>
        <w:rPr>
          <w:sz w:val="24"/>
        </w:rPr>
        <w:t>solutions, seven two fold dilutions</w:t>
      </w:r>
      <w:r>
        <w:rPr>
          <w:spacing w:val="-1"/>
          <w:sz w:val="24"/>
        </w:rPr>
        <w:t> </w:t>
      </w:r>
      <w:r>
        <w:rPr>
          <w:sz w:val="24"/>
        </w:rPr>
        <w:t>of each drug</w:t>
      </w:r>
      <w:r>
        <w:rPr>
          <w:spacing w:val="-1"/>
          <w:sz w:val="24"/>
        </w:rPr>
        <w:t> </w:t>
      </w:r>
      <w:r>
        <w:rPr>
          <w:sz w:val="24"/>
        </w:rPr>
        <w:t>were made and used to dose 96-well flat</w:t>
      </w:r>
      <w:r>
        <w:rPr>
          <w:spacing w:val="8"/>
          <w:sz w:val="24"/>
        </w:rPr>
        <w:t> </w:t>
      </w:r>
      <w:r>
        <w:rPr>
          <w:sz w:val="24"/>
        </w:rPr>
        <w:t>bottom</w:t>
      </w:r>
      <w:r>
        <w:rPr>
          <w:spacing w:val="9"/>
          <w:sz w:val="24"/>
        </w:rPr>
        <w:t> </w:t>
      </w:r>
      <w:r>
        <w:rPr>
          <w:sz w:val="24"/>
        </w:rPr>
        <w:t>micro</w:t>
      </w:r>
      <w:r>
        <w:rPr>
          <w:spacing w:val="8"/>
          <w:sz w:val="24"/>
        </w:rPr>
        <w:t> </w:t>
      </w:r>
      <w:r>
        <w:rPr>
          <w:sz w:val="24"/>
        </w:rPr>
        <w:t>culture</w:t>
      </w:r>
      <w:r>
        <w:rPr>
          <w:spacing w:val="9"/>
          <w:sz w:val="24"/>
        </w:rPr>
        <w:t> </w:t>
      </w:r>
      <w:r>
        <w:rPr>
          <w:sz w:val="24"/>
        </w:rPr>
        <w:t>plates</w:t>
      </w:r>
      <w:r>
        <w:rPr>
          <w:spacing w:val="52"/>
          <w:w w:val="150"/>
          <w:sz w:val="24"/>
        </w:rPr>
        <w:t> </w:t>
      </w:r>
      <w:r>
        <w:rPr>
          <w:sz w:val="24"/>
        </w:rPr>
        <w:t>and</w:t>
      </w:r>
      <w:r>
        <w:rPr>
          <w:spacing w:val="8"/>
          <w:sz w:val="24"/>
        </w:rPr>
        <w:t> </w:t>
      </w:r>
      <w:r>
        <w:rPr>
          <w:sz w:val="24"/>
        </w:rPr>
        <w:t>left</w:t>
      </w:r>
      <w:r>
        <w:rPr>
          <w:spacing w:val="9"/>
          <w:sz w:val="24"/>
        </w:rPr>
        <w:t> </w:t>
      </w:r>
      <w:r>
        <w:rPr>
          <w:sz w:val="24"/>
        </w:rPr>
        <w:t>to</w:t>
      </w:r>
      <w:r>
        <w:rPr>
          <w:spacing w:val="9"/>
          <w:sz w:val="24"/>
        </w:rPr>
        <w:t> </w:t>
      </w:r>
      <w:r>
        <w:rPr>
          <w:sz w:val="24"/>
        </w:rPr>
        <w:t>dry</w:t>
      </w:r>
      <w:r>
        <w:rPr>
          <w:spacing w:val="5"/>
          <w:sz w:val="24"/>
        </w:rPr>
        <w:t> </w:t>
      </w:r>
      <w:r>
        <w:rPr>
          <w:sz w:val="24"/>
        </w:rPr>
        <w:t>in</w:t>
      </w:r>
      <w:r>
        <w:rPr>
          <w:spacing w:val="12"/>
          <w:sz w:val="24"/>
        </w:rPr>
        <w:t> </w:t>
      </w:r>
      <w:r>
        <w:rPr>
          <w:sz w:val="24"/>
        </w:rPr>
        <w:t>an</w:t>
      </w:r>
      <w:r>
        <w:rPr>
          <w:spacing w:val="9"/>
          <w:sz w:val="24"/>
        </w:rPr>
        <w:t> </w:t>
      </w:r>
      <w:r>
        <w:rPr>
          <w:sz w:val="24"/>
        </w:rPr>
        <w:t>incubator</w:t>
      </w:r>
      <w:r>
        <w:rPr>
          <w:spacing w:val="10"/>
          <w:sz w:val="24"/>
        </w:rPr>
        <w:t> </w:t>
      </w:r>
      <w:r>
        <w:rPr>
          <w:sz w:val="24"/>
        </w:rPr>
        <w:t>at</w:t>
      </w:r>
      <w:r>
        <w:rPr>
          <w:spacing w:val="9"/>
          <w:sz w:val="24"/>
        </w:rPr>
        <w:t> </w:t>
      </w:r>
      <w:r>
        <w:rPr>
          <w:sz w:val="24"/>
        </w:rPr>
        <w:t>37°C</w:t>
      </w:r>
      <w:r>
        <w:rPr>
          <w:spacing w:val="9"/>
          <w:sz w:val="24"/>
        </w:rPr>
        <w:t> </w:t>
      </w:r>
      <w:r>
        <w:rPr>
          <w:sz w:val="24"/>
        </w:rPr>
        <w:t>(Russel</w:t>
      </w:r>
      <w:r>
        <w:rPr>
          <w:spacing w:val="11"/>
          <w:sz w:val="24"/>
        </w:rPr>
        <w:t> </w:t>
      </w:r>
      <w:r>
        <w:rPr>
          <w:i/>
          <w:sz w:val="24"/>
        </w:rPr>
        <w:t>et</w:t>
      </w:r>
      <w:r>
        <w:rPr>
          <w:i/>
          <w:spacing w:val="9"/>
          <w:sz w:val="24"/>
        </w:rPr>
        <w:t> </w:t>
      </w:r>
      <w:r>
        <w:rPr>
          <w:i/>
          <w:sz w:val="24"/>
        </w:rPr>
        <w:t>al</w:t>
      </w:r>
      <w:r>
        <w:rPr>
          <w:sz w:val="24"/>
        </w:rPr>
        <w:t>.,</w:t>
      </w:r>
      <w:r>
        <w:rPr>
          <w:spacing w:val="9"/>
          <w:sz w:val="24"/>
        </w:rPr>
        <w:t> </w:t>
      </w:r>
      <w:r>
        <w:rPr>
          <w:spacing w:val="-2"/>
          <w:sz w:val="24"/>
        </w:rPr>
        <w:t>2013).</w:t>
      </w:r>
    </w:p>
    <w:p>
      <w:pPr>
        <w:spacing w:after="0" w:line="480" w:lineRule="auto"/>
        <w:jc w:val="both"/>
        <w:rPr>
          <w:sz w:val="24"/>
        </w:rPr>
        <w:sectPr>
          <w:pgSz w:w="11910" w:h="16840"/>
          <w:pgMar w:header="0" w:footer="1254" w:top="1340" w:bottom="1440" w:left="1180" w:right="580"/>
        </w:sectPr>
      </w:pPr>
    </w:p>
    <w:p>
      <w:pPr>
        <w:pStyle w:val="BodyText"/>
        <w:spacing w:line="480" w:lineRule="auto" w:before="74"/>
        <w:ind w:left="260" w:right="865"/>
        <w:jc w:val="both"/>
      </w:pPr>
      <w:r>
        <w:rPr/>
        <w:t>The 96-micro culture plates (Appendix IV) consists of rows A to H, row A is drug free well while rows B-H represent the drug concentrations.</w:t>
      </w:r>
    </w:p>
    <w:p>
      <w:pPr>
        <w:pStyle w:val="BodyText"/>
        <w:spacing w:before="247"/>
      </w:pPr>
    </w:p>
    <w:p>
      <w:pPr>
        <w:pStyle w:val="ListParagraph"/>
        <w:numPr>
          <w:ilvl w:val="3"/>
          <w:numId w:val="12"/>
        </w:numPr>
        <w:tabs>
          <w:tab w:pos="979" w:val="left" w:leader="none"/>
        </w:tabs>
        <w:spacing w:line="240" w:lineRule="auto" w:before="0" w:after="0"/>
        <w:ind w:left="979" w:right="0" w:hanging="719"/>
        <w:jc w:val="both"/>
        <w:rPr>
          <w:b/>
          <w:sz w:val="24"/>
        </w:rPr>
      </w:pPr>
      <w:r>
        <w:rPr>
          <w:b/>
          <w:i/>
          <w:sz w:val="24"/>
        </w:rPr>
        <w:t>In</w:t>
      </w:r>
      <w:r>
        <w:rPr>
          <w:b/>
          <w:i/>
          <w:spacing w:val="-5"/>
          <w:sz w:val="24"/>
        </w:rPr>
        <w:t> </w:t>
      </w:r>
      <w:r>
        <w:rPr>
          <w:b/>
          <w:i/>
          <w:sz w:val="24"/>
        </w:rPr>
        <w:t>vitro</w:t>
      </w:r>
      <w:r>
        <w:rPr>
          <w:b/>
          <w:i/>
          <w:spacing w:val="-2"/>
          <w:sz w:val="24"/>
        </w:rPr>
        <w:t> </w:t>
      </w:r>
      <w:r>
        <w:rPr>
          <w:b/>
          <w:sz w:val="24"/>
        </w:rPr>
        <w:t>cultivation</w:t>
      </w:r>
      <w:r>
        <w:rPr>
          <w:b/>
          <w:spacing w:val="-2"/>
          <w:sz w:val="24"/>
        </w:rPr>
        <w:t> </w:t>
      </w:r>
      <w:r>
        <w:rPr>
          <w:b/>
          <w:sz w:val="24"/>
        </w:rPr>
        <w:t>of </w:t>
      </w:r>
      <w:r>
        <w:rPr>
          <w:b/>
          <w:i/>
          <w:sz w:val="24"/>
        </w:rPr>
        <w:t>Plasmodium</w:t>
      </w:r>
      <w:r>
        <w:rPr>
          <w:b/>
          <w:i/>
          <w:spacing w:val="1"/>
          <w:sz w:val="24"/>
        </w:rPr>
        <w:t> </w:t>
      </w:r>
      <w:r>
        <w:rPr>
          <w:b/>
          <w:i/>
          <w:sz w:val="24"/>
        </w:rPr>
        <w:t>falciparum</w:t>
      </w:r>
      <w:r>
        <w:rPr>
          <w:b/>
          <w:i/>
          <w:spacing w:val="1"/>
          <w:sz w:val="24"/>
        </w:rPr>
        <w:t> </w:t>
      </w:r>
      <w:r>
        <w:rPr>
          <w:b/>
          <w:sz w:val="24"/>
        </w:rPr>
        <w:t>isolates</w:t>
      </w:r>
      <w:r>
        <w:rPr>
          <w:b/>
          <w:spacing w:val="-2"/>
          <w:sz w:val="24"/>
        </w:rPr>
        <w:t> </w:t>
      </w:r>
      <w:r>
        <w:rPr>
          <w:b/>
          <w:sz w:val="24"/>
        </w:rPr>
        <w:t>and</w:t>
      </w:r>
      <w:r>
        <w:rPr>
          <w:b/>
          <w:spacing w:val="-4"/>
          <w:sz w:val="24"/>
        </w:rPr>
        <w:t> </w:t>
      </w:r>
      <w:r>
        <w:rPr>
          <w:b/>
          <w:sz w:val="24"/>
        </w:rPr>
        <w:t>drug</w:t>
      </w:r>
      <w:r>
        <w:rPr>
          <w:b/>
          <w:spacing w:val="-5"/>
          <w:sz w:val="24"/>
        </w:rPr>
        <w:t> </w:t>
      </w:r>
      <w:r>
        <w:rPr>
          <w:b/>
          <w:sz w:val="24"/>
        </w:rPr>
        <w:t>susceptibility</w:t>
      </w:r>
      <w:r>
        <w:rPr>
          <w:b/>
          <w:spacing w:val="-2"/>
          <w:sz w:val="24"/>
        </w:rPr>
        <w:t> test.</w:t>
      </w:r>
    </w:p>
    <w:p>
      <w:pPr>
        <w:pStyle w:val="BodyText"/>
        <w:spacing w:line="480" w:lineRule="auto" w:before="271"/>
        <w:ind w:left="260" w:right="855"/>
        <w:jc w:val="both"/>
      </w:pPr>
      <w:r>
        <w:rPr/>
        <w:t>For the </w:t>
      </w:r>
      <w:r>
        <w:rPr>
          <w:i/>
        </w:rPr>
        <w:t>in vitro </w:t>
      </w:r>
      <w:r>
        <w:rPr/>
        <w:t>tests, the standard culture techniques by Haynes </w:t>
      </w:r>
      <w:r>
        <w:rPr>
          <w:i/>
        </w:rPr>
        <w:t>et al. </w:t>
      </w:r>
      <w:r>
        <w:rPr/>
        <w:t>(1976) and Trager and Jensen (1976) were applied, while the drug susceptibility test followed the standard</w:t>
      </w:r>
      <w:r>
        <w:rPr>
          <w:spacing w:val="80"/>
        </w:rPr>
        <w:t> </w:t>
      </w:r>
      <w:r>
        <w:rPr/>
        <w:t>procedure for schizont inhibition (WHO, 2001). The whole </w:t>
      </w:r>
      <w:r>
        <w:rPr>
          <w:i/>
        </w:rPr>
        <w:t>in vitro </w:t>
      </w:r>
      <w:r>
        <w:rPr/>
        <w:t>procedure from the beginning was carried out under strict aseptic conditions.</w:t>
      </w:r>
      <w:r>
        <w:rPr>
          <w:spacing w:val="40"/>
        </w:rPr>
        <w:t> </w:t>
      </w:r>
      <w:r>
        <w:rPr/>
        <w:t>Approximately 50 µl of the blood media mixture (1:10 dilution of malaria positive blood) from each patient was transferred to wells on the micro culture plates pre-dosed with varying concentrations of antimalarial drugs using the Eppendorf pipette with a sterile tip. This was done in descending order, starting from well A (control) and ending at well H with the highest concentration of the test drug. One row of 8 wells (A-H) of each test drug was used for individual blood samples. A sterile pipette tip was used each time a new row of wells were to be filled with the Blood-Medium mixture (BMM) in order to avoid contamination of the control well A. Each patient’s serial number was inscribed on the lids of the plates directly over the appropriate column. The plates were closed with the sterile lids and gently agitated to reconstitute the drug deposits. The plates were then placed carefully in an anaerobic jar (with hydrogen gas generator and pellet catalyst).The anaerobic jar was then closed. The jar was then placed in an incubator set at</w:t>
      </w:r>
      <w:r>
        <w:rPr>
          <w:spacing w:val="1"/>
        </w:rPr>
        <w:t> </w:t>
      </w:r>
      <w:r>
        <w:rPr/>
        <w:t>37°C,</w:t>
      </w:r>
      <w:r>
        <w:rPr>
          <w:spacing w:val="2"/>
        </w:rPr>
        <w:t> </w:t>
      </w:r>
      <w:r>
        <w:rPr/>
        <w:t>and</w:t>
      </w:r>
      <w:r>
        <w:rPr>
          <w:spacing w:val="3"/>
        </w:rPr>
        <w:t> </w:t>
      </w:r>
      <w:r>
        <w:rPr/>
        <w:t>incubated</w:t>
      </w:r>
      <w:r>
        <w:rPr>
          <w:spacing w:val="2"/>
        </w:rPr>
        <w:t> </w:t>
      </w:r>
      <w:r>
        <w:rPr/>
        <w:t>for</w:t>
      </w:r>
      <w:r>
        <w:rPr>
          <w:spacing w:val="1"/>
        </w:rPr>
        <w:t> </w:t>
      </w:r>
      <w:r>
        <w:rPr/>
        <w:t>30</w:t>
      </w:r>
      <w:r>
        <w:rPr>
          <w:spacing w:val="1"/>
        </w:rPr>
        <w:t> </w:t>
      </w:r>
      <w:r>
        <w:rPr/>
        <w:t>hours</w:t>
      </w:r>
      <w:r>
        <w:rPr>
          <w:spacing w:val="1"/>
        </w:rPr>
        <w:t> </w:t>
      </w:r>
      <w:r>
        <w:rPr/>
        <w:t>(WHO,</w:t>
      </w:r>
      <w:r>
        <w:rPr>
          <w:spacing w:val="2"/>
        </w:rPr>
        <w:t> </w:t>
      </w:r>
      <w:r>
        <w:rPr/>
        <w:t>2001).</w:t>
      </w:r>
      <w:r>
        <w:rPr>
          <w:spacing w:val="1"/>
        </w:rPr>
        <w:t> </w:t>
      </w:r>
      <w:r>
        <w:rPr/>
        <w:t>At</w:t>
      </w:r>
      <w:r>
        <w:rPr>
          <w:spacing w:val="2"/>
        </w:rPr>
        <w:t> </w:t>
      </w:r>
      <w:r>
        <w:rPr/>
        <w:t>the</w:t>
      </w:r>
      <w:r>
        <w:rPr>
          <w:spacing w:val="1"/>
        </w:rPr>
        <w:t> </w:t>
      </w:r>
      <w:r>
        <w:rPr/>
        <w:t>end</w:t>
      </w:r>
      <w:r>
        <w:rPr>
          <w:spacing w:val="1"/>
        </w:rPr>
        <w:t> </w:t>
      </w:r>
      <w:r>
        <w:rPr/>
        <w:t>of</w:t>
      </w:r>
      <w:r>
        <w:rPr>
          <w:spacing w:val="1"/>
        </w:rPr>
        <w:t> </w:t>
      </w:r>
      <w:r>
        <w:rPr/>
        <w:t>the</w:t>
      </w:r>
      <w:r>
        <w:rPr>
          <w:spacing w:val="1"/>
        </w:rPr>
        <w:t> </w:t>
      </w:r>
      <w:r>
        <w:rPr/>
        <w:t>incubation</w:t>
      </w:r>
      <w:r>
        <w:rPr>
          <w:spacing w:val="2"/>
        </w:rPr>
        <w:t> </w:t>
      </w:r>
      <w:r>
        <w:rPr/>
        <w:t>the</w:t>
      </w:r>
      <w:r>
        <w:rPr>
          <w:spacing w:val="1"/>
        </w:rPr>
        <w:t> </w:t>
      </w:r>
      <w:r>
        <w:rPr/>
        <w:t>tests</w:t>
      </w:r>
      <w:r>
        <w:rPr>
          <w:spacing w:val="2"/>
        </w:rPr>
        <w:t> </w:t>
      </w:r>
      <w:r>
        <w:rPr>
          <w:spacing w:val="-4"/>
        </w:rPr>
        <w:t>were</w:t>
      </w:r>
    </w:p>
    <w:p>
      <w:pPr>
        <w:pStyle w:val="BodyText"/>
        <w:spacing w:line="482" w:lineRule="auto"/>
        <w:ind w:left="260" w:right="857"/>
        <w:jc w:val="both"/>
      </w:pPr>
      <w:r>
        <w:rPr/>
        <w:t>―harvested‖ from each of the wells by removing the medium-plasma supernatant, and the sediment placed, with the aid of an Eppendorf pipette, as thick film on a microscope slide. After thorough drying, the thick films on the slides were stained with Giemsa solution at a dilution of 1%</w:t>
      </w:r>
      <w:r>
        <w:rPr>
          <w:spacing w:val="80"/>
        </w:rPr>
        <w:t> </w:t>
      </w:r>
      <w:r>
        <w:rPr>
          <w:spacing w:val="-15"/>
          <w:position w:val="-4"/>
        </w:rPr>
        <w:drawing>
          <wp:inline distT="0" distB="0" distL="0" distR="0">
            <wp:extent cx="245363" cy="138683"/>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0" cstate="print"/>
                    <a:stretch>
                      <a:fillRect/>
                    </a:stretch>
                  </pic:blipFill>
                  <pic:spPr>
                    <a:xfrm>
                      <a:off x="0" y="0"/>
                      <a:ext cx="245363" cy="138683"/>
                    </a:xfrm>
                    <a:prstGeom prst="rect">
                      <a:avLst/>
                    </a:prstGeom>
                  </pic:spPr>
                </pic:pic>
              </a:graphicData>
            </a:graphic>
          </wp:inline>
        </w:drawing>
      </w:r>
      <w:r>
        <w:rPr>
          <w:spacing w:val="-15"/>
          <w:position w:val="-4"/>
        </w:rPr>
      </w:r>
      <w:r>
        <w:rPr>
          <w:spacing w:val="40"/>
        </w:rPr>
        <w:t> </w:t>
      </w:r>
      <w:r>
        <w:rPr/>
        <w:t>in buffered water (pH 7.2) for 15min (WHO, 1991).</w:t>
      </w:r>
    </w:p>
    <w:p>
      <w:pPr>
        <w:spacing w:after="0" w:line="482" w:lineRule="auto"/>
        <w:jc w:val="both"/>
        <w:sectPr>
          <w:pgSz w:w="11910" w:h="16840"/>
          <w:pgMar w:header="0" w:footer="1254" w:top="1340" w:bottom="1440" w:left="1180" w:right="580"/>
        </w:sectPr>
      </w:pPr>
    </w:p>
    <w:p>
      <w:pPr>
        <w:pStyle w:val="Heading2"/>
        <w:numPr>
          <w:ilvl w:val="2"/>
          <w:numId w:val="12"/>
        </w:numPr>
        <w:tabs>
          <w:tab w:pos="800" w:val="left" w:leader="none"/>
        </w:tabs>
        <w:spacing w:line="240" w:lineRule="auto" w:before="78" w:after="0"/>
        <w:ind w:left="800" w:right="0" w:hanging="540"/>
        <w:jc w:val="both"/>
      </w:pPr>
      <w:bookmarkStart w:name="_TOC_250014" w:id="34"/>
      <w:r>
        <w:rPr/>
        <w:t>Examination</w:t>
      </w:r>
      <w:r>
        <w:rPr>
          <w:spacing w:val="-1"/>
        </w:rPr>
        <w:t> </w:t>
      </w:r>
      <w:r>
        <w:rPr/>
        <w:t>of</w:t>
      </w:r>
      <w:r>
        <w:rPr>
          <w:spacing w:val="-1"/>
        </w:rPr>
        <w:t> </w:t>
      </w:r>
      <w:r>
        <w:rPr/>
        <w:t>the</w:t>
      </w:r>
      <w:r>
        <w:rPr>
          <w:spacing w:val="-2"/>
        </w:rPr>
        <w:t> </w:t>
      </w:r>
      <w:r>
        <w:rPr/>
        <w:t>Post-culture</w:t>
      </w:r>
      <w:r>
        <w:rPr>
          <w:spacing w:val="-3"/>
        </w:rPr>
        <w:t> </w:t>
      </w:r>
      <w:r>
        <w:rPr/>
        <w:t>Blood </w:t>
      </w:r>
      <w:bookmarkEnd w:id="34"/>
      <w:r>
        <w:rPr>
          <w:spacing w:val="-4"/>
        </w:rPr>
        <w:t>Slide</w:t>
      </w:r>
    </w:p>
    <w:p>
      <w:pPr>
        <w:pStyle w:val="BodyText"/>
        <w:spacing w:line="480" w:lineRule="auto" w:before="272"/>
        <w:ind w:left="260" w:right="855"/>
        <w:jc w:val="both"/>
      </w:pPr>
      <w:r>
        <w:rPr/>
        <w:t>The reading commenced with the control (well A), enumerating schizonts and other asexual forms separately, to a</w:t>
      </w:r>
      <w:r>
        <w:rPr>
          <w:spacing w:val="-1"/>
        </w:rPr>
        <w:t> </w:t>
      </w:r>
      <w:r>
        <w:rPr/>
        <w:t>total of</w:t>
      </w:r>
      <w:r>
        <w:rPr>
          <w:spacing w:val="-1"/>
        </w:rPr>
        <w:t> </w:t>
      </w:r>
      <w:r>
        <w:rPr/>
        <w:t>200. The count that showed a total of</w:t>
      </w:r>
      <w:r>
        <w:rPr>
          <w:spacing w:val="69"/>
        </w:rPr>
        <w:t> </w:t>
      </w:r>
      <w:r>
        <w:rPr/>
        <w:t>≥ 20 schizonts or</w:t>
      </w:r>
      <w:r>
        <w:rPr>
          <w:spacing w:val="40"/>
        </w:rPr>
        <w:t> </w:t>
      </w:r>
      <w:r>
        <w:rPr/>
        <w:t>≥ 10% of all asexual parasites was taken to be valid and the reading proceeded with three or more nuclei out of a total of 200 asexual parasites (i.e. Schizonts and Trophozoites). If however,</w:t>
      </w:r>
      <w:r>
        <w:rPr>
          <w:spacing w:val="40"/>
        </w:rPr>
        <w:t> </w:t>
      </w:r>
      <w:r>
        <w:rPr/>
        <w:t>the schizont maturation was less than 10%, the plates were placed back into the candle jar</w:t>
      </w:r>
      <w:r>
        <w:rPr>
          <w:spacing w:val="80"/>
        </w:rPr>
        <w:t> </w:t>
      </w:r>
      <w:r>
        <w:rPr/>
        <w:t>and</w:t>
      </w:r>
      <w:r>
        <w:rPr>
          <w:spacing w:val="-2"/>
        </w:rPr>
        <w:t> </w:t>
      </w:r>
      <w:r>
        <w:rPr/>
        <w:t>further</w:t>
      </w:r>
      <w:r>
        <w:rPr>
          <w:spacing w:val="-2"/>
        </w:rPr>
        <w:t> </w:t>
      </w:r>
      <w:r>
        <w:rPr/>
        <w:t>incubated</w:t>
      </w:r>
      <w:r>
        <w:rPr>
          <w:spacing w:val="-1"/>
        </w:rPr>
        <w:t> </w:t>
      </w:r>
      <w:r>
        <w:rPr/>
        <w:t>for</w:t>
      </w:r>
      <w:r>
        <w:rPr>
          <w:spacing w:val="-1"/>
        </w:rPr>
        <w:t> </w:t>
      </w:r>
      <w:r>
        <w:rPr/>
        <w:t>a</w:t>
      </w:r>
      <w:r>
        <w:rPr>
          <w:spacing w:val="-3"/>
        </w:rPr>
        <w:t> </w:t>
      </w:r>
      <w:r>
        <w:rPr/>
        <w:t>longer</w:t>
      </w:r>
      <w:r>
        <w:rPr>
          <w:spacing w:val="-4"/>
        </w:rPr>
        <w:t> </w:t>
      </w:r>
      <w:r>
        <w:rPr/>
        <w:t>period</w:t>
      </w:r>
      <w:r>
        <w:rPr>
          <w:spacing w:val="-2"/>
        </w:rPr>
        <w:t> </w:t>
      </w:r>
      <w:r>
        <w:rPr/>
        <w:t>of</w:t>
      </w:r>
      <w:r>
        <w:rPr>
          <w:spacing w:val="-3"/>
        </w:rPr>
        <w:t> </w:t>
      </w:r>
      <w:r>
        <w:rPr/>
        <w:t>time. All</w:t>
      </w:r>
      <w:r>
        <w:rPr>
          <w:spacing w:val="-2"/>
        </w:rPr>
        <w:t> </w:t>
      </w:r>
      <w:r>
        <w:rPr/>
        <w:t>the</w:t>
      </w:r>
      <w:r>
        <w:rPr>
          <w:spacing w:val="-3"/>
        </w:rPr>
        <w:t> </w:t>
      </w:r>
      <w:r>
        <w:rPr/>
        <w:t>samples</w:t>
      </w:r>
      <w:r>
        <w:rPr>
          <w:spacing w:val="-2"/>
        </w:rPr>
        <w:t> </w:t>
      </w:r>
      <w:r>
        <w:rPr/>
        <w:t>were</w:t>
      </w:r>
      <w:r>
        <w:rPr>
          <w:spacing w:val="-3"/>
        </w:rPr>
        <w:t> </w:t>
      </w:r>
      <w:r>
        <w:rPr/>
        <w:t>harvested</w:t>
      </w:r>
      <w:r>
        <w:rPr>
          <w:spacing w:val="-2"/>
        </w:rPr>
        <w:t> </w:t>
      </w:r>
      <w:r>
        <w:rPr/>
        <w:t>at</w:t>
      </w:r>
      <w:r>
        <w:rPr>
          <w:spacing w:val="-2"/>
        </w:rPr>
        <w:t> </w:t>
      </w:r>
      <w:r>
        <w:rPr/>
        <w:t>the</w:t>
      </w:r>
      <w:r>
        <w:rPr>
          <w:spacing w:val="-1"/>
        </w:rPr>
        <w:t> </w:t>
      </w:r>
      <w:r>
        <w:rPr/>
        <w:t>end</w:t>
      </w:r>
      <w:r>
        <w:rPr>
          <w:spacing w:val="-2"/>
        </w:rPr>
        <w:t> </w:t>
      </w:r>
      <w:r>
        <w:rPr/>
        <w:t>of 30 hours.</w:t>
      </w:r>
      <w:r>
        <w:rPr>
          <w:spacing w:val="-1"/>
        </w:rPr>
        <w:t> </w:t>
      </w:r>
      <w:r>
        <w:rPr/>
        <w:t>The</w:t>
      </w:r>
      <w:r>
        <w:rPr>
          <w:spacing w:val="-2"/>
        </w:rPr>
        <w:t> </w:t>
      </w:r>
      <w:r>
        <w:rPr/>
        <w:t>counts read in each wells were expressed</w:t>
      </w:r>
      <w:r>
        <w:rPr>
          <w:spacing w:val="-1"/>
        </w:rPr>
        <w:t> </w:t>
      </w:r>
      <w:r>
        <w:rPr/>
        <w:t>as percentage</w:t>
      </w:r>
      <w:r>
        <w:rPr>
          <w:spacing w:val="-1"/>
        </w:rPr>
        <w:t> </w:t>
      </w:r>
      <w:r>
        <w:rPr/>
        <w:t>of</w:t>
      </w:r>
      <w:r>
        <w:rPr>
          <w:spacing w:val="-1"/>
        </w:rPr>
        <w:t> </w:t>
      </w:r>
      <w:r>
        <w:rPr/>
        <w:t>the</w:t>
      </w:r>
      <w:r>
        <w:rPr>
          <w:spacing w:val="-1"/>
        </w:rPr>
        <w:t> </w:t>
      </w:r>
      <w:r>
        <w:rPr/>
        <w:t>control as shown in Table 3.1.</w:t>
      </w:r>
    </w:p>
    <w:p>
      <w:pPr>
        <w:pStyle w:val="BodyText"/>
        <w:spacing w:before="137"/>
      </w:pPr>
    </w:p>
    <w:p>
      <w:pPr>
        <w:pStyle w:val="BodyText"/>
        <w:spacing w:line="480" w:lineRule="auto"/>
        <w:ind w:left="260" w:right="854"/>
        <w:jc w:val="both"/>
      </w:pPr>
      <w:r>
        <w:rPr/>
        <w:t>The</w:t>
      </w:r>
      <w:r>
        <w:rPr>
          <w:spacing w:val="-3"/>
        </w:rPr>
        <w:t> </w:t>
      </w:r>
      <w:r>
        <w:rPr/>
        <w:t>individual</w:t>
      </w:r>
      <w:r>
        <w:rPr>
          <w:spacing w:val="-1"/>
        </w:rPr>
        <w:t> </w:t>
      </w:r>
      <w:r>
        <w:rPr/>
        <w:t>percentage</w:t>
      </w:r>
      <w:r>
        <w:rPr>
          <w:spacing w:val="-2"/>
        </w:rPr>
        <w:t> </w:t>
      </w:r>
      <w:r>
        <w:rPr/>
        <w:t>Schizont</w:t>
      </w:r>
      <w:r>
        <w:rPr>
          <w:spacing w:val="-3"/>
        </w:rPr>
        <w:t> </w:t>
      </w:r>
      <w:r>
        <w:rPr/>
        <w:t>maturation</w:t>
      </w:r>
      <w:r>
        <w:rPr>
          <w:spacing w:val="-1"/>
        </w:rPr>
        <w:t> </w:t>
      </w:r>
      <w:r>
        <w:rPr/>
        <w:t>inhibitions</w:t>
      </w:r>
      <w:r>
        <w:rPr>
          <w:spacing w:val="-1"/>
        </w:rPr>
        <w:t> </w:t>
      </w:r>
      <w:r>
        <w:rPr/>
        <w:t>were</w:t>
      </w:r>
      <w:r>
        <w:rPr>
          <w:spacing w:val="-3"/>
        </w:rPr>
        <w:t> </w:t>
      </w:r>
      <w:r>
        <w:rPr/>
        <w:t>converted</w:t>
      </w:r>
      <w:r>
        <w:rPr>
          <w:spacing w:val="-1"/>
        </w:rPr>
        <w:t> </w:t>
      </w:r>
      <w:r>
        <w:rPr/>
        <w:t>to</w:t>
      </w:r>
      <w:r>
        <w:rPr>
          <w:spacing w:val="-1"/>
        </w:rPr>
        <w:t> </w:t>
      </w:r>
      <w:r>
        <w:rPr/>
        <w:t>probit,</w:t>
      </w:r>
      <w:r>
        <w:rPr>
          <w:spacing w:val="-1"/>
        </w:rPr>
        <w:t> </w:t>
      </w:r>
      <w:r>
        <w:rPr/>
        <w:t>while</w:t>
      </w:r>
      <w:r>
        <w:rPr>
          <w:spacing w:val="-3"/>
        </w:rPr>
        <w:t> </w:t>
      </w:r>
      <w:r>
        <w:rPr/>
        <w:t>the various drug doses used were converted to log doses. The results were fed directly into Microsoft Excel. Using linear regression lines, their Inhibitory Concentrations (IC) at IC</w:t>
      </w:r>
      <w:r>
        <w:rPr>
          <w:vertAlign w:val="subscript"/>
        </w:rPr>
        <w:t>50,</w:t>
      </w:r>
      <w:r>
        <w:rPr>
          <w:vertAlign w:val="baseline"/>
        </w:rPr>
        <w:t> IC</w:t>
      </w:r>
      <w:r>
        <w:rPr>
          <w:vertAlign w:val="subscript"/>
        </w:rPr>
        <w:t>90,</w:t>
      </w:r>
      <w:r>
        <w:rPr>
          <w:spacing w:val="-9"/>
          <w:vertAlign w:val="baseline"/>
        </w:rPr>
        <w:t> </w:t>
      </w:r>
      <w:r>
        <w:rPr>
          <w:vertAlign w:val="baseline"/>
        </w:rPr>
        <w:t>IC</w:t>
      </w:r>
      <w:r>
        <w:rPr>
          <w:vertAlign w:val="subscript"/>
        </w:rPr>
        <w:t>95</w:t>
      </w:r>
      <w:r>
        <w:rPr>
          <w:spacing w:val="-11"/>
          <w:vertAlign w:val="baseline"/>
        </w:rPr>
        <w:t> </w:t>
      </w:r>
      <w:r>
        <w:rPr>
          <w:vertAlign w:val="baseline"/>
        </w:rPr>
        <w:t>and IC</w:t>
      </w:r>
      <w:r>
        <w:rPr>
          <w:vertAlign w:val="subscript"/>
        </w:rPr>
        <w:t>99</w:t>
      </w:r>
      <w:r>
        <w:rPr>
          <w:spacing w:val="-11"/>
          <w:vertAlign w:val="baseline"/>
        </w:rPr>
        <w:t> </w:t>
      </w:r>
      <w:r>
        <w:rPr>
          <w:vertAlign w:val="baseline"/>
        </w:rPr>
        <w:t>were determined. Drug resistant </w:t>
      </w:r>
      <w:r>
        <w:rPr>
          <w:i/>
          <w:vertAlign w:val="baseline"/>
        </w:rPr>
        <w:t>P. falciparum </w:t>
      </w:r>
      <w:r>
        <w:rPr>
          <w:vertAlign w:val="baseline"/>
        </w:rPr>
        <w:t>parasites were identified as isolates with Chlororoquine: IC</w:t>
      </w:r>
      <w:r>
        <w:rPr>
          <w:vertAlign w:val="subscript"/>
        </w:rPr>
        <w:t>50</w:t>
      </w:r>
      <w:r>
        <w:rPr>
          <w:spacing w:val="-2"/>
          <w:vertAlign w:val="baseline"/>
        </w:rPr>
        <w:t> </w:t>
      </w:r>
      <w:r>
        <w:rPr>
          <w:vertAlign w:val="baseline"/>
        </w:rPr>
        <w:t>&gt;114 nM; Amodiaquine: IC</w:t>
      </w:r>
      <w:r>
        <w:rPr>
          <w:vertAlign w:val="subscript"/>
        </w:rPr>
        <w:t>50</w:t>
      </w:r>
      <w:r>
        <w:rPr>
          <w:spacing w:val="-2"/>
          <w:vertAlign w:val="baseline"/>
        </w:rPr>
        <w:t> </w:t>
      </w:r>
      <w:r>
        <w:rPr>
          <w:vertAlign w:val="baseline"/>
        </w:rPr>
        <w:t>&gt; 80 nM. </w:t>
      </w:r>
      <w:r>
        <w:rPr>
          <w:color w:val="2B2D34"/>
          <w:vertAlign w:val="baseline"/>
        </w:rPr>
        <w:t>For artesunate, as there has been no clear cut-off level for artemisinin resistance (WHO, 2012 and Na- Bangchang </w:t>
      </w:r>
      <w:r>
        <w:rPr>
          <w:i/>
          <w:color w:val="2B2D34"/>
          <w:vertAlign w:val="baseline"/>
        </w:rPr>
        <w:t>et al</w:t>
      </w:r>
      <w:r>
        <w:rPr>
          <w:color w:val="2B2D34"/>
          <w:vertAlign w:val="baseline"/>
        </w:rPr>
        <w:t>., 2013), Phompradit </w:t>
      </w:r>
      <w:r>
        <w:rPr>
          <w:i/>
          <w:color w:val="2B2D34"/>
          <w:vertAlign w:val="baseline"/>
        </w:rPr>
        <w:t>et al. </w:t>
      </w:r>
      <w:r>
        <w:rPr>
          <w:color w:val="2B2D34"/>
          <w:vertAlign w:val="baseline"/>
        </w:rPr>
        <w:t>(2011) considered IC</w:t>
      </w:r>
      <w:r>
        <w:rPr>
          <w:color w:val="2B2D34"/>
          <w:vertAlign w:val="subscript"/>
        </w:rPr>
        <w:t>50</w:t>
      </w:r>
      <w:r>
        <w:rPr>
          <w:color w:val="2B2D34"/>
          <w:vertAlign w:val="baseline"/>
        </w:rPr>
        <w:t> &gt; 2.8 nM as declined sensitivity to artesunate.</w:t>
      </w:r>
    </w:p>
    <w:p>
      <w:pPr>
        <w:spacing w:after="0" w:line="480" w:lineRule="auto"/>
        <w:jc w:val="both"/>
        <w:sectPr>
          <w:pgSz w:w="11910" w:h="16840"/>
          <w:pgMar w:header="0" w:footer="1254" w:top="1340" w:bottom="1440" w:left="1180" w:right="580"/>
        </w:sectPr>
      </w:pPr>
    </w:p>
    <w:p>
      <w:pPr>
        <w:pStyle w:val="Heading2"/>
        <w:spacing w:before="61"/>
        <w:jc w:val="left"/>
      </w:pPr>
      <w:r>
        <w:rPr/>
        <w:t>Table</w:t>
      </w:r>
      <w:r>
        <w:rPr>
          <w:spacing w:val="-2"/>
        </w:rPr>
        <w:t> </w:t>
      </w:r>
      <w:r>
        <w:rPr/>
        <w:t>3.1:</w:t>
      </w:r>
      <w:r>
        <w:rPr>
          <w:spacing w:val="-3"/>
        </w:rPr>
        <w:t> </w:t>
      </w:r>
      <w:r>
        <w:rPr/>
        <w:t>Schizont</w:t>
      </w:r>
      <w:r>
        <w:rPr>
          <w:spacing w:val="-1"/>
        </w:rPr>
        <w:t> </w:t>
      </w:r>
      <w:r>
        <w:rPr/>
        <w:t>maturation</w:t>
      </w:r>
      <w:r>
        <w:rPr>
          <w:spacing w:val="-1"/>
        </w:rPr>
        <w:t> </w:t>
      </w:r>
      <w:r>
        <w:rPr/>
        <w:t>inhibition</w:t>
      </w:r>
      <w:r>
        <w:rPr>
          <w:spacing w:val="-1"/>
        </w:rPr>
        <w:t> </w:t>
      </w:r>
      <w:r>
        <w:rPr>
          <w:spacing w:val="-4"/>
        </w:rPr>
        <w:t>table</w:t>
      </w:r>
    </w:p>
    <w:p>
      <w:pPr>
        <w:pStyle w:val="BodyText"/>
        <w:spacing w:before="11"/>
        <w:rPr>
          <w:b/>
          <w:sz w:val="11"/>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5"/>
        <w:gridCol w:w="3082"/>
        <w:gridCol w:w="3078"/>
      </w:tblGrid>
      <w:tr>
        <w:trPr>
          <w:trHeight w:val="457" w:hRule="atLeast"/>
        </w:trPr>
        <w:tc>
          <w:tcPr>
            <w:tcW w:w="3085" w:type="dxa"/>
          </w:tcPr>
          <w:p>
            <w:pPr>
              <w:pStyle w:val="TableParagraph"/>
              <w:spacing w:line="273" w:lineRule="exact" w:before="0"/>
              <w:ind w:left="107"/>
              <w:jc w:val="left"/>
              <w:rPr>
                <w:sz w:val="24"/>
              </w:rPr>
            </w:pPr>
            <w:r>
              <w:rPr>
                <w:spacing w:val="-2"/>
                <w:sz w:val="24"/>
              </w:rPr>
              <w:t>Control</w:t>
            </w:r>
          </w:p>
        </w:tc>
        <w:tc>
          <w:tcPr>
            <w:tcW w:w="6160" w:type="dxa"/>
            <w:gridSpan w:val="2"/>
          </w:tcPr>
          <w:p>
            <w:pPr>
              <w:pStyle w:val="TableParagraph"/>
              <w:spacing w:line="273" w:lineRule="exact" w:before="0"/>
              <w:ind w:left="107"/>
              <w:jc w:val="left"/>
              <w:rPr>
                <w:sz w:val="24"/>
              </w:rPr>
            </w:pPr>
            <w:r>
              <w:rPr>
                <w:sz w:val="24"/>
              </w:rPr>
              <w:t>Samples</w:t>
            </w:r>
            <w:r>
              <w:rPr>
                <w:spacing w:val="-2"/>
                <w:sz w:val="24"/>
              </w:rPr>
              <w:t> </w:t>
            </w:r>
            <w:r>
              <w:rPr>
                <w:sz w:val="24"/>
              </w:rPr>
              <w:t>with</w:t>
            </w:r>
            <w:r>
              <w:rPr>
                <w:spacing w:val="-2"/>
                <w:sz w:val="24"/>
              </w:rPr>
              <w:t> </w:t>
            </w:r>
            <w:r>
              <w:rPr>
                <w:sz w:val="24"/>
              </w:rPr>
              <w:t>antimalarial</w:t>
            </w:r>
            <w:r>
              <w:rPr>
                <w:spacing w:val="-1"/>
                <w:sz w:val="24"/>
              </w:rPr>
              <w:t> </w:t>
            </w:r>
            <w:r>
              <w:rPr>
                <w:sz w:val="24"/>
              </w:rPr>
              <w:t>under</w:t>
            </w:r>
            <w:r>
              <w:rPr>
                <w:spacing w:val="-3"/>
                <w:sz w:val="24"/>
              </w:rPr>
              <w:t> </w:t>
            </w:r>
            <w:r>
              <w:rPr>
                <w:spacing w:val="-4"/>
                <w:sz w:val="24"/>
              </w:rPr>
              <w:t>test</w:t>
            </w:r>
          </w:p>
        </w:tc>
      </w:tr>
      <w:tr>
        <w:trPr>
          <w:trHeight w:val="1242" w:hRule="atLeast"/>
        </w:trPr>
        <w:tc>
          <w:tcPr>
            <w:tcW w:w="3085" w:type="dxa"/>
          </w:tcPr>
          <w:p>
            <w:pPr>
              <w:pStyle w:val="TableParagraph"/>
              <w:spacing w:line="360" w:lineRule="auto" w:before="0"/>
              <w:ind w:left="107"/>
              <w:jc w:val="left"/>
              <w:rPr>
                <w:sz w:val="24"/>
              </w:rPr>
            </w:pPr>
            <w:r>
              <w:rPr>
                <w:sz w:val="24"/>
              </w:rPr>
              <w:t>Number</w:t>
            </w:r>
            <w:r>
              <w:rPr>
                <w:spacing w:val="33"/>
                <w:sz w:val="24"/>
              </w:rPr>
              <w:t> </w:t>
            </w:r>
            <w:r>
              <w:rPr>
                <w:sz w:val="24"/>
              </w:rPr>
              <w:t>of</w:t>
            </w:r>
            <w:r>
              <w:rPr>
                <w:spacing w:val="33"/>
                <w:sz w:val="24"/>
              </w:rPr>
              <w:t> </w:t>
            </w:r>
            <w:r>
              <w:rPr>
                <w:sz w:val="24"/>
              </w:rPr>
              <w:t>schizont</w:t>
            </w:r>
            <w:r>
              <w:rPr>
                <w:spacing w:val="34"/>
                <w:sz w:val="24"/>
              </w:rPr>
              <w:t> </w:t>
            </w:r>
            <w:r>
              <w:rPr>
                <w:sz w:val="24"/>
              </w:rPr>
              <w:t>per</w:t>
            </w:r>
            <w:r>
              <w:rPr>
                <w:spacing w:val="33"/>
                <w:sz w:val="24"/>
              </w:rPr>
              <w:t> </w:t>
            </w:r>
            <w:r>
              <w:rPr>
                <w:sz w:val="24"/>
              </w:rPr>
              <w:t>200 parasites after incubation</w:t>
            </w:r>
          </w:p>
        </w:tc>
        <w:tc>
          <w:tcPr>
            <w:tcW w:w="3082" w:type="dxa"/>
          </w:tcPr>
          <w:p>
            <w:pPr>
              <w:pStyle w:val="TableParagraph"/>
              <w:spacing w:line="360" w:lineRule="auto" w:before="0"/>
              <w:ind w:left="107"/>
              <w:jc w:val="left"/>
              <w:rPr>
                <w:sz w:val="24"/>
              </w:rPr>
            </w:pPr>
            <w:r>
              <w:rPr>
                <w:sz w:val="24"/>
              </w:rPr>
              <w:t>Number of schizonts per </w:t>
            </w:r>
            <w:r>
              <w:rPr>
                <w:sz w:val="24"/>
              </w:rPr>
              <w:t>200 parasite after incubation</w:t>
            </w:r>
          </w:p>
        </w:tc>
        <w:tc>
          <w:tcPr>
            <w:tcW w:w="3078" w:type="dxa"/>
          </w:tcPr>
          <w:p>
            <w:pPr>
              <w:pStyle w:val="TableParagraph"/>
              <w:tabs>
                <w:tab w:pos="1158" w:val="left" w:leader="none"/>
                <w:tab w:pos="2208" w:val="left" w:leader="none"/>
              </w:tabs>
              <w:spacing w:line="360" w:lineRule="auto" w:before="0"/>
              <w:ind w:left="107" w:right="98"/>
              <w:jc w:val="left"/>
              <w:rPr>
                <w:sz w:val="24"/>
              </w:rPr>
            </w:pPr>
            <w:r>
              <w:rPr>
                <w:sz w:val="24"/>
              </w:rPr>
              <w:t>%</w:t>
            </w:r>
            <w:r>
              <w:rPr>
                <w:spacing w:val="80"/>
                <w:sz w:val="24"/>
              </w:rPr>
              <w:t> </w:t>
            </w:r>
            <w:r>
              <w:rPr>
                <w:sz w:val="24"/>
              </w:rPr>
              <w:t>of</w:t>
            </w:r>
            <w:r>
              <w:rPr>
                <w:spacing w:val="80"/>
                <w:sz w:val="24"/>
              </w:rPr>
              <w:t> </w:t>
            </w:r>
            <w:r>
              <w:rPr>
                <w:sz w:val="24"/>
              </w:rPr>
              <w:t>schizonts</w:t>
            </w:r>
            <w:r>
              <w:rPr>
                <w:spacing w:val="80"/>
                <w:sz w:val="24"/>
              </w:rPr>
              <w:t> </w:t>
            </w:r>
            <w:r>
              <w:rPr>
                <w:sz w:val="24"/>
              </w:rPr>
              <w:t>relative</w:t>
            </w:r>
            <w:r>
              <w:rPr>
                <w:spacing w:val="80"/>
                <w:sz w:val="24"/>
              </w:rPr>
              <w:t> </w:t>
            </w:r>
            <w:r>
              <w:rPr>
                <w:sz w:val="24"/>
              </w:rPr>
              <w:t>to </w:t>
            </w:r>
            <w:r>
              <w:rPr>
                <w:spacing w:val="-2"/>
                <w:sz w:val="24"/>
              </w:rPr>
              <w:t>control</w:t>
            </w:r>
            <w:r>
              <w:rPr>
                <w:sz w:val="24"/>
              </w:rPr>
              <w:tab/>
            </w:r>
            <w:r>
              <w:rPr>
                <w:spacing w:val="-2"/>
                <w:sz w:val="24"/>
              </w:rPr>
              <w:t>sample</w:t>
            </w:r>
            <w:r>
              <w:rPr>
                <w:sz w:val="24"/>
              </w:rPr>
              <w:tab/>
            </w:r>
            <w:r>
              <w:rPr>
                <w:spacing w:val="-2"/>
                <w:sz w:val="24"/>
              </w:rPr>
              <w:t>(control</w:t>
            </w:r>
          </w:p>
          <w:p>
            <w:pPr>
              <w:pStyle w:val="TableParagraph"/>
              <w:spacing w:line="240" w:lineRule="auto" w:before="0"/>
              <w:ind w:left="107"/>
              <w:jc w:val="left"/>
              <w:rPr>
                <w:sz w:val="24"/>
              </w:rPr>
            </w:pPr>
            <w:r>
              <w:rPr>
                <w:sz w:val="24"/>
              </w:rPr>
              <w:t>samples</w:t>
            </w:r>
            <w:r>
              <w:rPr>
                <w:spacing w:val="-2"/>
                <w:sz w:val="24"/>
              </w:rPr>
              <w:t> 100%)</w:t>
            </w:r>
          </w:p>
        </w:tc>
      </w:tr>
      <w:tr>
        <w:trPr>
          <w:trHeight w:val="522" w:hRule="atLeast"/>
        </w:trPr>
        <w:tc>
          <w:tcPr>
            <w:tcW w:w="3085" w:type="dxa"/>
          </w:tcPr>
          <w:p>
            <w:pPr>
              <w:pStyle w:val="TableParagraph"/>
              <w:spacing w:line="270" w:lineRule="exact" w:before="0"/>
              <w:ind w:left="107"/>
              <w:jc w:val="left"/>
              <w:rPr>
                <w:sz w:val="24"/>
              </w:rPr>
            </w:pPr>
            <w:r>
              <w:rPr>
                <w:spacing w:val="-10"/>
                <w:sz w:val="24"/>
              </w:rPr>
              <w:t>M</w:t>
            </w:r>
          </w:p>
        </w:tc>
        <w:tc>
          <w:tcPr>
            <w:tcW w:w="3082" w:type="dxa"/>
          </w:tcPr>
          <w:p>
            <w:pPr>
              <w:pStyle w:val="TableParagraph"/>
              <w:spacing w:line="270" w:lineRule="exact" w:before="0"/>
              <w:ind w:left="107"/>
              <w:jc w:val="left"/>
              <w:rPr>
                <w:sz w:val="24"/>
              </w:rPr>
            </w:pPr>
            <w:r>
              <w:rPr>
                <w:spacing w:val="-10"/>
                <w:sz w:val="24"/>
              </w:rPr>
              <w:t>N</w:t>
            </w:r>
          </w:p>
        </w:tc>
        <w:tc>
          <w:tcPr>
            <w:tcW w:w="3078" w:type="dxa"/>
          </w:tcPr>
          <w:p>
            <w:pPr>
              <w:pStyle w:val="TableParagraph"/>
              <w:spacing w:line="270" w:lineRule="exact" w:before="0"/>
              <w:ind w:left="107"/>
              <w:jc w:val="left"/>
              <w:rPr>
                <w:sz w:val="24"/>
              </w:rPr>
            </w:pPr>
            <w:r>
              <w:rPr>
                <w:sz w:val="24"/>
              </w:rPr>
              <w:t>A=N/M</w:t>
            </w:r>
            <w:r>
              <w:rPr>
                <w:spacing w:val="-1"/>
                <w:sz w:val="24"/>
              </w:rPr>
              <w:t> </w:t>
            </w:r>
            <w:r>
              <w:rPr>
                <w:sz w:val="24"/>
              </w:rPr>
              <w:t>x</w:t>
            </w:r>
            <w:r>
              <w:rPr>
                <w:spacing w:val="1"/>
                <w:sz w:val="24"/>
              </w:rPr>
              <w:t> </w:t>
            </w:r>
            <w:r>
              <w:rPr>
                <w:spacing w:val="-2"/>
                <w:sz w:val="24"/>
              </w:rPr>
              <w:t>100/1</w:t>
            </w:r>
          </w:p>
        </w:tc>
      </w:tr>
    </w:tbl>
    <w:p>
      <w:pPr>
        <w:pStyle w:val="BodyText"/>
        <w:spacing w:before="131"/>
        <w:rPr>
          <w:b/>
        </w:rPr>
      </w:pPr>
    </w:p>
    <w:p>
      <w:pPr>
        <w:pStyle w:val="BodyText"/>
        <w:tabs>
          <w:tab w:pos="6626" w:val="left" w:leader="none"/>
        </w:tabs>
        <w:spacing w:line="544" w:lineRule="auto"/>
        <w:ind w:left="680" w:right="1477" w:hanging="420"/>
      </w:pPr>
      <w:r>
        <w:rPr/>
        <mc:AlternateContent>
          <mc:Choice Requires="wps">
            <w:drawing>
              <wp:anchor distT="0" distB="0" distL="0" distR="0" allowOverlap="1" layoutInCell="1" locked="0" behindDoc="1" simplePos="0" relativeHeight="482707968">
                <wp:simplePos x="0" y="0"/>
                <wp:positionH relativeFrom="page">
                  <wp:posOffset>2986151</wp:posOffset>
                </wp:positionH>
                <wp:positionV relativeFrom="paragraph">
                  <wp:posOffset>375807</wp:posOffset>
                </wp:positionV>
                <wp:extent cx="1932939" cy="26416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932939" cy="264160"/>
                          <a:chExt cx="1932939" cy="264160"/>
                        </a:xfrm>
                      </wpg:grpSpPr>
                      <pic:pic>
                        <pic:nvPicPr>
                          <pic:cNvPr id="30" name="Image 30"/>
                          <pic:cNvPicPr/>
                        </pic:nvPicPr>
                        <pic:blipFill>
                          <a:blip r:embed="rId21" cstate="print"/>
                          <a:stretch>
                            <a:fillRect/>
                          </a:stretch>
                        </pic:blipFill>
                        <pic:spPr>
                          <a:xfrm>
                            <a:off x="97535" y="0"/>
                            <a:ext cx="1736089" cy="97535"/>
                          </a:xfrm>
                          <a:prstGeom prst="rect">
                            <a:avLst/>
                          </a:prstGeom>
                        </pic:spPr>
                      </pic:pic>
                      <pic:pic>
                        <pic:nvPicPr>
                          <pic:cNvPr id="31" name="Image 31"/>
                          <pic:cNvPicPr/>
                        </pic:nvPicPr>
                        <pic:blipFill>
                          <a:blip r:embed="rId22" cstate="print"/>
                          <a:stretch>
                            <a:fillRect/>
                          </a:stretch>
                        </pic:blipFill>
                        <pic:spPr>
                          <a:xfrm>
                            <a:off x="3047" y="166115"/>
                            <a:ext cx="1925065" cy="97536"/>
                          </a:xfrm>
                          <a:prstGeom prst="rect">
                            <a:avLst/>
                          </a:prstGeom>
                        </pic:spPr>
                      </pic:pic>
                      <wps:wsp>
                        <wps:cNvPr id="32" name="Graphic 32"/>
                        <wps:cNvSpPr/>
                        <wps:spPr>
                          <a:xfrm>
                            <a:off x="0" y="115823"/>
                            <a:ext cx="1932939" cy="10795"/>
                          </a:xfrm>
                          <a:custGeom>
                            <a:avLst/>
                            <a:gdLst/>
                            <a:ahLst/>
                            <a:cxnLst/>
                            <a:rect l="l" t="t" r="r" b="b"/>
                            <a:pathLst>
                              <a:path w="1932939" h="10795">
                                <a:moveTo>
                                  <a:pt x="1932686" y="0"/>
                                </a:moveTo>
                                <a:lnTo>
                                  <a:pt x="0" y="0"/>
                                </a:lnTo>
                                <a:lnTo>
                                  <a:pt x="0" y="10668"/>
                                </a:lnTo>
                                <a:lnTo>
                                  <a:pt x="1932686" y="10668"/>
                                </a:lnTo>
                                <a:lnTo>
                                  <a:pt x="19326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5.130005pt;margin-top:29.591171pt;width:152.2pt;height:20.8pt;mso-position-horizontal-relative:page;mso-position-vertical-relative:paragraph;z-index:-20608512" id="docshapegroup14" coordorigin="4703,592" coordsize="3044,416">
                <v:shape style="position:absolute;left:4856;top:591;width:2734;height:154" type="#_x0000_t75" id="docshape15" stroked="false">
                  <v:imagedata r:id="rId21" o:title=""/>
                </v:shape>
                <v:shape style="position:absolute;left:4707;top:853;width:3032;height:154" type="#_x0000_t75" id="docshape16" stroked="false">
                  <v:imagedata r:id="rId22" o:title=""/>
                </v:shape>
                <v:rect style="position:absolute;left:4702;top:774;width:3044;height:17" id="docshape17" filled="true" fillcolor="#000000" stroked="false">
                  <v:fill type="solid"/>
                </v:rect>
                <w10:wrap type="none"/>
              </v:group>
            </w:pict>
          </mc:Fallback>
        </mc:AlternateContent>
      </w:r>
      <w:r>
        <w:rPr/>
        <w:t>The</w:t>
      </w:r>
      <w:r>
        <w:rPr>
          <w:spacing w:val="-5"/>
        </w:rPr>
        <w:t> </w:t>
      </w:r>
      <w:r>
        <w:rPr/>
        <w:t>inhibition</w:t>
      </w:r>
      <w:r>
        <w:rPr>
          <w:spacing w:val="-3"/>
        </w:rPr>
        <w:t> </w:t>
      </w:r>
      <w:r>
        <w:rPr/>
        <w:t>of</w:t>
      </w:r>
      <w:r>
        <w:rPr>
          <w:spacing w:val="-3"/>
        </w:rPr>
        <w:t> </w:t>
      </w:r>
      <w:r>
        <w:rPr/>
        <w:t>parasite</w:t>
      </w:r>
      <w:r>
        <w:rPr>
          <w:spacing w:val="-2"/>
        </w:rPr>
        <w:t> </w:t>
      </w:r>
      <w:r>
        <w:rPr/>
        <w:t>growth</w:t>
      </w:r>
      <w:r>
        <w:rPr>
          <w:spacing w:val="-3"/>
        </w:rPr>
        <w:t> </w:t>
      </w:r>
      <w:r>
        <w:rPr/>
        <w:t>for</w:t>
      </w:r>
      <w:r>
        <w:rPr>
          <w:spacing w:val="-4"/>
        </w:rPr>
        <w:t> </w:t>
      </w:r>
      <w:r>
        <w:rPr/>
        <w:t>each</w:t>
      </w:r>
      <w:r>
        <w:rPr>
          <w:spacing w:val="-3"/>
        </w:rPr>
        <w:t> </w:t>
      </w:r>
      <w:r>
        <w:rPr/>
        <w:t>of</w:t>
      </w:r>
      <w:r>
        <w:rPr>
          <w:spacing w:val="-3"/>
        </w:rPr>
        <w:t> </w:t>
      </w:r>
      <w:r>
        <w:rPr/>
        <w:t>the</w:t>
      </w:r>
      <w:r>
        <w:rPr>
          <w:spacing w:val="-4"/>
        </w:rPr>
        <w:t> </w:t>
      </w:r>
      <w:r>
        <w:rPr/>
        <w:t>isolates</w:t>
      </w:r>
      <w:r>
        <w:rPr>
          <w:spacing w:val="-3"/>
        </w:rPr>
        <w:t> </w:t>
      </w:r>
      <w:r>
        <w:rPr/>
        <w:t>used</w:t>
      </w:r>
      <w:r>
        <w:rPr>
          <w:spacing w:val="-3"/>
        </w:rPr>
        <w:t> </w:t>
      </w:r>
      <w:r>
        <w:rPr/>
        <w:t>was</w:t>
      </w:r>
      <w:r>
        <w:rPr>
          <w:spacing w:val="-1"/>
        </w:rPr>
        <w:t> </w:t>
      </w:r>
      <w:r>
        <w:rPr/>
        <w:t>calculated</w:t>
      </w:r>
      <w:r>
        <w:rPr>
          <w:spacing w:val="-3"/>
        </w:rPr>
        <w:t> </w:t>
      </w:r>
      <w:r>
        <w:rPr/>
        <w:t>as</w:t>
      </w:r>
      <w:r>
        <w:rPr>
          <w:spacing w:val="-3"/>
        </w:rPr>
        <w:t> </w:t>
      </w:r>
      <w:r>
        <w:rPr/>
        <w:t>follows Percentage inhibition = 100 –</w:t>
        <w:tab/>
        <w:t>x 100</w:t>
      </w:r>
    </w:p>
    <w:p>
      <w:pPr>
        <w:spacing w:after="0" w:line="544" w:lineRule="auto"/>
        <w:sectPr>
          <w:pgSz w:w="11910" w:h="16840"/>
          <w:pgMar w:header="0" w:footer="1254" w:top="1360" w:bottom="1440" w:left="1180" w:right="580"/>
        </w:sectPr>
      </w:pPr>
    </w:p>
    <w:p>
      <w:pPr>
        <w:pStyle w:val="Heading2"/>
        <w:numPr>
          <w:ilvl w:val="2"/>
          <w:numId w:val="12"/>
        </w:numPr>
        <w:tabs>
          <w:tab w:pos="800" w:val="left" w:leader="none"/>
        </w:tabs>
        <w:spacing w:line="240" w:lineRule="auto" w:before="78" w:after="0"/>
        <w:ind w:left="800" w:right="0" w:hanging="540"/>
        <w:jc w:val="both"/>
      </w:pPr>
      <w:bookmarkStart w:name="_TOC_250013" w:id="35"/>
      <w:r>
        <w:rPr/>
        <w:t>Molecular</w:t>
      </w:r>
      <w:r>
        <w:rPr>
          <w:spacing w:val="-2"/>
        </w:rPr>
        <w:t> </w:t>
      </w:r>
      <w:r>
        <w:rPr/>
        <w:t>Analysis</w:t>
      </w:r>
      <w:r>
        <w:rPr>
          <w:spacing w:val="-1"/>
        </w:rPr>
        <w:t> </w:t>
      </w:r>
      <w:r>
        <w:rPr/>
        <w:t>of</w:t>
      </w:r>
      <w:r>
        <w:rPr>
          <w:spacing w:val="-1"/>
        </w:rPr>
        <w:t> </w:t>
      </w:r>
      <w:r>
        <w:rPr/>
        <w:t>Resistant</w:t>
      </w:r>
      <w:r>
        <w:rPr>
          <w:spacing w:val="-1"/>
        </w:rPr>
        <w:t> </w:t>
      </w:r>
      <w:bookmarkEnd w:id="35"/>
      <w:r>
        <w:rPr>
          <w:spacing w:val="-2"/>
        </w:rPr>
        <w:t>Strains</w:t>
      </w:r>
    </w:p>
    <w:p>
      <w:pPr>
        <w:pStyle w:val="BodyText"/>
        <w:spacing w:line="480" w:lineRule="auto" w:before="272"/>
        <w:ind w:left="260" w:right="857"/>
        <w:jc w:val="both"/>
      </w:pPr>
      <w:r>
        <w:rPr/>
        <w:t>Blood samples were collected from the randomly infected individuals where resistance has been noticed against the test antimalarials investigated. Genomic DNA from the blood samples were extracted using the Qiagen DNeasy Blood and Tissue Kit (cat. 69506). The procedure for the Genomic DNA isolation is as follows:</w:t>
      </w:r>
    </w:p>
    <w:p>
      <w:pPr>
        <w:pStyle w:val="BodyText"/>
        <w:spacing w:line="480" w:lineRule="auto"/>
        <w:ind w:left="260" w:right="853"/>
        <w:jc w:val="both"/>
      </w:pPr>
      <w:r>
        <w:rPr/>
        <w:t>Approximately 100 µl of the blood sample was aliquoted and then transferred into a well labelled 1.5 ml microcentrifuge</w:t>
      </w:r>
      <w:r>
        <w:rPr>
          <w:spacing w:val="-2"/>
        </w:rPr>
        <w:t> </w:t>
      </w:r>
      <w:r>
        <w:rPr/>
        <w:t>tubes,</w:t>
      </w:r>
      <w:r>
        <w:rPr>
          <w:spacing w:val="-1"/>
        </w:rPr>
        <w:t> </w:t>
      </w:r>
      <w:r>
        <w:rPr/>
        <w:t>each tube</w:t>
      </w:r>
      <w:r>
        <w:rPr>
          <w:spacing w:val="-1"/>
        </w:rPr>
        <w:t> </w:t>
      </w:r>
      <w:r>
        <w:rPr/>
        <w:t>contained 20 µl of</w:t>
      </w:r>
      <w:r>
        <w:rPr>
          <w:spacing w:val="-1"/>
        </w:rPr>
        <w:t> </w:t>
      </w:r>
      <w:r>
        <w:rPr/>
        <w:t>proteinase</w:t>
      </w:r>
      <w:r>
        <w:rPr>
          <w:spacing w:val="-1"/>
        </w:rPr>
        <w:t> </w:t>
      </w:r>
      <w:r>
        <w:rPr/>
        <w:t>K. The</w:t>
      </w:r>
      <w:r>
        <w:rPr>
          <w:spacing w:val="-1"/>
        </w:rPr>
        <w:t> </w:t>
      </w:r>
      <w:r>
        <w:rPr/>
        <w:t>volume was adjusted with 1x PBS to 220 µl then 200 µl Buffer AL (Appendix V) was added to each of the tubes and mixed by vortexing. The tubes were then incubated at 56°C for 10 min. A 200 µl of ethanol (96–100%) was added and mixed thoroughly by vortexing. The mixture</w:t>
      </w:r>
      <w:r>
        <w:rPr>
          <w:spacing w:val="40"/>
        </w:rPr>
        <w:t> </w:t>
      </w:r>
      <w:r>
        <w:rPr/>
        <w:t>was pipetted into a DNeasy Mini spin column in a 2 ml collection tube and centrifuged at 6000 x g (8000 rpm) for 1 min. The flow-through and collection tube were discarded. The spin columns were placed in new 2 ml collection tubes. A 500 µl of Buffer AW1 (Appendix V) were added to the spin column and centrifuged for 1 min at 6000 x g. The flow-through and collection tube were discarded and the spin columns were placed in new 2 ml collection tubes,</w:t>
      </w:r>
      <w:r>
        <w:rPr>
          <w:spacing w:val="-2"/>
        </w:rPr>
        <w:t> </w:t>
      </w:r>
      <w:r>
        <w:rPr/>
        <w:t>500</w:t>
      </w:r>
      <w:r>
        <w:rPr>
          <w:spacing w:val="-3"/>
        </w:rPr>
        <w:t> </w:t>
      </w:r>
      <w:r>
        <w:rPr/>
        <w:t>µl</w:t>
      </w:r>
      <w:r>
        <w:rPr>
          <w:spacing w:val="-2"/>
        </w:rPr>
        <w:t> </w:t>
      </w:r>
      <w:r>
        <w:rPr/>
        <w:t>of</w:t>
      </w:r>
      <w:r>
        <w:rPr>
          <w:spacing w:val="-1"/>
        </w:rPr>
        <w:t> </w:t>
      </w:r>
      <w:r>
        <w:rPr/>
        <w:t>Buffer</w:t>
      </w:r>
      <w:r>
        <w:rPr>
          <w:spacing w:val="-2"/>
        </w:rPr>
        <w:t> </w:t>
      </w:r>
      <w:r>
        <w:rPr/>
        <w:t>AW2</w:t>
      </w:r>
      <w:r>
        <w:rPr>
          <w:spacing w:val="-1"/>
        </w:rPr>
        <w:t> </w:t>
      </w:r>
      <w:r>
        <w:rPr/>
        <w:t>(Appendix V)</w:t>
      </w:r>
      <w:r>
        <w:rPr>
          <w:spacing w:val="-3"/>
        </w:rPr>
        <w:t> </w:t>
      </w:r>
      <w:r>
        <w:rPr/>
        <w:t>were</w:t>
      </w:r>
      <w:r>
        <w:rPr>
          <w:spacing w:val="-3"/>
        </w:rPr>
        <w:t> </w:t>
      </w:r>
      <w:r>
        <w:rPr/>
        <w:t>added</w:t>
      </w:r>
      <w:r>
        <w:rPr>
          <w:spacing w:val="-2"/>
        </w:rPr>
        <w:t> </w:t>
      </w:r>
      <w:r>
        <w:rPr/>
        <w:t>to</w:t>
      </w:r>
      <w:r>
        <w:rPr>
          <w:spacing w:val="-2"/>
        </w:rPr>
        <w:t> </w:t>
      </w:r>
      <w:r>
        <w:rPr/>
        <w:t>the</w:t>
      </w:r>
      <w:r>
        <w:rPr>
          <w:spacing w:val="-3"/>
        </w:rPr>
        <w:t> </w:t>
      </w:r>
      <w:r>
        <w:rPr/>
        <w:t>tubes</w:t>
      </w:r>
      <w:r>
        <w:rPr>
          <w:spacing w:val="-1"/>
        </w:rPr>
        <w:t> </w:t>
      </w:r>
      <w:r>
        <w:rPr/>
        <w:t>and centrifuged</w:t>
      </w:r>
      <w:r>
        <w:rPr>
          <w:spacing w:val="-2"/>
        </w:rPr>
        <w:t> </w:t>
      </w:r>
      <w:r>
        <w:rPr/>
        <w:t>for</w:t>
      </w:r>
      <w:r>
        <w:rPr>
          <w:spacing w:val="-2"/>
        </w:rPr>
        <w:t> </w:t>
      </w:r>
      <w:r>
        <w:rPr/>
        <w:t>3</w:t>
      </w:r>
      <w:r>
        <w:rPr>
          <w:spacing w:val="-2"/>
        </w:rPr>
        <w:t> </w:t>
      </w:r>
      <w:r>
        <w:rPr/>
        <w:t>min at</w:t>
      </w:r>
      <w:r>
        <w:rPr>
          <w:spacing w:val="-2"/>
        </w:rPr>
        <w:t> </w:t>
      </w:r>
      <w:r>
        <w:rPr/>
        <w:t>20,000</w:t>
      </w:r>
      <w:r>
        <w:rPr>
          <w:spacing w:val="-2"/>
        </w:rPr>
        <w:t> </w:t>
      </w:r>
      <w:r>
        <w:rPr/>
        <w:t>x g</w:t>
      </w:r>
      <w:r>
        <w:rPr>
          <w:spacing w:val="-5"/>
        </w:rPr>
        <w:t> </w:t>
      </w:r>
      <w:r>
        <w:rPr/>
        <w:t>(14,000 rpm).</w:t>
      </w:r>
      <w:r>
        <w:rPr>
          <w:spacing w:val="-2"/>
        </w:rPr>
        <w:t> </w:t>
      </w:r>
      <w:r>
        <w:rPr/>
        <w:t>The</w:t>
      </w:r>
      <w:r>
        <w:rPr>
          <w:spacing w:val="-2"/>
        </w:rPr>
        <w:t> </w:t>
      </w:r>
      <w:r>
        <w:rPr/>
        <w:t>flow-through and</w:t>
      </w:r>
      <w:r>
        <w:rPr>
          <w:spacing w:val="-2"/>
        </w:rPr>
        <w:t> </w:t>
      </w:r>
      <w:r>
        <w:rPr/>
        <w:t>collection</w:t>
      </w:r>
      <w:r>
        <w:rPr>
          <w:spacing w:val="-2"/>
        </w:rPr>
        <w:t> </w:t>
      </w:r>
      <w:r>
        <w:rPr/>
        <w:t>tube</w:t>
      </w:r>
      <w:r>
        <w:rPr>
          <w:spacing w:val="-1"/>
        </w:rPr>
        <w:t> </w:t>
      </w:r>
      <w:r>
        <w:rPr/>
        <w:t>were</w:t>
      </w:r>
      <w:r>
        <w:rPr>
          <w:spacing w:val="-2"/>
        </w:rPr>
        <w:t> </w:t>
      </w:r>
      <w:r>
        <w:rPr/>
        <w:t>discarded and the</w:t>
      </w:r>
      <w:r>
        <w:rPr>
          <w:spacing w:val="-2"/>
        </w:rPr>
        <w:t> </w:t>
      </w:r>
      <w:r>
        <w:rPr/>
        <w:t>spin columns were carefully removed so that it does not come into contact with the flow-through. The spin columns were then transferred into new 1.5 ml or 2 ml microcentrifuge tubes, then 200 µl of Buffer AE (Appendix V) was added to the centre of the spin column for elution of the genomic DNA and then incubated for 1 min at room temperature (25</w:t>
      </w:r>
      <w:r>
        <w:rPr>
          <w:vertAlign w:val="superscript"/>
        </w:rPr>
        <w:t>o</w:t>
      </w:r>
      <w:r>
        <w:rPr>
          <w:vertAlign w:val="baseline"/>
        </w:rPr>
        <w:t>C) and centrifuged for 1 min at 6000 x g. DNA quality and concentration were checked by running 2 µl of the diluted DNA sample on 1% agarose gel.</w:t>
      </w:r>
    </w:p>
    <w:p>
      <w:pPr>
        <w:spacing w:after="0" w:line="480" w:lineRule="auto"/>
        <w:jc w:val="both"/>
        <w:sectPr>
          <w:pgSz w:w="11910" w:h="16840"/>
          <w:pgMar w:header="0" w:footer="1254" w:top="1340" w:bottom="1440" w:left="1180" w:right="580"/>
        </w:sectPr>
      </w:pPr>
    </w:p>
    <w:p>
      <w:pPr>
        <w:pStyle w:val="BodyText"/>
        <w:spacing w:line="480" w:lineRule="auto" w:before="74"/>
        <w:ind w:left="260" w:right="856"/>
        <w:jc w:val="both"/>
      </w:pPr>
      <w:r>
        <w:rPr/>
        <w:t>Accurate</w:t>
      </w:r>
      <w:r>
        <w:rPr>
          <w:spacing w:val="-3"/>
        </w:rPr>
        <w:t> </w:t>
      </w:r>
      <w:r>
        <w:rPr/>
        <w:t>DNA</w:t>
      </w:r>
      <w:r>
        <w:rPr>
          <w:spacing w:val="-3"/>
        </w:rPr>
        <w:t> </w:t>
      </w:r>
      <w:r>
        <w:rPr/>
        <w:t>quantification</w:t>
      </w:r>
      <w:r>
        <w:rPr>
          <w:spacing w:val="-3"/>
        </w:rPr>
        <w:t> </w:t>
      </w:r>
      <w:r>
        <w:rPr/>
        <w:t>was</w:t>
      </w:r>
      <w:r>
        <w:rPr>
          <w:spacing w:val="-3"/>
        </w:rPr>
        <w:t> </w:t>
      </w:r>
      <w:r>
        <w:rPr/>
        <w:t>carried</w:t>
      </w:r>
      <w:r>
        <w:rPr>
          <w:spacing w:val="-3"/>
        </w:rPr>
        <w:t> </w:t>
      </w:r>
      <w:r>
        <w:rPr/>
        <w:t>out</w:t>
      </w:r>
      <w:r>
        <w:rPr>
          <w:spacing w:val="-3"/>
        </w:rPr>
        <w:t> </w:t>
      </w:r>
      <w:r>
        <w:rPr/>
        <w:t>using</w:t>
      </w:r>
      <w:r>
        <w:rPr>
          <w:spacing w:val="-4"/>
        </w:rPr>
        <w:t> </w:t>
      </w:r>
      <w:r>
        <w:rPr/>
        <w:t>a NANODROP®2000</w:t>
      </w:r>
      <w:r>
        <w:rPr>
          <w:spacing w:val="-2"/>
        </w:rPr>
        <w:t> </w:t>
      </w:r>
      <w:r>
        <w:rPr/>
        <w:t>spectrophotometer (Thermo Scientific Inc.). PCR amplification was then performed according to Olasehinde </w:t>
      </w:r>
      <w:r>
        <w:rPr>
          <w:i/>
        </w:rPr>
        <w:t>et al</w:t>
      </w:r>
      <w:r>
        <w:rPr/>
        <w:t>.</w:t>
      </w:r>
      <w:r>
        <w:rPr>
          <w:spacing w:val="40"/>
        </w:rPr>
        <w:t> </w:t>
      </w:r>
      <w:r>
        <w:rPr/>
        <w:t>(2014) and described as follows:</w:t>
      </w:r>
    </w:p>
    <w:p>
      <w:pPr>
        <w:pStyle w:val="BodyText"/>
      </w:pPr>
    </w:p>
    <w:p>
      <w:pPr>
        <w:pStyle w:val="BodyText"/>
      </w:pPr>
    </w:p>
    <w:p>
      <w:pPr>
        <w:pStyle w:val="ListParagraph"/>
        <w:numPr>
          <w:ilvl w:val="3"/>
          <w:numId w:val="12"/>
        </w:numPr>
        <w:tabs>
          <w:tab w:pos="984" w:val="left" w:leader="none"/>
        </w:tabs>
        <w:spacing w:line="480" w:lineRule="auto" w:before="0" w:after="0"/>
        <w:ind w:left="260" w:right="856" w:firstLine="0"/>
        <w:jc w:val="both"/>
        <w:rPr>
          <w:sz w:val="24"/>
        </w:rPr>
      </w:pPr>
      <w:r>
        <w:rPr>
          <w:b/>
          <w:sz w:val="24"/>
        </w:rPr>
        <w:t>PCR for detection of </w:t>
      </w:r>
      <w:r>
        <w:rPr>
          <w:b/>
          <w:i/>
          <w:sz w:val="24"/>
        </w:rPr>
        <w:t>Pfcrt </w:t>
      </w:r>
      <w:r>
        <w:rPr>
          <w:b/>
          <w:sz w:val="24"/>
        </w:rPr>
        <w:t>gene. </w:t>
      </w:r>
      <w:r>
        <w:rPr>
          <w:sz w:val="24"/>
        </w:rPr>
        <w:t>The primary</w:t>
      </w:r>
      <w:r>
        <w:rPr>
          <w:spacing w:val="-4"/>
          <w:sz w:val="24"/>
        </w:rPr>
        <w:t> </w:t>
      </w:r>
      <w:r>
        <w:rPr>
          <w:sz w:val="24"/>
        </w:rPr>
        <w:t>PCR components, in a final volume of 20μL, was 2.5mM MgCl</w:t>
      </w:r>
      <w:r>
        <w:rPr>
          <w:sz w:val="24"/>
          <w:vertAlign w:val="subscript"/>
        </w:rPr>
        <w:t>2</w:t>
      </w:r>
      <w:r>
        <w:rPr>
          <w:sz w:val="24"/>
          <w:vertAlign w:val="baseline"/>
        </w:rPr>
        <w:t>, 640μM deoxynucleotide triphosphate (dNTPs), buffer 10x, 10pM of each primer, 1U of Taq polymerase (AmpliTaq Gold; Applied Biosystems, Foster City, CA, USA) and 2μL of DNA samples). The primers and thermal cycling conditions used for the PCR analysis are contained in Tables 3.2 and 3.3 respectively.</w:t>
      </w:r>
    </w:p>
    <w:p>
      <w:pPr>
        <w:pStyle w:val="BodyText"/>
      </w:pPr>
    </w:p>
    <w:p>
      <w:pPr>
        <w:pStyle w:val="BodyText"/>
        <w:spacing w:before="1"/>
      </w:pPr>
    </w:p>
    <w:p>
      <w:pPr>
        <w:pStyle w:val="ListParagraph"/>
        <w:numPr>
          <w:ilvl w:val="3"/>
          <w:numId w:val="12"/>
        </w:numPr>
        <w:tabs>
          <w:tab w:pos="979" w:val="left" w:leader="none"/>
        </w:tabs>
        <w:spacing w:line="480" w:lineRule="auto" w:before="0" w:after="0"/>
        <w:ind w:left="260" w:right="855" w:firstLine="0"/>
        <w:jc w:val="both"/>
        <w:rPr>
          <w:sz w:val="24"/>
        </w:rPr>
      </w:pPr>
      <w:r>
        <w:rPr>
          <w:b/>
          <w:sz w:val="24"/>
        </w:rPr>
        <w:t>Nested PCR and RFLP for </w:t>
      </w:r>
      <w:r>
        <w:rPr>
          <w:b/>
          <w:i/>
          <w:sz w:val="24"/>
        </w:rPr>
        <w:t>Pfcrt </w:t>
      </w:r>
      <w:r>
        <w:rPr>
          <w:b/>
          <w:sz w:val="24"/>
        </w:rPr>
        <w:t>mutation-specific detection. </w:t>
      </w:r>
      <w:r>
        <w:rPr>
          <w:sz w:val="24"/>
        </w:rPr>
        <w:t>The PCR products from the amplification reactions were evaluated by electrophoresis on 2% agarose gels containing ethidium bromide. 10 μl of the nested PCR product reaction mixture were treated directly with 3U of the restriction enzyme </w:t>
      </w:r>
      <w:r>
        <w:rPr>
          <w:i/>
          <w:sz w:val="24"/>
        </w:rPr>
        <w:t>Apo </w:t>
      </w:r>
      <w:r>
        <w:rPr>
          <w:sz w:val="24"/>
        </w:rPr>
        <w:t>I for 6 to 16 hours at 50°C as recommended</w:t>
      </w:r>
      <w:r>
        <w:rPr>
          <w:spacing w:val="40"/>
          <w:sz w:val="24"/>
        </w:rPr>
        <w:t> </w:t>
      </w:r>
      <w:r>
        <w:rPr>
          <w:sz w:val="24"/>
        </w:rPr>
        <w:t>by the manufacturer (New England Biolabs, Beverly, MA). The enzyme </w:t>
      </w:r>
      <w:r>
        <w:rPr>
          <w:i/>
          <w:sz w:val="24"/>
        </w:rPr>
        <w:t>Apo </w:t>
      </w:r>
      <w:r>
        <w:rPr>
          <w:sz w:val="24"/>
        </w:rPr>
        <w:t>I recognize and cut the 76K codon and leaves the 76T codon found in chloroquine-resistant </w:t>
      </w:r>
      <w:r>
        <w:rPr>
          <w:i/>
          <w:sz w:val="24"/>
        </w:rPr>
        <w:t>P. falciparum</w:t>
      </w:r>
      <w:r>
        <w:rPr>
          <w:sz w:val="24"/>
        </w:rPr>
        <w:t>. The conditions used for thermal cycling conditions are contained in Table 3.4.</w:t>
      </w:r>
    </w:p>
    <w:p>
      <w:pPr>
        <w:pStyle w:val="BodyText"/>
      </w:pPr>
    </w:p>
    <w:p>
      <w:pPr>
        <w:pStyle w:val="BodyText"/>
        <w:spacing w:before="1"/>
      </w:pPr>
    </w:p>
    <w:p>
      <w:pPr>
        <w:pStyle w:val="ListParagraph"/>
        <w:numPr>
          <w:ilvl w:val="3"/>
          <w:numId w:val="12"/>
        </w:numPr>
        <w:tabs>
          <w:tab w:pos="1003" w:val="left" w:leader="none"/>
        </w:tabs>
        <w:spacing w:line="480" w:lineRule="auto" w:before="0" w:after="0"/>
        <w:ind w:left="260" w:right="853" w:firstLine="0"/>
        <w:jc w:val="both"/>
        <w:rPr>
          <w:sz w:val="24"/>
        </w:rPr>
      </w:pPr>
      <w:r>
        <w:rPr>
          <w:b/>
          <w:sz w:val="24"/>
        </w:rPr>
        <w:t>PCR and RPLP assay for (SERCA) </w:t>
      </w:r>
      <w:r>
        <w:rPr>
          <w:b/>
          <w:i/>
          <w:sz w:val="24"/>
        </w:rPr>
        <w:t>PfATPase</w:t>
      </w:r>
      <w:r>
        <w:rPr>
          <w:b/>
          <w:sz w:val="24"/>
        </w:rPr>
        <w:t>6. </w:t>
      </w:r>
      <w:r>
        <w:rPr>
          <w:i/>
          <w:sz w:val="24"/>
        </w:rPr>
        <w:t>Plasmodium falciparum </w:t>
      </w:r>
      <w:r>
        <w:rPr>
          <w:sz w:val="24"/>
        </w:rPr>
        <w:t>positive samples were amplified by PCR using </w:t>
      </w:r>
      <w:r>
        <w:rPr>
          <w:i/>
          <w:sz w:val="24"/>
        </w:rPr>
        <w:t>PfATPase6</w:t>
      </w:r>
      <w:r>
        <w:rPr>
          <w:sz w:val="24"/>
        </w:rPr>
        <w:t>-specific primary and nested primer pairs. DNA extract for each sample was subjected to nested PCR amplification with primers flanking nucleotide codon 2307 of the </w:t>
      </w:r>
      <w:r>
        <w:rPr>
          <w:i/>
          <w:sz w:val="24"/>
        </w:rPr>
        <w:t>PfATPase6 </w:t>
      </w:r>
      <w:r>
        <w:rPr>
          <w:sz w:val="24"/>
        </w:rPr>
        <w:t>gene. Both the primary and secondary reactions comprised 2 μl template, 0.25 μM primer, 1.5 mM MgCl2, 200 μM dNTP’s, 1x</w:t>
      </w:r>
      <w:r>
        <w:rPr>
          <w:spacing w:val="40"/>
          <w:sz w:val="24"/>
        </w:rPr>
        <w:t> </w:t>
      </w:r>
      <w:r>
        <w:rPr>
          <w:sz w:val="24"/>
        </w:rPr>
        <w:t>PCR buffer and 1U Taq DNA polymerase, in 25 μl reactions. One site, at </w:t>
      </w:r>
      <w:r>
        <w:rPr>
          <w:i/>
          <w:sz w:val="24"/>
        </w:rPr>
        <w:t>PfATPase6 </w:t>
      </w:r>
      <w:r>
        <w:rPr>
          <w:sz w:val="24"/>
        </w:rPr>
        <w:t>nucleotide</w:t>
      </w:r>
      <w:r>
        <w:rPr>
          <w:spacing w:val="-3"/>
          <w:sz w:val="24"/>
        </w:rPr>
        <w:t> </w:t>
      </w:r>
      <w:r>
        <w:rPr>
          <w:sz w:val="24"/>
        </w:rPr>
        <w:t>codon</w:t>
      </w:r>
      <w:r>
        <w:rPr>
          <w:spacing w:val="1"/>
          <w:sz w:val="24"/>
        </w:rPr>
        <w:t> </w:t>
      </w:r>
      <w:r>
        <w:rPr>
          <w:sz w:val="24"/>
        </w:rPr>
        <w:t>1916,</w:t>
      </w:r>
      <w:r>
        <w:rPr>
          <w:spacing w:val="1"/>
          <w:sz w:val="24"/>
        </w:rPr>
        <w:t> </w:t>
      </w:r>
      <w:r>
        <w:rPr>
          <w:sz w:val="24"/>
        </w:rPr>
        <w:t>serves</w:t>
      </w:r>
      <w:r>
        <w:rPr>
          <w:spacing w:val="1"/>
          <w:sz w:val="24"/>
        </w:rPr>
        <w:t> </w:t>
      </w:r>
      <w:r>
        <w:rPr>
          <w:sz w:val="24"/>
        </w:rPr>
        <w:t>as</w:t>
      </w:r>
      <w:r>
        <w:rPr>
          <w:spacing w:val="1"/>
          <w:sz w:val="24"/>
        </w:rPr>
        <w:t> </w:t>
      </w:r>
      <w:r>
        <w:rPr>
          <w:sz w:val="24"/>
        </w:rPr>
        <w:t>the internal control for</w:t>
      </w:r>
      <w:r>
        <w:rPr>
          <w:spacing w:val="-1"/>
          <w:sz w:val="24"/>
        </w:rPr>
        <w:t> </w:t>
      </w:r>
      <w:r>
        <w:rPr>
          <w:sz w:val="24"/>
        </w:rPr>
        <w:t>the restriction</w:t>
      </w:r>
      <w:r>
        <w:rPr>
          <w:spacing w:val="1"/>
          <w:sz w:val="24"/>
        </w:rPr>
        <w:t> </w:t>
      </w:r>
      <w:r>
        <w:rPr>
          <w:sz w:val="24"/>
        </w:rPr>
        <w:t>digestion</w:t>
      </w:r>
      <w:r>
        <w:rPr>
          <w:spacing w:val="1"/>
          <w:sz w:val="24"/>
        </w:rPr>
        <w:t> </w:t>
      </w:r>
      <w:r>
        <w:rPr>
          <w:sz w:val="24"/>
        </w:rPr>
        <w:t>assay,</w:t>
      </w:r>
      <w:r>
        <w:rPr>
          <w:spacing w:val="1"/>
          <w:sz w:val="24"/>
        </w:rPr>
        <w:t> </w:t>
      </w:r>
      <w:r>
        <w:rPr>
          <w:spacing w:val="-2"/>
          <w:sz w:val="24"/>
        </w:rPr>
        <w:t>which</w:t>
      </w:r>
    </w:p>
    <w:p>
      <w:pPr>
        <w:spacing w:after="0" w:line="480" w:lineRule="auto"/>
        <w:jc w:val="both"/>
        <w:rPr>
          <w:sz w:val="24"/>
        </w:rPr>
        <w:sectPr>
          <w:pgSz w:w="11910" w:h="16840"/>
          <w:pgMar w:header="0" w:footer="1254" w:top="1340" w:bottom="1440" w:left="1180" w:right="580"/>
        </w:sectPr>
      </w:pPr>
    </w:p>
    <w:p>
      <w:pPr>
        <w:pStyle w:val="BodyText"/>
        <w:spacing w:line="480" w:lineRule="auto" w:before="74"/>
        <w:ind w:left="260" w:right="853"/>
        <w:jc w:val="both"/>
        <w:rPr>
          <w:sz w:val="22"/>
        </w:rPr>
      </w:pPr>
      <w:r>
        <w:rPr/>
        <w:t>is always cut by the enzyme. Csp6 I digestion assay comprised 4 μl of secondary PCR amplicon (432 bp), 1x buffer and 1.5U of Csp6 I restriction enzyme, in 30 μl reactions. Digestion assays were incubated for 12 hours at 37</w:t>
      </w:r>
      <w:r>
        <w:rPr>
          <w:vertAlign w:val="superscript"/>
        </w:rPr>
        <w:t>o</w:t>
      </w:r>
      <w:r>
        <w:rPr>
          <w:vertAlign w:val="baseline"/>
        </w:rPr>
        <w:t>C. PCR amplicon and restriction digests were analyzed by electrophoresis on a 2% ethidium bromide-stained agarose gel and visualized under UV transillumination. Restriction digests were loaded in 15 μl volumes per lane.</w:t>
      </w:r>
      <w:r>
        <w:rPr>
          <w:spacing w:val="-1"/>
          <w:vertAlign w:val="baseline"/>
        </w:rPr>
        <w:t> </w:t>
      </w:r>
      <w:r>
        <w:rPr>
          <w:vertAlign w:val="baseline"/>
        </w:rPr>
        <w:t>Band</w:t>
      </w:r>
      <w:r>
        <w:rPr>
          <w:spacing w:val="-1"/>
          <w:vertAlign w:val="baseline"/>
        </w:rPr>
        <w:t> </w:t>
      </w:r>
      <w:r>
        <w:rPr>
          <w:vertAlign w:val="baseline"/>
        </w:rPr>
        <w:t>sizes</w:t>
      </w:r>
      <w:r>
        <w:rPr>
          <w:spacing w:val="-1"/>
          <w:vertAlign w:val="baseline"/>
        </w:rPr>
        <w:t> </w:t>
      </w:r>
      <w:r>
        <w:rPr>
          <w:vertAlign w:val="baseline"/>
        </w:rPr>
        <w:t>were</w:t>
      </w:r>
      <w:r>
        <w:rPr>
          <w:spacing w:val="-3"/>
          <w:vertAlign w:val="baseline"/>
        </w:rPr>
        <w:t> </w:t>
      </w:r>
      <w:r>
        <w:rPr>
          <w:vertAlign w:val="baseline"/>
        </w:rPr>
        <w:t>measured</w:t>
      </w:r>
      <w:r>
        <w:rPr>
          <w:spacing w:val="-1"/>
          <w:vertAlign w:val="baseline"/>
        </w:rPr>
        <w:t> </w:t>
      </w:r>
      <w:r>
        <w:rPr>
          <w:vertAlign w:val="baseline"/>
        </w:rPr>
        <w:t>using</w:t>
      </w:r>
      <w:r>
        <w:rPr>
          <w:spacing w:val="-4"/>
          <w:vertAlign w:val="baseline"/>
        </w:rPr>
        <w:t> </w:t>
      </w:r>
      <w:r>
        <w:rPr>
          <w:vertAlign w:val="baseline"/>
        </w:rPr>
        <w:t>Syngene gel</w:t>
      </w:r>
      <w:r>
        <w:rPr>
          <w:spacing w:val="-1"/>
          <w:vertAlign w:val="baseline"/>
        </w:rPr>
        <w:t> </w:t>
      </w:r>
      <w:r>
        <w:rPr>
          <w:vertAlign w:val="baseline"/>
        </w:rPr>
        <w:t>imaging</w:t>
      </w:r>
      <w:r>
        <w:rPr>
          <w:spacing w:val="-4"/>
          <w:vertAlign w:val="baseline"/>
        </w:rPr>
        <w:t> </w:t>
      </w:r>
      <w:r>
        <w:rPr>
          <w:vertAlign w:val="baseline"/>
        </w:rPr>
        <w:t>analysis</w:t>
      </w:r>
      <w:r>
        <w:rPr>
          <w:spacing w:val="-1"/>
          <w:vertAlign w:val="baseline"/>
        </w:rPr>
        <w:t> </w:t>
      </w:r>
      <w:r>
        <w:rPr>
          <w:vertAlign w:val="baseline"/>
        </w:rPr>
        <w:t>software. The conditions used for t</w:t>
      </w:r>
      <w:r>
        <w:rPr>
          <w:sz w:val="22"/>
          <w:vertAlign w:val="baseline"/>
        </w:rPr>
        <w:t>hermal Cycling Conditions Used for </w:t>
      </w:r>
      <w:r>
        <w:rPr>
          <w:i/>
          <w:sz w:val="22"/>
          <w:vertAlign w:val="baseline"/>
        </w:rPr>
        <w:t>PfATPase</w:t>
      </w:r>
      <w:r>
        <w:rPr>
          <w:sz w:val="22"/>
          <w:vertAlign w:val="baseline"/>
        </w:rPr>
        <w:t>6 PCR and RPLP assay (SERCA) are contained in Table 3.5.</w:t>
      </w:r>
    </w:p>
    <w:p>
      <w:pPr>
        <w:spacing w:after="0" w:line="480" w:lineRule="auto"/>
        <w:jc w:val="both"/>
        <w:rPr>
          <w:sz w:val="22"/>
        </w:rPr>
        <w:sectPr>
          <w:pgSz w:w="11910" w:h="16840"/>
          <w:pgMar w:header="0" w:footer="1254" w:top="1340" w:bottom="1440" w:left="1180" w:right="580"/>
        </w:sectPr>
      </w:pPr>
    </w:p>
    <w:p>
      <w:pPr>
        <w:pStyle w:val="BodyText"/>
        <w:spacing w:before="164"/>
        <w:rPr>
          <w:sz w:val="20"/>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1492"/>
        <w:gridCol w:w="3220"/>
        <w:gridCol w:w="859"/>
        <w:gridCol w:w="1316"/>
        <w:gridCol w:w="2177"/>
      </w:tblGrid>
      <w:tr>
        <w:trPr>
          <w:trHeight w:val="751" w:hRule="atLeast"/>
        </w:trPr>
        <w:tc>
          <w:tcPr>
            <w:tcW w:w="9561" w:type="dxa"/>
            <w:gridSpan w:val="6"/>
            <w:tcBorders>
              <w:bottom w:val="single" w:sz="4" w:space="0" w:color="000000"/>
            </w:tcBorders>
          </w:tcPr>
          <w:p>
            <w:pPr>
              <w:pStyle w:val="TableParagraph"/>
              <w:spacing w:line="266" w:lineRule="exact" w:before="0"/>
              <w:ind w:left="108"/>
              <w:jc w:val="left"/>
              <w:rPr>
                <w:b/>
                <w:sz w:val="24"/>
              </w:rPr>
            </w:pPr>
            <w:r>
              <w:rPr>
                <w:b/>
                <w:sz w:val="24"/>
              </w:rPr>
              <w:t>Table</w:t>
            </w:r>
            <w:r>
              <w:rPr>
                <w:b/>
                <w:spacing w:val="-2"/>
                <w:sz w:val="24"/>
              </w:rPr>
              <w:t> </w:t>
            </w:r>
            <w:r>
              <w:rPr>
                <w:b/>
                <w:sz w:val="24"/>
              </w:rPr>
              <w:t>3.2:</w:t>
            </w:r>
            <w:r>
              <w:rPr>
                <w:b/>
                <w:spacing w:val="-3"/>
                <w:sz w:val="24"/>
              </w:rPr>
              <w:t> </w:t>
            </w:r>
            <w:r>
              <w:rPr>
                <w:b/>
                <w:sz w:val="24"/>
              </w:rPr>
              <w:t>Primers</w:t>
            </w:r>
            <w:r>
              <w:rPr>
                <w:b/>
                <w:spacing w:val="-1"/>
                <w:sz w:val="24"/>
              </w:rPr>
              <w:t> </w:t>
            </w:r>
            <w:r>
              <w:rPr>
                <w:b/>
                <w:sz w:val="24"/>
              </w:rPr>
              <w:t>Used</w:t>
            </w:r>
            <w:r>
              <w:rPr>
                <w:b/>
                <w:spacing w:val="-2"/>
                <w:sz w:val="24"/>
              </w:rPr>
              <w:t> </w:t>
            </w:r>
            <w:r>
              <w:rPr>
                <w:b/>
                <w:sz w:val="24"/>
              </w:rPr>
              <w:t>For Polymerase Chain</w:t>
            </w:r>
            <w:r>
              <w:rPr>
                <w:b/>
                <w:spacing w:val="-1"/>
                <w:sz w:val="24"/>
              </w:rPr>
              <w:t> </w:t>
            </w:r>
            <w:r>
              <w:rPr>
                <w:b/>
                <w:spacing w:val="-2"/>
                <w:sz w:val="24"/>
              </w:rPr>
              <w:t>Reaction</w:t>
            </w:r>
          </w:p>
        </w:tc>
      </w:tr>
      <w:tr>
        <w:trPr>
          <w:trHeight w:val="414" w:hRule="atLeast"/>
        </w:trPr>
        <w:tc>
          <w:tcPr>
            <w:tcW w:w="497" w:type="dxa"/>
            <w:tcBorders>
              <w:top w:val="single" w:sz="4" w:space="0" w:color="000000"/>
              <w:bottom w:val="single" w:sz="4" w:space="0" w:color="000000"/>
            </w:tcBorders>
          </w:tcPr>
          <w:p>
            <w:pPr>
              <w:pStyle w:val="TableParagraph"/>
              <w:spacing w:line="202" w:lineRule="exact" w:before="0"/>
              <w:ind w:left="108"/>
              <w:jc w:val="left"/>
              <w:rPr>
                <w:sz w:val="18"/>
              </w:rPr>
            </w:pPr>
            <w:r>
              <w:rPr>
                <w:spacing w:val="-5"/>
                <w:sz w:val="18"/>
              </w:rPr>
              <w:t>S/N</w:t>
            </w:r>
          </w:p>
        </w:tc>
        <w:tc>
          <w:tcPr>
            <w:tcW w:w="1492" w:type="dxa"/>
            <w:tcBorders>
              <w:top w:val="single" w:sz="4" w:space="0" w:color="000000"/>
              <w:bottom w:val="single" w:sz="4" w:space="0" w:color="000000"/>
            </w:tcBorders>
          </w:tcPr>
          <w:p>
            <w:pPr>
              <w:pStyle w:val="TableParagraph"/>
              <w:spacing w:line="202" w:lineRule="exact" w:before="0"/>
              <w:ind w:left="107"/>
              <w:jc w:val="left"/>
              <w:rPr>
                <w:sz w:val="18"/>
              </w:rPr>
            </w:pPr>
            <w:r>
              <w:rPr>
                <w:spacing w:val="-2"/>
                <w:sz w:val="18"/>
              </w:rPr>
              <w:t>Primer</w:t>
            </w:r>
          </w:p>
        </w:tc>
        <w:tc>
          <w:tcPr>
            <w:tcW w:w="3220" w:type="dxa"/>
            <w:tcBorders>
              <w:top w:val="single" w:sz="4" w:space="0" w:color="000000"/>
              <w:bottom w:val="single" w:sz="4" w:space="0" w:color="000000"/>
            </w:tcBorders>
          </w:tcPr>
          <w:p>
            <w:pPr>
              <w:pStyle w:val="TableParagraph"/>
              <w:spacing w:line="202" w:lineRule="exact" w:before="0"/>
              <w:ind w:left="115"/>
              <w:jc w:val="left"/>
              <w:rPr>
                <w:sz w:val="18"/>
              </w:rPr>
            </w:pPr>
            <w:r>
              <w:rPr>
                <w:sz w:val="18"/>
              </w:rPr>
              <w:t>Oligonucleotides</w:t>
            </w:r>
            <w:r>
              <w:rPr>
                <w:spacing w:val="-1"/>
                <w:sz w:val="18"/>
              </w:rPr>
              <w:t> </w:t>
            </w:r>
            <w:r>
              <w:rPr>
                <w:spacing w:val="-2"/>
                <w:sz w:val="18"/>
              </w:rPr>
              <w:t>sequence</w:t>
            </w:r>
          </w:p>
        </w:tc>
        <w:tc>
          <w:tcPr>
            <w:tcW w:w="859" w:type="dxa"/>
            <w:tcBorders>
              <w:top w:val="single" w:sz="4" w:space="0" w:color="000000"/>
              <w:bottom w:val="single" w:sz="4" w:space="0" w:color="000000"/>
            </w:tcBorders>
          </w:tcPr>
          <w:p>
            <w:pPr>
              <w:pStyle w:val="TableParagraph"/>
              <w:spacing w:line="202" w:lineRule="exact" w:before="0"/>
              <w:ind w:left="227"/>
              <w:jc w:val="left"/>
              <w:rPr>
                <w:sz w:val="18"/>
              </w:rPr>
            </w:pPr>
            <w:r>
              <w:rPr>
                <w:spacing w:val="-4"/>
                <w:sz w:val="18"/>
              </w:rPr>
              <w:t>Base</w:t>
            </w:r>
          </w:p>
          <w:p>
            <w:pPr>
              <w:pStyle w:val="TableParagraph"/>
              <w:spacing w:line="193" w:lineRule="exact" w:before="0"/>
              <w:ind w:left="227"/>
              <w:jc w:val="left"/>
              <w:rPr>
                <w:sz w:val="18"/>
              </w:rPr>
            </w:pPr>
            <w:r>
              <w:rPr>
                <w:spacing w:val="-4"/>
                <w:sz w:val="18"/>
              </w:rPr>
              <w:t>pair</w:t>
            </w:r>
          </w:p>
        </w:tc>
        <w:tc>
          <w:tcPr>
            <w:tcW w:w="1316" w:type="dxa"/>
            <w:tcBorders>
              <w:top w:val="single" w:sz="4" w:space="0" w:color="000000"/>
              <w:bottom w:val="single" w:sz="4" w:space="0" w:color="000000"/>
            </w:tcBorders>
          </w:tcPr>
          <w:p>
            <w:pPr>
              <w:pStyle w:val="TableParagraph"/>
              <w:spacing w:line="202" w:lineRule="exact" w:before="0"/>
              <w:ind w:left="177"/>
              <w:jc w:val="left"/>
              <w:rPr>
                <w:sz w:val="18"/>
              </w:rPr>
            </w:pPr>
            <w:r>
              <w:rPr>
                <w:spacing w:val="-2"/>
                <w:sz w:val="18"/>
              </w:rPr>
              <w:t>Resistance</w:t>
            </w:r>
          </w:p>
        </w:tc>
        <w:tc>
          <w:tcPr>
            <w:tcW w:w="2177" w:type="dxa"/>
            <w:tcBorders>
              <w:top w:val="single" w:sz="4" w:space="0" w:color="000000"/>
              <w:bottom w:val="single" w:sz="4" w:space="0" w:color="000000"/>
            </w:tcBorders>
          </w:tcPr>
          <w:p>
            <w:pPr>
              <w:pStyle w:val="TableParagraph"/>
              <w:spacing w:line="202" w:lineRule="exact" w:before="0"/>
              <w:ind w:left="146"/>
              <w:jc w:val="left"/>
              <w:rPr>
                <w:sz w:val="18"/>
              </w:rPr>
            </w:pPr>
            <w:r>
              <w:rPr>
                <w:spacing w:val="-2"/>
                <w:sz w:val="18"/>
              </w:rPr>
              <w:t>Reference</w:t>
            </w:r>
          </w:p>
        </w:tc>
      </w:tr>
      <w:tr>
        <w:trPr>
          <w:trHeight w:val="411" w:hRule="atLeast"/>
        </w:trPr>
        <w:tc>
          <w:tcPr>
            <w:tcW w:w="497" w:type="dxa"/>
            <w:tcBorders>
              <w:top w:val="single" w:sz="4" w:space="0" w:color="000000"/>
            </w:tcBorders>
          </w:tcPr>
          <w:p>
            <w:pPr>
              <w:pStyle w:val="TableParagraph"/>
              <w:spacing w:line="202" w:lineRule="exact" w:before="0"/>
              <w:ind w:left="108"/>
              <w:jc w:val="left"/>
              <w:rPr>
                <w:sz w:val="18"/>
              </w:rPr>
            </w:pPr>
            <w:r>
              <w:rPr>
                <w:spacing w:val="-10"/>
                <w:sz w:val="18"/>
              </w:rPr>
              <w:t>1</w:t>
            </w:r>
          </w:p>
        </w:tc>
        <w:tc>
          <w:tcPr>
            <w:tcW w:w="1492" w:type="dxa"/>
            <w:tcBorders>
              <w:top w:val="single" w:sz="4" w:space="0" w:color="000000"/>
            </w:tcBorders>
          </w:tcPr>
          <w:p>
            <w:pPr>
              <w:pStyle w:val="TableParagraph"/>
              <w:spacing w:line="202" w:lineRule="exact" w:before="0"/>
              <w:ind w:left="107"/>
              <w:jc w:val="left"/>
              <w:rPr>
                <w:sz w:val="18"/>
              </w:rPr>
            </w:pPr>
            <w:r>
              <w:rPr>
                <w:i/>
                <w:sz w:val="18"/>
              </w:rPr>
              <w:t>Pfcrt</w:t>
            </w:r>
            <w:r>
              <w:rPr>
                <w:sz w:val="18"/>
              </w:rPr>
              <w:t>-</w:t>
            </w:r>
            <w:r>
              <w:rPr>
                <w:spacing w:val="-1"/>
                <w:sz w:val="18"/>
              </w:rPr>
              <w:t> </w:t>
            </w:r>
            <w:r>
              <w:rPr>
                <w:spacing w:val="-5"/>
                <w:sz w:val="18"/>
              </w:rPr>
              <w:t>RA</w:t>
            </w:r>
          </w:p>
        </w:tc>
        <w:tc>
          <w:tcPr>
            <w:tcW w:w="3220" w:type="dxa"/>
            <w:tcBorders>
              <w:top w:val="single" w:sz="4" w:space="0" w:color="000000"/>
            </w:tcBorders>
          </w:tcPr>
          <w:p>
            <w:pPr>
              <w:pStyle w:val="TableParagraph"/>
              <w:spacing w:line="202" w:lineRule="exact" w:before="0"/>
              <w:ind w:left="115"/>
              <w:jc w:val="left"/>
              <w:rPr>
                <w:sz w:val="18"/>
              </w:rPr>
            </w:pPr>
            <w:r>
              <w:rPr>
                <w:spacing w:val="-2"/>
                <w:sz w:val="18"/>
              </w:rPr>
              <w:t>CCGTTAATAATAAATACAGGC</w:t>
            </w:r>
          </w:p>
        </w:tc>
        <w:tc>
          <w:tcPr>
            <w:tcW w:w="859" w:type="dxa"/>
            <w:tcBorders>
              <w:top w:val="single" w:sz="4" w:space="0" w:color="000000"/>
            </w:tcBorders>
          </w:tcPr>
          <w:p>
            <w:pPr>
              <w:pStyle w:val="TableParagraph"/>
              <w:spacing w:line="202" w:lineRule="exact" w:before="0"/>
              <w:ind w:left="227"/>
              <w:jc w:val="left"/>
              <w:rPr>
                <w:sz w:val="18"/>
              </w:rPr>
            </w:pPr>
            <w:r>
              <w:rPr>
                <w:spacing w:val="-2"/>
                <w:sz w:val="18"/>
              </w:rPr>
              <w:t>1.6kb</w:t>
            </w:r>
          </w:p>
        </w:tc>
        <w:tc>
          <w:tcPr>
            <w:tcW w:w="1316" w:type="dxa"/>
            <w:tcBorders>
              <w:top w:val="single" w:sz="4" w:space="0" w:color="000000"/>
            </w:tcBorders>
          </w:tcPr>
          <w:p>
            <w:pPr>
              <w:pStyle w:val="TableParagraph"/>
              <w:spacing w:line="202" w:lineRule="exact" w:before="0"/>
              <w:ind w:left="177"/>
              <w:jc w:val="left"/>
              <w:rPr>
                <w:sz w:val="18"/>
              </w:rPr>
            </w:pPr>
            <w:r>
              <w:rPr>
                <w:spacing w:val="-2"/>
                <w:sz w:val="18"/>
              </w:rPr>
              <w:t>Chloroquine</w:t>
            </w:r>
          </w:p>
          <w:p>
            <w:pPr>
              <w:pStyle w:val="TableParagraph"/>
              <w:spacing w:line="190" w:lineRule="exact" w:before="0"/>
              <w:ind w:left="177"/>
              <w:jc w:val="left"/>
              <w:rPr>
                <w:sz w:val="18"/>
              </w:rPr>
            </w:pPr>
            <w:r>
              <w:rPr>
                <w:spacing w:val="-2"/>
                <w:sz w:val="18"/>
              </w:rPr>
              <w:t>Transporter</w:t>
            </w:r>
          </w:p>
        </w:tc>
        <w:tc>
          <w:tcPr>
            <w:tcW w:w="2177" w:type="dxa"/>
            <w:tcBorders>
              <w:top w:val="single" w:sz="4" w:space="0" w:color="000000"/>
            </w:tcBorders>
          </w:tcPr>
          <w:p>
            <w:pPr>
              <w:pStyle w:val="TableParagraph"/>
              <w:spacing w:line="202" w:lineRule="exact" w:before="0"/>
              <w:ind w:left="146"/>
              <w:jc w:val="left"/>
              <w:rPr>
                <w:sz w:val="18"/>
              </w:rPr>
            </w:pPr>
            <w:r>
              <w:rPr>
                <w:sz w:val="18"/>
              </w:rPr>
              <w:t>Dorsey</w:t>
            </w:r>
            <w:r>
              <w:rPr>
                <w:spacing w:val="-5"/>
                <w:sz w:val="18"/>
              </w:rPr>
              <w:t> </w:t>
            </w:r>
            <w:r>
              <w:rPr>
                <w:i/>
                <w:sz w:val="18"/>
              </w:rPr>
              <w:t>et al</w:t>
            </w:r>
            <w:r>
              <w:rPr>
                <w:sz w:val="18"/>
              </w:rPr>
              <w:t>.,</w:t>
            </w:r>
            <w:r>
              <w:rPr>
                <w:spacing w:val="-1"/>
                <w:sz w:val="18"/>
              </w:rPr>
              <w:t> </w:t>
            </w:r>
            <w:r>
              <w:rPr>
                <w:spacing w:val="-4"/>
                <w:sz w:val="18"/>
              </w:rPr>
              <w:t>2001</w:t>
            </w:r>
          </w:p>
        </w:tc>
      </w:tr>
      <w:tr>
        <w:trPr>
          <w:trHeight w:val="207" w:hRule="atLeast"/>
        </w:trPr>
        <w:tc>
          <w:tcPr>
            <w:tcW w:w="497" w:type="dxa"/>
          </w:tcPr>
          <w:p>
            <w:pPr>
              <w:pStyle w:val="TableParagraph"/>
              <w:spacing w:line="240" w:lineRule="auto" w:before="0"/>
              <w:jc w:val="left"/>
              <w:rPr>
                <w:sz w:val="14"/>
              </w:rPr>
            </w:pPr>
          </w:p>
        </w:tc>
        <w:tc>
          <w:tcPr>
            <w:tcW w:w="1492" w:type="dxa"/>
          </w:tcPr>
          <w:p>
            <w:pPr>
              <w:pStyle w:val="TableParagraph"/>
              <w:spacing w:line="188" w:lineRule="exact" w:before="0"/>
              <w:ind w:left="107"/>
              <w:jc w:val="left"/>
              <w:rPr>
                <w:sz w:val="18"/>
              </w:rPr>
            </w:pPr>
            <w:r>
              <w:rPr>
                <w:i/>
                <w:sz w:val="18"/>
              </w:rPr>
              <w:t>Pfcrt</w:t>
            </w:r>
            <w:r>
              <w:rPr>
                <w:sz w:val="18"/>
              </w:rPr>
              <w:t>-</w:t>
            </w:r>
            <w:r>
              <w:rPr>
                <w:spacing w:val="-1"/>
                <w:sz w:val="18"/>
              </w:rPr>
              <w:t> </w:t>
            </w:r>
            <w:r>
              <w:rPr>
                <w:spacing w:val="-10"/>
                <w:sz w:val="18"/>
              </w:rPr>
              <w:t>F</w:t>
            </w:r>
          </w:p>
        </w:tc>
        <w:tc>
          <w:tcPr>
            <w:tcW w:w="3220" w:type="dxa"/>
          </w:tcPr>
          <w:p>
            <w:pPr>
              <w:pStyle w:val="TableParagraph"/>
              <w:spacing w:line="188" w:lineRule="exact" w:before="0"/>
              <w:ind w:left="115"/>
              <w:jc w:val="left"/>
              <w:rPr>
                <w:sz w:val="18"/>
              </w:rPr>
            </w:pPr>
            <w:r>
              <w:rPr>
                <w:spacing w:val="-2"/>
                <w:sz w:val="18"/>
              </w:rPr>
              <w:t>CTTTTAAAAATGGAAGGGTGT</w:t>
            </w:r>
          </w:p>
        </w:tc>
        <w:tc>
          <w:tcPr>
            <w:tcW w:w="859" w:type="dxa"/>
          </w:tcPr>
          <w:p>
            <w:pPr>
              <w:pStyle w:val="TableParagraph"/>
              <w:spacing w:line="240" w:lineRule="auto" w:before="0"/>
              <w:jc w:val="left"/>
              <w:rPr>
                <w:sz w:val="14"/>
              </w:rPr>
            </w:pPr>
          </w:p>
        </w:tc>
        <w:tc>
          <w:tcPr>
            <w:tcW w:w="1316" w:type="dxa"/>
          </w:tcPr>
          <w:p>
            <w:pPr>
              <w:pStyle w:val="TableParagraph"/>
              <w:spacing w:line="240" w:lineRule="auto" w:before="0"/>
              <w:jc w:val="left"/>
              <w:rPr>
                <w:sz w:val="14"/>
              </w:rPr>
            </w:pPr>
          </w:p>
        </w:tc>
        <w:tc>
          <w:tcPr>
            <w:tcW w:w="2177" w:type="dxa"/>
          </w:tcPr>
          <w:p>
            <w:pPr>
              <w:pStyle w:val="TableParagraph"/>
              <w:spacing w:line="240" w:lineRule="auto" w:before="0"/>
              <w:jc w:val="left"/>
              <w:rPr>
                <w:sz w:val="14"/>
              </w:rPr>
            </w:pPr>
          </w:p>
        </w:tc>
      </w:tr>
      <w:tr>
        <w:trPr>
          <w:trHeight w:val="231" w:hRule="atLeast"/>
        </w:trPr>
        <w:tc>
          <w:tcPr>
            <w:tcW w:w="497" w:type="dxa"/>
          </w:tcPr>
          <w:p>
            <w:pPr>
              <w:pStyle w:val="TableParagraph"/>
              <w:spacing w:line="204" w:lineRule="exact" w:before="0"/>
              <w:ind w:left="108"/>
              <w:jc w:val="left"/>
              <w:rPr>
                <w:sz w:val="18"/>
              </w:rPr>
            </w:pPr>
            <w:r>
              <w:rPr>
                <w:spacing w:val="-10"/>
                <w:sz w:val="18"/>
              </w:rPr>
              <w:t>2</w:t>
            </w:r>
          </w:p>
        </w:tc>
        <w:tc>
          <w:tcPr>
            <w:tcW w:w="1492" w:type="dxa"/>
          </w:tcPr>
          <w:p>
            <w:pPr>
              <w:pStyle w:val="TableParagraph"/>
              <w:spacing w:line="204" w:lineRule="exact" w:before="0"/>
              <w:ind w:left="107"/>
              <w:jc w:val="left"/>
              <w:rPr>
                <w:sz w:val="18"/>
              </w:rPr>
            </w:pPr>
            <w:r>
              <w:rPr>
                <w:i/>
                <w:sz w:val="18"/>
              </w:rPr>
              <w:t>Pfcrt</w:t>
            </w:r>
            <w:r>
              <w:rPr>
                <w:sz w:val="18"/>
              </w:rPr>
              <w:t>-</w:t>
            </w:r>
            <w:r>
              <w:rPr>
                <w:spacing w:val="-1"/>
                <w:sz w:val="18"/>
              </w:rPr>
              <w:t> </w:t>
            </w:r>
            <w:r>
              <w:rPr>
                <w:spacing w:val="-5"/>
                <w:sz w:val="18"/>
              </w:rPr>
              <w:t>FB</w:t>
            </w:r>
          </w:p>
        </w:tc>
        <w:tc>
          <w:tcPr>
            <w:tcW w:w="3220" w:type="dxa"/>
          </w:tcPr>
          <w:p>
            <w:pPr>
              <w:pStyle w:val="TableParagraph"/>
              <w:spacing w:line="204" w:lineRule="exact" w:before="0"/>
              <w:ind w:left="115"/>
              <w:jc w:val="left"/>
              <w:rPr>
                <w:sz w:val="18"/>
              </w:rPr>
            </w:pPr>
            <w:r>
              <w:rPr>
                <w:spacing w:val="-2"/>
                <w:sz w:val="18"/>
              </w:rPr>
              <w:t>GGCTCACGTTTAGGTGGA</w:t>
            </w:r>
          </w:p>
        </w:tc>
        <w:tc>
          <w:tcPr>
            <w:tcW w:w="859" w:type="dxa"/>
          </w:tcPr>
          <w:p>
            <w:pPr>
              <w:pStyle w:val="TableParagraph"/>
              <w:spacing w:line="204" w:lineRule="exact" w:before="0"/>
              <w:ind w:left="227"/>
              <w:jc w:val="left"/>
              <w:rPr>
                <w:sz w:val="18"/>
              </w:rPr>
            </w:pPr>
            <w:r>
              <w:rPr>
                <w:spacing w:val="-4"/>
                <w:sz w:val="18"/>
              </w:rPr>
              <w:t>76kb</w:t>
            </w:r>
          </w:p>
        </w:tc>
        <w:tc>
          <w:tcPr>
            <w:tcW w:w="1316" w:type="dxa"/>
          </w:tcPr>
          <w:p>
            <w:pPr>
              <w:pStyle w:val="TableParagraph"/>
              <w:spacing w:line="204" w:lineRule="exact" w:before="0"/>
              <w:ind w:left="177"/>
              <w:jc w:val="left"/>
              <w:rPr>
                <w:sz w:val="18"/>
              </w:rPr>
            </w:pPr>
            <w:r>
              <w:rPr>
                <w:spacing w:val="-2"/>
                <w:sz w:val="18"/>
              </w:rPr>
              <w:t>Chloroquine</w:t>
            </w:r>
          </w:p>
        </w:tc>
        <w:tc>
          <w:tcPr>
            <w:tcW w:w="2177" w:type="dxa"/>
          </w:tcPr>
          <w:p>
            <w:pPr>
              <w:pStyle w:val="TableParagraph"/>
              <w:spacing w:line="204" w:lineRule="exact" w:before="0"/>
              <w:ind w:left="146"/>
              <w:jc w:val="left"/>
              <w:rPr>
                <w:sz w:val="18"/>
              </w:rPr>
            </w:pPr>
            <w:r>
              <w:rPr>
                <w:sz w:val="18"/>
              </w:rPr>
              <w:t>Olasehinde</w:t>
            </w:r>
            <w:r>
              <w:rPr>
                <w:spacing w:val="-4"/>
                <w:sz w:val="18"/>
              </w:rPr>
              <w:t> </w:t>
            </w:r>
            <w:r>
              <w:rPr>
                <w:i/>
                <w:sz w:val="18"/>
              </w:rPr>
              <w:t>et</w:t>
            </w:r>
            <w:r>
              <w:rPr>
                <w:i/>
                <w:spacing w:val="-1"/>
                <w:sz w:val="18"/>
              </w:rPr>
              <w:t> </w:t>
            </w:r>
            <w:r>
              <w:rPr>
                <w:i/>
                <w:sz w:val="18"/>
              </w:rPr>
              <w:t>al</w:t>
            </w:r>
            <w:r>
              <w:rPr>
                <w:sz w:val="18"/>
              </w:rPr>
              <w:t>.,</w:t>
            </w:r>
            <w:r>
              <w:rPr>
                <w:spacing w:val="-2"/>
                <w:sz w:val="18"/>
              </w:rPr>
              <w:t> </w:t>
            </w:r>
            <w:r>
              <w:rPr>
                <w:spacing w:val="-4"/>
                <w:sz w:val="18"/>
              </w:rPr>
              <w:t>2014</w:t>
            </w:r>
          </w:p>
        </w:tc>
      </w:tr>
      <w:tr>
        <w:trPr>
          <w:trHeight w:val="230" w:hRule="atLeast"/>
        </w:trPr>
        <w:tc>
          <w:tcPr>
            <w:tcW w:w="497" w:type="dxa"/>
          </w:tcPr>
          <w:p>
            <w:pPr>
              <w:pStyle w:val="TableParagraph"/>
              <w:spacing w:line="240" w:lineRule="auto" w:before="0"/>
              <w:jc w:val="left"/>
              <w:rPr>
                <w:sz w:val="16"/>
              </w:rPr>
            </w:pPr>
          </w:p>
        </w:tc>
        <w:tc>
          <w:tcPr>
            <w:tcW w:w="1492" w:type="dxa"/>
          </w:tcPr>
          <w:p>
            <w:pPr>
              <w:pStyle w:val="TableParagraph"/>
              <w:spacing w:line="191" w:lineRule="exact" w:before="20"/>
              <w:ind w:left="107"/>
              <w:jc w:val="left"/>
              <w:rPr>
                <w:sz w:val="18"/>
              </w:rPr>
            </w:pPr>
            <w:r>
              <w:rPr>
                <w:i/>
                <w:sz w:val="18"/>
              </w:rPr>
              <w:t>Pfcrt</w:t>
            </w:r>
            <w:r>
              <w:rPr>
                <w:sz w:val="18"/>
              </w:rPr>
              <w:t>-</w:t>
            </w:r>
            <w:r>
              <w:rPr>
                <w:spacing w:val="-1"/>
                <w:sz w:val="18"/>
              </w:rPr>
              <w:t> </w:t>
            </w:r>
            <w:r>
              <w:rPr>
                <w:spacing w:val="-5"/>
                <w:sz w:val="18"/>
              </w:rPr>
              <w:t>RB1</w:t>
            </w:r>
          </w:p>
        </w:tc>
        <w:tc>
          <w:tcPr>
            <w:tcW w:w="3220" w:type="dxa"/>
          </w:tcPr>
          <w:p>
            <w:pPr>
              <w:pStyle w:val="TableParagraph"/>
              <w:spacing w:line="191" w:lineRule="exact" w:before="20"/>
              <w:ind w:left="115"/>
              <w:jc w:val="left"/>
              <w:rPr>
                <w:sz w:val="18"/>
              </w:rPr>
            </w:pPr>
            <w:r>
              <w:rPr>
                <w:sz w:val="18"/>
              </w:rPr>
              <w:t>TGAATTTCCCTTTTTATTTCCAA</w:t>
            </w:r>
            <w:r>
              <w:rPr>
                <w:spacing w:val="-5"/>
                <w:sz w:val="18"/>
              </w:rPr>
              <w:t> </w:t>
            </w:r>
            <w:r>
              <w:rPr>
                <w:spacing w:val="-10"/>
                <w:sz w:val="18"/>
              </w:rPr>
              <w:t>A</w:t>
            </w:r>
          </w:p>
        </w:tc>
        <w:tc>
          <w:tcPr>
            <w:tcW w:w="859" w:type="dxa"/>
          </w:tcPr>
          <w:p>
            <w:pPr>
              <w:pStyle w:val="TableParagraph"/>
              <w:spacing w:line="191" w:lineRule="exact" w:before="20"/>
              <w:ind w:left="227"/>
              <w:jc w:val="left"/>
              <w:rPr>
                <w:sz w:val="18"/>
              </w:rPr>
            </w:pPr>
            <w:r>
              <w:rPr>
                <w:spacing w:val="-5"/>
                <w:sz w:val="18"/>
              </w:rPr>
              <w:t>76T</w:t>
            </w:r>
          </w:p>
        </w:tc>
        <w:tc>
          <w:tcPr>
            <w:tcW w:w="1316" w:type="dxa"/>
          </w:tcPr>
          <w:p>
            <w:pPr>
              <w:pStyle w:val="TableParagraph"/>
              <w:spacing w:line="240" w:lineRule="auto" w:before="0"/>
              <w:jc w:val="left"/>
              <w:rPr>
                <w:sz w:val="16"/>
              </w:rPr>
            </w:pPr>
          </w:p>
        </w:tc>
        <w:tc>
          <w:tcPr>
            <w:tcW w:w="2177" w:type="dxa"/>
          </w:tcPr>
          <w:p>
            <w:pPr>
              <w:pStyle w:val="TableParagraph"/>
              <w:spacing w:line="240" w:lineRule="auto" w:before="0"/>
              <w:jc w:val="left"/>
              <w:rPr>
                <w:sz w:val="16"/>
              </w:rPr>
            </w:pPr>
          </w:p>
        </w:tc>
      </w:tr>
      <w:tr>
        <w:trPr>
          <w:trHeight w:val="206" w:hRule="atLeast"/>
        </w:trPr>
        <w:tc>
          <w:tcPr>
            <w:tcW w:w="497" w:type="dxa"/>
          </w:tcPr>
          <w:p>
            <w:pPr>
              <w:pStyle w:val="TableParagraph"/>
              <w:spacing w:line="240" w:lineRule="auto" w:before="0"/>
              <w:jc w:val="left"/>
              <w:rPr>
                <w:sz w:val="14"/>
              </w:rPr>
            </w:pPr>
          </w:p>
        </w:tc>
        <w:tc>
          <w:tcPr>
            <w:tcW w:w="1492" w:type="dxa"/>
          </w:tcPr>
          <w:p>
            <w:pPr>
              <w:pStyle w:val="TableParagraph"/>
              <w:spacing w:line="187" w:lineRule="exact" w:before="0"/>
              <w:ind w:left="107"/>
              <w:jc w:val="left"/>
              <w:rPr>
                <w:sz w:val="18"/>
              </w:rPr>
            </w:pPr>
            <w:r>
              <w:rPr>
                <w:i/>
                <w:sz w:val="18"/>
              </w:rPr>
              <w:t>Pfcrt</w:t>
            </w:r>
            <w:r>
              <w:rPr>
                <w:sz w:val="18"/>
              </w:rPr>
              <w:t>-</w:t>
            </w:r>
            <w:r>
              <w:rPr>
                <w:spacing w:val="-1"/>
                <w:sz w:val="18"/>
              </w:rPr>
              <w:t> </w:t>
            </w:r>
            <w:r>
              <w:rPr>
                <w:spacing w:val="-5"/>
                <w:sz w:val="18"/>
              </w:rPr>
              <w:t>RB2</w:t>
            </w:r>
          </w:p>
        </w:tc>
        <w:tc>
          <w:tcPr>
            <w:tcW w:w="3220" w:type="dxa"/>
          </w:tcPr>
          <w:p>
            <w:pPr>
              <w:pStyle w:val="TableParagraph"/>
              <w:spacing w:line="187" w:lineRule="exact" w:before="0"/>
              <w:ind w:left="115"/>
              <w:jc w:val="left"/>
              <w:rPr>
                <w:sz w:val="18"/>
              </w:rPr>
            </w:pPr>
            <w:r>
              <w:rPr>
                <w:sz w:val="18"/>
              </w:rPr>
              <w:t>GTTCTTTTAGC</w:t>
            </w:r>
            <w:r>
              <w:rPr>
                <w:spacing w:val="43"/>
                <w:sz w:val="18"/>
              </w:rPr>
              <w:t> </w:t>
            </w:r>
            <w:r>
              <w:rPr>
                <w:spacing w:val="-2"/>
                <w:sz w:val="18"/>
              </w:rPr>
              <w:t>AAAAATCT</w:t>
            </w:r>
          </w:p>
        </w:tc>
        <w:tc>
          <w:tcPr>
            <w:tcW w:w="859" w:type="dxa"/>
          </w:tcPr>
          <w:p>
            <w:pPr>
              <w:pStyle w:val="TableParagraph"/>
              <w:spacing w:line="187" w:lineRule="exact" w:before="0"/>
              <w:ind w:left="227"/>
              <w:jc w:val="left"/>
              <w:rPr>
                <w:sz w:val="18"/>
              </w:rPr>
            </w:pPr>
            <w:r>
              <w:rPr>
                <w:spacing w:val="-5"/>
                <w:sz w:val="18"/>
              </w:rPr>
              <w:t>76K</w:t>
            </w:r>
          </w:p>
        </w:tc>
        <w:tc>
          <w:tcPr>
            <w:tcW w:w="1316" w:type="dxa"/>
          </w:tcPr>
          <w:p>
            <w:pPr>
              <w:pStyle w:val="TableParagraph"/>
              <w:spacing w:line="187" w:lineRule="exact" w:before="0"/>
              <w:ind w:left="177"/>
              <w:jc w:val="left"/>
              <w:rPr>
                <w:sz w:val="18"/>
              </w:rPr>
            </w:pPr>
            <w:r>
              <w:rPr>
                <w:spacing w:val="-5"/>
                <w:sz w:val="18"/>
              </w:rPr>
              <w:t>MDR</w:t>
            </w:r>
          </w:p>
        </w:tc>
        <w:tc>
          <w:tcPr>
            <w:tcW w:w="2177" w:type="dxa"/>
          </w:tcPr>
          <w:p>
            <w:pPr>
              <w:pStyle w:val="TableParagraph"/>
              <w:spacing w:line="187" w:lineRule="exact" w:before="0"/>
              <w:ind w:left="146"/>
              <w:jc w:val="left"/>
              <w:rPr>
                <w:sz w:val="18"/>
              </w:rPr>
            </w:pPr>
            <w:r>
              <w:rPr>
                <w:sz w:val="18"/>
              </w:rPr>
              <w:t>Olasehinde</w:t>
            </w:r>
            <w:r>
              <w:rPr>
                <w:spacing w:val="-4"/>
                <w:sz w:val="18"/>
              </w:rPr>
              <w:t> </w:t>
            </w:r>
            <w:r>
              <w:rPr>
                <w:i/>
                <w:sz w:val="18"/>
              </w:rPr>
              <w:t>et</w:t>
            </w:r>
            <w:r>
              <w:rPr>
                <w:i/>
                <w:spacing w:val="-1"/>
                <w:sz w:val="18"/>
              </w:rPr>
              <w:t> </w:t>
            </w:r>
            <w:r>
              <w:rPr>
                <w:i/>
                <w:sz w:val="18"/>
              </w:rPr>
              <w:t>al</w:t>
            </w:r>
            <w:r>
              <w:rPr>
                <w:sz w:val="18"/>
              </w:rPr>
              <w:t>.,</w:t>
            </w:r>
            <w:r>
              <w:rPr>
                <w:spacing w:val="-2"/>
                <w:sz w:val="18"/>
              </w:rPr>
              <w:t> </w:t>
            </w:r>
            <w:r>
              <w:rPr>
                <w:spacing w:val="-4"/>
                <w:sz w:val="18"/>
              </w:rPr>
              <w:t>2014</w:t>
            </w:r>
          </w:p>
        </w:tc>
      </w:tr>
      <w:tr>
        <w:trPr>
          <w:trHeight w:val="231" w:hRule="atLeast"/>
        </w:trPr>
        <w:tc>
          <w:tcPr>
            <w:tcW w:w="497" w:type="dxa"/>
          </w:tcPr>
          <w:p>
            <w:pPr>
              <w:pStyle w:val="TableParagraph"/>
              <w:spacing w:line="203" w:lineRule="exact" w:before="0"/>
              <w:ind w:left="108"/>
              <w:jc w:val="left"/>
              <w:rPr>
                <w:sz w:val="18"/>
              </w:rPr>
            </w:pPr>
            <w:r>
              <w:rPr>
                <w:spacing w:val="-10"/>
                <w:sz w:val="18"/>
              </w:rPr>
              <w:t>3</w:t>
            </w:r>
          </w:p>
        </w:tc>
        <w:tc>
          <w:tcPr>
            <w:tcW w:w="1492" w:type="dxa"/>
          </w:tcPr>
          <w:p>
            <w:pPr>
              <w:pStyle w:val="TableParagraph"/>
              <w:spacing w:line="203" w:lineRule="exact" w:before="0"/>
              <w:ind w:left="107"/>
              <w:jc w:val="left"/>
              <w:rPr>
                <w:sz w:val="18"/>
              </w:rPr>
            </w:pPr>
            <w:r>
              <w:rPr>
                <w:i/>
                <w:sz w:val="18"/>
              </w:rPr>
              <w:t>Pfmdr</w:t>
            </w:r>
            <w:r>
              <w:rPr>
                <w:sz w:val="18"/>
              </w:rPr>
              <w:t>1-MDR</w:t>
            </w:r>
            <w:r>
              <w:rPr>
                <w:spacing w:val="-3"/>
                <w:sz w:val="18"/>
              </w:rPr>
              <w:t> </w:t>
            </w:r>
            <w:r>
              <w:rPr>
                <w:spacing w:val="-5"/>
                <w:sz w:val="18"/>
              </w:rPr>
              <w:t>1F</w:t>
            </w:r>
          </w:p>
        </w:tc>
        <w:tc>
          <w:tcPr>
            <w:tcW w:w="3220" w:type="dxa"/>
          </w:tcPr>
          <w:p>
            <w:pPr>
              <w:pStyle w:val="TableParagraph"/>
              <w:spacing w:line="203" w:lineRule="exact" w:before="0"/>
              <w:ind w:left="115"/>
              <w:jc w:val="left"/>
              <w:rPr>
                <w:sz w:val="18"/>
              </w:rPr>
            </w:pPr>
            <w:r>
              <w:rPr>
                <w:sz w:val="18"/>
              </w:rPr>
              <w:t>ATGGGTAAA </w:t>
            </w:r>
            <w:r>
              <w:rPr>
                <w:spacing w:val="-2"/>
                <w:sz w:val="18"/>
              </w:rPr>
              <w:t>GAGCAGAAAGA</w:t>
            </w:r>
          </w:p>
        </w:tc>
        <w:tc>
          <w:tcPr>
            <w:tcW w:w="859" w:type="dxa"/>
          </w:tcPr>
          <w:p>
            <w:pPr>
              <w:pStyle w:val="TableParagraph"/>
              <w:spacing w:line="240" w:lineRule="auto" w:before="0"/>
              <w:jc w:val="left"/>
              <w:rPr>
                <w:sz w:val="16"/>
              </w:rPr>
            </w:pPr>
          </w:p>
        </w:tc>
        <w:tc>
          <w:tcPr>
            <w:tcW w:w="1316" w:type="dxa"/>
          </w:tcPr>
          <w:p>
            <w:pPr>
              <w:pStyle w:val="TableParagraph"/>
              <w:spacing w:line="240" w:lineRule="auto" w:before="0"/>
              <w:jc w:val="left"/>
              <w:rPr>
                <w:sz w:val="16"/>
              </w:rPr>
            </w:pPr>
          </w:p>
        </w:tc>
        <w:tc>
          <w:tcPr>
            <w:tcW w:w="2177" w:type="dxa"/>
          </w:tcPr>
          <w:p>
            <w:pPr>
              <w:pStyle w:val="TableParagraph"/>
              <w:spacing w:line="240" w:lineRule="auto" w:before="0"/>
              <w:jc w:val="left"/>
              <w:rPr>
                <w:sz w:val="16"/>
              </w:rPr>
            </w:pPr>
          </w:p>
        </w:tc>
      </w:tr>
      <w:tr>
        <w:trPr>
          <w:trHeight w:val="438" w:hRule="atLeast"/>
        </w:trPr>
        <w:tc>
          <w:tcPr>
            <w:tcW w:w="497" w:type="dxa"/>
          </w:tcPr>
          <w:p>
            <w:pPr>
              <w:pStyle w:val="TableParagraph"/>
              <w:spacing w:line="240" w:lineRule="auto" w:before="0"/>
              <w:jc w:val="left"/>
              <w:rPr>
                <w:sz w:val="18"/>
              </w:rPr>
            </w:pPr>
          </w:p>
        </w:tc>
        <w:tc>
          <w:tcPr>
            <w:tcW w:w="1492" w:type="dxa"/>
          </w:tcPr>
          <w:p>
            <w:pPr>
              <w:pStyle w:val="TableParagraph"/>
              <w:spacing w:line="206" w:lineRule="exact" w:before="6"/>
              <w:ind w:left="107" w:right="321"/>
              <w:jc w:val="left"/>
              <w:rPr>
                <w:sz w:val="18"/>
              </w:rPr>
            </w:pPr>
            <w:r>
              <w:rPr>
                <w:i/>
                <w:sz w:val="18"/>
              </w:rPr>
              <w:t>Pfmdr</w:t>
            </w:r>
            <w:r>
              <w:rPr>
                <w:sz w:val="18"/>
              </w:rPr>
              <w:t>1-</w:t>
            </w:r>
            <w:r>
              <w:rPr>
                <w:spacing w:val="-12"/>
                <w:sz w:val="18"/>
              </w:rPr>
              <w:t> </w:t>
            </w:r>
            <w:r>
              <w:rPr>
                <w:sz w:val="18"/>
              </w:rPr>
              <w:t>MDR </w:t>
            </w:r>
            <w:r>
              <w:rPr>
                <w:spacing w:val="-6"/>
                <w:sz w:val="18"/>
              </w:rPr>
              <w:t>2R</w:t>
            </w:r>
          </w:p>
        </w:tc>
        <w:tc>
          <w:tcPr>
            <w:tcW w:w="3220" w:type="dxa"/>
          </w:tcPr>
          <w:p>
            <w:pPr>
              <w:pStyle w:val="TableParagraph"/>
              <w:spacing w:line="240" w:lineRule="auto" w:before="21"/>
              <w:ind w:left="115"/>
              <w:jc w:val="left"/>
              <w:rPr>
                <w:sz w:val="18"/>
              </w:rPr>
            </w:pPr>
            <w:r>
              <w:rPr>
                <w:spacing w:val="-2"/>
                <w:sz w:val="18"/>
              </w:rPr>
              <w:t>AACGCAAGTAATACATAAAGTCA</w:t>
            </w:r>
          </w:p>
        </w:tc>
        <w:tc>
          <w:tcPr>
            <w:tcW w:w="859" w:type="dxa"/>
          </w:tcPr>
          <w:p>
            <w:pPr>
              <w:pStyle w:val="TableParagraph"/>
              <w:spacing w:line="240" w:lineRule="auto" w:before="0"/>
              <w:jc w:val="left"/>
              <w:rPr>
                <w:sz w:val="18"/>
              </w:rPr>
            </w:pPr>
          </w:p>
        </w:tc>
        <w:tc>
          <w:tcPr>
            <w:tcW w:w="1316" w:type="dxa"/>
          </w:tcPr>
          <w:p>
            <w:pPr>
              <w:pStyle w:val="TableParagraph"/>
              <w:spacing w:line="240" w:lineRule="auto" w:before="0"/>
              <w:jc w:val="left"/>
              <w:rPr>
                <w:sz w:val="18"/>
              </w:rPr>
            </w:pPr>
          </w:p>
        </w:tc>
        <w:tc>
          <w:tcPr>
            <w:tcW w:w="2177" w:type="dxa"/>
          </w:tcPr>
          <w:p>
            <w:pPr>
              <w:pStyle w:val="TableParagraph"/>
              <w:spacing w:line="240" w:lineRule="auto" w:before="0"/>
              <w:jc w:val="left"/>
              <w:rPr>
                <w:sz w:val="18"/>
              </w:rPr>
            </w:pPr>
          </w:p>
        </w:tc>
      </w:tr>
      <w:tr>
        <w:trPr>
          <w:trHeight w:val="206" w:hRule="atLeast"/>
        </w:trPr>
        <w:tc>
          <w:tcPr>
            <w:tcW w:w="497" w:type="dxa"/>
          </w:tcPr>
          <w:p>
            <w:pPr>
              <w:pStyle w:val="TableParagraph"/>
              <w:spacing w:line="240" w:lineRule="auto" w:before="0"/>
              <w:jc w:val="left"/>
              <w:rPr>
                <w:sz w:val="14"/>
              </w:rPr>
            </w:pPr>
          </w:p>
        </w:tc>
        <w:tc>
          <w:tcPr>
            <w:tcW w:w="1492" w:type="dxa"/>
          </w:tcPr>
          <w:p>
            <w:pPr>
              <w:pStyle w:val="TableParagraph"/>
              <w:spacing w:line="186" w:lineRule="exact" w:before="0"/>
              <w:ind w:left="107"/>
              <w:jc w:val="left"/>
              <w:rPr>
                <w:sz w:val="18"/>
              </w:rPr>
            </w:pPr>
            <w:r>
              <w:rPr>
                <w:i/>
                <w:sz w:val="18"/>
              </w:rPr>
              <w:t>Pfmdr</w:t>
            </w:r>
            <w:r>
              <w:rPr>
                <w:sz w:val="18"/>
              </w:rPr>
              <w:t>1-MDR</w:t>
            </w:r>
            <w:r>
              <w:rPr>
                <w:spacing w:val="-3"/>
                <w:sz w:val="18"/>
              </w:rPr>
              <w:t> </w:t>
            </w:r>
            <w:r>
              <w:rPr>
                <w:spacing w:val="-5"/>
                <w:sz w:val="18"/>
              </w:rPr>
              <w:t>3F</w:t>
            </w:r>
          </w:p>
        </w:tc>
        <w:tc>
          <w:tcPr>
            <w:tcW w:w="3220" w:type="dxa"/>
          </w:tcPr>
          <w:p>
            <w:pPr>
              <w:pStyle w:val="TableParagraph"/>
              <w:spacing w:line="186" w:lineRule="exact" w:before="0"/>
              <w:ind w:left="115"/>
              <w:jc w:val="left"/>
              <w:rPr>
                <w:sz w:val="18"/>
              </w:rPr>
            </w:pPr>
            <w:r>
              <w:rPr>
                <w:spacing w:val="-2"/>
                <w:sz w:val="18"/>
              </w:rPr>
              <w:t>TGGTAACCTCAGTATCAAAGAA</w:t>
            </w:r>
          </w:p>
        </w:tc>
        <w:tc>
          <w:tcPr>
            <w:tcW w:w="859" w:type="dxa"/>
          </w:tcPr>
          <w:p>
            <w:pPr>
              <w:pStyle w:val="TableParagraph"/>
              <w:spacing w:line="240" w:lineRule="auto" w:before="0"/>
              <w:jc w:val="left"/>
              <w:rPr>
                <w:sz w:val="14"/>
              </w:rPr>
            </w:pPr>
          </w:p>
        </w:tc>
        <w:tc>
          <w:tcPr>
            <w:tcW w:w="1316" w:type="dxa"/>
          </w:tcPr>
          <w:p>
            <w:pPr>
              <w:pStyle w:val="TableParagraph"/>
              <w:spacing w:line="240" w:lineRule="auto" w:before="0"/>
              <w:jc w:val="left"/>
              <w:rPr>
                <w:sz w:val="14"/>
              </w:rPr>
            </w:pPr>
          </w:p>
        </w:tc>
        <w:tc>
          <w:tcPr>
            <w:tcW w:w="2177" w:type="dxa"/>
          </w:tcPr>
          <w:p>
            <w:pPr>
              <w:pStyle w:val="TableParagraph"/>
              <w:spacing w:line="240" w:lineRule="auto" w:before="0"/>
              <w:jc w:val="left"/>
              <w:rPr>
                <w:sz w:val="14"/>
              </w:rPr>
            </w:pPr>
          </w:p>
        </w:tc>
      </w:tr>
      <w:tr>
        <w:trPr>
          <w:trHeight w:val="206" w:hRule="atLeast"/>
        </w:trPr>
        <w:tc>
          <w:tcPr>
            <w:tcW w:w="497" w:type="dxa"/>
          </w:tcPr>
          <w:p>
            <w:pPr>
              <w:pStyle w:val="TableParagraph"/>
              <w:spacing w:line="240" w:lineRule="auto" w:before="0"/>
              <w:jc w:val="left"/>
              <w:rPr>
                <w:sz w:val="14"/>
              </w:rPr>
            </w:pPr>
          </w:p>
        </w:tc>
        <w:tc>
          <w:tcPr>
            <w:tcW w:w="1492" w:type="dxa"/>
          </w:tcPr>
          <w:p>
            <w:pPr>
              <w:pStyle w:val="TableParagraph"/>
              <w:spacing w:line="186" w:lineRule="exact" w:before="0"/>
              <w:ind w:left="107"/>
              <w:jc w:val="left"/>
              <w:rPr>
                <w:sz w:val="18"/>
              </w:rPr>
            </w:pPr>
            <w:r>
              <w:rPr>
                <w:i/>
                <w:sz w:val="18"/>
              </w:rPr>
              <w:t>Pfmdr</w:t>
            </w:r>
            <w:r>
              <w:rPr>
                <w:sz w:val="18"/>
              </w:rPr>
              <w:t>1-MDR</w:t>
            </w:r>
            <w:r>
              <w:rPr>
                <w:spacing w:val="-3"/>
                <w:sz w:val="18"/>
              </w:rPr>
              <w:t> </w:t>
            </w:r>
            <w:r>
              <w:rPr>
                <w:spacing w:val="-5"/>
                <w:sz w:val="18"/>
              </w:rPr>
              <w:t>4R</w:t>
            </w:r>
          </w:p>
        </w:tc>
        <w:tc>
          <w:tcPr>
            <w:tcW w:w="3220" w:type="dxa"/>
          </w:tcPr>
          <w:p>
            <w:pPr>
              <w:pStyle w:val="TableParagraph"/>
              <w:spacing w:line="186" w:lineRule="exact" w:before="0"/>
              <w:ind w:left="115"/>
              <w:jc w:val="left"/>
              <w:rPr>
                <w:sz w:val="18"/>
              </w:rPr>
            </w:pPr>
            <w:r>
              <w:rPr>
                <w:spacing w:val="-2"/>
                <w:sz w:val="18"/>
              </w:rPr>
              <w:t>ATAAACCTAAAAAGGAACTGG</w:t>
            </w:r>
          </w:p>
        </w:tc>
        <w:tc>
          <w:tcPr>
            <w:tcW w:w="859" w:type="dxa"/>
          </w:tcPr>
          <w:p>
            <w:pPr>
              <w:pStyle w:val="TableParagraph"/>
              <w:spacing w:line="240" w:lineRule="auto" w:before="0"/>
              <w:jc w:val="left"/>
              <w:rPr>
                <w:sz w:val="14"/>
              </w:rPr>
            </w:pPr>
          </w:p>
        </w:tc>
        <w:tc>
          <w:tcPr>
            <w:tcW w:w="1316" w:type="dxa"/>
          </w:tcPr>
          <w:p>
            <w:pPr>
              <w:pStyle w:val="TableParagraph"/>
              <w:spacing w:line="240" w:lineRule="auto" w:before="0"/>
              <w:jc w:val="left"/>
              <w:rPr>
                <w:sz w:val="14"/>
              </w:rPr>
            </w:pPr>
          </w:p>
        </w:tc>
        <w:tc>
          <w:tcPr>
            <w:tcW w:w="2177" w:type="dxa"/>
          </w:tcPr>
          <w:p>
            <w:pPr>
              <w:pStyle w:val="TableParagraph"/>
              <w:spacing w:line="240" w:lineRule="auto" w:before="0"/>
              <w:jc w:val="left"/>
              <w:rPr>
                <w:sz w:val="14"/>
              </w:rPr>
            </w:pPr>
          </w:p>
        </w:tc>
      </w:tr>
      <w:tr>
        <w:trPr>
          <w:trHeight w:val="231" w:hRule="atLeast"/>
        </w:trPr>
        <w:tc>
          <w:tcPr>
            <w:tcW w:w="497" w:type="dxa"/>
          </w:tcPr>
          <w:p>
            <w:pPr>
              <w:pStyle w:val="TableParagraph"/>
              <w:spacing w:line="203" w:lineRule="exact" w:before="0"/>
              <w:ind w:left="108"/>
              <w:jc w:val="left"/>
              <w:rPr>
                <w:sz w:val="18"/>
              </w:rPr>
            </w:pPr>
            <w:r>
              <w:rPr>
                <w:spacing w:val="-10"/>
                <w:sz w:val="18"/>
              </w:rPr>
              <w:t>4</w:t>
            </w:r>
          </w:p>
        </w:tc>
        <w:tc>
          <w:tcPr>
            <w:tcW w:w="1492" w:type="dxa"/>
          </w:tcPr>
          <w:p>
            <w:pPr>
              <w:pStyle w:val="TableParagraph"/>
              <w:spacing w:line="203" w:lineRule="exact" w:before="0"/>
              <w:ind w:left="107"/>
              <w:jc w:val="left"/>
              <w:rPr>
                <w:sz w:val="18"/>
              </w:rPr>
            </w:pPr>
            <w:r>
              <w:rPr>
                <w:i/>
                <w:spacing w:val="-2"/>
                <w:sz w:val="18"/>
              </w:rPr>
              <w:t>Pfdhfs</w:t>
            </w:r>
            <w:r>
              <w:rPr>
                <w:spacing w:val="-2"/>
                <w:sz w:val="18"/>
              </w:rPr>
              <w:t>-</w:t>
            </w:r>
            <w:r>
              <w:rPr>
                <w:spacing w:val="-10"/>
                <w:sz w:val="18"/>
              </w:rPr>
              <w:t>F</w:t>
            </w:r>
          </w:p>
        </w:tc>
        <w:tc>
          <w:tcPr>
            <w:tcW w:w="3220" w:type="dxa"/>
          </w:tcPr>
          <w:p>
            <w:pPr>
              <w:pStyle w:val="TableParagraph"/>
              <w:spacing w:line="203" w:lineRule="exact" w:before="0"/>
              <w:ind w:left="115"/>
              <w:jc w:val="left"/>
              <w:rPr>
                <w:sz w:val="18"/>
              </w:rPr>
            </w:pPr>
            <w:r>
              <w:rPr>
                <w:sz w:val="18"/>
              </w:rPr>
              <w:t>ATGATTCTTTT</w:t>
            </w:r>
            <w:r>
              <w:rPr>
                <w:spacing w:val="43"/>
                <w:sz w:val="18"/>
              </w:rPr>
              <w:t> </w:t>
            </w:r>
            <w:r>
              <w:rPr>
                <w:spacing w:val="-2"/>
                <w:sz w:val="18"/>
              </w:rPr>
              <w:t>TCAGATG</w:t>
            </w:r>
          </w:p>
        </w:tc>
        <w:tc>
          <w:tcPr>
            <w:tcW w:w="859" w:type="dxa"/>
          </w:tcPr>
          <w:p>
            <w:pPr>
              <w:pStyle w:val="TableParagraph"/>
              <w:spacing w:line="203" w:lineRule="exact" w:before="0"/>
              <w:ind w:left="227"/>
              <w:jc w:val="left"/>
              <w:rPr>
                <w:sz w:val="18"/>
              </w:rPr>
            </w:pPr>
            <w:r>
              <w:rPr>
                <w:spacing w:val="-2"/>
                <w:sz w:val="18"/>
              </w:rPr>
              <w:t>747bp</w:t>
            </w:r>
          </w:p>
        </w:tc>
        <w:tc>
          <w:tcPr>
            <w:tcW w:w="1316" w:type="dxa"/>
          </w:tcPr>
          <w:p>
            <w:pPr>
              <w:pStyle w:val="TableParagraph"/>
              <w:spacing w:line="203" w:lineRule="exact" w:before="0"/>
              <w:ind w:left="177"/>
              <w:jc w:val="left"/>
              <w:rPr>
                <w:sz w:val="18"/>
              </w:rPr>
            </w:pPr>
            <w:r>
              <w:rPr>
                <w:spacing w:val="-2"/>
                <w:sz w:val="18"/>
              </w:rPr>
              <w:t>Sulphadoxine</w:t>
            </w:r>
          </w:p>
        </w:tc>
        <w:tc>
          <w:tcPr>
            <w:tcW w:w="2177" w:type="dxa"/>
          </w:tcPr>
          <w:p>
            <w:pPr>
              <w:pStyle w:val="TableParagraph"/>
              <w:spacing w:line="203" w:lineRule="exact" w:before="0"/>
              <w:ind w:left="146"/>
              <w:jc w:val="left"/>
              <w:rPr>
                <w:sz w:val="18"/>
              </w:rPr>
            </w:pPr>
            <w:r>
              <w:rPr>
                <w:sz w:val="18"/>
              </w:rPr>
              <w:t>Olasehinde</w:t>
            </w:r>
            <w:r>
              <w:rPr>
                <w:spacing w:val="-4"/>
                <w:sz w:val="18"/>
              </w:rPr>
              <w:t> </w:t>
            </w:r>
            <w:r>
              <w:rPr>
                <w:i/>
                <w:sz w:val="18"/>
              </w:rPr>
              <w:t>et</w:t>
            </w:r>
            <w:r>
              <w:rPr>
                <w:i/>
                <w:spacing w:val="-1"/>
                <w:sz w:val="18"/>
              </w:rPr>
              <w:t> </w:t>
            </w:r>
            <w:r>
              <w:rPr>
                <w:i/>
                <w:sz w:val="18"/>
              </w:rPr>
              <w:t>al</w:t>
            </w:r>
            <w:r>
              <w:rPr>
                <w:sz w:val="18"/>
              </w:rPr>
              <w:t>.,</w:t>
            </w:r>
            <w:r>
              <w:rPr>
                <w:spacing w:val="-2"/>
                <w:sz w:val="18"/>
              </w:rPr>
              <w:t> </w:t>
            </w:r>
            <w:r>
              <w:rPr>
                <w:spacing w:val="-4"/>
                <w:sz w:val="18"/>
              </w:rPr>
              <w:t>2014</w:t>
            </w:r>
          </w:p>
        </w:tc>
      </w:tr>
      <w:tr>
        <w:trPr>
          <w:trHeight w:val="231" w:hRule="atLeast"/>
        </w:trPr>
        <w:tc>
          <w:tcPr>
            <w:tcW w:w="497" w:type="dxa"/>
          </w:tcPr>
          <w:p>
            <w:pPr>
              <w:pStyle w:val="TableParagraph"/>
              <w:spacing w:line="240" w:lineRule="auto" w:before="0"/>
              <w:jc w:val="left"/>
              <w:rPr>
                <w:sz w:val="16"/>
              </w:rPr>
            </w:pPr>
          </w:p>
        </w:tc>
        <w:tc>
          <w:tcPr>
            <w:tcW w:w="1492" w:type="dxa"/>
          </w:tcPr>
          <w:p>
            <w:pPr>
              <w:pStyle w:val="TableParagraph"/>
              <w:spacing w:line="191" w:lineRule="exact" w:before="21"/>
              <w:ind w:left="107"/>
              <w:jc w:val="left"/>
              <w:rPr>
                <w:sz w:val="18"/>
              </w:rPr>
            </w:pPr>
            <w:r>
              <w:rPr>
                <w:i/>
                <w:sz w:val="18"/>
              </w:rPr>
              <w:t>Pfdhfs</w:t>
            </w:r>
            <w:r>
              <w:rPr>
                <w:sz w:val="18"/>
              </w:rPr>
              <w:t>-</w:t>
            </w:r>
            <w:r>
              <w:rPr>
                <w:spacing w:val="-10"/>
                <w:sz w:val="18"/>
              </w:rPr>
              <w:t>R</w:t>
            </w:r>
          </w:p>
        </w:tc>
        <w:tc>
          <w:tcPr>
            <w:tcW w:w="3220" w:type="dxa"/>
          </w:tcPr>
          <w:p>
            <w:pPr>
              <w:pStyle w:val="TableParagraph"/>
              <w:spacing w:line="191" w:lineRule="exact" w:before="21"/>
              <w:ind w:left="115"/>
              <w:jc w:val="left"/>
              <w:rPr>
                <w:sz w:val="18"/>
              </w:rPr>
            </w:pPr>
            <w:r>
              <w:rPr>
                <w:spacing w:val="-2"/>
                <w:sz w:val="18"/>
              </w:rPr>
              <w:t>CCAATTGTGTGATTTGTCCAC</w:t>
            </w:r>
          </w:p>
        </w:tc>
        <w:tc>
          <w:tcPr>
            <w:tcW w:w="859" w:type="dxa"/>
          </w:tcPr>
          <w:p>
            <w:pPr>
              <w:pStyle w:val="TableParagraph"/>
              <w:spacing w:line="240" w:lineRule="auto" w:before="0"/>
              <w:jc w:val="left"/>
              <w:rPr>
                <w:sz w:val="16"/>
              </w:rPr>
            </w:pPr>
          </w:p>
        </w:tc>
        <w:tc>
          <w:tcPr>
            <w:tcW w:w="1316" w:type="dxa"/>
          </w:tcPr>
          <w:p>
            <w:pPr>
              <w:pStyle w:val="TableParagraph"/>
              <w:spacing w:line="240" w:lineRule="auto" w:before="0"/>
              <w:jc w:val="left"/>
              <w:rPr>
                <w:sz w:val="16"/>
              </w:rPr>
            </w:pPr>
          </w:p>
        </w:tc>
        <w:tc>
          <w:tcPr>
            <w:tcW w:w="2177" w:type="dxa"/>
          </w:tcPr>
          <w:p>
            <w:pPr>
              <w:pStyle w:val="TableParagraph"/>
              <w:spacing w:line="240" w:lineRule="auto" w:before="0"/>
              <w:jc w:val="left"/>
              <w:rPr>
                <w:sz w:val="16"/>
              </w:rPr>
            </w:pPr>
          </w:p>
        </w:tc>
      </w:tr>
      <w:tr>
        <w:trPr>
          <w:trHeight w:val="206" w:hRule="atLeast"/>
        </w:trPr>
        <w:tc>
          <w:tcPr>
            <w:tcW w:w="497" w:type="dxa"/>
          </w:tcPr>
          <w:p>
            <w:pPr>
              <w:pStyle w:val="TableParagraph"/>
              <w:spacing w:line="240" w:lineRule="auto" w:before="0"/>
              <w:jc w:val="left"/>
              <w:rPr>
                <w:sz w:val="14"/>
              </w:rPr>
            </w:pPr>
          </w:p>
        </w:tc>
        <w:tc>
          <w:tcPr>
            <w:tcW w:w="1492" w:type="dxa"/>
          </w:tcPr>
          <w:p>
            <w:pPr>
              <w:pStyle w:val="TableParagraph"/>
              <w:spacing w:line="186" w:lineRule="exact" w:before="0"/>
              <w:ind w:left="107"/>
              <w:jc w:val="left"/>
              <w:rPr>
                <w:sz w:val="18"/>
              </w:rPr>
            </w:pPr>
            <w:r>
              <w:rPr>
                <w:i/>
                <w:spacing w:val="-2"/>
                <w:sz w:val="18"/>
              </w:rPr>
              <w:t>P</w:t>
            </w:r>
            <w:r>
              <w:rPr>
                <w:spacing w:val="-2"/>
                <w:sz w:val="18"/>
              </w:rPr>
              <w:t>fdhps-</w:t>
            </w:r>
            <w:r>
              <w:rPr>
                <w:spacing w:val="-5"/>
                <w:sz w:val="18"/>
              </w:rPr>
              <w:t>F1</w:t>
            </w:r>
          </w:p>
        </w:tc>
        <w:tc>
          <w:tcPr>
            <w:tcW w:w="3220" w:type="dxa"/>
          </w:tcPr>
          <w:p>
            <w:pPr>
              <w:pStyle w:val="TableParagraph"/>
              <w:spacing w:line="186" w:lineRule="exact" w:before="0"/>
              <w:ind w:left="115"/>
              <w:jc w:val="left"/>
              <w:rPr>
                <w:sz w:val="18"/>
              </w:rPr>
            </w:pPr>
            <w:r>
              <w:rPr>
                <w:spacing w:val="-2"/>
                <w:sz w:val="18"/>
              </w:rPr>
              <w:t>GTTGAACCTAAACGTGCTG</w:t>
            </w:r>
          </w:p>
        </w:tc>
        <w:tc>
          <w:tcPr>
            <w:tcW w:w="859" w:type="dxa"/>
          </w:tcPr>
          <w:p>
            <w:pPr>
              <w:pStyle w:val="TableParagraph"/>
              <w:spacing w:line="240" w:lineRule="auto" w:before="0"/>
              <w:jc w:val="left"/>
              <w:rPr>
                <w:sz w:val="14"/>
              </w:rPr>
            </w:pPr>
          </w:p>
        </w:tc>
        <w:tc>
          <w:tcPr>
            <w:tcW w:w="1316" w:type="dxa"/>
          </w:tcPr>
          <w:p>
            <w:pPr>
              <w:pStyle w:val="TableParagraph"/>
              <w:spacing w:line="240" w:lineRule="auto" w:before="0"/>
              <w:jc w:val="left"/>
              <w:rPr>
                <w:sz w:val="14"/>
              </w:rPr>
            </w:pPr>
          </w:p>
        </w:tc>
        <w:tc>
          <w:tcPr>
            <w:tcW w:w="2177" w:type="dxa"/>
          </w:tcPr>
          <w:p>
            <w:pPr>
              <w:pStyle w:val="TableParagraph"/>
              <w:spacing w:line="240" w:lineRule="auto" w:before="0"/>
              <w:jc w:val="left"/>
              <w:rPr>
                <w:sz w:val="14"/>
              </w:rPr>
            </w:pPr>
          </w:p>
        </w:tc>
      </w:tr>
      <w:tr>
        <w:trPr>
          <w:trHeight w:val="206" w:hRule="atLeast"/>
        </w:trPr>
        <w:tc>
          <w:tcPr>
            <w:tcW w:w="497" w:type="dxa"/>
          </w:tcPr>
          <w:p>
            <w:pPr>
              <w:pStyle w:val="TableParagraph"/>
              <w:spacing w:line="240" w:lineRule="auto" w:before="0"/>
              <w:jc w:val="left"/>
              <w:rPr>
                <w:sz w:val="14"/>
              </w:rPr>
            </w:pPr>
          </w:p>
        </w:tc>
        <w:tc>
          <w:tcPr>
            <w:tcW w:w="1492" w:type="dxa"/>
          </w:tcPr>
          <w:p>
            <w:pPr>
              <w:pStyle w:val="TableParagraph"/>
              <w:spacing w:line="186" w:lineRule="exact" w:before="0"/>
              <w:ind w:left="107"/>
              <w:jc w:val="left"/>
              <w:rPr>
                <w:sz w:val="18"/>
              </w:rPr>
            </w:pPr>
            <w:r>
              <w:rPr>
                <w:i/>
                <w:sz w:val="18"/>
              </w:rPr>
              <w:t>Pfdhps</w:t>
            </w:r>
            <w:r>
              <w:rPr>
                <w:sz w:val="18"/>
              </w:rPr>
              <w:t>-</w:t>
            </w:r>
            <w:r>
              <w:rPr>
                <w:spacing w:val="-5"/>
                <w:sz w:val="18"/>
              </w:rPr>
              <w:t>R1</w:t>
            </w:r>
          </w:p>
        </w:tc>
        <w:tc>
          <w:tcPr>
            <w:tcW w:w="3220" w:type="dxa"/>
          </w:tcPr>
          <w:p>
            <w:pPr>
              <w:pStyle w:val="TableParagraph"/>
              <w:spacing w:line="186" w:lineRule="exact" w:before="0"/>
              <w:ind w:left="115"/>
              <w:jc w:val="left"/>
              <w:rPr>
                <w:sz w:val="18"/>
              </w:rPr>
            </w:pPr>
            <w:r>
              <w:rPr>
                <w:spacing w:val="-2"/>
                <w:sz w:val="18"/>
              </w:rPr>
              <w:t>ATTACAACATTTTGATCATTC</w:t>
            </w:r>
          </w:p>
        </w:tc>
        <w:tc>
          <w:tcPr>
            <w:tcW w:w="859" w:type="dxa"/>
          </w:tcPr>
          <w:p>
            <w:pPr>
              <w:pStyle w:val="TableParagraph"/>
              <w:spacing w:line="240" w:lineRule="auto" w:before="0"/>
              <w:jc w:val="left"/>
              <w:rPr>
                <w:sz w:val="14"/>
              </w:rPr>
            </w:pPr>
          </w:p>
        </w:tc>
        <w:tc>
          <w:tcPr>
            <w:tcW w:w="1316" w:type="dxa"/>
          </w:tcPr>
          <w:p>
            <w:pPr>
              <w:pStyle w:val="TableParagraph"/>
              <w:spacing w:line="240" w:lineRule="auto" w:before="0"/>
              <w:jc w:val="left"/>
              <w:rPr>
                <w:sz w:val="14"/>
              </w:rPr>
            </w:pPr>
          </w:p>
        </w:tc>
        <w:tc>
          <w:tcPr>
            <w:tcW w:w="2177" w:type="dxa"/>
          </w:tcPr>
          <w:p>
            <w:pPr>
              <w:pStyle w:val="TableParagraph"/>
              <w:spacing w:line="240" w:lineRule="auto" w:before="0"/>
              <w:jc w:val="left"/>
              <w:rPr>
                <w:sz w:val="14"/>
              </w:rPr>
            </w:pPr>
          </w:p>
        </w:tc>
      </w:tr>
      <w:tr>
        <w:trPr>
          <w:trHeight w:val="231" w:hRule="atLeast"/>
        </w:trPr>
        <w:tc>
          <w:tcPr>
            <w:tcW w:w="497" w:type="dxa"/>
          </w:tcPr>
          <w:p>
            <w:pPr>
              <w:pStyle w:val="TableParagraph"/>
              <w:spacing w:line="203" w:lineRule="exact" w:before="0"/>
              <w:ind w:left="108"/>
              <w:jc w:val="left"/>
              <w:rPr>
                <w:sz w:val="18"/>
              </w:rPr>
            </w:pPr>
            <w:r>
              <w:rPr>
                <w:spacing w:val="-10"/>
                <w:sz w:val="18"/>
              </w:rPr>
              <w:t>5</w:t>
            </w:r>
          </w:p>
        </w:tc>
        <w:tc>
          <w:tcPr>
            <w:tcW w:w="1492" w:type="dxa"/>
          </w:tcPr>
          <w:p>
            <w:pPr>
              <w:pStyle w:val="TableParagraph"/>
              <w:spacing w:line="203" w:lineRule="exact" w:before="0"/>
              <w:ind w:left="107"/>
              <w:jc w:val="left"/>
              <w:rPr>
                <w:sz w:val="18"/>
              </w:rPr>
            </w:pPr>
            <w:r>
              <w:rPr>
                <w:i/>
                <w:spacing w:val="-2"/>
                <w:sz w:val="18"/>
              </w:rPr>
              <w:t>Pf</w:t>
            </w:r>
            <w:r>
              <w:rPr>
                <w:spacing w:val="-2"/>
                <w:sz w:val="18"/>
              </w:rPr>
              <w:t>ATPase6-</w:t>
            </w:r>
            <w:r>
              <w:rPr>
                <w:spacing w:val="-10"/>
                <w:sz w:val="18"/>
              </w:rPr>
              <w:t>F</w:t>
            </w:r>
          </w:p>
        </w:tc>
        <w:tc>
          <w:tcPr>
            <w:tcW w:w="3220" w:type="dxa"/>
          </w:tcPr>
          <w:p>
            <w:pPr>
              <w:pStyle w:val="TableParagraph"/>
              <w:spacing w:line="203" w:lineRule="exact" w:before="0"/>
              <w:ind w:left="115"/>
              <w:jc w:val="left"/>
              <w:rPr>
                <w:sz w:val="18"/>
              </w:rPr>
            </w:pPr>
            <w:r>
              <w:rPr>
                <w:sz w:val="18"/>
              </w:rPr>
              <w:t>TGA</w:t>
            </w:r>
            <w:r>
              <w:rPr>
                <w:spacing w:val="42"/>
                <w:sz w:val="18"/>
              </w:rPr>
              <w:t> </w:t>
            </w:r>
            <w:r>
              <w:rPr>
                <w:sz w:val="18"/>
              </w:rPr>
              <w:t>GCA</w:t>
            </w:r>
            <w:r>
              <w:rPr>
                <w:spacing w:val="42"/>
                <w:sz w:val="18"/>
              </w:rPr>
              <w:t> </w:t>
            </w:r>
            <w:r>
              <w:rPr>
                <w:sz w:val="18"/>
              </w:rPr>
              <w:t>TGG</w:t>
            </w:r>
            <w:r>
              <w:rPr>
                <w:spacing w:val="42"/>
                <w:sz w:val="18"/>
              </w:rPr>
              <w:t> </w:t>
            </w:r>
            <w:r>
              <w:rPr>
                <w:sz w:val="18"/>
              </w:rPr>
              <w:t>CAC</w:t>
            </w:r>
            <w:r>
              <w:rPr>
                <w:spacing w:val="2"/>
                <w:sz w:val="18"/>
              </w:rPr>
              <w:t> </w:t>
            </w:r>
            <w:r>
              <w:rPr>
                <w:sz w:val="18"/>
              </w:rPr>
              <w:t>AAG </w:t>
            </w:r>
            <w:r>
              <w:rPr>
                <w:spacing w:val="-5"/>
                <w:sz w:val="18"/>
              </w:rPr>
              <w:t>TIT</w:t>
            </w:r>
          </w:p>
        </w:tc>
        <w:tc>
          <w:tcPr>
            <w:tcW w:w="859" w:type="dxa"/>
          </w:tcPr>
          <w:p>
            <w:pPr>
              <w:pStyle w:val="TableParagraph"/>
              <w:spacing w:line="203" w:lineRule="exact" w:before="0"/>
              <w:ind w:left="227"/>
              <w:jc w:val="left"/>
              <w:rPr>
                <w:sz w:val="18"/>
              </w:rPr>
            </w:pPr>
            <w:r>
              <w:rPr>
                <w:spacing w:val="-2"/>
                <w:sz w:val="18"/>
              </w:rPr>
              <w:t>432bp</w:t>
            </w:r>
          </w:p>
        </w:tc>
        <w:tc>
          <w:tcPr>
            <w:tcW w:w="1316" w:type="dxa"/>
          </w:tcPr>
          <w:p>
            <w:pPr>
              <w:pStyle w:val="TableParagraph"/>
              <w:spacing w:line="203" w:lineRule="exact" w:before="0"/>
              <w:ind w:left="177"/>
              <w:jc w:val="left"/>
              <w:rPr>
                <w:sz w:val="18"/>
              </w:rPr>
            </w:pPr>
            <w:r>
              <w:rPr>
                <w:spacing w:val="-2"/>
                <w:sz w:val="18"/>
              </w:rPr>
              <w:t>ATPase</w:t>
            </w:r>
          </w:p>
        </w:tc>
        <w:tc>
          <w:tcPr>
            <w:tcW w:w="2177" w:type="dxa"/>
          </w:tcPr>
          <w:p>
            <w:pPr>
              <w:pStyle w:val="TableParagraph"/>
              <w:spacing w:line="203" w:lineRule="exact" w:before="0"/>
              <w:ind w:left="146"/>
              <w:jc w:val="left"/>
              <w:rPr>
                <w:sz w:val="18"/>
              </w:rPr>
            </w:pPr>
            <w:r>
              <w:rPr>
                <w:sz w:val="18"/>
              </w:rPr>
              <w:t>Olasehinde</w:t>
            </w:r>
            <w:r>
              <w:rPr>
                <w:spacing w:val="-4"/>
                <w:sz w:val="18"/>
              </w:rPr>
              <w:t> </w:t>
            </w:r>
            <w:r>
              <w:rPr>
                <w:i/>
                <w:sz w:val="18"/>
              </w:rPr>
              <w:t>et</w:t>
            </w:r>
            <w:r>
              <w:rPr>
                <w:i/>
                <w:spacing w:val="-1"/>
                <w:sz w:val="18"/>
              </w:rPr>
              <w:t> </w:t>
            </w:r>
            <w:r>
              <w:rPr>
                <w:i/>
                <w:sz w:val="18"/>
              </w:rPr>
              <w:t>al</w:t>
            </w:r>
            <w:r>
              <w:rPr>
                <w:sz w:val="18"/>
              </w:rPr>
              <w:t>.,</w:t>
            </w:r>
            <w:r>
              <w:rPr>
                <w:spacing w:val="-2"/>
                <w:sz w:val="18"/>
              </w:rPr>
              <w:t> </w:t>
            </w:r>
            <w:r>
              <w:rPr>
                <w:spacing w:val="-4"/>
                <w:sz w:val="18"/>
              </w:rPr>
              <w:t>2014</w:t>
            </w:r>
          </w:p>
        </w:tc>
      </w:tr>
      <w:tr>
        <w:trPr>
          <w:trHeight w:val="434" w:hRule="atLeast"/>
        </w:trPr>
        <w:tc>
          <w:tcPr>
            <w:tcW w:w="497" w:type="dxa"/>
          </w:tcPr>
          <w:p>
            <w:pPr>
              <w:pStyle w:val="TableParagraph"/>
              <w:spacing w:line="240" w:lineRule="auto" w:before="0"/>
              <w:jc w:val="left"/>
              <w:rPr>
                <w:sz w:val="18"/>
              </w:rPr>
            </w:pPr>
          </w:p>
        </w:tc>
        <w:tc>
          <w:tcPr>
            <w:tcW w:w="1492" w:type="dxa"/>
          </w:tcPr>
          <w:p>
            <w:pPr>
              <w:pStyle w:val="TableParagraph"/>
              <w:spacing w:line="240" w:lineRule="auto" w:before="21"/>
              <w:ind w:left="107"/>
              <w:jc w:val="left"/>
              <w:rPr>
                <w:sz w:val="18"/>
              </w:rPr>
            </w:pPr>
            <w:r>
              <w:rPr>
                <w:i/>
                <w:sz w:val="18"/>
              </w:rPr>
              <w:t>Pf</w:t>
            </w:r>
            <w:r>
              <w:rPr>
                <w:sz w:val="18"/>
              </w:rPr>
              <w:t>ATPase6-</w:t>
            </w:r>
            <w:r>
              <w:rPr>
                <w:spacing w:val="-3"/>
                <w:sz w:val="18"/>
              </w:rPr>
              <w:t> </w:t>
            </w:r>
            <w:r>
              <w:rPr>
                <w:spacing w:val="-10"/>
                <w:sz w:val="18"/>
              </w:rPr>
              <w:t>R</w:t>
            </w:r>
          </w:p>
        </w:tc>
        <w:tc>
          <w:tcPr>
            <w:tcW w:w="3220" w:type="dxa"/>
          </w:tcPr>
          <w:p>
            <w:pPr>
              <w:pStyle w:val="TableParagraph"/>
              <w:spacing w:line="207" w:lineRule="exact" w:before="21"/>
              <w:ind w:left="115"/>
              <w:jc w:val="left"/>
              <w:rPr>
                <w:sz w:val="18"/>
              </w:rPr>
            </w:pPr>
            <w:r>
              <w:rPr>
                <w:sz w:val="18"/>
              </w:rPr>
              <w:t>TCA </w:t>
            </w:r>
            <w:r>
              <w:rPr>
                <w:spacing w:val="-5"/>
                <w:sz w:val="18"/>
              </w:rPr>
              <w:t>ATA</w:t>
            </w:r>
          </w:p>
          <w:p>
            <w:pPr>
              <w:pStyle w:val="TableParagraph"/>
              <w:tabs>
                <w:tab w:pos="7572" w:val="left" w:leader="none"/>
              </w:tabs>
              <w:spacing w:line="187" w:lineRule="exact" w:before="0"/>
              <w:ind w:left="-1989" w:right="-4364"/>
              <w:jc w:val="left"/>
              <w:rPr>
                <w:sz w:val="18"/>
              </w:rPr>
            </w:pPr>
            <w:r>
              <w:rPr>
                <w:spacing w:val="72"/>
                <w:w w:val="150"/>
                <w:sz w:val="18"/>
                <w:u w:val="single"/>
              </w:rPr>
              <w:t>               </w:t>
            </w:r>
            <w:r>
              <w:rPr>
                <w:spacing w:val="-2"/>
                <w:sz w:val="18"/>
                <w:u w:val="single"/>
              </w:rPr>
              <w:t>ATACCTAATCCACCTAAATA</w:t>
            </w:r>
            <w:r>
              <w:rPr>
                <w:sz w:val="18"/>
                <w:u w:val="single"/>
              </w:rPr>
              <w:tab/>
            </w:r>
          </w:p>
        </w:tc>
        <w:tc>
          <w:tcPr>
            <w:tcW w:w="859" w:type="dxa"/>
          </w:tcPr>
          <w:p>
            <w:pPr>
              <w:pStyle w:val="TableParagraph"/>
              <w:spacing w:line="240" w:lineRule="auto" w:before="0"/>
              <w:jc w:val="left"/>
              <w:rPr>
                <w:sz w:val="18"/>
              </w:rPr>
            </w:pPr>
          </w:p>
        </w:tc>
        <w:tc>
          <w:tcPr>
            <w:tcW w:w="1316" w:type="dxa"/>
          </w:tcPr>
          <w:p>
            <w:pPr>
              <w:pStyle w:val="TableParagraph"/>
              <w:spacing w:line="240" w:lineRule="auto" w:before="0"/>
              <w:jc w:val="left"/>
              <w:rPr>
                <w:sz w:val="18"/>
              </w:rPr>
            </w:pPr>
          </w:p>
        </w:tc>
        <w:tc>
          <w:tcPr>
            <w:tcW w:w="2177" w:type="dxa"/>
          </w:tcPr>
          <w:p>
            <w:pPr>
              <w:pStyle w:val="TableParagraph"/>
              <w:spacing w:line="240" w:lineRule="auto" w:before="0"/>
              <w:jc w:val="left"/>
              <w:rPr>
                <w:sz w:val="18"/>
              </w:rPr>
            </w:pPr>
          </w:p>
        </w:tc>
      </w:tr>
    </w:tbl>
    <w:p>
      <w:pPr>
        <w:spacing w:after="0" w:line="240" w:lineRule="auto"/>
        <w:jc w:val="left"/>
        <w:rPr>
          <w:sz w:val="18"/>
        </w:rPr>
        <w:sectPr>
          <w:pgSz w:w="11910" w:h="16840"/>
          <w:pgMar w:header="0" w:footer="1254" w:top="1920" w:bottom="1440" w:left="1180" w:right="580"/>
        </w:sectPr>
      </w:pPr>
    </w:p>
    <w:p>
      <w:pPr>
        <w:pStyle w:val="Heading2"/>
        <w:spacing w:before="78"/>
        <w:jc w:val="left"/>
      </w:pPr>
      <w:r>
        <w:rPr/>
        <w:t>Table</w:t>
      </w:r>
      <w:r>
        <w:rPr>
          <w:spacing w:val="-2"/>
        </w:rPr>
        <w:t> </w:t>
      </w:r>
      <w:r>
        <w:rPr/>
        <w:t>3.3:</w:t>
      </w:r>
      <w:r>
        <w:rPr>
          <w:spacing w:val="-1"/>
        </w:rPr>
        <w:t> </w:t>
      </w:r>
      <w:r>
        <w:rPr/>
        <w:t>Thermal</w:t>
      </w:r>
      <w:r>
        <w:rPr>
          <w:spacing w:val="-1"/>
        </w:rPr>
        <w:t> </w:t>
      </w:r>
      <w:r>
        <w:rPr/>
        <w:t>Cycling</w:t>
      </w:r>
      <w:r>
        <w:rPr>
          <w:spacing w:val="-2"/>
        </w:rPr>
        <w:t> </w:t>
      </w:r>
      <w:r>
        <w:rPr/>
        <w:t>Conditions</w:t>
      </w:r>
      <w:r>
        <w:rPr>
          <w:spacing w:val="-1"/>
        </w:rPr>
        <w:t> </w:t>
      </w:r>
      <w:r>
        <w:rPr/>
        <w:t>Used</w:t>
      </w:r>
      <w:r>
        <w:rPr>
          <w:spacing w:val="-1"/>
        </w:rPr>
        <w:t> </w:t>
      </w:r>
      <w:r>
        <w:rPr/>
        <w:t>For</w:t>
      </w:r>
      <w:r>
        <w:rPr>
          <w:spacing w:val="-2"/>
        </w:rPr>
        <w:t> </w:t>
      </w:r>
      <w:r>
        <w:rPr>
          <w:spacing w:val="-5"/>
        </w:rPr>
        <w:t>PCR</w:t>
      </w:r>
    </w:p>
    <w:p>
      <w:pPr>
        <w:pStyle w:val="BodyText"/>
        <w:spacing w:before="43"/>
        <w:rPr>
          <w:b/>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2"/>
        <w:gridCol w:w="2321"/>
        <w:gridCol w:w="2100"/>
        <w:gridCol w:w="2822"/>
      </w:tblGrid>
      <w:tr>
        <w:trPr>
          <w:trHeight w:val="348" w:hRule="atLeast"/>
        </w:trPr>
        <w:tc>
          <w:tcPr>
            <w:tcW w:w="2272" w:type="dxa"/>
            <w:tcBorders>
              <w:top w:val="single" w:sz="6" w:space="0" w:color="000000"/>
              <w:bottom w:val="single" w:sz="6" w:space="0" w:color="000000"/>
            </w:tcBorders>
          </w:tcPr>
          <w:p>
            <w:pPr>
              <w:pStyle w:val="TableParagraph"/>
              <w:spacing w:before="0"/>
              <w:ind w:right="94"/>
              <w:rPr>
                <w:b/>
                <w:sz w:val="24"/>
              </w:rPr>
            </w:pPr>
            <w:r>
              <w:rPr>
                <w:b/>
                <w:spacing w:val="-4"/>
                <w:sz w:val="24"/>
              </w:rPr>
              <w:t>Step</w:t>
            </w:r>
          </w:p>
        </w:tc>
        <w:tc>
          <w:tcPr>
            <w:tcW w:w="2321" w:type="dxa"/>
            <w:tcBorders>
              <w:top w:val="single" w:sz="6" w:space="0" w:color="000000"/>
              <w:bottom w:val="single" w:sz="6" w:space="0" w:color="000000"/>
            </w:tcBorders>
          </w:tcPr>
          <w:p>
            <w:pPr>
              <w:pStyle w:val="TableParagraph"/>
              <w:spacing w:before="0"/>
              <w:ind w:left="301"/>
              <w:jc w:val="left"/>
              <w:rPr>
                <w:b/>
                <w:sz w:val="24"/>
              </w:rPr>
            </w:pPr>
            <w:r>
              <w:rPr>
                <w:b/>
                <w:sz w:val="24"/>
              </w:rPr>
              <w:t>Temperature</w:t>
            </w:r>
            <w:r>
              <w:rPr>
                <w:b/>
                <w:spacing w:val="-5"/>
                <w:sz w:val="24"/>
              </w:rPr>
              <w:t> </w:t>
            </w:r>
            <w:r>
              <w:rPr>
                <w:b/>
                <w:spacing w:val="-5"/>
                <w:sz w:val="24"/>
                <w:vertAlign w:val="superscript"/>
              </w:rPr>
              <w:t>0</w:t>
            </w:r>
            <w:r>
              <w:rPr>
                <w:b/>
                <w:spacing w:val="-5"/>
                <w:sz w:val="24"/>
                <w:vertAlign w:val="baseline"/>
              </w:rPr>
              <w:t>c</w:t>
            </w:r>
          </w:p>
        </w:tc>
        <w:tc>
          <w:tcPr>
            <w:tcW w:w="2100" w:type="dxa"/>
            <w:tcBorders>
              <w:top w:val="single" w:sz="6" w:space="0" w:color="000000"/>
              <w:bottom w:val="single" w:sz="6" w:space="0" w:color="000000"/>
            </w:tcBorders>
          </w:tcPr>
          <w:p>
            <w:pPr>
              <w:pStyle w:val="TableParagraph"/>
              <w:spacing w:before="0"/>
              <w:ind w:left="414"/>
              <w:jc w:val="left"/>
              <w:rPr>
                <w:b/>
                <w:sz w:val="24"/>
              </w:rPr>
            </w:pPr>
            <w:r>
              <w:rPr>
                <w:b/>
                <w:spacing w:val="-4"/>
                <w:sz w:val="24"/>
              </w:rPr>
              <w:t>Time</w:t>
            </w:r>
          </w:p>
        </w:tc>
        <w:tc>
          <w:tcPr>
            <w:tcW w:w="2822" w:type="dxa"/>
            <w:tcBorders>
              <w:top w:val="single" w:sz="6" w:space="0" w:color="000000"/>
              <w:bottom w:val="single" w:sz="6" w:space="0" w:color="000000"/>
            </w:tcBorders>
          </w:tcPr>
          <w:p>
            <w:pPr>
              <w:pStyle w:val="TableParagraph"/>
              <w:spacing w:before="0"/>
              <w:ind w:left="745"/>
              <w:jc w:val="left"/>
              <w:rPr>
                <w:b/>
                <w:sz w:val="24"/>
              </w:rPr>
            </w:pPr>
            <w:r>
              <w:rPr>
                <w:b/>
                <w:sz w:val="24"/>
              </w:rPr>
              <w:t>Number</w:t>
            </w:r>
            <w:r>
              <w:rPr>
                <w:b/>
                <w:spacing w:val="-2"/>
                <w:sz w:val="24"/>
              </w:rPr>
              <w:t> </w:t>
            </w:r>
            <w:r>
              <w:rPr>
                <w:b/>
                <w:sz w:val="24"/>
              </w:rPr>
              <w:t>of </w:t>
            </w:r>
            <w:r>
              <w:rPr>
                <w:b/>
                <w:spacing w:val="-2"/>
                <w:sz w:val="24"/>
              </w:rPr>
              <w:t>Cycles</w:t>
            </w:r>
          </w:p>
        </w:tc>
      </w:tr>
      <w:tr>
        <w:trPr>
          <w:trHeight w:val="732" w:hRule="atLeast"/>
        </w:trPr>
        <w:tc>
          <w:tcPr>
            <w:tcW w:w="2272" w:type="dxa"/>
            <w:tcBorders>
              <w:top w:val="single" w:sz="6" w:space="0" w:color="000000"/>
            </w:tcBorders>
          </w:tcPr>
          <w:p>
            <w:pPr>
              <w:pStyle w:val="TableParagraph"/>
              <w:spacing w:line="240" w:lineRule="auto" w:before="97"/>
              <w:jc w:val="left"/>
              <w:rPr>
                <w:b/>
                <w:sz w:val="24"/>
              </w:rPr>
            </w:pPr>
          </w:p>
          <w:p>
            <w:pPr>
              <w:pStyle w:val="TableParagraph"/>
              <w:spacing w:line="240" w:lineRule="auto" w:before="0"/>
              <w:ind w:left="141"/>
              <w:jc w:val="left"/>
              <w:rPr>
                <w:sz w:val="24"/>
              </w:rPr>
            </w:pPr>
            <w:r>
              <w:rPr>
                <w:sz w:val="24"/>
              </w:rPr>
              <w:t>Initial</w:t>
            </w:r>
            <w:r>
              <w:rPr>
                <w:spacing w:val="-4"/>
                <w:sz w:val="24"/>
              </w:rPr>
              <w:t> </w:t>
            </w:r>
            <w:r>
              <w:rPr>
                <w:spacing w:val="-2"/>
                <w:sz w:val="24"/>
              </w:rPr>
              <w:t>denaturation</w:t>
            </w:r>
          </w:p>
        </w:tc>
        <w:tc>
          <w:tcPr>
            <w:tcW w:w="2321" w:type="dxa"/>
            <w:tcBorders>
              <w:top w:val="single" w:sz="6" w:space="0" w:color="000000"/>
            </w:tcBorders>
          </w:tcPr>
          <w:p>
            <w:pPr>
              <w:pStyle w:val="TableParagraph"/>
              <w:spacing w:line="240" w:lineRule="auto" w:before="97"/>
              <w:jc w:val="left"/>
              <w:rPr>
                <w:b/>
                <w:sz w:val="24"/>
              </w:rPr>
            </w:pPr>
          </w:p>
          <w:p>
            <w:pPr>
              <w:pStyle w:val="TableParagraph"/>
              <w:spacing w:line="240" w:lineRule="auto" w:before="0"/>
              <w:ind w:left="301"/>
              <w:jc w:val="left"/>
              <w:rPr>
                <w:sz w:val="24"/>
              </w:rPr>
            </w:pPr>
            <w:r>
              <w:rPr>
                <w:spacing w:val="-5"/>
                <w:sz w:val="24"/>
              </w:rPr>
              <w:t>95</w:t>
            </w:r>
          </w:p>
        </w:tc>
        <w:tc>
          <w:tcPr>
            <w:tcW w:w="2100" w:type="dxa"/>
            <w:tcBorders>
              <w:top w:val="single" w:sz="6" w:space="0" w:color="000000"/>
            </w:tcBorders>
          </w:tcPr>
          <w:p>
            <w:pPr>
              <w:pStyle w:val="TableParagraph"/>
              <w:spacing w:line="240" w:lineRule="auto" w:before="97"/>
              <w:jc w:val="left"/>
              <w:rPr>
                <w:b/>
                <w:sz w:val="24"/>
              </w:rPr>
            </w:pPr>
          </w:p>
          <w:p>
            <w:pPr>
              <w:pStyle w:val="TableParagraph"/>
              <w:spacing w:line="240" w:lineRule="auto" w:before="0"/>
              <w:ind w:left="414"/>
              <w:jc w:val="left"/>
              <w:rPr>
                <w:sz w:val="24"/>
              </w:rPr>
            </w:pPr>
            <w:r>
              <w:rPr>
                <w:sz w:val="24"/>
              </w:rPr>
              <w:t>5 </w:t>
            </w:r>
            <w:r>
              <w:rPr>
                <w:spacing w:val="-2"/>
                <w:sz w:val="24"/>
              </w:rPr>
              <w:t>minutes</w:t>
            </w:r>
          </w:p>
        </w:tc>
        <w:tc>
          <w:tcPr>
            <w:tcW w:w="2822" w:type="dxa"/>
            <w:tcBorders>
              <w:top w:val="single" w:sz="6" w:space="0" w:color="000000"/>
            </w:tcBorders>
          </w:tcPr>
          <w:p>
            <w:pPr>
              <w:pStyle w:val="TableParagraph"/>
              <w:spacing w:line="240" w:lineRule="auto" w:before="97"/>
              <w:jc w:val="left"/>
              <w:rPr>
                <w:b/>
                <w:sz w:val="24"/>
              </w:rPr>
            </w:pPr>
          </w:p>
          <w:p>
            <w:pPr>
              <w:pStyle w:val="TableParagraph"/>
              <w:spacing w:line="240" w:lineRule="auto" w:before="0"/>
              <w:ind w:left="745"/>
              <w:jc w:val="left"/>
              <w:rPr>
                <w:sz w:val="24"/>
              </w:rPr>
            </w:pPr>
            <w:r>
              <w:rPr>
                <w:spacing w:val="-10"/>
                <w:sz w:val="24"/>
              </w:rPr>
              <w:t>1</w:t>
            </w:r>
          </w:p>
        </w:tc>
      </w:tr>
      <w:tr>
        <w:trPr>
          <w:trHeight w:val="431" w:hRule="atLeast"/>
        </w:trPr>
        <w:tc>
          <w:tcPr>
            <w:tcW w:w="2272" w:type="dxa"/>
          </w:tcPr>
          <w:p>
            <w:pPr>
              <w:pStyle w:val="TableParagraph"/>
              <w:spacing w:line="240" w:lineRule="auto" w:before="73"/>
              <w:ind w:left="141"/>
              <w:jc w:val="left"/>
              <w:rPr>
                <w:sz w:val="24"/>
              </w:rPr>
            </w:pPr>
            <w:r>
              <w:rPr>
                <w:spacing w:val="-2"/>
                <w:sz w:val="24"/>
              </w:rPr>
              <w:t>Denaturation</w:t>
            </w:r>
          </w:p>
        </w:tc>
        <w:tc>
          <w:tcPr>
            <w:tcW w:w="2321" w:type="dxa"/>
          </w:tcPr>
          <w:p>
            <w:pPr>
              <w:pStyle w:val="TableParagraph"/>
              <w:spacing w:line="240" w:lineRule="auto" w:before="73"/>
              <w:ind w:left="301"/>
              <w:jc w:val="left"/>
              <w:rPr>
                <w:sz w:val="24"/>
              </w:rPr>
            </w:pPr>
            <w:r>
              <w:rPr>
                <w:spacing w:val="-5"/>
                <w:sz w:val="24"/>
              </w:rPr>
              <w:t>94</w:t>
            </w:r>
          </w:p>
        </w:tc>
        <w:tc>
          <w:tcPr>
            <w:tcW w:w="2100" w:type="dxa"/>
          </w:tcPr>
          <w:p>
            <w:pPr>
              <w:pStyle w:val="TableParagraph"/>
              <w:spacing w:line="240" w:lineRule="auto" w:before="73"/>
              <w:ind w:left="414"/>
              <w:jc w:val="left"/>
              <w:rPr>
                <w:sz w:val="24"/>
              </w:rPr>
            </w:pPr>
            <w:r>
              <w:rPr>
                <w:spacing w:val="-2"/>
                <w:sz w:val="24"/>
              </w:rPr>
              <w:t>30sec</w:t>
            </w:r>
          </w:p>
        </w:tc>
        <w:tc>
          <w:tcPr>
            <w:tcW w:w="2822" w:type="dxa"/>
          </w:tcPr>
          <w:p>
            <w:pPr>
              <w:pStyle w:val="TableParagraph"/>
              <w:spacing w:line="240" w:lineRule="auto" w:before="73"/>
              <w:ind w:left="745"/>
              <w:jc w:val="left"/>
              <w:rPr>
                <w:sz w:val="24"/>
              </w:rPr>
            </w:pPr>
            <w:r>
              <w:rPr>
                <w:sz w:val="24"/>
              </w:rPr>
              <w:t>40</w:t>
            </w:r>
            <w:r>
              <w:rPr>
                <w:spacing w:val="-2"/>
                <w:sz w:val="24"/>
              </w:rPr>
              <w:t> cycles</w:t>
            </w:r>
          </w:p>
        </w:tc>
      </w:tr>
      <w:tr>
        <w:trPr>
          <w:trHeight w:val="432" w:hRule="atLeast"/>
        </w:trPr>
        <w:tc>
          <w:tcPr>
            <w:tcW w:w="2272" w:type="dxa"/>
          </w:tcPr>
          <w:p>
            <w:pPr>
              <w:pStyle w:val="TableParagraph"/>
              <w:spacing w:line="240" w:lineRule="auto" w:before="73"/>
              <w:ind w:left="141"/>
              <w:jc w:val="left"/>
              <w:rPr>
                <w:sz w:val="24"/>
              </w:rPr>
            </w:pPr>
            <w:r>
              <w:rPr>
                <w:spacing w:val="-2"/>
                <w:sz w:val="24"/>
              </w:rPr>
              <w:t>Annealing</w:t>
            </w:r>
          </w:p>
        </w:tc>
        <w:tc>
          <w:tcPr>
            <w:tcW w:w="2321" w:type="dxa"/>
          </w:tcPr>
          <w:p>
            <w:pPr>
              <w:pStyle w:val="TableParagraph"/>
              <w:spacing w:line="240" w:lineRule="auto" w:before="73"/>
              <w:ind w:left="301"/>
              <w:jc w:val="left"/>
              <w:rPr>
                <w:sz w:val="24"/>
              </w:rPr>
            </w:pPr>
            <w:r>
              <w:rPr>
                <w:spacing w:val="-5"/>
                <w:sz w:val="24"/>
              </w:rPr>
              <w:t>52</w:t>
            </w:r>
          </w:p>
        </w:tc>
        <w:tc>
          <w:tcPr>
            <w:tcW w:w="2100" w:type="dxa"/>
          </w:tcPr>
          <w:p>
            <w:pPr>
              <w:pStyle w:val="TableParagraph"/>
              <w:spacing w:line="240" w:lineRule="auto" w:before="73"/>
              <w:ind w:left="414"/>
              <w:jc w:val="left"/>
              <w:rPr>
                <w:sz w:val="24"/>
              </w:rPr>
            </w:pPr>
            <w:r>
              <w:rPr>
                <w:sz w:val="24"/>
              </w:rPr>
              <w:t>40 </w:t>
            </w:r>
            <w:r>
              <w:rPr>
                <w:spacing w:val="-5"/>
                <w:sz w:val="24"/>
              </w:rPr>
              <w:t>sec</w:t>
            </w:r>
          </w:p>
        </w:tc>
        <w:tc>
          <w:tcPr>
            <w:tcW w:w="2822" w:type="dxa"/>
          </w:tcPr>
          <w:p>
            <w:pPr>
              <w:pStyle w:val="TableParagraph"/>
              <w:spacing w:line="240" w:lineRule="auto" w:before="73"/>
              <w:ind w:left="745"/>
              <w:jc w:val="left"/>
              <w:rPr>
                <w:sz w:val="24"/>
              </w:rPr>
            </w:pPr>
            <w:r>
              <w:rPr>
                <w:spacing w:val="-10"/>
                <w:sz w:val="24"/>
              </w:rPr>
              <w:t>1</w:t>
            </w:r>
          </w:p>
        </w:tc>
      </w:tr>
      <w:tr>
        <w:trPr>
          <w:trHeight w:val="431" w:hRule="atLeast"/>
        </w:trPr>
        <w:tc>
          <w:tcPr>
            <w:tcW w:w="2272" w:type="dxa"/>
          </w:tcPr>
          <w:p>
            <w:pPr>
              <w:pStyle w:val="TableParagraph"/>
              <w:spacing w:line="240" w:lineRule="auto" w:before="73"/>
              <w:ind w:left="141"/>
              <w:jc w:val="left"/>
              <w:rPr>
                <w:sz w:val="24"/>
              </w:rPr>
            </w:pPr>
            <w:r>
              <w:rPr>
                <w:spacing w:val="-2"/>
                <w:sz w:val="24"/>
              </w:rPr>
              <w:t>Extension</w:t>
            </w:r>
          </w:p>
        </w:tc>
        <w:tc>
          <w:tcPr>
            <w:tcW w:w="2321" w:type="dxa"/>
          </w:tcPr>
          <w:p>
            <w:pPr>
              <w:pStyle w:val="TableParagraph"/>
              <w:spacing w:line="240" w:lineRule="auto" w:before="73"/>
              <w:ind w:left="301"/>
              <w:jc w:val="left"/>
              <w:rPr>
                <w:sz w:val="24"/>
              </w:rPr>
            </w:pPr>
            <w:r>
              <w:rPr>
                <w:spacing w:val="-5"/>
                <w:sz w:val="24"/>
              </w:rPr>
              <w:t>72</w:t>
            </w:r>
          </w:p>
        </w:tc>
        <w:tc>
          <w:tcPr>
            <w:tcW w:w="2100" w:type="dxa"/>
          </w:tcPr>
          <w:p>
            <w:pPr>
              <w:pStyle w:val="TableParagraph"/>
              <w:spacing w:line="240" w:lineRule="auto" w:before="73"/>
              <w:ind w:left="414"/>
              <w:jc w:val="left"/>
              <w:rPr>
                <w:sz w:val="24"/>
              </w:rPr>
            </w:pPr>
            <w:r>
              <w:rPr>
                <w:spacing w:val="-2"/>
                <w:sz w:val="24"/>
              </w:rPr>
              <w:t>30sec</w:t>
            </w:r>
          </w:p>
        </w:tc>
        <w:tc>
          <w:tcPr>
            <w:tcW w:w="2822" w:type="dxa"/>
          </w:tcPr>
          <w:p>
            <w:pPr>
              <w:pStyle w:val="TableParagraph"/>
              <w:spacing w:line="240" w:lineRule="auto" w:before="73"/>
              <w:ind w:left="745"/>
              <w:jc w:val="left"/>
              <w:rPr>
                <w:sz w:val="24"/>
              </w:rPr>
            </w:pPr>
            <w:r>
              <w:rPr>
                <w:spacing w:val="-10"/>
                <w:sz w:val="24"/>
              </w:rPr>
              <w:t>1</w:t>
            </w:r>
          </w:p>
        </w:tc>
      </w:tr>
      <w:tr>
        <w:trPr>
          <w:trHeight w:val="431" w:hRule="atLeast"/>
        </w:trPr>
        <w:tc>
          <w:tcPr>
            <w:tcW w:w="2272" w:type="dxa"/>
          </w:tcPr>
          <w:p>
            <w:pPr>
              <w:pStyle w:val="TableParagraph"/>
              <w:spacing w:line="240" w:lineRule="auto" w:before="73"/>
              <w:ind w:left="141"/>
              <w:jc w:val="left"/>
              <w:rPr>
                <w:sz w:val="24"/>
              </w:rPr>
            </w:pPr>
            <w:r>
              <w:rPr>
                <w:sz w:val="24"/>
              </w:rPr>
              <w:t>Final</w:t>
            </w:r>
            <w:r>
              <w:rPr>
                <w:spacing w:val="-2"/>
                <w:sz w:val="24"/>
              </w:rPr>
              <w:t> extension</w:t>
            </w:r>
          </w:p>
        </w:tc>
        <w:tc>
          <w:tcPr>
            <w:tcW w:w="2321" w:type="dxa"/>
          </w:tcPr>
          <w:p>
            <w:pPr>
              <w:pStyle w:val="TableParagraph"/>
              <w:spacing w:line="240" w:lineRule="auto" w:before="73"/>
              <w:ind w:left="301"/>
              <w:jc w:val="left"/>
              <w:rPr>
                <w:sz w:val="24"/>
              </w:rPr>
            </w:pPr>
            <w:r>
              <w:rPr>
                <w:spacing w:val="-5"/>
                <w:sz w:val="24"/>
              </w:rPr>
              <w:t>72</w:t>
            </w:r>
          </w:p>
        </w:tc>
        <w:tc>
          <w:tcPr>
            <w:tcW w:w="2100" w:type="dxa"/>
          </w:tcPr>
          <w:p>
            <w:pPr>
              <w:pStyle w:val="TableParagraph"/>
              <w:spacing w:line="240" w:lineRule="auto" w:before="73"/>
              <w:ind w:left="414"/>
              <w:jc w:val="left"/>
              <w:rPr>
                <w:sz w:val="24"/>
              </w:rPr>
            </w:pPr>
            <w:r>
              <w:rPr>
                <w:spacing w:val="-2"/>
                <w:sz w:val="24"/>
              </w:rPr>
              <w:t>5mins</w:t>
            </w:r>
          </w:p>
        </w:tc>
        <w:tc>
          <w:tcPr>
            <w:tcW w:w="2822" w:type="dxa"/>
          </w:tcPr>
          <w:p>
            <w:pPr>
              <w:pStyle w:val="TableParagraph"/>
              <w:spacing w:line="240" w:lineRule="auto" w:before="73"/>
              <w:ind w:left="745"/>
              <w:jc w:val="left"/>
              <w:rPr>
                <w:sz w:val="24"/>
              </w:rPr>
            </w:pPr>
            <w:r>
              <w:rPr>
                <w:spacing w:val="-10"/>
                <w:sz w:val="24"/>
              </w:rPr>
              <w:t>1</w:t>
            </w:r>
          </w:p>
        </w:tc>
      </w:tr>
      <w:tr>
        <w:trPr>
          <w:trHeight w:val="367" w:hRule="atLeast"/>
        </w:trPr>
        <w:tc>
          <w:tcPr>
            <w:tcW w:w="2272" w:type="dxa"/>
            <w:tcBorders>
              <w:bottom w:val="single" w:sz="6" w:space="0" w:color="000000"/>
            </w:tcBorders>
          </w:tcPr>
          <w:p>
            <w:pPr>
              <w:pStyle w:val="TableParagraph"/>
              <w:spacing w:line="273" w:lineRule="exact" w:before="74"/>
              <w:ind w:left="141"/>
              <w:jc w:val="left"/>
              <w:rPr>
                <w:sz w:val="24"/>
              </w:rPr>
            </w:pPr>
            <w:r>
              <w:rPr>
                <w:sz w:val="24"/>
              </w:rPr>
              <w:t>Final</w:t>
            </w:r>
            <w:r>
              <w:rPr>
                <w:spacing w:val="-2"/>
                <w:sz w:val="24"/>
              </w:rPr>
              <w:t> </w:t>
            </w:r>
            <w:r>
              <w:rPr>
                <w:spacing w:val="-4"/>
                <w:sz w:val="24"/>
              </w:rPr>
              <w:t>hold</w:t>
            </w:r>
          </w:p>
        </w:tc>
        <w:tc>
          <w:tcPr>
            <w:tcW w:w="2321" w:type="dxa"/>
            <w:tcBorders>
              <w:bottom w:val="single" w:sz="6" w:space="0" w:color="000000"/>
            </w:tcBorders>
          </w:tcPr>
          <w:p>
            <w:pPr>
              <w:pStyle w:val="TableParagraph"/>
              <w:spacing w:line="273" w:lineRule="exact" w:before="74"/>
              <w:ind w:left="301"/>
              <w:jc w:val="left"/>
              <w:rPr>
                <w:sz w:val="24"/>
              </w:rPr>
            </w:pPr>
            <w:r>
              <w:rPr>
                <w:spacing w:val="-10"/>
                <w:sz w:val="24"/>
              </w:rPr>
              <w:t>4</w:t>
            </w:r>
          </w:p>
        </w:tc>
        <w:tc>
          <w:tcPr>
            <w:tcW w:w="4922" w:type="dxa"/>
            <w:gridSpan w:val="2"/>
            <w:tcBorders>
              <w:bottom w:val="single" w:sz="6" w:space="0" w:color="000000"/>
            </w:tcBorders>
          </w:tcPr>
          <w:p>
            <w:pPr>
              <w:pStyle w:val="TableParagraph"/>
              <w:spacing w:line="275" w:lineRule="exact" w:before="72"/>
              <w:ind w:left="414"/>
              <w:jc w:val="left"/>
              <w:rPr>
                <w:sz w:val="24"/>
              </w:rPr>
            </w:pPr>
            <w:r>
              <w:rPr>
                <w:sz w:val="24"/>
              </w:rPr>
              <w:t>Total</w:t>
            </w:r>
            <w:r>
              <w:rPr>
                <w:spacing w:val="-1"/>
                <w:sz w:val="24"/>
              </w:rPr>
              <w:t> </w:t>
            </w:r>
            <w:r>
              <w:rPr>
                <w:sz w:val="24"/>
              </w:rPr>
              <w:t>time</w:t>
            </w:r>
            <w:r>
              <w:rPr>
                <w:spacing w:val="-1"/>
                <w:sz w:val="24"/>
              </w:rPr>
              <w:t> </w:t>
            </w:r>
            <w:r>
              <w:rPr>
                <w:sz w:val="24"/>
              </w:rPr>
              <w:t>is 11mins, 40</w:t>
            </w:r>
            <w:r>
              <w:rPr>
                <w:spacing w:val="-3"/>
                <w:sz w:val="24"/>
              </w:rPr>
              <w:t> </w:t>
            </w:r>
            <w:r>
              <w:rPr>
                <w:spacing w:val="-4"/>
                <w:sz w:val="24"/>
              </w:rPr>
              <w:t>sec.</w:t>
            </w:r>
          </w:p>
        </w:tc>
      </w:tr>
    </w:tbl>
    <w:p>
      <w:pPr>
        <w:spacing w:after="0" w:line="275" w:lineRule="exact"/>
        <w:jc w:val="left"/>
        <w:rPr>
          <w:sz w:val="24"/>
        </w:rPr>
        <w:sectPr>
          <w:pgSz w:w="11910" w:h="16840"/>
          <w:pgMar w:header="0" w:footer="1254" w:top="1340" w:bottom="1440" w:left="1180" w:right="580"/>
        </w:sectPr>
      </w:pPr>
    </w:p>
    <w:p>
      <w:pPr>
        <w:spacing w:before="78"/>
        <w:ind w:left="260" w:right="0" w:firstLine="0"/>
        <w:jc w:val="left"/>
        <w:rPr>
          <w:b/>
          <w:sz w:val="24"/>
        </w:rPr>
      </w:pPr>
      <w:r>
        <w:rPr>
          <w:b/>
          <w:sz w:val="24"/>
        </w:rPr>
        <w:t>Table</w:t>
      </w:r>
      <w:r>
        <w:rPr>
          <w:b/>
          <w:spacing w:val="-4"/>
          <w:sz w:val="24"/>
        </w:rPr>
        <w:t> </w:t>
      </w:r>
      <w:r>
        <w:rPr>
          <w:b/>
          <w:sz w:val="24"/>
        </w:rPr>
        <w:t>3.4:</w:t>
      </w:r>
      <w:r>
        <w:rPr>
          <w:b/>
          <w:spacing w:val="-1"/>
          <w:sz w:val="24"/>
        </w:rPr>
        <w:t> </w:t>
      </w:r>
      <w:r>
        <w:rPr>
          <w:b/>
          <w:sz w:val="24"/>
        </w:rPr>
        <w:t>Thermal</w:t>
      </w:r>
      <w:r>
        <w:rPr>
          <w:b/>
          <w:spacing w:val="-2"/>
          <w:sz w:val="24"/>
        </w:rPr>
        <w:t> </w:t>
      </w:r>
      <w:r>
        <w:rPr>
          <w:b/>
          <w:sz w:val="24"/>
        </w:rPr>
        <w:t>Cycling</w:t>
      </w:r>
      <w:r>
        <w:rPr>
          <w:b/>
          <w:spacing w:val="-2"/>
          <w:sz w:val="24"/>
        </w:rPr>
        <w:t> </w:t>
      </w:r>
      <w:r>
        <w:rPr>
          <w:b/>
          <w:sz w:val="24"/>
        </w:rPr>
        <w:t>Conditions</w:t>
      </w:r>
      <w:r>
        <w:rPr>
          <w:b/>
          <w:spacing w:val="-1"/>
          <w:sz w:val="24"/>
        </w:rPr>
        <w:t> </w:t>
      </w:r>
      <w:r>
        <w:rPr>
          <w:b/>
          <w:sz w:val="24"/>
        </w:rPr>
        <w:t>Used</w:t>
      </w:r>
      <w:r>
        <w:rPr>
          <w:b/>
          <w:spacing w:val="-2"/>
          <w:sz w:val="24"/>
        </w:rPr>
        <w:t> </w:t>
      </w:r>
      <w:r>
        <w:rPr>
          <w:b/>
          <w:sz w:val="24"/>
        </w:rPr>
        <w:t>For</w:t>
      </w:r>
      <w:r>
        <w:rPr>
          <w:b/>
          <w:spacing w:val="-2"/>
          <w:sz w:val="24"/>
        </w:rPr>
        <w:t> </w:t>
      </w:r>
      <w:r>
        <w:rPr>
          <w:b/>
          <w:sz w:val="24"/>
        </w:rPr>
        <w:t>Nested</w:t>
      </w:r>
      <w:r>
        <w:rPr>
          <w:b/>
          <w:spacing w:val="-1"/>
          <w:sz w:val="24"/>
        </w:rPr>
        <w:t> </w:t>
      </w:r>
      <w:r>
        <w:rPr>
          <w:b/>
          <w:spacing w:val="-5"/>
          <w:sz w:val="24"/>
        </w:rPr>
        <w:t>PCR</w:t>
      </w:r>
    </w:p>
    <w:p>
      <w:pPr>
        <w:pStyle w:val="BodyText"/>
        <w:spacing w:before="43"/>
        <w:rPr>
          <w:b/>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2"/>
        <w:gridCol w:w="2321"/>
        <w:gridCol w:w="2100"/>
        <w:gridCol w:w="2822"/>
      </w:tblGrid>
      <w:tr>
        <w:trPr>
          <w:trHeight w:val="348" w:hRule="atLeast"/>
        </w:trPr>
        <w:tc>
          <w:tcPr>
            <w:tcW w:w="2272" w:type="dxa"/>
            <w:tcBorders>
              <w:top w:val="single" w:sz="6" w:space="0" w:color="000000"/>
              <w:bottom w:val="single" w:sz="6" w:space="0" w:color="000000"/>
            </w:tcBorders>
          </w:tcPr>
          <w:p>
            <w:pPr>
              <w:pStyle w:val="TableParagraph"/>
              <w:spacing w:before="0"/>
              <w:ind w:right="94"/>
              <w:rPr>
                <w:b/>
                <w:sz w:val="24"/>
              </w:rPr>
            </w:pPr>
            <w:r>
              <w:rPr>
                <w:b/>
                <w:spacing w:val="-4"/>
                <w:sz w:val="24"/>
              </w:rPr>
              <w:t>Step</w:t>
            </w:r>
          </w:p>
        </w:tc>
        <w:tc>
          <w:tcPr>
            <w:tcW w:w="2321" w:type="dxa"/>
            <w:tcBorders>
              <w:top w:val="single" w:sz="6" w:space="0" w:color="000000"/>
              <w:bottom w:val="single" w:sz="6" w:space="0" w:color="000000"/>
            </w:tcBorders>
          </w:tcPr>
          <w:p>
            <w:pPr>
              <w:pStyle w:val="TableParagraph"/>
              <w:spacing w:before="0"/>
              <w:ind w:left="301"/>
              <w:jc w:val="left"/>
              <w:rPr>
                <w:b/>
                <w:sz w:val="24"/>
              </w:rPr>
            </w:pPr>
            <w:r>
              <w:rPr>
                <w:b/>
                <w:sz w:val="24"/>
              </w:rPr>
              <w:t>Temperature</w:t>
            </w:r>
            <w:r>
              <w:rPr>
                <w:b/>
                <w:spacing w:val="-5"/>
                <w:sz w:val="24"/>
              </w:rPr>
              <w:t> </w:t>
            </w:r>
            <w:r>
              <w:rPr>
                <w:b/>
                <w:spacing w:val="-5"/>
                <w:sz w:val="24"/>
                <w:vertAlign w:val="superscript"/>
              </w:rPr>
              <w:t>0</w:t>
            </w:r>
            <w:r>
              <w:rPr>
                <w:b/>
                <w:spacing w:val="-5"/>
                <w:sz w:val="24"/>
                <w:vertAlign w:val="baseline"/>
              </w:rPr>
              <w:t>c</w:t>
            </w:r>
          </w:p>
        </w:tc>
        <w:tc>
          <w:tcPr>
            <w:tcW w:w="2100" w:type="dxa"/>
            <w:tcBorders>
              <w:top w:val="single" w:sz="6" w:space="0" w:color="000000"/>
              <w:bottom w:val="single" w:sz="6" w:space="0" w:color="000000"/>
            </w:tcBorders>
          </w:tcPr>
          <w:p>
            <w:pPr>
              <w:pStyle w:val="TableParagraph"/>
              <w:spacing w:before="0"/>
              <w:ind w:left="414"/>
              <w:jc w:val="left"/>
              <w:rPr>
                <w:b/>
                <w:sz w:val="24"/>
              </w:rPr>
            </w:pPr>
            <w:r>
              <w:rPr>
                <w:b/>
                <w:spacing w:val="-4"/>
                <w:sz w:val="24"/>
              </w:rPr>
              <w:t>Time</w:t>
            </w:r>
          </w:p>
        </w:tc>
        <w:tc>
          <w:tcPr>
            <w:tcW w:w="2822" w:type="dxa"/>
            <w:tcBorders>
              <w:top w:val="single" w:sz="6" w:space="0" w:color="000000"/>
              <w:bottom w:val="single" w:sz="6" w:space="0" w:color="000000"/>
            </w:tcBorders>
          </w:tcPr>
          <w:p>
            <w:pPr>
              <w:pStyle w:val="TableParagraph"/>
              <w:spacing w:before="0"/>
              <w:ind w:left="745"/>
              <w:jc w:val="left"/>
              <w:rPr>
                <w:b/>
                <w:sz w:val="24"/>
              </w:rPr>
            </w:pPr>
            <w:r>
              <w:rPr>
                <w:b/>
                <w:sz w:val="24"/>
              </w:rPr>
              <w:t>Number</w:t>
            </w:r>
            <w:r>
              <w:rPr>
                <w:b/>
                <w:spacing w:val="-2"/>
                <w:sz w:val="24"/>
              </w:rPr>
              <w:t> </w:t>
            </w:r>
            <w:r>
              <w:rPr>
                <w:b/>
                <w:sz w:val="24"/>
              </w:rPr>
              <w:t>of </w:t>
            </w:r>
            <w:r>
              <w:rPr>
                <w:b/>
                <w:spacing w:val="-2"/>
                <w:sz w:val="24"/>
              </w:rPr>
              <w:t>Cycles</w:t>
            </w:r>
          </w:p>
        </w:tc>
      </w:tr>
      <w:tr>
        <w:trPr>
          <w:trHeight w:val="479" w:hRule="atLeast"/>
        </w:trPr>
        <w:tc>
          <w:tcPr>
            <w:tcW w:w="2272" w:type="dxa"/>
            <w:tcBorders>
              <w:top w:val="single" w:sz="6" w:space="0" w:color="000000"/>
            </w:tcBorders>
          </w:tcPr>
          <w:p>
            <w:pPr>
              <w:pStyle w:val="TableParagraph"/>
              <w:spacing w:line="240" w:lineRule="auto" w:before="97"/>
              <w:ind w:left="141"/>
              <w:jc w:val="left"/>
              <w:rPr>
                <w:sz w:val="24"/>
              </w:rPr>
            </w:pPr>
            <w:r>
              <w:rPr>
                <w:sz w:val="24"/>
              </w:rPr>
              <w:t>Initial</w:t>
            </w:r>
            <w:r>
              <w:rPr>
                <w:spacing w:val="-4"/>
                <w:sz w:val="24"/>
              </w:rPr>
              <w:t> </w:t>
            </w:r>
            <w:r>
              <w:rPr>
                <w:spacing w:val="-2"/>
                <w:sz w:val="24"/>
              </w:rPr>
              <w:t>denaturation</w:t>
            </w:r>
          </w:p>
        </w:tc>
        <w:tc>
          <w:tcPr>
            <w:tcW w:w="2321" w:type="dxa"/>
            <w:tcBorders>
              <w:top w:val="single" w:sz="6" w:space="0" w:color="000000"/>
            </w:tcBorders>
          </w:tcPr>
          <w:p>
            <w:pPr>
              <w:pStyle w:val="TableParagraph"/>
              <w:spacing w:line="240" w:lineRule="auto" w:before="97"/>
              <w:ind w:left="301"/>
              <w:jc w:val="left"/>
              <w:rPr>
                <w:sz w:val="24"/>
              </w:rPr>
            </w:pPr>
            <w:r>
              <w:rPr>
                <w:spacing w:val="-5"/>
                <w:sz w:val="24"/>
              </w:rPr>
              <w:t>94</w:t>
            </w:r>
          </w:p>
        </w:tc>
        <w:tc>
          <w:tcPr>
            <w:tcW w:w="2100" w:type="dxa"/>
            <w:tcBorders>
              <w:top w:val="single" w:sz="6" w:space="0" w:color="000000"/>
            </w:tcBorders>
          </w:tcPr>
          <w:p>
            <w:pPr>
              <w:pStyle w:val="TableParagraph"/>
              <w:spacing w:line="240" w:lineRule="auto" w:before="97"/>
              <w:ind w:left="414"/>
              <w:jc w:val="left"/>
              <w:rPr>
                <w:sz w:val="24"/>
              </w:rPr>
            </w:pPr>
            <w:r>
              <w:rPr>
                <w:sz w:val="24"/>
              </w:rPr>
              <w:t>5 </w:t>
            </w:r>
            <w:r>
              <w:rPr>
                <w:spacing w:val="-2"/>
                <w:sz w:val="24"/>
              </w:rPr>
              <w:t>minutes</w:t>
            </w:r>
          </w:p>
        </w:tc>
        <w:tc>
          <w:tcPr>
            <w:tcW w:w="2822" w:type="dxa"/>
            <w:tcBorders>
              <w:top w:val="single" w:sz="6" w:space="0" w:color="000000"/>
            </w:tcBorders>
          </w:tcPr>
          <w:p>
            <w:pPr>
              <w:pStyle w:val="TableParagraph"/>
              <w:spacing w:line="240" w:lineRule="auto" w:before="97"/>
              <w:ind w:left="745"/>
              <w:jc w:val="left"/>
              <w:rPr>
                <w:sz w:val="24"/>
              </w:rPr>
            </w:pPr>
            <w:r>
              <w:rPr>
                <w:spacing w:val="-10"/>
                <w:sz w:val="24"/>
              </w:rPr>
              <w:t>1</w:t>
            </w:r>
          </w:p>
        </w:tc>
      </w:tr>
      <w:tr>
        <w:trPr>
          <w:trHeight w:val="476" w:hRule="atLeast"/>
        </w:trPr>
        <w:tc>
          <w:tcPr>
            <w:tcW w:w="2272" w:type="dxa"/>
          </w:tcPr>
          <w:p>
            <w:pPr>
              <w:pStyle w:val="TableParagraph"/>
              <w:spacing w:line="240" w:lineRule="auto" w:before="95"/>
              <w:ind w:left="141"/>
              <w:jc w:val="left"/>
              <w:rPr>
                <w:sz w:val="24"/>
              </w:rPr>
            </w:pPr>
            <w:r>
              <w:rPr>
                <w:spacing w:val="-2"/>
                <w:sz w:val="24"/>
              </w:rPr>
              <w:t>Denaturation</w:t>
            </w:r>
          </w:p>
        </w:tc>
        <w:tc>
          <w:tcPr>
            <w:tcW w:w="2321" w:type="dxa"/>
          </w:tcPr>
          <w:p>
            <w:pPr>
              <w:pStyle w:val="TableParagraph"/>
              <w:spacing w:line="240" w:lineRule="auto" w:before="95"/>
              <w:ind w:left="301"/>
              <w:jc w:val="left"/>
              <w:rPr>
                <w:sz w:val="24"/>
              </w:rPr>
            </w:pPr>
            <w:r>
              <w:rPr>
                <w:spacing w:val="-5"/>
                <w:sz w:val="24"/>
              </w:rPr>
              <w:t>94</w:t>
            </w:r>
          </w:p>
        </w:tc>
        <w:tc>
          <w:tcPr>
            <w:tcW w:w="2100" w:type="dxa"/>
          </w:tcPr>
          <w:p>
            <w:pPr>
              <w:pStyle w:val="TableParagraph"/>
              <w:spacing w:line="240" w:lineRule="auto" w:before="95"/>
              <w:ind w:left="414"/>
              <w:jc w:val="left"/>
              <w:rPr>
                <w:sz w:val="24"/>
              </w:rPr>
            </w:pPr>
            <w:r>
              <w:rPr>
                <w:spacing w:val="-2"/>
                <w:sz w:val="24"/>
              </w:rPr>
              <w:t>30sec</w:t>
            </w:r>
          </w:p>
        </w:tc>
        <w:tc>
          <w:tcPr>
            <w:tcW w:w="2822" w:type="dxa"/>
          </w:tcPr>
          <w:p>
            <w:pPr>
              <w:pStyle w:val="TableParagraph"/>
              <w:spacing w:line="240" w:lineRule="auto" w:before="95"/>
              <w:ind w:left="745"/>
              <w:jc w:val="left"/>
              <w:rPr>
                <w:sz w:val="24"/>
              </w:rPr>
            </w:pPr>
            <w:r>
              <w:rPr>
                <w:sz w:val="24"/>
              </w:rPr>
              <w:t>40</w:t>
            </w:r>
            <w:r>
              <w:rPr>
                <w:spacing w:val="-2"/>
                <w:sz w:val="24"/>
              </w:rPr>
              <w:t> cycles</w:t>
            </w:r>
          </w:p>
        </w:tc>
      </w:tr>
      <w:tr>
        <w:trPr>
          <w:trHeight w:val="476" w:hRule="atLeast"/>
        </w:trPr>
        <w:tc>
          <w:tcPr>
            <w:tcW w:w="2272" w:type="dxa"/>
          </w:tcPr>
          <w:p>
            <w:pPr>
              <w:pStyle w:val="TableParagraph"/>
              <w:spacing w:line="240" w:lineRule="auto" w:before="94"/>
              <w:ind w:left="141"/>
              <w:jc w:val="left"/>
              <w:rPr>
                <w:sz w:val="24"/>
              </w:rPr>
            </w:pPr>
            <w:r>
              <w:rPr>
                <w:spacing w:val="-2"/>
                <w:sz w:val="24"/>
              </w:rPr>
              <w:t>Annealing</w:t>
            </w:r>
          </w:p>
        </w:tc>
        <w:tc>
          <w:tcPr>
            <w:tcW w:w="2321" w:type="dxa"/>
          </w:tcPr>
          <w:p>
            <w:pPr>
              <w:pStyle w:val="TableParagraph"/>
              <w:spacing w:line="240" w:lineRule="auto" w:before="94"/>
              <w:ind w:left="301"/>
              <w:jc w:val="left"/>
              <w:rPr>
                <w:sz w:val="24"/>
              </w:rPr>
            </w:pPr>
            <w:r>
              <w:rPr>
                <w:spacing w:val="-5"/>
                <w:sz w:val="24"/>
              </w:rPr>
              <w:t>52</w:t>
            </w:r>
          </w:p>
        </w:tc>
        <w:tc>
          <w:tcPr>
            <w:tcW w:w="2100" w:type="dxa"/>
          </w:tcPr>
          <w:p>
            <w:pPr>
              <w:pStyle w:val="TableParagraph"/>
              <w:spacing w:line="240" w:lineRule="auto" w:before="94"/>
              <w:ind w:left="414"/>
              <w:jc w:val="left"/>
              <w:rPr>
                <w:sz w:val="24"/>
              </w:rPr>
            </w:pPr>
            <w:r>
              <w:rPr>
                <w:sz w:val="24"/>
              </w:rPr>
              <w:t>40 </w:t>
            </w:r>
            <w:r>
              <w:rPr>
                <w:spacing w:val="-5"/>
                <w:sz w:val="24"/>
              </w:rPr>
              <w:t>sec</w:t>
            </w:r>
          </w:p>
        </w:tc>
        <w:tc>
          <w:tcPr>
            <w:tcW w:w="2822" w:type="dxa"/>
          </w:tcPr>
          <w:p>
            <w:pPr>
              <w:pStyle w:val="TableParagraph"/>
              <w:spacing w:line="240" w:lineRule="auto" w:before="94"/>
              <w:ind w:left="745"/>
              <w:jc w:val="left"/>
              <w:rPr>
                <w:sz w:val="24"/>
              </w:rPr>
            </w:pPr>
            <w:r>
              <w:rPr>
                <w:spacing w:val="-10"/>
                <w:sz w:val="24"/>
              </w:rPr>
              <w:t>1</w:t>
            </w:r>
          </w:p>
        </w:tc>
      </w:tr>
      <w:tr>
        <w:trPr>
          <w:trHeight w:val="508" w:hRule="atLeast"/>
        </w:trPr>
        <w:tc>
          <w:tcPr>
            <w:tcW w:w="2272" w:type="dxa"/>
          </w:tcPr>
          <w:p>
            <w:pPr>
              <w:pStyle w:val="TableParagraph"/>
              <w:spacing w:line="240" w:lineRule="auto" w:before="95"/>
              <w:ind w:left="141"/>
              <w:jc w:val="left"/>
              <w:rPr>
                <w:sz w:val="24"/>
              </w:rPr>
            </w:pPr>
            <w:r>
              <w:rPr>
                <w:spacing w:val="-2"/>
                <w:sz w:val="24"/>
              </w:rPr>
              <w:t>Extension</w:t>
            </w:r>
          </w:p>
        </w:tc>
        <w:tc>
          <w:tcPr>
            <w:tcW w:w="2321" w:type="dxa"/>
          </w:tcPr>
          <w:p>
            <w:pPr>
              <w:pStyle w:val="TableParagraph"/>
              <w:spacing w:line="240" w:lineRule="auto" w:before="95"/>
              <w:ind w:left="301"/>
              <w:jc w:val="left"/>
              <w:rPr>
                <w:sz w:val="24"/>
              </w:rPr>
            </w:pPr>
            <w:r>
              <w:rPr>
                <w:spacing w:val="-5"/>
                <w:sz w:val="24"/>
              </w:rPr>
              <w:t>72</w:t>
            </w:r>
          </w:p>
        </w:tc>
        <w:tc>
          <w:tcPr>
            <w:tcW w:w="2100" w:type="dxa"/>
          </w:tcPr>
          <w:p>
            <w:pPr>
              <w:pStyle w:val="TableParagraph"/>
              <w:spacing w:line="240" w:lineRule="auto" w:before="95"/>
              <w:ind w:left="414"/>
              <w:jc w:val="left"/>
              <w:rPr>
                <w:sz w:val="24"/>
              </w:rPr>
            </w:pPr>
            <w:r>
              <w:rPr>
                <w:spacing w:val="-2"/>
                <w:sz w:val="24"/>
              </w:rPr>
              <w:t>45sec</w:t>
            </w:r>
          </w:p>
        </w:tc>
        <w:tc>
          <w:tcPr>
            <w:tcW w:w="2822" w:type="dxa"/>
          </w:tcPr>
          <w:p>
            <w:pPr>
              <w:pStyle w:val="TableParagraph"/>
              <w:spacing w:line="240" w:lineRule="auto" w:before="95"/>
              <w:ind w:left="745"/>
              <w:jc w:val="left"/>
              <w:rPr>
                <w:sz w:val="24"/>
              </w:rPr>
            </w:pPr>
            <w:r>
              <w:rPr>
                <w:spacing w:val="-10"/>
                <w:sz w:val="24"/>
              </w:rPr>
              <w:t>1</w:t>
            </w:r>
          </w:p>
        </w:tc>
      </w:tr>
      <w:tr>
        <w:trPr>
          <w:trHeight w:val="655" w:hRule="atLeast"/>
        </w:trPr>
        <w:tc>
          <w:tcPr>
            <w:tcW w:w="2272" w:type="dxa"/>
          </w:tcPr>
          <w:p>
            <w:pPr>
              <w:pStyle w:val="TableParagraph"/>
              <w:spacing w:line="240" w:lineRule="auto" w:before="127"/>
              <w:ind w:left="141"/>
              <w:jc w:val="left"/>
              <w:rPr>
                <w:sz w:val="24"/>
              </w:rPr>
            </w:pPr>
            <w:r>
              <w:rPr>
                <w:sz w:val="24"/>
              </w:rPr>
              <w:t>Final</w:t>
            </w:r>
            <w:r>
              <w:rPr>
                <w:spacing w:val="-2"/>
                <w:sz w:val="24"/>
              </w:rPr>
              <w:t> extension</w:t>
            </w:r>
          </w:p>
        </w:tc>
        <w:tc>
          <w:tcPr>
            <w:tcW w:w="2321" w:type="dxa"/>
          </w:tcPr>
          <w:p>
            <w:pPr>
              <w:pStyle w:val="TableParagraph"/>
              <w:spacing w:line="240" w:lineRule="auto" w:before="127"/>
              <w:ind w:left="301"/>
              <w:jc w:val="left"/>
              <w:rPr>
                <w:sz w:val="24"/>
              </w:rPr>
            </w:pPr>
            <w:r>
              <w:rPr>
                <w:spacing w:val="-5"/>
                <w:sz w:val="24"/>
              </w:rPr>
              <w:t>72</w:t>
            </w:r>
          </w:p>
        </w:tc>
        <w:tc>
          <w:tcPr>
            <w:tcW w:w="2100" w:type="dxa"/>
          </w:tcPr>
          <w:p>
            <w:pPr>
              <w:pStyle w:val="TableParagraph"/>
              <w:spacing w:line="240" w:lineRule="auto" w:before="127"/>
              <w:ind w:left="414"/>
              <w:jc w:val="left"/>
              <w:rPr>
                <w:sz w:val="24"/>
              </w:rPr>
            </w:pPr>
            <w:r>
              <w:rPr>
                <w:spacing w:val="-2"/>
                <w:sz w:val="24"/>
              </w:rPr>
              <w:t>5mins</w:t>
            </w:r>
          </w:p>
        </w:tc>
        <w:tc>
          <w:tcPr>
            <w:tcW w:w="2822" w:type="dxa"/>
          </w:tcPr>
          <w:p>
            <w:pPr>
              <w:pStyle w:val="TableParagraph"/>
              <w:spacing w:line="240" w:lineRule="auto" w:before="127"/>
              <w:ind w:left="745"/>
              <w:jc w:val="left"/>
              <w:rPr>
                <w:sz w:val="24"/>
              </w:rPr>
            </w:pPr>
            <w:r>
              <w:rPr>
                <w:spacing w:val="-10"/>
                <w:sz w:val="24"/>
              </w:rPr>
              <w:t>1</w:t>
            </w:r>
          </w:p>
        </w:tc>
      </w:tr>
      <w:tr>
        <w:trPr>
          <w:trHeight w:val="537" w:hRule="atLeast"/>
        </w:trPr>
        <w:tc>
          <w:tcPr>
            <w:tcW w:w="2272" w:type="dxa"/>
            <w:tcBorders>
              <w:bottom w:val="single" w:sz="6" w:space="0" w:color="000000"/>
            </w:tcBorders>
          </w:tcPr>
          <w:p>
            <w:pPr>
              <w:pStyle w:val="TableParagraph"/>
              <w:spacing w:line="273" w:lineRule="exact" w:before="245"/>
              <w:ind w:left="141"/>
              <w:jc w:val="left"/>
              <w:rPr>
                <w:sz w:val="24"/>
              </w:rPr>
            </w:pPr>
            <w:r>
              <w:rPr>
                <w:sz w:val="24"/>
              </w:rPr>
              <w:t>Final</w:t>
            </w:r>
            <w:r>
              <w:rPr>
                <w:spacing w:val="-2"/>
                <w:sz w:val="24"/>
              </w:rPr>
              <w:t> </w:t>
            </w:r>
            <w:r>
              <w:rPr>
                <w:spacing w:val="-4"/>
                <w:sz w:val="24"/>
              </w:rPr>
              <w:t>hold</w:t>
            </w:r>
          </w:p>
        </w:tc>
        <w:tc>
          <w:tcPr>
            <w:tcW w:w="2321" w:type="dxa"/>
            <w:tcBorders>
              <w:bottom w:val="single" w:sz="6" w:space="0" w:color="000000"/>
            </w:tcBorders>
          </w:tcPr>
          <w:p>
            <w:pPr>
              <w:pStyle w:val="TableParagraph"/>
              <w:spacing w:line="273" w:lineRule="exact" w:before="245"/>
              <w:ind w:left="301"/>
              <w:jc w:val="left"/>
              <w:rPr>
                <w:sz w:val="24"/>
              </w:rPr>
            </w:pPr>
            <w:r>
              <w:rPr>
                <w:spacing w:val="-10"/>
                <w:sz w:val="24"/>
              </w:rPr>
              <w:t>4</w:t>
            </w:r>
          </w:p>
        </w:tc>
        <w:tc>
          <w:tcPr>
            <w:tcW w:w="4922" w:type="dxa"/>
            <w:gridSpan w:val="2"/>
            <w:tcBorders>
              <w:bottom w:val="single" w:sz="6" w:space="0" w:color="000000"/>
            </w:tcBorders>
          </w:tcPr>
          <w:p>
            <w:pPr>
              <w:pStyle w:val="TableParagraph"/>
              <w:spacing w:line="275" w:lineRule="exact" w:before="242"/>
              <w:ind w:left="414"/>
              <w:jc w:val="left"/>
              <w:rPr>
                <w:sz w:val="24"/>
              </w:rPr>
            </w:pPr>
            <w:r>
              <w:rPr>
                <w:sz w:val="24"/>
              </w:rPr>
              <w:t>Total</w:t>
            </w:r>
            <w:r>
              <w:rPr>
                <w:spacing w:val="-1"/>
                <w:sz w:val="24"/>
              </w:rPr>
              <w:t> </w:t>
            </w:r>
            <w:r>
              <w:rPr>
                <w:sz w:val="24"/>
              </w:rPr>
              <w:t>time</w:t>
            </w:r>
            <w:r>
              <w:rPr>
                <w:spacing w:val="-1"/>
                <w:sz w:val="24"/>
              </w:rPr>
              <w:t> </w:t>
            </w:r>
            <w:r>
              <w:rPr>
                <w:sz w:val="24"/>
              </w:rPr>
              <w:t>is</w:t>
            </w:r>
            <w:r>
              <w:rPr>
                <w:spacing w:val="1"/>
                <w:sz w:val="24"/>
              </w:rPr>
              <w:t> </w:t>
            </w:r>
            <w:r>
              <w:rPr>
                <w:sz w:val="24"/>
              </w:rPr>
              <w:t>11mins, 55</w:t>
            </w:r>
            <w:r>
              <w:rPr>
                <w:spacing w:val="-3"/>
                <w:sz w:val="24"/>
              </w:rPr>
              <w:t> </w:t>
            </w:r>
            <w:r>
              <w:rPr>
                <w:spacing w:val="-4"/>
                <w:sz w:val="24"/>
              </w:rPr>
              <w:t>sec.</w:t>
            </w:r>
          </w:p>
        </w:tc>
      </w:tr>
    </w:tbl>
    <w:p>
      <w:pPr>
        <w:spacing w:after="0" w:line="275" w:lineRule="exact"/>
        <w:jc w:val="left"/>
        <w:rPr>
          <w:sz w:val="24"/>
        </w:rPr>
        <w:sectPr>
          <w:pgSz w:w="11910" w:h="16840"/>
          <w:pgMar w:header="0" w:footer="1254" w:top="1340" w:bottom="1440" w:left="1180" w:right="580"/>
        </w:sectPr>
      </w:pPr>
    </w:p>
    <w:p>
      <w:pPr>
        <w:spacing w:before="80"/>
        <w:ind w:left="260" w:right="0" w:firstLine="0"/>
        <w:jc w:val="left"/>
        <w:rPr>
          <w:b/>
          <w:sz w:val="22"/>
        </w:rPr>
      </w:pPr>
      <w:r>
        <w:rPr>
          <w:b/>
          <w:sz w:val="22"/>
        </w:rPr>
        <w:t>Table</w:t>
      </w:r>
      <w:r>
        <w:rPr>
          <w:b/>
          <w:spacing w:val="-3"/>
          <w:sz w:val="22"/>
        </w:rPr>
        <w:t> </w:t>
      </w:r>
      <w:r>
        <w:rPr>
          <w:b/>
          <w:sz w:val="22"/>
        </w:rPr>
        <w:t>3.5:</w:t>
      </w:r>
      <w:r>
        <w:rPr>
          <w:b/>
          <w:spacing w:val="-3"/>
          <w:sz w:val="22"/>
        </w:rPr>
        <w:t> </w:t>
      </w:r>
      <w:r>
        <w:rPr>
          <w:b/>
          <w:sz w:val="22"/>
        </w:rPr>
        <w:t>Thermal</w:t>
      </w:r>
      <w:r>
        <w:rPr>
          <w:b/>
          <w:spacing w:val="-2"/>
          <w:sz w:val="22"/>
        </w:rPr>
        <w:t> </w:t>
      </w:r>
      <w:r>
        <w:rPr>
          <w:b/>
          <w:sz w:val="22"/>
        </w:rPr>
        <w:t>Cycling</w:t>
      </w:r>
      <w:r>
        <w:rPr>
          <w:b/>
          <w:spacing w:val="-3"/>
          <w:sz w:val="22"/>
        </w:rPr>
        <w:t> </w:t>
      </w:r>
      <w:r>
        <w:rPr>
          <w:b/>
          <w:sz w:val="22"/>
        </w:rPr>
        <w:t>Conditions</w:t>
      </w:r>
      <w:r>
        <w:rPr>
          <w:b/>
          <w:spacing w:val="-3"/>
          <w:sz w:val="22"/>
        </w:rPr>
        <w:t> </w:t>
      </w:r>
      <w:r>
        <w:rPr>
          <w:b/>
          <w:sz w:val="22"/>
        </w:rPr>
        <w:t>Used</w:t>
      </w:r>
      <w:r>
        <w:rPr>
          <w:b/>
          <w:spacing w:val="-6"/>
          <w:sz w:val="22"/>
        </w:rPr>
        <w:t> </w:t>
      </w:r>
      <w:r>
        <w:rPr>
          <w:b/>
          <w:sz w:val="22"/>
        </w:rPr>
        <w:t>for</w:t>
      </w:r>
      <w:r>
        <w:rPr>
          <w:b/>
          <w:spacing w:val="-1"/>
          <w:sz w:val="22"/>
        </w:rPr>
        <w:t> </w:t>
      </w:r>
      <w:r>
        <w:rPr>
          <w:b/>
          <w:i/>
          <w:sz w:val="22"/>
        </w:rPr>
        <w:t>PfATPase</w:t>
      </w:r>
      <w:r>
        <w:rPr>
          <w:b/>
          <w:sz w:val="22"/>
        </w:rPr>
        <w:t>6</w:t>
      </w:r>
      <w:r>
        <w:rPr>
          <w:b/>
          <w:spacing w:val="-6"/>
          <w:sz w:val="22"/>
        </w:rPr>
        <w:t> </w:t>
      </w:r>
      <w:r>
        <w:rPr>
          <w:b/>
          <w:sz w:val="22"/>
        </w:rPr>
        <w:t>PCR</w:t>
      </w:r>
      <w:r>
        <w:rPr>
          <w:b/>
          <w:spacing w:val="-4"/>
          <w:sz w:val="22"/>
        </w:rPr>
        <w:t> </w:t>
      </w:r>
      <w:r>
        <w:rPr>
          <w:b/>
          <w:sz w:val="22"/>
        </w:rPr>
        <w:t>and</w:t>
      </w:r>
      <w:r>
        <w:rPr>
          <w:b/>
          <w:spacing w:val="-4"/>
          <w:sz w:val="22"/>
        </w:rPr>
        <w:t> </w:t>
      </w:r>
      <w:r>
        <w:rPr>
          <w:b/>
          <w:sz w:val="22"/>
        </w:rPr>
        <w:t>RPLP</w:t>
      </w:r>
      <w:r>
        <w:rPr>
          <w:b/>
          <w:spacing w:val="-4"/>
          <w:sz w:val="22"/>
        </w:rPr>
        <w:t> </w:t>
      </w:r>
      <w:r>
        <w:rPr>
          <w:b/>
          <w:sz w:val="22"/>
        </w:rPr>
        <w:t>assay</w:t>
      </w:r>
      <w:r>
        <w:rPr>
          <w:b/>
          <w:spacing w:val="-5"/>
          <w:sz w:val="22"/>
        </w:rPr>
        <w:t> </w:t>
      </w:r>
      <w:r>
        <w:rPr>
          <w:b/>
          <w:spacing w:val="-2"/>
          <w:sz w:val="22"/>
        </w:rPr>
        <w:t>(SERCA)</w:t>
      </w:r>
    </w:p>
    <w:p>
      <w:pPr>
        <w:pStyle w:val="BodyText"/>
        <w:spacing w:before="18"/>
        <w:rPr>
          <w:b/>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2"/>
        <w:gridCol w:w="2321"/>
        <w:gridCol w:w="2100"/>
        <w:gridCol w:w="2822"/>
      </w:tblGrid>
      <w:tr>
        <w:trPr>
          <w:trHeight w:val="349" w:hRule="atLeast"/>
        </w:trPr>
        <w:tc>
          <w:tcPr>
            <w:tcW w:w="2272" w:type="dxa"/>
            <w:tcBorders>
              <w:top w:val="single" w:sz="6" w:space="0" w:color="000000"/>
              <w:bottom w:val="single" w:sz="6" w:space="0" w:color="000000"/>
            </w:tcBorders>
          </w:tcPr>
          <w:p>
            <w:pPr>
              <w:pStyle w:val="TableParagraph"/>
              <w:spacing w:before="0"/>
              <w:ind w:right="94"/>
              <w:rPr>
                <w:b/>
                <w:sz w:val="24"/>
              </w:rPr>
            </w:pPr>
            <w:r>
              <w:rPr>
                <w:b/>
                <w:spacing w:val="-4"/>
                <w:sz w:val="24"/>
              </w:rPr>
              <w:t>Step</w:t>
            </w:r>
          </w:p>
        </w:tc>
        <w:tc>
          <w:tcPr>
            <w:tcW w:w="2321" w:type="dxa"/>
            <w:tcBorders>
              <w:top w:val="single" w:sz="6" w:space="0" w:color="000000"/>
              <w:bottom w:val="single" w:sz="6" w:space="0" w:color="000000"/>
            </w:tcBorders>
          </w:tcPr>
          <w:p>
            <w:pPr>
              <w:pStyle w:val="TableParagraph"/>
              <w:spacing w:before="0"/>
              <w:ind w:left="301"/>
              <w:jc w:val="left"/>
              <w:rPr>
                <w:b/>
                <w:sz w:val="24"/>
              </w:rPr>
            </w:pPr>
            <w:r>
              <w:rPr>
                <w:b/>
                <w:sz w:val="24"/>
              </w:rPr>
              <w:t>Temperature</w:t>
            </w:r>
            <w:r>
              <w:rPr>
                <w:b/>
                <w:spacing w:val="-5"/>
                <w:sz w:val="24"/>
              </w:rPr>
              <w:t> </w:t>
            </w:r>
            <w:r>
              <w:rPr>
                <w:b/>
                <w:spacing w:val="-5"/>
                <w:sz w:val="24"/>
                <w:vertAlign w:val="superscript"/>
              </w:rPr>
              <w:t>0</w:t>
            </w:r>
            <w:r>
              <w:rPr>
                <w:b/>
                <w:spacing w:val="-5"/>
                <w:sz w:val="24"/>
                <w:vertAlign w:val="baseline"/>
              </w:rPr>
              <w:t>c</w:t>
            </w:r>
          </w:p>
        </w:tc>
        <w:tc>
          <w:tcPr>
            <w:tcW w:w="2100" w:type="dxa"/>
            <w:tcBorders>
              <w:top w:val="single" w:sz="6" w:space="0" w:color="000000"/>
              <w:bottom w:val="single" w:sz="6" w:space="0" w:color="000000"/>
            </w:tcBorders>
          </w:tcPr>
          <w:p>
            <w:pPr>
              <w:pStyle w:val="TableParagraph"/>
              <w:spacing w:before="0"/>
              <w:ind w:left="414"/>
              <w:jc w:val="left"/>
              <w:rPr>
                <w:b/>
                <w:sz w:val="24"/>
              </w:rPr>
            </w:pPr>
            <w:r>
              <w:rPr>
                <w:b/>
                <w:spacing w:val="-4"/>
                <w:sz w:val="24"/>
              </w:rPr>
              <w:t>Time</w:t>
            </w:r>
          </w:p>
        </w:tc>
        <w:tc>
          <w:tcPr>
            <w:tcW w:w="2822" w:type="dxa"/>
            <w:tcBorders>
              <w:top w:val="single" w:sz="6" w:space="0" w:color="000000"/>
              <w:bottom w:val="single" w:sz="6" w:space="0" w:color="000000"/>
            </w:tcBorders>
          </w:tcPr>
          <w:p>
            <w:pPr>
              <w:pStyle w:val="TableParagraph"/>
              <w:spacing w:before="0"/>
              <w:ind w:left="745"/>
              <w:jc w:val="left"/>
              <w:rPr>
                <w:b/>
                <w:sz w:val="24"/>
              </w:rPr>
            </w:pPr>
            <w:r>
              <w:rPr>
                <w:b/>
                <w:sz w:val="24"/>
              </w:rPr>
              <w:t>Number</w:t>
            </w:r>
            <w:r>
              <w:rPr>
                <w:b/>
                <w:spacing w:val="-2"/>
                <w:sz w:val="24"/>
              </w:rPr>
              <w:t> </w:t>
            </w:r>
            <w:r>
              <w:rPr>
                <w:b/>
                <w:sz w:val="24"/>
              </w:rPr>
              <w:t>of </w:t>
            </w:r>
            <w:r>
              <w:rPr>
                <w:b/>
                <w:spacing w:val="-2"/>
                <w:sz w:val="24"/>
              </w:rPr>
              <w:t>Cycles</w:t>
            </w:r>
          </w:p>
        </w:tc>
      </w:tr>
      <w:tr>
        <w:trPr>
          <w:trHeight w:val="478" w:hRule="atLeast"/>
        </w:trPr>
        <w:tc>
          <w:tcPr>
            <w:tcW w:w="2272" w:type="dxa"/>
            <w:tcBorders>
              <w:top w:val="single" w:sz="6" w:space="0" w:color="000000"/>
            </w:tcBorders>
          </w:tcPr>
          <w:p>
            <w:pPr>
              <w:pStyle w:val="TableParagraph"/>
              <w:spacing w:line="240" w:lineRule="auto" w:before="98"/>
              <w:ind w:left="141"/>
              <w:jc w:val="left"/>
              <w:rPr>
                <w:sz w:val="24"/>
              </w:rPr>
            </w:pPr>
            <w:r>
              <w:rPr>
                <w:sz w:val="24"/>
              </w:rPr>
              <w:t>Initial</w:t>
            </w:r>
            <w:r>
              <w:rPr>
                <w:spacing w:val="-4"/>
                <w:sz w:val="24"/>
              </w:rPr>
              <w:t> </w:t>
            </w:r>
            <w:r>
              <w:rPr>
                <w:spacing w:val="-2"/>
                <w:sz w:val="24"/>
              </w:rPr>
              <w:t>denaturation</w:t>
            </w:r>
          </w:p>
        </w:tc>
        <w:tc>
          <w:tcPr>
            <w:tcW w:w="2321" w:type="dxa"/>
            <w:tcBorders>
              <w:top w:val="single" w:sz="6" w:space="0" w:color="000000"/>
            </w:tcBorders>
          </w:tcPr>
          <w:p>
            <w:pPr>
              <w:pStyle w:val="TableParagraph"/>
              <w:spacing w:line="240" w:lineRule="auto" w:before="98"/>
              <w:ind w:left="301"/>
              <w:jc w:val="left"/>
              <w:rPr>
                <w:sz w:val="24"/>
              </w:rPr>
            </w:pPr>
            <w:r>
              <w:rPr>
                <w:spacing w:val="-5"/>
                <w:sz w:val="24"/>
              </w:rPr>
              <w:t>94</w:t>
            </w:r>
          </w:p>
        </w:tc>
        <w:tc>
          <w:tcPr>
            <w:tcW w:w="2100" w:type="dxa"/>
            <w:tcBorders>
              <w:top w:val="single" w:sz="6" w:space="0" w:color="000000"/>
            </w:tcBorders>
          </w:tcPr>
          <w:p>
            <w:pPr>
              <w:pStyle w:val="TableParagraph"/>
              <w:spacing w:line="240" w:lineRule="auto" w:before="98"/>
              <w:ind w:left="414"/>
              <w:jc w:val="left"/>
              <w:rPr>
                <w:sz w:val="24"/>
              </w:rPr>
            </w:pPr>
            <w:r>
              <w:rPr>
                <w:sz w:val="24"/>
              </w:rPr>
              <w:t>2 </w:t>
            </w:r>
            <w:r>
              <w:rPr>
                <w:spacing w:val="-2"/>
                <w:sz w:val="24"/>
              </w:rPr>
              <w:t>minutes</w:t>
            </w:r>
          </w:p>
        </w:tc>
        <w:tc>
          <w:tcPr>
            <w:tcW w:w="2822" w:type="dxa"/>
            <w:tcBorders>
              <w:top w:val="single" w:sz="6" w:space="0" w:color="000000"/>
            </w:tcBorders>
          </w:tcPr>
          <w:p>
            <w:pPr>
              <w:pStyle w:val="TableParagraph"/>
              <w:spacing w:line="240" w:lineRule="auto" w:before="98"/>
              <w:ind w:left="745"/>
              <w:jc w:val="left"/>
              <w:rPr>
                <w:sz w:val="24"/>
              </w:rPr>
            </w:pPr>
            <w:r>
              <w:rPr>
                <w:spacing w:val="-10"/>
                <w:sz w:val="24"/>
              </w:rPr>
              <w:t>1</w:t>
            </w:r>
          </w:p>
        </w:tc>
      </w:tr>
      <w:tr>
        <w:trPr>
          <w:trHeight w:val="476" w:hRule="atLeast"/>
        </w:trPr>
        <w:tc>
          <w:tcPr>
            <w:tcW w:w="2272" w:type="dxa"/>
          </w:tcPr>
          <w:p>
            <w:pPr>
              <w:pStyle w:val="TableParagraph"/>
              <w:spacing w:line="240" w:lineRule="auto" w:before="94"/>
              <w:ind w:left="141"/>
              <w:jc w:val="left"/>
              <w:rPr>
                <w:sz w:val="24"/>
              </w:rPr>
            </w:pPr>
            <w:r>
              <w:rPr>
                <w:spacing w:val="-2"/>
                <w:sz w:val="24"/>
              </w:rPr>
              <w:t>Denaturation</w:t>
            </w:r>
          </w:p>
        </w:tc>
        <w:tc>
          <w:tcPr>
            <w:tcW w:w="2321" w:type="dxa"/>
          </w:tcPr>
          <w:p>
            <w:pPr>
              <w:pStyle w:val="TableParagraph"/>
              <w:spacing w:line="240" w:lineRule="auto" w:before="94"/>
              <w:ind w:left="301"/>
              <w:jc w:val="left"/>
              <w:rPr>
                <w:sz w:val="24"/>
              </w:rPr>
            </w:pPr>
            <w:r>
              <w:rPr>
                <w:spacing w:val="-5"/>
                <w:sz w:val="24"/>
              </w:rPr>
              <w:t>94</w:t>
            </w:r>
          </w:p>
        </w:tc>
        <w:tc>
          <w:tcPr>
            <w:tcW w:w="2100" w:type="dxa"/>
          </w:tcPr>
          <w:p>
            <w:pPr>
              <w:pStyle w:val="TableParagraph"/>
              <w:spacing w:line="240" w:lineRule="auto" w:before="94"/>
              <w:ind w:left="414"/>
              <w:jc w:val="left"/>
              <w:rPr>
                <w:sz w:val="24"/>
              </w:rPr>
            </w:pPr>
            <w:r>
              <w:rPr>
                <w:spacing w:val="-2"/>
                <w:sz w:val="24"/>
              </w:rPr>
              <w:t>45sec</w:t>
            </w:r>
          </w:p>
        </w:tc>
        <w:tc>
          <w:tcPr>
            <w:tcW w:w="2822" w:type="dxa"/>
          </w:tcPr>
          <w:p>
            <w:pPr>
              <w:pStyle w:val="TableParagraph"/>
              <w:spacing w:line="240" w:lineRule="auto" w:before="94"/>
              <w:ind w:left="745"/>
              <w:jc w:val="left"/>
              <w:rPr>
                <w:sz w:val="24"/>
              </w:rPr>
            </w:pPr>
            <w:r>
              <w:rPr>
                <w:sz w:val="24"/>
              </w:rPr>
              <w:t>25</w:t>
            </w:r>
            <w:r>
              <w:rPr>
                <w:spacing w:val="-2"/>
                <w:sz w:val="24"/>
              </w:rPr>
              <w:t> cycles</w:t>
            </w:r>
          </w:p>
        </w:tc>
      </w:tr>
      <w:tr>
        <w:trPr>
          <w:trHeight w:val="477" w:hRule="atLeast"/>
        </w:trPr>
        <w:tc>
          <w:tcPr>
            <w:tcW w:w="2272" w:type="dxa"/>
          </w:tcPr>
          <w:p>
            <w:pPr>
              <w:pStyle w:val="TableParagraph"/>
              <w:spacing w:line="240" w:lineRule="auto" w:before="95"/>
              <w:ind w:left="141"/>
              <w:jc w:val="left"/>
              <w:rPr>
                <w:sz w:val="24"/>
              </w:rPr>
            </w:pPr>
            <w:r>
              <w:rPr>
                <w:spacing w:val="-2"/>
                <w:sz w:val="24"/>
              </w:rPr>
              <w:t>Annealing</w:t>
            </w:r>
          </w:p>
        </w:tc>
        <w:tc>
          <w:tcPr>
            <w:tcW w:w="2321" w:type="dxa"/>
          </w:tcPr>
          <w:p>
            <w:pPr>
              <w:pStyle w:val="TableParagraph"/>
              <w:spacing w:line="240" w:lineRule="auto" w:before="95"/>
              <w:ind w:left="301"/>
              <w:jc w:val="left"/>
              <w:rPr>
                <w:sz w:val="24"/>
              </w:rPr>
            </w:pPr>
            <w:r>
              <w:rPr>
                <w:spacing w:val="-5"/>
                <w:sz w:val="24"/>
              </w:rPr>
              <w:t>46</w:t>
            </w:r>
          </w:p>
        </w:tc>
        <w:tc>
          <w:tcPr>
            <w:tcW w:w="2100" w:type="dxa"/>
          </w:tcPr>
          <w:p>
            <w:pPr>
              <w:pStyle w:val="TableParagraph"/>
              <w:spacing w:line="240" w:lineRule="auto" w:before="95"/>
              <w:ind w:left="414"/>
              <w:jc w:val="left"/>
              <w:rPr>
                <w:sz w:val="24"/>
              </w:rPr>
            </w:pPr>
            <w:r>
              <w:rPr>
                <w:sz w:val="24"/>
              </w:rPr>
              <w:t>45 </w:t>
            </w:r>
            <w:r>
              <w:rPr>
                <w:spacing w:val="-5"/>
                <w:sz w:val="24"/>
              </w:rPr>
              <w:t>sec</w:t>
            </w:r>
          </w:p>
        </w:tc>
        <w:tc>
          <w:tcPr>
            <w:tcW w:w="2822" w:type="dxa"/>
          </w:tcPr>
          <w:p>
            <w:pPr>
              <w:pStyle w:val="TableParagraph"/>
              <w:spacing w:line="240" w:lineRule="auto" w:before="95"/>
              <w:ind w:left="745"/>
              <w:jc w:val="left"/>
              <w:rPr>
                <w:sz w:val="24"/>
              </w:rPr>
            </w:pPr>
            <w:r>
              <w:rPr>
                <w:spacing w:val="-10"/>
                <w:sz w:val="24"/>
              </w:rPr>
              <w:t>1</w:t>
            </w:r>
          </w:p>
        </w:tc>
      </w:tr>
      <w:tr>
        <w:trPr>
          <w:trHeight w:val="508" w:hRule="atLeast"/>
        </w:trPr>
        <w:tc>
          <w:tcPr>
            <w:tcW w:w="2272" w:type="dxa"/>
          </w:tcPr>
          <w:p>
            <w:pPr>
              <w:pStyle w:val="TableParagraph"/>
              <w:spacing w:line="240" w:lineRule="auto" w:before="95"/>
              <w:ind w:left="141"/>
              <w:jc w:val="left"/>
              <w:rPr>
                <w:sz w:val="24"/>
              </w:rPr>
            </w:pPr>
            <w:r>
              <w:rPr>
                <w:spacing w:val="-2"/>
                <w:sz w:val="24"/>
              </w:rPr>
              <w:t>Extension</w:t>
            </w:r>
          </w:p>
        </w:tc>
        <w:tc>
          <w:tcPr>
            <w:tcW w:w="2321" w:type="dxa"/>
          </w:tcPr>
          <w:p>
            <w:pPr>
              <w:pStyle w:val="TableParagraph"/>
              <w:spacing w:line="240" w:lineRule="auto" w:before="95"/>
              <w:ind w:left="301"/>
              <w:jc w:val="left"/>
              <w:rPr>
                <w:sz w:val="24"/>
              </w:rPr>
            </w:pPr>
            <w:r>
              <w:rPr>
                <w:spacing w:val="-5"/>
                <w:sz w:val="24"/>
              </w:rPr>
              <w:t>65</w:t>
            </w:r>
          </w:p>
        </w:tc>
        <w:tc>
          <w:tcPr>
            <w:tcW w:w="2100" w:type="dxa"/>
          </w:tcPr>
          <w:p>
            <w:pPr>
              <w:pStyle w:val="TableParagraph"/>
              <w:spacing w:line="240" w:lineRule="auto" w:before="95"/>
              <w:ind w:left="414"/>
              <w:jc w:val="left"/>
              <w:rPr>
                <w:sz w:val="24"/>
              </w:rPr>
            </w:pPr>
            <w:r>
              <w:rPr>
                <w:sz w:val="24"/>
              </w:rPr>
              <w:t>1 </w:t>
            </w:r>
            <w:r>
              <w:rPr>
                <w:spacing w:val="-2"/>
                <w:sz w:val="24"/>
              </w:rPr>
              <w:t>minute</w:t>
            </w:r>
          </w:p>
        </w:tc>
        <w:tc>
          <w:tcPr>
            <w:tcW w:w="2822" w:type="dxa"/>
          </w:tcPr>
          <w:p>
            <w:pPr>
              <w:pStyle w:val="TableParagraph"/>
              <w:spacing w:line="240" w:lineRule="auto" w:before="95"/>
              <w:ind w:left="745"/>
              <w:jc w:val="left"/>
              <w:rPr>
                <w:sz w:val="24"/>
              </w:rPr>
            </w:pPr>
            <w:r>
              <w:rPr>
                <w:spacing w:val="-10"/>
                <w:sz w:val="24"/>
              </w:rPr>
              <w:t>1</w:t>
            </w:r>
          </w:p>
        </w:tc>
      </w:tr>
      <w:tr>
        <w:trPr>
          <w:trHeight w:val="655" w:hRule="atLeast"/>
        </w:trPr>
        <w:tc>
          <w:tcPr>
            <w:tcW w:w="2272" w:type="dxa"/>
          </w:tcPr>
          <w:p>
            <w:pPr>
              <w:pStyle w:val="TableParagraph"/>
              <w:spacing w:line="240" w:lineRule="auto" w:before="127"/>
              <w:ind w:left="141"/>
              <w:jc w:val="left"/>
              <w:rPr>
                <w:sz w:val="24"/>
              </w:rPr>
            </w:pPr>
            <w:r>
              <w:rPr>
                <w:sz w:val="24"/>
              </w:rPr>
              <w:t>Final</w:t>
            </w:r>
            <w:r>
              <w:rPr>
                <w:spacing w:val="-2"/>
                <w:sz w:val="24"/>
              </w:rPr>
              <w:t> extension</w:t>
            </w:r>
          </w:p>
        </w:tc>
        <w:tc>
          <w:tcPr>
            <w:tcW w:w="2321" w:type="dxa"/>
          </w:tcPr>
          <w:p>
            <w:pPr>
              <w:pStyle w:val="TableParagraph"/>
              <w:spacing w:line="240" w:lineRule="auto" w:before="127"/>
              <w:ind w:left="301"/>
              <w:jc w:val="left"/>
              <w:rPr>
                <w:sz w:val="24"/>
              </w:rPr>
            </w:pPr>
            <w:r>
              <w:rPr>
                <w:spacing w:val="-5"/>
                <w:sz w:val="24"/>
              </w:rPr>
              <w:t>65</w:t>
            </w:r>
          </w:p>
        </w:tc>
        <w:tc>
          <w:tcPr>
            <w:tcW w:w="2100" w:type="dxa"/>
          </w:tcPr>
          <w:p>
            <w:pPr>
              <w:pStyle w:val="TableParagraph"/>
              <w:spacing w:line="240" w:lineRule="auto" w:before="127"/>
              <w:ind w:left="414"/>
              <w:jc w:val="left"/>
              <w:rPr>
                <w:sz w:val="24"/>
              </w:rPr>
            </w:pPr>
            <w:r>
              <w:rPr>
                <w:spacing w:val="-2"/>
                <w:sz w:val="24"/>
              </w:rPr>
              <w:t>2mins</w:t>
            </w:r>
          </w:p>
        </w:tc>
        <w:tc>
          <w:tcPr>
            <w:tcW w:w="2822" w:type="dxa"/>
          </w:tcPr>
          <w:p>
            <w:pPr>
              <w:pStyle w:val="TableParagraph"/>
              <w:spacing w:line="240" w:lineRule="auto" w:before="127"/>
              <w:ind w:left="745"/>
              <w:jc w:val="left"/>
              <w:rPr>
                <w:sz w:val="24"/>
              </w:rPr>
            </w:pPr>
            <w:r>
              <w:rPr>
                <w:spacing w:val="-10"/>
                <w:sz w:val="24"/>
              </w:rPr>
              <w:t>1</w:t>
            </w:r>
          </w:p>
        </w:tc>
      </w:tr>
      <w:tr>
        <w:trPr>
          <w:trHeight w:val="537" w:hRule="atLeast"/>
        </w:trPr>
        <w:tc>
          <w:tcPr>
            <w:tcW w:w="2272" w:type="dxa"/>
            <w:tcBorders>
              <w:bottom w:val="single" w:sz="6" w:space="0" w:color="000000"/>
            </w:tcBorders>
          </w:tcPr>
          <w:p>
            <w:pPr>
              <w:pStyle w:val="TableParagraph"/>
              <w:spacing w:line="272" w:lineRule="exact" w:before="245"/>
              <w:ind w:left="141"/>
              <w:jc w:val="left"/>
              <w:rPr>
                <w:sz w:val="24"/>
              </w:rPr>
            </w:pPr>
            <w:r>
              <w:rPr>
                <w:sz w:val="24"/>
              </w:rPr>
              <w:t>Final</w:t>
            </w:r>
            <w:r>
              <w:rPr>
                <w:spacing w:val="-2"/>
                <w:sz w:val="24"/>
              </w:rPr>
              <w:t> </w:t>
            </w:r>
            <w:r>
              <w:rPr>
                <w:spacing w:val="-4"/>
                <w:sz w:val="24"/>
              </w:rPr>
              <w:t>hold</w:t>
            </w:r>
          </w:p>
        </w:tc>
        <w:tc>
          <w:tcPr>
            <w:tcW w:w="2321" w:type="dxa"/>
            <w:tcBorders>
              <w:bottom w:val="single" w:sz="6" w:space="0" w:color="000000"/>
            </w:tcBorders>
          </w:tcPr>
          <w:p>
            <w:pPr>
              <w:pStyle w:val="TableParagraph"/>
              <w:spacing w:line="272" w:lineRule="exact" w:before="245"/>
              <w:ind w:left="301"/>
              <w:jc w:val="left"/>
              <w:rPr>
                <w:sz w:val="24"/>
              </w:rPr>
            </w:pPr>
            <w:r>
              <w:rPr>
                <w:spacing w:val="-10"/>
                <w:sz w:val="24"/>
              </w:rPr>
              <w:t>4</w:t>
            </w:r>
          </w:p>
        </w:tc>
        <w:tc>
          <w:tcPr>
            <w:tcW w:w="4922" w:type="dxa"/>
            <w:gridSpan w:val="2"/>
            <w:tcBorders>
              <w:bottom w:val="single" w:sz="6" w:space="0" w:color="000000"/>
            </w:tcBorders>
          </w:tcPr>
          <w:p>
            <w:pPr>
              <w:pStyle w:val="TableParagraph"/>
              <w:spacing w:line="275" w:lineRule="exact" w:before="242"/>
              <w:ind w:left="414"/>
              <w:jc w:val="left"/>
              <w:rPr>
                <w:sz w:val="24"/>
              </w:rPr>
            </w:pPr>
            <w:r>
              <w:rPr>
                <w:sz w:val="24"/>
              </w:rPr>
              <w:t>Total</w:t>
            </w:r>
            <w:r>
              <w:rPr>
                <w:spacing w:val="-1"/>
                <w:sz w:val="24"/>
              </w:rPr>
              <w:t> </w:t>
            </w:r>
            <w:r>
              <w:rPr>
                <w:sz w:val="24"/>
              </w:rPr>
              <w:t>time</w:t>
            </w:r>
            <w:r>
              <w:rPr>
                <w:spacing w:val="-1"/>
                <w:sz w:val="24"/>
              </w:rPr>
              <w:t> </w:t>
            </w:r>
            <w:r>
              <w:rPr>
                <w:sz w:val="24"/>
              </w:rPr>
              <w:t>is 6mins, 25 </w:t>
            </w:r>
            <w:r>
              <w:rPr>
                <w:spacing w:val="-4"/>
                <w:sz w:val="24"/>
              </w:rPr>
              <w:t>sec.</w:t>
            </w:r>
          </w:p>
        </w:tc>
      </w:tr>
    </w:tbl>
    <w:p>
      <w:pPr>
        <w:spacing w:after="0" w:line="275" w:lineRule="exact"/>
        <w:jc w:val="left"/>
        <w:rPr>
          <w:sz w:val="24"/>
        </w:rPr>
        <w:sectPr>
          <w:pgSz w:w="11910" w:h="16840"/>
          <w:pgMar w:header="0" w:footer="1254" w:top="1340" w:bottom="1440" w:left="1180" w:right="580"/>
        </w:sectPr>
      </w:pPr>
    </w:p>
    <w:p>
      <w:pPr>
        <w:pStyle w:val="Heading1"/>
        <w:ind w:left="1391" w:right="1989"/>
      </w:pPr>
      <w:bookmarkStart w:name="_TOC_250012" w:id="36"/>
      <w:r>
        <w:rPr/>
        <w:t>CHAPTER</w:t>
      </w:r>
      <w:r>
        <w:rPr>
          <w:spacing w:val="-5"/>
        </w:rPr>
        <w:t> </w:t>
      </w:r>
      <w:bookmarkEnd w:id="36"/>
      <w:r>
        <w:rPr>
          <w:spacing w:val="-4"/>
        </w:rPr>
        <w:t>FOUR</w:t>
      </w:r>
    </w:p>
    <w:p>
      <w:pPr>
        <w:pStyle w:val="BodyText"/>
        <w:rPr>
          <w:b/>
        </w:rPr>
      </w:pPr>
    </w:p>
    <w:p>
      <w:pPr>
        <w:pStyle w:val="Heading1"/>
        <w:numPr>
          <w:ilvl w:val="1"/>
          <w:numId w:val="15"/>
        </w:numPr>
        <w:tabs>
          <w:tab w:pos="620" w:val="left" w:leader="none"/>
        </w:tabs>
        <w:spacing w:line="240" w:lineRule="auto" w:before="0" w:after="0"/>
        <w:ind w:left="620" w:right="0" w:hanging="360"/>
        <w:jc w:val="both"/>
      </w:pPr>
      <w:bookmarkStart w:name="_TOC_250011" w:id="37"/>
      <w:bookmarkEnd w:id="37"/>
      <w:r>
        <w:rPr>
          <w:spacing w:val="-2"/>
        </w:rPr>
        <w:t>RESULTS</w:t>
      </w:r>
    </w:p>
    <w:p>
      <w:pPr>
        <w:pStyle w:val="BodyText"/>
        <w:rPr>
          <w:b/>
        </w:rPr>
      </w:pPr>
    </w:p>
    <w:p>
      <w:pPr>
        <w:pStyle w:val="Heading2"/>
        <w:numPr>
          <w:ilvl w:val="1"/>
          <w:numId w:val="15"/>
        </w:numPr>
        <w:tabs>
          <w:tab w:pos="620" w:val="left" w:leader="none"/>
        </w:tabs>
        <w:spacing w:line="240" w:lineRule="auto" w:before="1" w:after="0"/>
        <w:ind w:left="620" w:right="0" w:hanging="360"/>
        <w:jc w:val="both"/>
      </w:pPr>
      <w:bookmarkStart w:name="_TOC_250010" w:id="38"/>
      <w:r>
        <w:rPr/>
        <w:t>Survey</w:t>
      </w:r>
      <w:r>
        <w:rPr>
          <w:spacing w:val="-1"/>
        </w:rPr>
        <w:t> </w:t>
      </w:r>
      <w:r>
        <w:rPr/>
        <w:t>of Malaria</w:t>
      </w:r>
      <w:r>
        <w:rPr>
          <w:spacing w:val="-1"/>
        </w:rPr>
        <w:t> </w:t>
      </w:r>
      <w:r>
        <w:rPr/>
        <w:t>Prevalence</w:t>
      </w:r>
      <w:r>
        <w:rPr>
          <w:spacing w:val="-3"/>
        </w:rPr>
        <w:t> </w:t>
      </w:r>
      <w:r>
        <w:rPr/>
        <w:t>in</w:t>
      </w:r>
      <w:r>
        <w:rPr>
          <w:spacing w:val="1"/>
        </w:rPr>
        <w:t> </w:t>
      </w:r>
      <w:r>
        <w:rPr/>
        <w:t>Sabon-</w:t>
      </w:r>
      <w:bookmarkEnd w:id="38"/>
      <w:r>
        <w:rPr>
          <w:spacing w:val="-4"/>
        </w:rPr>
        <w:t>Wuse</w:t>
      </w:r>
    </w:p>
    <w:p>
      <w:pPr>
        <w:pStyle w:val="Heading2"/>
        <w:numPr>
          <w:ilvl w:val="2"/>
          <w:numId w:val="15"/>
        </w:numPr>
        <w:tabs>
          <w:tab w:pos="800" w:val="left" w:leader="none"/>
        </w:tabs>
        <w:spacing w:line="240" w:lineRule="auto" w:before="276" w:after="0"/>
        <w:ind w:left="800" w:right="0" w:hanging="540"/>
        <w:jc w:val="both"/>
      </w:pPr>
      <w:bookmarkStart w:name="_TOC_250009" w:id="39"/>
      <w:r>
        <w:rPr/>
        <w:t>Prevalence</w:t>
      </w:r>
      <w:r>
        <w:rPr>
          <w:spacing w:val="-4"/>
        </w:rPr>
        <w:t> </w:t>
      </w:r>
      <w:r>
        <w:rPr/>
        <w:t>of</w:t>
      </w:r>
      <w:r>
        <w:rPr>
          <w:spacing w:val="2"/>
        </w:rPr>
        <w:t> </w:t>
      </w:r>
      <w:bookmarkEnd w:id="39"/>
      <w:r>
        <w:rPr>
          <w:spacing w:val="-2"/>
        </w:rPr>
        <w:t>malaria</w:t>
      </w:r>
    </w:p>
    <w:p>
      <w:pPr>
        <w:pStyle w:val="BodyText"/>
        <w:spacing w:line="480" w:lineRule="auto" w:before="271"/>
        <w:ind w:left="260" w:right="854"/>
        <w:jc w:val="both"/>
      </w:pPr>
      <w:r>
        <w:rPr/>
        <w:t>The total number of reported malaria cases in UMYMH, Sabon-Wuse, Nigeria was 3,350 in 2011 with an average of 275 per month. In 2012, the total number of reported cases of</w:t>
      </w:r>
      <w:r>
        <w:rPr>
          <w:spacing w:val="40"/>
        </w:rPr>
        <w:t> </w:t>
      </w:r>
      <w:r>
        <w:rPr/>
        <w:t>malaria</w:t>
      </w:r>
      <w:r>
        <w:rPr>
          <w:spacing w:val="-4"/>
        </w:rPr>
        <w:t> </w:t>
      </w:r>
      <w:r>
        <w:rPr/>
        <w:t>in</w:t>
      </w:r>
      <w:r>
        <w:rPr>
          <w:spacing w:val="-2"/>
        </w:rPr>
        <w:t> </w:t>
      </w:r>
      <w:r>
        <w:rPr/>
        <w:t>UMYMH,</w:t>
      </w:r>
      <w:r>
        <w:rPr>
          <w:spacing w:val="-2"/>
        </w:rPr>
        <w:t> </w:t>
      </w:r>
      <w:r>
        <w:rPr/>
        <w:t>Sabon-Wuse</w:t>
      </w:r>
      <w:r>
        <w:rPr>
          <w:spacing w:val="-2"/>
        </w:rPr>
        <w:t> </w:t>
      </w:r>
      <w:r>
        <w:rPr/>
        <w:t>was</w:t>
      </w:r>
      <w:r>
        <w:rPr>
          <w:spacing w:val="-2"/>
        </w:rPr>
        <w:t> </w:t>
      </w:r>
      <w:r>
        <w:rPr/>
        <w:t>3,837 with</w:t>
      </w:r>
      <w:r>
        <w:rPr>
          <w:spacing w:val="-2"/>
        </w:rPr>
        <w:t> </w:t>
      </w:r>
      <w:r>
        <w:rPr/>
        <w:t>an</w:t>
      </w:r>
      <w:r>
        <w:rPr>
          <w:spacing w:val="-2"/>
        </w:rPr>
        <w:t> </w:t>
      </w:r>
      <w:r>
        <w:rPr/>
        <w:t>average</w:t>
      </w:r>
      <w:r>
        <w:rPr>
          <w:spacing w:val="-3"/>
        </w:rPr>
        <w:t> </w:t>
      </w:r>
      <w:r>
        <w:rPr/>
        <w:t>of</w:t>
      </w:r>
      <w:r>
        <w:rPr>
          <w:spacing w:val="-2"/>
        </w:rPr>
        <w:t> </w:t>
      </w:r>
      <w:r>
        <w:rPr/>
        <w:t>319 cases per</w:t>
      </w:r>
      <w:r>
        <w:rPr>
          <w:spacing w:val="-2"/>
        </w:rPr>
        <w:t> </w:t>
      </w:r>
      <w:r>
        <w:rPr/>
        <w:t>month.</w:t>
      </w:r>
      <w:r>
        <w:rPr>
          <w:spacing w:val="-2"/>
        </w:rPr>
        <w:t> </w:t>
      </w:r>
      <w:r>
        <w:rPr/>
        <w:t>Sabon- Wuse has one secondary hospital. The monthly</w:t>
      </w:r>
      <w:r>
        <w:rPr>
          <w:spacing w:val="-3"/>
        </w:rPr>
        <w:t> </w:t>
      </w:r>
      <w:r>
        <w:rPr/>
        <w:t>distribution of the reported cases is presented in Fig. 4.1. The reported malaria cases in UMYMH, Sabon-Wuse increased from 3,350 cases in 2011 to 3,837 cases in 2012. That is, the rate of increase of reported malaria cases is</w:t>
      </w:r>
      <w:r>
        <w:rPr>
          <w:spacing w:val="40"/>
        </w:rPr>
        <w:t> </w:t>
      </w:r>
      <w:r>
        <w:rPr/>
        <w:t>14.5%.</w:t>
      </w:r>
      <w:r>
        <w:rPr>
          <w:spacing w:val="-1"/>
        </w:rPr>
        <w:t> </w:t>
      </w:r>
      <w:r>
        <w:rPr/>
        <w:t>The</w:t>
      </w:r>
      <w:r>
        <w:rPr>
          <w:spacing w:val="-3"/>
        </w:rPr>
        <w:t> </w:t>
      </w:r>
      <w:r>
        <w:rPr/>
        <w:t>rate</w:t>
      </w:r>
      <w:r>
        <w:rPr>
          <w:spacing w:val="-2"/>
        </w:rPr>
        <w:t> </w:t>
      </w:r>
      <w:r>
        <w:rPr/>
        <w:t>of</w:t>
      </w:r>
      <w:r>
        <w:rPr>
          <w:spacing w:val="-1"/>
        </w:rPr>
        <w:t> </w:t>
      </w:r>
      <w:r>
        <w:rPr/>
        <w:t>increase</w:t>
      </w:r>
      <w:r>
        <w:rPr>
          <w:spacing w:val="-2"/>
        </w:rPr>
        <w:t> </w:t>
      </w:r>
      <w:r>
        <w:rPr/>
        <w:t>of</w:t>
      </w:r>
      <w:r>
        <w:rPr>
          <w:spacing w:val="-2"/>
        </w:rPr>
        <w:t> </w:t>
      </w:r>
      <w:r>
        <w:rPr/>
        <w:t>reported</w:t>
      </w:r>
      <w:r>
        <w:rPr>
          <w:spacing w:val="-1"/>
        </w:rPr>
        <w:t> </w:t>
      </w:r>
      <w:r>
        <w:rPr/>
        <w:t>malaria</w:t>
      </w:r>
      <w:r>
        <w:rPr>
          <w:spacing w:val="-3"/>
        </w:rPr>
        <w:t> </w:t>
      </w:r>
      <w:r>
        <w:rPr/>
        <w:t>cases</w:t>
      </w:r>
      <w:r>
        <w:rPr>
          <w:spacing w:val="-1"/>
        </w:rPr>
        <w:t> </w:t>
      </w:r>
      <w:r>
        <w:rPr/>
        <w:t>in</w:t>
      </w:r>
      <w:r>
        <w:rPr>
          <w:spacing w:val="-1"/>
        </w:rPr>
        <w:t> </w:t>
      </w:r>
      <w:r>
        <w:rPr/>
        <w:t>UMYMH,</w:t>
      </w:r>
      <w:r>
        <w:rPr>
          <w:spacing w:val="-2"/>
        </w:rPr>
        <w:t> </w:t>
      </w:r>
      <w:r>
        <w:rPr/>
        <w:t>Sabon-Wuse</w:t>
      </w:r>
      <w:r>
        <w:rPr>
          <w:spacing w:val="-2"/>
        </w:rPr>
        <w:t> </w:t>
      </w:r>
      <w:r>
        <w:rPr/>
        <w:t>exceeded</w:t>
      </w:r>
      <w:r>
        <w:rPr>
          <w:spacing w:val="-1"/>
        </w:rPr>
        <w:t> </w:t>
      </w:r>
      <w:r>
        <w:rPr/>
        <w:t>the population growth rate reported to be between 1.93% and 2.67% in Nigeria (CIA World Factbook, 2015).</w:t>
      </w:r>
    </w:p>
    <w:p>
      <w:pPr>
        <w:pStyle w:val="BodyText"/>
        <w:spacing w:before="138"/>
      </w:pPr>
    </w:p>
    <w:p>
      <w:pPr>
        <w:pStyle w:val="BodyText"/>
        <w:spacing w:line="480" w:lineRule="auto"/>
        <w:ind w:left="260" w:right="858"/>
        <w:jc w:val="both"/>
      </w:pPr>
      <w:r>
        <w:rPr/>
        <w:t>The number of reported cases of malaria per month in 2011 significantly differs (95% C.I.) from the monthly average (275 cases per month) in February, March, May, June, August and October.</w:t>
      </w:r>
      <w:r>
        <w:rPr>
          <w:spacing w:val="-3"/>
        </w:rPr>
        <w:t> </w:t>
      </w:r>
      <w:r>
        <w:rPr/>
        <w:t>While</w:t>
      </w:r>
      <w:r>
        <w:rPr>
          <w:spacing w:val="-4"/>
        </w:rPr>
        <w:t> </w:t>
      </w:r>
      <w:r>
        <w:rPr/>
        <w:t>the</w:t>
      </w:r>
      <w:r>
        <w:rPr>
          <w:spacing w:val="-2"/>
        </w:rPr>
        <w:t> </w:t>
      </w:r>
      <w:r>
        <w:rPr/>
        <w:t>reported</w:t>
      </w:r>
      <w:r>
        <w:rPr>
          <w:spacing w:val="-3"/>
        </w:rPr>
        <w:t> </w:t>
      </w:r>
      <w:r>
        <w:rPr/>
        <w:t>cases</w:t>
      </w:r>
      <w:r>
        <w:rPr>
          <w:spacing w:val="-3"/>
        </w:rPr>
        <w:t> </w:t>
      </w:r>
      <w:r>
        <w:rPr/>
        <w:t>in</w:t>
      </w:r>
      <w:r>
        <w:rPr>
          <w:spacing w:val="-1"/>
        </w:rPr>
        <w:t> </w:t>
      </w:r>
      <w:r>
        <w:rPr/>
        <w:t>February,</w:t>
      </w:r>
      <w:r>
        <w:rPr>
          <w:spacing w:val="-3"/>
        </w:rPr>
        <w:t> </w:t>
      </w:r>
      <w:r>
        <w:rPr/>
        <w:t>March,</w:t>
      </w:r>
      <w:r>
        <w:rPr>
          <w:spacing w:val="-1"/>
        </w:rPr>
        <w:t> </w:t>
      </w:r>
      <w:r>
        <w:rPr/>
        <w:t>August</w:t>
      </w:r>
      <w:r>
        <w:rPr>
          <w:spacing w:val="-3"/>
        </w:rPr>
        <w:t> </w:t>
      </w:r>
      <w:r>
        <w:rPr/>
        <w:t>and</w:t>
      </w:r>
      <w:r>
        <w:rPr>
          <w:spacing w:val="-2"/>
        </w:rPr>
        <w:t> </w:t>
      </w:r>
      <w:r>
        <w:rPr/>
        <w:t>October</w:t>
      </w:r>
      <w:r>
        <w:rPr>
          <w:spacing w:val="-3"/>
        </w:rPr>
        <w:t> </w:t>
      </w:r>
      <w:r>
        <w:rPr/>
        <w:t>are</w:t>
      </w:r>
      <w:r>
        <w:rPr>
          <w:spacing w:val="-4"/>
        </w:rPr>
        <w:t> </w:t>
      </w:r>
      <w:r>
        <w:rPr/>
        <w:t>lower</w:t>
      </w:r>
      <w:r>
        <w:rPr>
          <w:spacing w:val="-3"/>
        </w:rPr>
        <w:t> </w:t>
      </w:r>
      <w:r>
        <w:rPr/>
        <w:t>than</w:t>
      </w:r>
      <w:r>
        <w:rPr>
          <w:spacing w:val="-1"/>
        </w:rPr>
        <w:t> </w:t>
      </w:r>
      <w:r>
        <w:rPr/>
        <w:t>the monthly</w:t>
      </w:r>
      <w:r>
        <w:rPr>
          <w:spacing w:val="-8"/>
        </w:rPr>
        <w:t> </w:t>
      </w:r>
      <w:r>
        <w:rPr/>
        <w:t>average,</w:t>
      </w:r>
      <w:r>
        <w:rPr>
          <w:spacing w:val="-2"/>
        </w:rPr>
        <w:t> </w:t>
      </w:r>
      <w:r>
        <w:rPr/>
        <w:t>the</w:t>
      </w:r>
      <w:r>
        <w:rPr>
          <w:spacing w:val="-3"/>
        </w:rPr>
        <w:t> </w:t>
      </w:r>
      <w:r>
        <w:rPr/>
        <w:t>reported</w:t>
      </w:r>
      <w:r>
        <w:rPr>
          <w:spacing w:val="-2"/>
        </w:rPr>
        <w:t> </w:t>
      </w:r>
      <w:r>
        <w:rPr/>
        <w:t>cases</w:t>
      </w:r>
      <w:r>
        <w:rPr>
          <w:spacing w:val="-2"/>
        </w:rPr>
        <w:t> </w:t>
      </w:r>
      <w:r>
        <w:rPr/>
        <w:t>in</w:t>
      </w:r>
      <w:r>
        <w:rPr>
          <w:spacing w:val="-2"/>
        </w:rPr>
        <w:t> </w:t>
      </w:r>
      <w:r>
        <w:rPr/>
        <w:t>May</w:t>
      </w:r>
      <w:r>
        <w:rPr>
          <w:spacing w:val="-7"/>
        </w:rPr>
        <w:t> </w:t>
      </w:r>
      <w:r>
        <w:rPr/>
        <w:t>and</w:t>
      </w:r>
      <w:r>
        <w:rPr>
          <w:spacing w:val="-2"/>
        </w:rPr>
        <w:t> </w:t>
      </w:r>
      <w:r>
        <w:rPr/>
        <w:t>June</w:t>
      </w:r>
      <w:r>
        <w:rPr>
          <w:spacing w:val="-3"/>
        </w:rPr>
        <w:t> </w:t>
      </w:r>
      <w:r>
        <w:rPr/>
        <w:t>are</w:t>
      </w:r>
      <w:r>
        <w:rPr>
          <w:spacing w:val="-3"/>
        </w:rPr>
        <w:t> </w:t>
      </w:r>
      <w:r>
        <w:rPr/>
        <w:t>above</w:t>
      </w:r>
      <w:r>
        <w:rPr>
          <w:spacing w:val="-1"/>
        </w:rPr>
        <w:t> </w:t>
      </w:r>
      <w:r>
        <w:rPr/>
        <w:t>the</w:t>
      </w:r>
      <w:r>
        <w:rPr>
          <w:spacing w:val="-3"/>
        </w:rPr>
        <w:t> </w:t>
      </w:r>
      <w:r>
        <w:rPr/>
        <w:t>monthly</w:t>
      </w:r>
      <w:r>
        <w:rPr>
          <w:spacing w:val="-5"/>
        </w:rPr>
        <w:t> </w:t>
      </w:r>
      <w:r>
        <w:rPr/>
        <w:t>average. In</w:t>
      </w:r>
      <w:r>
        <w:rPr>
          <w:spacing w:val="-2"/>
        </w:rPr>
        <w:t> </w:t>
      </w:r>
      <w:r>
        <w:rPr/>
        <w:t>2012, the number of reported cases of malaria per month significantly differ (95% C.I.) from the monthly average (319 cases per month) in February, March, May, July, September, October and December. There was a significant increase in the number of reported cases in July and october, while there was a decrease in reported cases in February, March, May, September and December.</w:t>
      </w:r>
    </w:p>
    <w:p>
      <w:pPr>
        <w:spacing w:after="0" w:line="480" w:lineRule="auto"/>
        <w:jc w:val="both"/>
        <w:sectPr>
          <w:pgSz w:w="11910" w:h="16840"/>
          <w:pgMar w:header="0" w:footer="1254" w:top="1340" w:bottom="1440" w:left="1180" w:right="580"/>
        </w:sectPr>
      </w:pPr>
    </w:p>
    <w:p>
      <w:pPr>
        <w:pStyle w:val="BodyText"/>
        <w:spacing w:before="10"/>
        <w:rPr>
          <w:sz w:val="2"/>
        </w:rPr>
      </w:pPr>
    </w:p>
    <w:p>
      <w:pPr>
        <w:pStyle w:val="BodyText"/>
        <w:ind w:left="506"/>
        <w:rPr>
          <w:sz w:val="20"/>
        </w:rPr>
      </w:pPr>
      <w:r>
        <w:rPr>
          <w:sz w:val="20"/>
        </w:rPr>
        <w:drawing>
          <wp:inline distT="0" distB="0" distL="0" distR="0">
            <wp:extent cx="5366919" cy="3069526"/>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3" cstate="print"/>
                    <a:stretch>
                      <a:fillRect/>
                    </a:stretch>
                  </pic:blipFill>
                  <pic:spPr>
                    <a:xfrm>
                      <a:off x="0" y="0"/>
                      <a:ext cx="5366919" cy="3069526"/>
                    </a:xfrm>
                    <a:prstGeom prst="rect">
                      <a:avLst/>
                    </a:prstGeom>
                  </pic:spPr>
                </pic:pic>
              </a:graphicData>
            </a:graphic>
          </wp:inline>
        </w:drawing>
      </w:r>
      <w:r>
        <w:rPr>
          <w:sz w:val="20"/>
        </w:rPr>
      </w:r>
    </w:p>
    <w:p>
      <w:pPr>
        <w:pStyle w:val="BodyText"/>
        <w:spacing w:before="109"/>
      </w:pPr>
    </w:p>
    <w:p>
      <w:pPr>
        <w:pStyle w:val="Heading2"/>
        <w:spacing w:line="360" w:lineRule="auto"/>
        <w:ind w:right="855"/>
        <w:jc w:val="left"/>
      </w:pPr>
      <w:r>
        <w:rPr/>
        <w:t>Fig.</w:t>
      </w:r>
      <w:r>
        <w:rPr>
          <w:spacing w:val="-4"/>
        </w:rPr>
        <w:t> </w:t>
      </w:r>
      <w:r>
        <w:rPr/>
        <w:t>4.1:</w:t>
      </w:r>
      <w:r>
        <w:rPr>
          <w:spacing w:val="-3"/>
        </w:rPr>
        <w:t> </w:t>
      </w:r>
      <w:r>
        <w:rPr/>
        <w:t>Prevalence</w:t>
      </w:r>
      <w:r>
        <w:rPr>
          <w:spacing w:val="-4"/>
        </w:rPr>
        <w:t> </w:t>
      </w:r>
      <w:r>
        <w:rPr/>
        <w:t>of</w:t>
      </w:r>
      <w:r>
        <w:rPr>
          <w:spacing w:val="-3"/>
        </w:rPr>
        <w:t> </w:t>
      </w:r>
      <w:r>
        <w:rPr/>
        <w:t>reported</w:t>
      </w:r>
      <w:r>
        <w:rPr>
          <w:spacing w:val="-2"/>
        </w:rPr>
        <w:t> </w:t>
      </w:r>
      <w:r>
        <w:rPr/>
        <w:t>malaria</w:t>
      </w:r>
      <w:r>
        <w:rPr>
          <w:spacing w:val="-4"/>
        </w:rPr>
        <w:t> </w:t>
      </w:r>
      <w:r>
        <w:rPr/>
        <w:t>cases</w:t>
      </w:r>
      <w:r>
        <w:rPr>
          <w:spacing w:val="-4"/>
        </w:rPr>
        <w:t> </w:t>
      </w:r>
      <w:r>
        <w:rPr/>
        <w:t>in</w:t>
      </w:r>
      <w:r>
        <w:rPr>
          <w:spacing w:val="-3"/>
        </w:rPr>
        <w:t> </w:t>
      </w:r>
      <w:r>
        <w:rPr/>
        <w:t>UMYMH,</w:t>
      </w:r>
      <w:r>
        <w:rPr>
          <w:spacing w:val="-4"/>
        </w:rPr>
        <w:t> </w:t>
      </w:r>
      <w:r>
        <w:rPr/>
        <w:t>Sabon-Wuse</w:t>
      </w:r>
      <w:r>
        <w:rPr>
          <w:spacing w:val="-4"/>
        </w:rPr>
        <w:t> </w:t>
      </w:r>
      <w:r>
        <w:rPr/>
        <w:t>in</w:t>
      </w:r>
      <w:r>
        <w:rPr>
          <w:spacing w:val="-3"/>
        </w:rPr>
        <w:t> </w:t>
      </w:r>
      <w:r>
        <w:rPr/>
        <w:t>2011</w:t>
      </w:r>
      <w:r>
        <w:rPr>
          <w:spacing w:val="-4"/>
        </w:rPr>
        <w:t> </w:t>
      </w:r>
      <w:r>
        <w:rPr/>
        <w:t>and </w:t>
      </w:r>
      <w:r>
        <w:rPr>
          <w:spacing w:val="-4"/>
        </w:rPr>
        <w:t>2012</w:t>
      </w:r>
    </w:p>
    <w:p>
      <w:pPr>
        <w:spacing w:after="0" w:line="360" w:lineRule="auto"/>
        <w:jc w:val="left"/>
        <w:sectPr>
          <w:pgSz w:w="11910" w:h="16840"/>
          <w:pgMar w:header="0" w:footer="1254" w:top="1920" w:bottom="1440" w:left="1180" w:right="580"/>
        </w:sectPr>
      </w:pPr>
    </w:p>
    <w:p>
      <w:pPr>
        <w:pStyle w:val="Heading2"/>
        <w:numPr>
          <w:ilvl w:val="2"/>
          <w:numId w:val="15"/>
        </w:numPr>
        <w:tabs>
          <w:tab w:pos="800" w:val="left" w:leader="none"/>
        </w:tabs>
        <w:spacing w:line="240" w:lineRule="auto" w:before="78" w:after="0"/>
        <w:ind w:left="800" w:right="0" w:hanging="540"/>
        <w:jc w:val="both"/>
      </w:pPr>
      <w:bookmarkStart w:name="_TOC_250008" w:id="40"/>
      <w:r>
        <w:rPr/>
        <w:t>Drugs</w:t>
      </w:r>
      <w:bookmarkEnd w:id="40"/>
      <w:r>
        <w:rPr>
          <w:spacing w:val="-2"/>
        </w:rPr>
        <w:t> prescribed</w:t>
      </w:r>
    </w:p>
    <w:p>
      <w:pPr>
        <w:pStyle w:val="BodyText"/>
        <w:spacing w:line="480" w:lineRule="auto" w:before="272"/>
        <w:ind w:left="260" w:right="856"/>
        <w:jc w:val="both"/>
      </w:pPr>
      <w:r>
        <w:rPr/>
        <w:t>Figure 4.2 shows the different drugs prescribed for reported malaria cases in UMYMH, Sabon-Wuse, Niger State, Nigeria. The antimalarial drugs observed prescribed in this study were Chloroquine, Coartem (Artemether + lumefantrine), Paluther (Artemether</w:t>
      </w:r>
      <w:r>
        <w:rPr>
          <w:spacing w:val="40"/>
        </w:rPr>
        <w:t> </w:t>
      </w:r>
      <w:r>
        <w:rPr/>
        <w:t>injection), Fansidar (Sulphadozine/pyrimethemine), Artesunate and Quinine. The summary of drugs observed prescriibed is presented in Table 4.1. In 2011, a total of 1,243 (37.3%) of reported malaria patients were treated with Paluther, while in 2012 the number of reported malaria patients treated with Paluther was 1,444 (37.8%). The number of reported malaria cases treated with Coartem in 2012 was 564 (14.8%). The most observed prescribed antimalarial drug was Paluther, while the least observed prescribed antimalarial drug was Chloroquine. These results show that malaria incidence is increasing in this region and ACT antimalarial drugs were observed to be commonly prescribed.</w:t>
      </w:r>
    </w:p>
    <w:p>
      <w:pPr>
        <w:spacing w:after="0" w:line="480" w:lineRule="auto"/>
        <w:jc w:val="both"/>
        <w:sectPr>
          <w:pgSz w:w="11910" w:h="16840"/>
          <w:pgMar w:header="0" w:footer="1254" w:top="1340" w:bottom="1440" w:left="1180" w:right="580"/>
        </w:sectPr>
      </w:pPr>
    </w:p>
    <w:p>
      <w:pPr>
        <w:pStyle w:val="BodyText"/>
        <w:ind w:left="469"/>
        <w:rPr>
          <w:sz w:val="20"/>
        </w:rPr>
      </w:pPr>
      <w:r>
        <w:rPr>
          <w:sz w:val="20"/>
        </w:rPr>
        <w:drawing>
          <wp:inline distT="0" distB="0" distL="0" distR="0">
            <wp:extent cx="4937944" cy="2607563"/>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24" cstate="print"/>
                    <a:stretch>
                      <a:fillRect/>
                    </a:stretch>
                  </pic:blipFill>
                  <pic:spPr>
                    <a:xfrm>
                      <a:off x="0" y="0"/>
                      <a:ext cx="4937944" cy="2607563"/>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73"/>
        <w:rPr>
          <w:sz w:val="20"/>
        </w:rPr>
      </w:pPr>
      <w:r>
        <w:rPr/>
        <w:drawing>
          <wp:anchor distT="0" distB="0" distL="0" distR="0" allowOverlap="1" layoutInCell="1" locked="0" behindDoc="1" simplePos="0" relativeHeight="487595008">
            <wp:simplePos x="0" y="0"/>
            <wp:positionH relativeFrom="page">
              <wp:posOffset>1003437</wp:posOffset>
            </wp:positionH>
            <wp:positionV relativeFrom="paragraph">
              <wp:posOffset>207656</wp:posOffset>
            </wp:positionV>
            <wp:extent cx="4980713" cy="2830639"/>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5" cstate="print"/>
                    <a:stretch>
                      <a:fillRect/>
                    </a:stretch>
                  </pic:blipFill>
                  <pic:spPr>
                    <a:xfrm>
                      <a:off x="0" y="0"/>
                      <a:ext cx="4980713" cy="2830639"/>
                    </a:xfrm>
                    <a:prstGeom prst="rect">
                      <a:avLst/>
                    </a:prstGeom>
                  </pic:spPr>
                </pic:pic>
              </a:graphicData>
            </a:graphic>
          </wp:anchor>
        </w:drawing>
      </w:r>
    </w:p>
    <w:p>
      <w:pPr>
        <w:pStyle w:val="Heading2"/>
        <w:spacing w:before="226"/>
        <w:jc w:val="left"/>
      </w:pPr>
      <w:r>
        <w:rPr/>
        <w:t>Fig.4.2:</w:t>
      </w:r>
      <w:r>
        <w:rPr>
          <w:spacing w:val="-3"/>
        </w:rPr>
        <w:t> </w:t>
      </w:r>
      <w:r>
        <w:rPr/>
        <w:t>Antimalarial</w:t>
      </w:r>
      <w:r>
        <w:rPr>
          <w:spacing w:val="-3"/>
        </w:rPr>
        <w:t> </w:t>
      </w:r>
      <w:r>
        <w:rPr/>
        <w:t>Drugs</w:t>
      </w:r>
      <w:r>
        <w:rPr>
          <w:spacing w:val="-3"/>
        </w:rPr>
        <w:t> </w:t>
      </w:r>
      <w:r>
        <w:rPr/>
        <w:t>prescribed</w:t>
      </w:r>
      <w:r>
        <w:rPr>
          <w:spacing w:val="-3"/>
        </w:rPr>
        <w:t> </w:t>
      </w:r>
      <w:r>
        <w:rPr/>
        <w:t>in</w:t>
      </w:r>
      <w:r>
        <w:rPr>
          <w:spacing w:val="1"/>
        </w:rPr>
        <w:t> </w:t>
      </w:r>
      <w:r>
        <w:rPr/>
        <w:t>UMYMH,</w:t>
      </w:r>
      <w:r>
        <w:rPr>
          <w:spacing w:val="-2"/>
        </w:rPr>
        <w:t> </w:t>
      </w:r>
      <w:r>
        <w:rPr/>
        <w:t>Sabon-</w:t>
      </w:r>
      <w:r>
        <w:rPr>
          <w:spacing w:val="-4"/>
        </w:rPr>
        <w:t>Wuse</w:t>
      </w:r>
    </w:p>
    <w:p>
      <w:pPr>
        <w:spacing w:after="0"/>
        <w:jc w:val="left"/>
        <w:sectPr>
          <w:pgSz w:w="11910" w:h="16840"/>
          <w:pgMar w:header="0" w:footer="1254" w:top="1920" w:bottom="1440" w:left="1180" w:right="580"/>
        </w:sectPr>
      </w:pPr>
    </w:p>
    <w:p>
      <w:pPr>
        <w:spacing w:line="360" w:lineRule="auto" w:before="74"/>
        <w:ind w:left="260" w:right="855" w:firstLine="0"/>
        <w:jc w:val="left"/>
        <w:rPr>
          <w:b/>
          <w:sz w:val="24"/>
        </w:rPr>
      </w:pPr>
      <w:r>
        <w:rPr>
          <w:b/>
          <w:sz w:val="24"/>
        </w:rPr>
        <w:t>Table</w:t>
      </w:r>
      <w:r>
        <w:rPr>
          <w:b/>
          <w:spacing w:val="-5"/>
          <w:sz w:val="24"/>
        </w:rPr>
        <w:t> </w:t>
      </w:r>
      <w:r>
        <w:rPr>
          <w:b/>
          <w:sz w:val="24"/>
        </w:rPr>
        <w:t>4.1:</w:t>
      </w:r>
      <w:r>
        <w:rPr>
          <w:b/>
          <w:spacing w:val="-5"/>
          <w:sz w:val="24"/>
        </w:rPr>
        <w:t> </w:t>
      </w:r>
      <w:r>
        <w:rPr>
          <w:b/>
          <w:sz w:val="24"/>
        </w:rPr>
        <w:t>Summary</w:t>
      </w:r>
      <w:r>
        <w:rPr>
          <w:b/>
          <w:spacing w:val="-4"/>
          <w:sz w:val="24"/>
        </w:rPr>
        <w:t> </w:t>
      </w:r>
      <w:r>
        <w:rPr>
          <w:b/>
          <w:sz w:val="24"/>
        </w:rPr>
        <w:t>of</w:t>
      </w:r>
      <w:r>
        <w:rPr>
          <w:b/>
          <w:spacing w:val="-2"/>
          <w:sz w:val="24"/>
        </w:rPr>
        <w:t> </w:t>
      </w:r>
      <w:r>
        <w:rPr>
          <w:b/>
          <w:sz w:val="24"/>
        </w:rPr>
        <w:t>Patients</w:t>
      </w:r>
      <w:r>
        <w:rPr>
          <w:b/>
          <w:spacing w:val="-3"/>
          <w:sz w:val="24"/>
        </w:rPr>
        <w:t> </w:t>
      </w:r>
      <w:r>
        <w:rPr>
          <w:b/>
          <w:sz w:val="24"/>
        </w:rPr>
        <w:t>Profile</w:t>
      </w:r>
      <w:r>
        <w:rPr>
          <w:b/>
          <w:spacing w:val="-5"/>
          <w:sz w:val="24"/>
        </w:rPr>
        <w:t> </w:t>
      </w:r>
      <w:r>
        <w:rPr>
          <w:b/>
          <w:sz w:val="24"/>
        </w:rPr>
        <w:t>with</w:t>
      </w:r>
      <w:r>
        <w:rPr>
          <w:b/>
          <w:spacing w:val="-4"/>
          <w:sz w:val="24"/>
        </w:rPr>
        <w:t> </w:t>
      </w:r>
      <w:r>
        <w:rPr>
          <w:b/>
          <w:sz w:val="24"/>
        </w:rPr>
        <w:t>Antimalarial</w:t>
      </w:r>
      <w:r>
        <w:rPr>
          <w:b/>
          <w:spacing w:val="-2"/>
          <w:sz w:val="24"/>
        </w:rPr>
        <w:t> </w:t>
      </w:r>
      <w:r>
        <w:rPr>
          <w:b/>
          <w:sz w:val="24"/>
        </w:rPr>
        <w:t>Drugs</w:t>
      </w:r>
      <w:r>
        <w:rPr>
          <w:b/>
          <w:spacing w:val="-2"/>
          <w:sz w:val="24"/>
        </w:rPr>
        <w:t> </w:t>
      </w:r>
      <w:r>
        <w:rPr>
          <w:b/>
          <w:sz w:val="24"/>
        </w:rPr>
        <w:t>Prescription</w:t>
      </w:r>
      <w:r>
        <w:rPr>
          <w:b/>
          <w:spacing w:val="-2"/>
          <w:sz w:val="24"/>
        </w:rPr>
        <w:t> </w:t>
      </w:r>
      <w:r>
        <w:rPr>
          <w:b/>
          <w:sz w:val="24"/>
        </w:rPr>
        <w:t>in UMYMH, Sabon-Wuse, Niger State, Nigeria</w:t>
      </w:r>
    </w:p>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7"/>
        <w:gridCol w:w="615"/>
        <w:gridCol w:w="683"/>
        <w:gridCol w:w="780"/>
        <w:gridCol w:w="711"/>
        <w:gridCol w:w="787"/>
        <w:gridCol w:w="758"/>
        <w:gridCol w:w="772"/>
      </w:tblGrid>
      <w:tr>
        <w:trPr>
          <w:trHeight w:val="414" w:hRule="atLeast"/>
        </w:trPr>
        <w:tc>
          <w:tcPr>
            <w:tcW w:w="937" w:type="dxa"/>
            <w:tcBorders>
              <w:top w:val="single" w:sz="4" w:space="0" w:color="000000"/>
              <w:bottom w:val="single" w:sz="4" w:space="0" w:color="000000"/>
            </w:tcBorders>
          </w:tcPr>
          <w:p>
            <w:pPr>
              <w:pStyle w:val="TableParagraph"/>
              <w:spacing w:line="273" w:lineRule="exact" w:before="0"/>
              <w:ind w:left="51" w:right="1"/>
              <w:rPr>
                <w:sz w:val="24"/>
              </w:rPr>
            </w:pPr>
            <w:r>
              <w:rPr>
                <w:spacing w:val="-4"/>
                <w:sz w:val="24"/>
              </w:rPr>
              <w:t>Year</w:t>
            </w:r>
          </w:p>
        </w:tc>
        <w:tc>
          <w:tcPr>
            <w:tcW w:w="615" w:type="dxa"/>
            <w:tcBorders>
              <w:top w:val="single" w:sz="4" w:space="0" w:color="000000"/>
              <w:bottom w:val="single" w:sz="4" w:space="0" w:color="000000"/>
            </w:tcBorders>
          </w:tcPr>
          <w:p>
            <w:pPr>
              <w:pStyle w:val="TableParagraph"/>
              <w:spacing w:line="273" w:lineRule="exact" w:before="0"/>
              <w:ind w:left="31"/>
              <w:rPr>
                <w:sz w:val="24"/>
              </w:rPr>
            </w:pPr>
            <w:r>
              <w:rPr>
                <w:spacing w:val="-10"/>
                <w:sz w:val="24"/>
              </w:rPr>
              <w:t>A</w:t>
            </w:r>
          </w:p>
        </w:tc>
        <w:tc>
          <w:tcPr>
            <w:tcW w:w="683" w:type="dxa"/>
            <w:tcBorders>
              <w:top w:val="single" w:sz="4" w:space="0" w:color="000000"/>
              <w:bottom w:val="single" w:sz="4" w:space="0" w:color="000000"/>
            </w:tcBorders>
          </w:tcPr>
          <w:p>
            <w:pPr>
              <w:pStyle w:val="TableParagraph"/>
              <w:spacing w:line="273" w:lineRule="exact" w:before="0"/>
              <w:ind w:left="24" w:right="4"/>
              <w:rPr>
                <w:sz w:val="24"/>
              </w:rPr>
            </w:pPr>
            <w:r>
              <w:rPr>
                <w:spacing w:val="-10"/>
                <w:sz w:val="24"/>
              </w:rPr>
              <w:t>B</w:t>
            </w:r>
          </w:p>
        </w:tc>
        <w:tc>
          <w:tcPr>
            <w:tcW w:w="780" w:type="dxa"/>
            <w:tcBorders>
              <w:top w:val="single" w:sz="4" w:space="0" w:color="000000"/>
              <w:bottom w:val="single" w:sz="4" w:space="0" w:color="000000"/>
            </w:tcBorders>
          </w:tcPr>
          <w:p>
            <w:pPr>
              <w:pStyle w:val="TableParagraph"/>
              <w:spacing w:line="273" w:lineRule="exact" w:before="0"/>
              <w:ind w:left="2" w:right="2"/>
              <w:rPr>
                <w:sz w:val="24"/>
              </w:rPr>
            </w:pPr>
            <w:r>
              <w:rPr>
                <w:spacing w:val="-10"/>
                <w:sz w:val="24"/>
              </w:rPr>
              <w:t>C</w:t>
            </w:r>
          </w:p>
        </w:tc>
        <w:tc>
          <w:tcPr>
            <w:tcW w:w="711" w:type="dxa"/>
            <w:tcBorders>
              <w:top w:val="single" w:sz="4" w:space="0" w:color="000000"/>
              <w:bottom w:val="single" w:sz="4" w:space="0" w:color="000000"/>
            </w:tcBorders>
          </w:tcPr>
          <w:p>
            <w:pPr>
              <w:pStyle w:val="TableParagraph"/>
              <w:spacing w:line="273" w:lineRule="exact" w:before="0"/>
              <w:ind w:right="46"/>
              <w:rPr>
                <w:sz w:val="24"/>
              </w:rPr>
            </w:pPr>
            <w:r>
              <w:rPr>
                <w:spacing w:val="-10"/>
                <w:sz w:val="24"/>
              </w:rPr>
              <w:t>D</w:t>
            </w:r>
          </w:p>
        </w:tc>
        <w:tc>
          <w:tcPr>
            <w:tcW w:w="787" w:type="dxa"/>
            <w:tcBorders>
              <w:top w:val="single" w:sz="4" w:space="0" w:color="000000"/>
              <w:bottom w:val="single" w:sz="4" w:space="0" w:color="000000"/>
            </w:tcBorders>
          </w:tcPr>
          <w:p>
            <w:pPr>
              <w:pStyle w:val="TableParagraph"/>
              <w:spacing w:line="273" w:lineRule="exact" w:before="0"/>
              <w:ind w:left="3" w:right="18"/>
              <w:rPr>
                <w:sz w:val="24"/>
              </w:rPr>
            </w:pPr>
            <w:r>
              <w:rPr>
                <w:spacing w:val="-10"/>
                <w:sz w:val="24"/>
              </w:rPr>
              <w:t>E</w:t>
            </w:r>
          </w:p>
        </w:tc>
        <w:tc>
          <w:tcPr>
            <w:tcW w:w="758" w:type="dxa"/>
            <w:tcBorders>
              <w:top w:val="single" w:sz="4" w:space="0" w:color="000000"/>
              <w:bottom w:val="single" w:sz="4" w:space="0" w:color="000000"/>
            </w:tcBorders>
          </w:tcPr>
          <w:p>
            <w:pPr>
              <w:pStyle w:val="TableParagraph"/>
              <w:spacing w:line="273" w:lineRule="exact" w:before="0"/>
              <w:ind w:left="57" w:right="1"/>
              <w:rPr>
                <w:sz w:val="24"/>
              </w:rPr>
            </w:pPr>
            <w:r>
              <w:rPr>
                <w:spacing w:val="-10"/>
                <w:sz w:val="24"/>
              </w:rPr>
              <w:t>F</w:t>
            </w:r>
          </w:p>
        </w:tc>
        <w:tc>
          <w:tcPr>
            <w:tcW w:w="772" w:type="dxa"/>
            <w:tcBorders>
              <w:top w:val="single" w:sz="4" w:space="0" w:color="000000"/>
              <w:bottom w:val="single" w:sz="4" w:space="0" w:color="000000"/>
            </w:tcBorders>
          </w:tcPr>
          <w:p>
            <w:pPr>
              <w:pStyle w:val="TableParagraph"/>
              <w:spacing w:line="273" w:lineRule="exact" w:before="0"/>
              <w:ind w:left="59"/>
              <w:rPr>
                <w:sz w:val="24"/>
              </w:rPr>
            </w:pPr>
            <w:r>
              <w:rPr>
                <w:spacing w:val="-10"/>
                <w:sz w:val="24"/>
              </w:rPr>
              <w:t>G</w:t>
            </w:r>
          </w:p>
        </w:tc>
      </w:tr>
      <w:tr>
        <w:trPr>
          <w:trHeight w:val="551" w:hRule="atLeast"/>
        </w:trPr>
        <w:tc>
          <w:tcPr>
            <w:tcW w:w="937" w:type="dxa"/>
            <w:tcBorders>
              <w:top w:val="single" w:sz="4" w:space="0" w:color="000000"/>
            </w:tcBorders>
          </w:tcPr>
          <w:p>
            <w:pPr>
              <w:pStyle w:val="TableParagraph"/>
              <w:spacing w:line="270" w:lineRule="exact" w:before="0"/>
              <w:ind w:left="51"/>
              <w:rPr>
                <w:sz w:val="24"/>
              </w:rPr>
            </w:pPr>
            <w:r>
              <w:rPr>
                <w:spacing w:val="-4"/>
                <w:sz w:val="24"/>
              </w:rPr>
              <w:t>2011</w:t>
            </w:r>
          </w:p>
        </w:tc>
        <w:tc>
          <w:tcPr>
            <w:tcW w:w="615" w:type="dxa"/>
            <w:tcBorders>
              <w:top w:val="single" w:sz="4" w:space="0" w:color="000000"/>
            </w:tcBorders>
          </w:tcPr>
          <w:p>
            <w:pPr>
              <w:pStyle w:val="TableParagraph"/>
              <w:spacing w:line="270" w:lineRule="exact" w:before="0"/>
              <w:ind w:left="31" w:right="1"/>
              <w:rPr>
                <w:sz w:val="24"/>
              </w:rPr>
            </w:pPr>
            <w:r>
              <w:rPr>
                <w:spacing w:val="-5"/>
                <w:sz w:val="24"/>
              </w:rPr>
              <w:t>92</w:t>
            </w:r>
          </w:p>
        </w:tc>
        <w:tc>
          <w:tcPr>
            <w:tcW w:w="683" w:type="dxa"/>
            <w:tcBorders>
              <w:top w:val="single" w:sz="4" w:space="0" w:color="000000"/>
            </w:tcBorders>
          </w:tcPr>
          <w:p>
            <w:pPr>
              <w:pStyle w:val="TableParagraph"/>
              <w:spacing w:line="270" w:lineRule="exact" w:before="0"/>
              <w:ind w:left="24"/>
              <w:rPr>
                <w:sz w:val="24"/>
              </w:rPr>
            </w:pPr>
            <w:r>
              <w:rPr>
                <w:spacing w:val="-5"/>
                <w:sz w:val="24"/>
              </w:rPr>
              <w:t>491</w:t>
            </w:r>
          </w:p>
        </w:tc>
        <w:tc>
          <w:tcPr>
            <w:tcW w:w="780" w:type="dxa"/>
            <w:tcBorders>
              <w:top w:val="single" w:sz="4" w:space="0" w:color="000000"/>
            </w:tcBorders>
          </w:tcPr>
          <w:p>
            <w:pPr>
              <w:pStyle w:val="TableParagraph"/>
              <w:spacing w:line="270" w:lineRule="exact" w:before="0"/>
              <w:ind w:left="2"/>
              <w:rPr>
                <w:sz w:val="24"/>
              </w:rPr>
            </w:pPr>
            <w:r>
              <w:rPr>
                <w:spacing w:val="-5"/>
                <w:sz w:val="24"/>
              </w:rPr>
              <w:t>936</w:t>
            </w:r>
          </w:p>
        </w:tc>
        <w:tc>
          <w:tcPr>
            <w:tcW w:w="711" w:type="dxa"/>
            <w:tcBorders>
              <w:top w:val="single" w:sz="4" w:space="0" w:color="000000"/>
            </w:tcBorders>
          </w:tcPr>
          <w:p>
            <w:pPr>
              <w:pStyle w:val="TableParagraph"/>
              <w:spacing w:line="270" w:lineRule="exact" w:before="0"/>
              <w:ind w:right="46"/>
              <w:rPr>
                <w:sz w:val="24"/>
              </w:rPr>
            </w:pPr>
            <w:r>
              <w:rPr>
                <w:spacing w:val="-5"/>
                <w:sz w:val="24"/>
              </w:rPr>
              <w:t>254</w:t>
            </w:r>
          </w:p>
        </w:tc>
        <w:tc>
          <w:tcPr>
            <w:tcW w:w="787" w:type="dxa"/>
            <w:tcBorders>
              <w:top w:val="single" w:sz="4" w:space="0" w:color="000000"/>
            </w:tcBorders>
          </w:tcPr>
          <w:p>
            <w:pPr>
              <w:pStyle w:val="TableParagraph"/>
              <w:spacing w:line="270" w:lineRule="exact" w:before="0"/>
              <w:ind w:right="18"/>
              <w:rPr>
                <w:sz w:val="24"/>
              </w:rPr>
            </w:pPr>
            <w:r>
              <w:rPr>
                <w:spacing w:val="-5"/>
                <w:sz w:val="24"/>
              </w:rPr>
              <w:t>170</w:t>
            </w:r>
          </w:p>
        </w:tc>
        <w:tc>
          <w:tcPr>
            <w:tcW w:w="758" w:type="dxa"/>
            <w:tcBorders>
              <w:top w:val="single" w:sz="4" w:space="0" w:color="000000"/>
            </w:tcBorders>
          </w:tcPr>
          <w:p>
            <w:pPr>
              <w:pStyle w:val="TableParagraph"/>
              <w:spacing w:line="270" w:lineRule="exact" w:before="0"/>
              <w:ind w:left="57"/>
              <w:rPr>
                <w:sz w:val="24"/>
              </w:rPr>
            </w:pPr>
            <w:r>
              <w:rPr>
                <w:spacing w:val="-5"/>
                <w:sz w:val="24"/>
              </w:rPr>
              <w:t>119</w:t>
            </w:r>
          </w:p>
        </w:tc>
        <w:tc>
          <w:tcPr>
            <w:tcW w:w="772" w:type="dxa"/>
            <w:tcBorders>
              <w:top w:val="single" w:sz="4" w:space="0" w:color="000000"/>
            </w:tcBorders>
          </w:tcPr>
          <w:p>
            <w:pPr>
              <w:pStyle w:val="TableParagraph"/>
              <w:spacing w:line="270" w:lineRule="exact" w:before="0"/>
              <w:ind w:left="59"/>
              <w:rPr>
                <w:sz w:val="24"/>
              </w:rPr>
            </w:pPr>
            <w:r>
              <w:rPr>
                <w:spacing w:val="-4"/>
                <w:sz w:val="24"/>
              </w:rPr>
              <w:t>1243</w:t>
            </w:r>
          </w:p>
        </w:tc>
      </w:tr>
      <w:tr>
        <w:trPr>
          <w:trHeight w:val="691" w:hRule="atLeast"/>
        </w:trPr>
        <w:tc>
          <w:tcPr>
            <w:tcW w:w="937" w:type="dxa"/>
            <w:tcBorders>
              <w:bottom w:val="single" w:sz="4" w:space="0" w:color="000000"/>
            </w:tcBorders>
          </w:tcPr>
          <w:p>
            <w:pPr>
              <w:pStyle w:val="TableParagraph"/>
              <w:spacing w:line="240" w:lineRule="auto" w:before="271"/>
              <w:ind w:left="51"/>
              <w:rPr>
                <w:sz w:val="24"/>
              </w:rPr>
            </w:pPr>
            <w:r>
              <w:rPr>
                <w:spacing w:val="-4"/>
                <w:sz w:val="24"/>
              </w:rPr>
              <w:t>2012</w:t>
            </w:r>
          </w:p>
        </w:tc>
        <w:tc>
          <w:tcPr>
            <w:tcW w:w="615" w:type="dxa"/>
            <w:tcBorders>
              <w:bottom w:val="single" w:sz="4" w:space="0" w:color="000000"/>
            </w:tcBorders>
          </w:tcPr>
          <w:p>
            <w:pPr>
              <w:pStyle w:val="TableParagraph"/>
              <w:spacing w:line="240" w:lineRule="auto" w:before="271"/>
              <w:ind w:left="31" w:right="1"/>
              <w:rPr>
                <w:sz w:val="24"/>
              </w:rPr>
            </w:pPr>
            <w:r>
              <w:rPr>
                <w:spacing w:val="-5"/>
                <w:sz w:val="24"/>
              </w:rPr>
              <w:t>80</w:t>
            </w:r>
          </w:p>
        </w:tc>
        <w:tc>
          <w:tcPr>
            <w:tcW w:w="683" w:type="dxa"/>
            <w:tcBorders>
              <w:bottom w:val="single" w:sz="4" w:space="0" w:color="000000"/>
            </w:tcBorders>
          </w:tcPr>
          <w:p>
            <w:pPr>
              <w:pStyle w:val="TableParagraph"/>
              <w:spacing w:line="240" w:lineRule="auto" w:before="271"/>
              <w:ind w:left="24"/>
              <w:rPr>
                <w:sz w:val="24"/>
              </w:rPr>
            </w:pPr>
            <w:r>
              <w:rPr>
                <w:spacing w:val="-5"/>
                <w:sz w:val="24"/>
              </w:rPr>
              <w:t>564</w:t>
            </w:r>
          </w:p>
        </w:tc>
        <w:tc>
          <w:tcPr>
            <w:tcW w:w="780" w:type="dxa"/>
            <w:tcBorders>
              <w:bottom w:val="single" w:sz="4" w:space="0" w:color="000000"/>
            </w:tcBorders>
          </w:tcPr>
          <w:p>
            <w:pPr>
              <w:pStyle w:val="TableParagraph"/>
              <w:spacing w:line="240" w:lineRule="auto" w:before="271"/>
              <w:ind w:left="2"/>
              <w:rPr>
                <w:sz w:val="24"/>
              </w:rPr>
            </w:pPr>
            <w:r>
              <w:rPr>
                <w:spacing w:val="-4"/>
                <w:sz w:val="24"/>
              </w:rPr>
              <w:t>1119</w:t>
            </w:r>
          </w:p>
        </w:tc>
        <w:tc>
          <w:tcPr>
            <w:tcW w:w="711" w:type="dxa"/>
            <w:tcBorders>
              <w:bottom w:val="single" w:sz="4" w:space="0" w:color="000000"/>
            </w:tcBorders>
          </w:tcPr>
          <w:p>
            <w:pPr>
              <w:pStyle w:val="TableParagraph"/>
              <w:spacing w:line="240" w:lineRule="auto" w:before="271"/>
              <w:ind w:right="46"/>
              <w:rPr>
                <w:sz w:val="24"/>
              </w:rPr>
            </w:pPr>
            <w:r>
              <w:rPr>
                <w:spacing w:val="-5"/>
                <w:sz w:val="24"/>
              </w:rPr>
              <w:t>263</w:t>
            </w:r>
          </w:p>
        </w:tc>
        <w:tc>
          <w:tcPr>
            <w:tcW w:w="787" w:type="dxa"/>
            <w:tcBorders>
              <w:bottom w:val="single" w:sz="4" w:space="0" w:color="000000"/>
            </w:tcBorders>
          </w:tcPr>
          <w:p>
            <w:pPr>
              <w:pStyle w:val="TableParagraph"/>
              <w:spacing w:line="240" w:lineRule="auto" w:before="271"/>
              <w:ind w:right="18"/>
              <w:rPr>
                <w:sz w:val="24"/>
              </w:rPr>
            </w:pPr>
            <w:r>
              <w:rPr>
                <w:spacing w:val="-5"/>
                <w:sz w:val="24"/>
              </w:rPr>
              <w:t>201</w:t>
            </w:r>
          </w:p>
        </w:tc>
        <w:tc>
          <w:tcPr>
            <w:tcW w:w="758" w:type="dxa"/>
            <w:tcBorders>
              <w:bottom w:val="single" w:sz="4" w:space="0" w:color="000000"/>
            </w:tcBorders>
          </w:tcPr>
          <w:p>
            <w:pPr>
              <w:pStyle w:val="TableParagraph"/>
              <w:spacing w:line="240" w:lineRule="auto" w:before="271"/>
              <w:ind w:left="57"/>
              <w:rPr>
                <w:sz w:val="24"/>
              </w:rPr>
            </w:pPr>
            <w:r>
              <w:rPr>
                <w:spacing w:val="-5"/>
                <w:sz w:val="24"/>
              </w:rPr>
              <w:t>160</w:t>
            </w:r>
          </w:p>
        </w:tc>
        <w:tc>
          <w:tcPr>
            <w:tcW w:w="772" w:type="dxa"/>
            <w:tcBorders>
              <w:bottom w:val="single" w:sz="4" w:space="0" w:color="000000"/>
            </w:tcBorders>
          </w:tcPr>
          <w:p>
            <w:pPr>
              <w:pStyle w:val="TableParagraph"/>
              <w:spacing w:line="240" w:lineRule="auto" w:before="271"/>
              <w:ind w:left="59"/>
              <w:rPr>
                <w:sz w:val="24"/>
              </w:rPr>
            </w:pPr>
            <w:r>
              <w:rPr>
                <w:spacing w:val="-4"/>
                <w:sz w:val="24"/>
              </w:rPr>
              <w:t>1444</w:t>
            </w:r>
          </w:p>
        </w:tc>
      </w:tr>
    </w:tbl>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7"/>
        <w:gridCol w:w="2213"/>
        <w:gridCol w:w="2247"/>
      </w:tblGrid>
      <w:tr>
        <w:trPr>
          <w:trHeight w:val="336" w:hRule="atLeast"/>
        </w:trPr>
        <w:tc>
          <w:tcPr>
            <w:tcW w:w="2727" w:type="dxa"/>
          </w:tcPr>
          <w:p>
            <w:pPr>
              <w:pStyle w:val="TableParagraph"/>
              <w:spacing w:line="266" w:lineRule="exact" w:before="0"/>
              <w:ind w:left="50"/>
              <w:jc w:val="left"/>
              <w:rPr>
                <w:b/>
                <w:sz w:val="24"/>
              </w:rPr>
            </w:pPr>
            <w:r>
              <w:rPr>
                <w:b/>
                <w:spacing w:val="-4"/>
                <w:sz w:val="24"/>
              </w:rPr>
              <w:t>Key:</w:t>
            </w:r>
          </w:p>
        </w:tc>
        <w:tc>
          <w:tcPr>
            <w:tcW w:w="4460" w:type="dxa"/>
            <w:gridSpan w:val="2"/>
          </w:tcPr>
          <w:p>
            <w:pPr>
              <w:pStyle w:val="TableParagraph"/>
              <w:spacing w:line="240" w:lineRule="auto" w:before="0"/>
              <w:jc w:val="left"/>
              <w:rPr>
                <w:sz w:val="22"/>
              </w:rPr>
            </w:pPr>
          </w:p>
        </w:tc>
      </w:tr>
      <w:tr>
        <w:trPr>
          <w:trHeight w:val="353" w:hRule="atLeast"/>
        </w:trPr>
        <w:tc>
          <w:tcPr>
            <w:tcW w:w="2727" w:type="dxa"/>
          </w:tcPr>
          <w:p>
            <w:pPr>
              <w:pStyle w:val="TableParagraph"/>
              <w:spacing w:line="240" w:lineRule="auto" w:before="61"/>
              <w:ind w:left="50"/>
              <w:jc w:val="left"/>
              <w:rPr>
                <w:sz w:val="20"/>
              </w:rPr>
            </w:pPr>
            <w:r>
              <w:rPr>
                <w:sz w:val="20"/>
              </w:rPr>
              <w:t>A=</w:t>
            </w:r>
            <w:r>
              <w:rPr>
                <w:spacing w:val="-2"/>
                <w:sz w:val="20"/>
              </w:rPr>
              <w:t> </w:t>
            </w:r>
            <w:r>
              <w:rPr>
                <w:sz w:val="20"/>
              </w:rPr>
              <w:t>Chloroquine</w:t>
            </w:r>
            <w:r>
              <w:rPr>
                <w:spacing w:val="76"/>
                <w:sz w:val="20"/>
              </w:rPr>
              <w:t> </w:t>
            </w:r>
            <w:r>
              <w:rPr>
                <w:sz w:val="20"/>
              </w:rPr>
              <w:t>B=</w:t>
            </w:r>
            <w:r>
              <w:rPr>
                <w:spacing w:val="43"/>
                <w:sz w:val="20"/>
              </w:rPr>
              <w:t> </w:t>
            </w:r>
            <w:r>
              <w:rPr>
                <w:spacing w:val="-2"/>
                <w:sz w:val="20"/>
              </w:rPr>
              <w:t>Coartem</w:t>
            </w:r>
          </w:p>
        </w:tc>
        <w:tc>
          <w:tcPr>
            <w:tcW w:w="2213" w:type="dxa"/>
          </w:tcPr>
          <w:p>
            <w:pPr>
              <w:pStyle w:val="TableParagraph"/>
              <w:spacing w:line="240" w:lineRule="auto" w:before="61"/>
              <w:ind w:left="63" w:right="10"/>
              <w:rPr>
                <w:sz w:val="20"/>
              </w:rPr>
            </w:pPr>
            <w:r>
              <w:rPr>
                <w:sz w:val="20"/>
              </w:rPr>
              <w:t>C=</w:t>
            </w:r>
            <w:r>
              <w:rPr>
                <w:spacing w:val="-5"/>
                <w:sz w:val="20"/>
              </w:rPr>
              <w:t> </w:t>
            </w:r>
            <w:r>
              <w:rPr>
                <w:sz w:val="20"/>
              </w:rPr>
              <w:t>Paluther</w:t>
            </w:r>
            <w:r>
              <w:rPr>
                <w:spacing w:val="-3"/>
                <w:sz w:val="20"/>
              </w:rPr>
              <w:t> </w:t>
            </w:r>
            <w:r>
              <w:rPr>
                <w:sz w:val="20"/>
              </w:rPr>
              <w:t>+</w:t>
            </w:r>
            <w:r>
              <w:rPr>
                <w:spacing w:val="-5"/>
                <w:sz w:val="20"/>
              </w:rPr>
              <w:t> </w:t>
            </w:r>
            <w:r>
              <w:rPr>
                <w:spacing w:val="-2"/>
                <w:sz w:val="20"/>
              </w:rPr>
              <w:t>Fansidar</w:t>
            </w:r>
          </w:p>
        </w:tc>
        <w:tc>
          <w:tcPr>
            <w:tcW w:w="2247" w:type="dxa"/>
          </w:tcPr>
          <w:p>
            <w:pPr>
              <w:pStyle w:val="TableParagraph"/>
              <w:spacing w:line="240" w:lineRule="auto" w:before="61"/>
              <w:ind w:left="150"/>
              <w:jc w:val="left"/>
              <w:rPr>
                <w:sz w:val="20"/>
              </w:rPr>
            </w:pPr>
            <w:r>
              <w:rPr>
                <w:sz w:val="20"/>
              </w:rPr>
              <w:t>D=</w:t>
            </w:r>
            <w:r>
              <w:rPr>
                <w:spacing w:val="-5"/>
                <w:sz w:val="20"/>
              </w:rPr>
              <w:t> </w:t>
            </w:r>
            <w:r>
              <w:rPr>
                <w:sz w:val="20"/>
              </w:rPr>
              <w:t>Paluther</w:t>
            </w:r>
            <w:r>
              <w:rPr>
                <w:spacing w:val="-3"/>
                <w:sz w:val="20"/>
              </w:rPr>
              <w:t> </w:t>
            </w:r>
            <w:r>
              <w:rPr>
                <w:sz w:val="20"/>
              </w:rPr>
              <w:t>+</w:t>
            </w:r>
            <w:r>
              <w:rPr>
                <w:spacing w:val="-2"/>
                <w:sz w:val="20"/>
              </w:rPr>
              <w:t> Artesunate</w:t>
            </w:r>
          </w:p>
        </w:tc>
      </w:tr>
      <w:tr>
        <w:trPr>
          <w:trHeight w:val="283" w:hRule="atLeast"/>
        </w:trPr>
        <w:tc>
          <w:tcPr>
            <w:tcW w:w="2727" w:type="dxa"/>
          </w:tcPr>
          <w:p>
            <w:pPr>
              <w:pStyle w:val="TableParagraph"/>
              <w:spacing w:line="210" w:lineRule="exact" w:before="53"/>
              <w:ind w:left="50"/>
              <w:jc w:val="left"/>
              <w:rPr>
                <w:sz w:val="20"/>
              </w:rPr>
            </w:pPr>
            <w:r>
              <w:rPr>
                <w:sz w:val="20"/>
              </w:rPr>
              <w:t>E=</w:t>
            </w:r>
            <w:r>
              <w:rPr>
                <w:spacing w:val="-5"/>
                <w:sz w:val="20"/>
              </w:rPr>
              <w:t> </w:t>
            </w:r>
            <w:r>
              <w:rPr>
                <w:sz w:val="20"/>
              </w:rPr>
              <w:t>Artesunate</w:t>
            </w:r>
            <w:r>
              <w:rPr>
                <w:spacing w:val="41"/>
                <w:sz w:val="20"/>
              </w:rPr>
              <w:t> </w:t>
            </w:r>
            <w:r>
              <w:rPr>
                <w:spacing w:val="-2"/>
                <w:sz w:val="20"/>
              </w:rPr>
              <w:t>+Fansidar</w:t>
            </w:r>
          </w:p>
        </w:tc>
        <w:tc>
          <w:tcPr>
            <w:tcW w:w="2213" w:type="dxa"/>
          </w:tcPr>
          <w:p>
            <w:pPr>
              <w:pStyle w:val="TableParagraph"/>
              <w:spacing w:line="210" w:lineRule="exact" w:before="53"/>
              <w:ind w:left="53" w:right="63"/>
              <w:rPr>
                <w:sz w:val="20"/>
              </w:rPr>
            </w:pPr>
            <w:r>
              <w:rPr>
                <w:sz w:val="20"/>
              </w:rPr>
              <w:t>F=</w:t>
            </w:r>
            <w:r>
              <w:rPr>
                <w:spacing w:val="-4"/>
                <w:sz w:val="20"/>
              </w:rPr>
              <w:t> </w:t>
            </w:r>
            <w:r>
              <w:rPr>
                <w:sz w:val="20"/>
              </w:rPr>
              <w:t>Paluther</w:t>
            </w:r>
            <w:r>
              <w:rPr>
                <w:spacing w:val="-4"/>
                <w:sz w:val="20"/>
              </w:rPr>
              <w:t> </w:t>
            </w:r>
            <w:r>
              <w:rPr>
                <w:sz w:val="20"/>
              </w:rPr>
              <w:t>+</w:t>
            </w:r>
            <w:r>
              <w:rPr>
                <w:spacing w:val="-4"/>
                <w:sz w:val="20"/>
              </w:rPr>
              <w:t> </w:t>
            </w:r>
            <w:r>
              <w:rPr>
                <w:spacing w:val="-2"/>
                <w:sz w:val="20"/>
              </w:rPr>
              <w:t>Quinine</w:t>
            </w:r>
          </w:p>
        </w:tc>
        <w:tc>
          <w:tcPr>
            <w:tcW w:w="2247" w:type="dxa"/>
          </w:tcPr>
          <w:p>
            <w:pPr>
              <w:pStyle w:val="TableParagraph"/>
              <w:spacing w:line="210" w:lineRule="exact" w:before="53"/>
              <w:ind w:left="150"/>
              <w:jc w:val="left"/>
              <w:rPr>
                <w:sz w:val="20"/>
              </w:rPr>
            </w:pPr>
            <w:r>
              <w:rPr>
                <w:sz w:val="20"/>
              </w:rPr>
              <w:t>G=</w:t>
            </w:r>
            <w:r>
              <w:rPr>
                <w:spacing w:val="-3"/>
                <w:sz w:val="20"/>
              </w:rPr>
              <w:t> </w:t>
            </w:r>
            <w:r>
              <w:rPr>
                <w:spacing w:val="-2"/>
                <w:sz w:val="20"/>
              </w:rPr>
              <w:t>Paluther</w:t>
            </w:r>
          </w:p>
        </w:tc>
      </w:tr>
    </w:tbl>
    <w:p>
      <w:pPr>
        <w:spacing w:after="0" w:line="210" w:lineRule="exact"/>
        <w:jc w:val="left"/>
        <w:rPr>
          <w:sz w:val="20"/>
        </w:rPr>
        <w:sectPr>
          <w:pgSz w:w="11910" w:h="16840"/>
          <w:pgMar w:header="0" w:footer="1254" w:top="1760" w:bottom="1440" w:left="1180" w:right="580"/>
        </w:sectPr>
      </w:pPr>
    </w:p>
    <w:p>
      <w:pPr>
        <w:pStyle w:val="ListParagraph"/>
        <w:numPr>
          <w:ilvl w:val="1"/>
          <w:numId w:val="15"/>
        </w:numPr>
        <w:tabs>
          <w:tab w:pos="620" w:val="left" w:leader="none"/>
        </w:tabs>
        <w:spacing w:line="240" w:lineRule="auto" w:before="78" w:after="0"/>
        <w:ind w:left="620" w:right="0" w:hanging="360"/>
        <w:jc w:val="both"/>
        <w:rPr>
          <w:b/>
          <w:sz w:val="24"/>
        </w:rPr>
      </w:pPr>
      <w:r>
        <w:rPr>
          <w:b/>
          <w:sz w:val="24"/>
        </w:rPr>
        <w:t>Profile</w:t>
      </w:r>
      <w:r>
        <w:rPr>
          <w:b/>
          <w:spacing w:val="-3"/>
          <w:sz w:val="24"/>
        </w:rPr>
        <w:t> </w:t>
      </w:r>
      <w:r>
        <w:rPr>
          <w:b/>
          <w:sz w:val="24"/>
        </w:rPr>
        <w:t>of</w:t>
      </w:r>
      <w:r>
        <w:rPr>
          <w:b/>
          <w:spacing w:val="1"/>
          <w:sz w:val="24"/>
        </w:rPr>
        <w:t> </w:t>
      </w:r>
      <w:r>
        <w:rPr>
          <w:b/>
          <w:i/>
          <w:sz w:val="24"/>
        </w:rPr>
        <w:t>Plasmodium</w:t>
      </w:r>
      <w:r>
        <w:rPr>
          <w:b/>
          <w:i/>
          <w:spacing w:val="2"/>
          <w:sz w:val="24"/>
        </w:rPr>
        <w:t> </w:t>
      </w:r>
      <w:r>
        <w:rPr>
          <w:b/>
          <w:spacing w:val="-2"/>
          <w:sz w:val="24"/>
        </w:rPr>
        <w:t>species</w:t>
      </w:r>
    </w:p>
    <w:p>
      <w:pPr>
        <w:pStyle w:val="BodyText"/>
        <w:spacing w:line="480" w:lineRule="auto" w:before="272"/>
        <w:ind w:left="260" w:right="856"/>
        <w:jc w:val="both"/>
      </w:pPr>
      <w:r>
        <w:rPr/>
        <w:t>The blood samples from 160 male and female patients who reported to the hospital with history of fever (auxiliary temperature &gt;37.5°C) were screened for </w:t>
      </w:r>
      <w:r>
        <w:rPr>
          <w:i/>
        </w:rPr>
        <w:t>Plasmodium </w:t>
      </w:r>
      <w:r>
        <w:rPr/>
        <w:t>species. It was found that 84 (52.4%) had </w:t>
      </w:r>
      <w:r>
        <w:rPr>
          <w:i/>
        </w:rPr>
        <w:t>Plasmodium </w:t>
      </w:r>
      <w:r>
        <w:rPr/>
        <w:t>species, of which 38 (45.2%) were male and 46 (54.8%) were female. It was also observed that out of 84 patients with </w:t>
      </w:r>
      <w:r>
        <w:rPr>
          <w:i/>
        </w:rPr>
        <w:t>Plasmodium </w:t>
      </w:r>
      <w:r>
        <w:rPr/>
        <w:t>species, 72</w:t>
      </w:r>
      <w:r>
        <w:rPr>
          <w:spacing w:val="40"/>
        </w:rPr>
        <w:t> </w:t>
      </w:r>
      <w:r>
        <w:rPr/>
        <w:t>(85.7%)</w:t>
      </w:r>
      <w:r>
        <w:rPr>
          <w:spacing w:val="42"/>
        </w:rPr>
        <w:t> </w:t>
      </w:r>
      <w:r>
        <w:rPr/>
        <w:t>had</w:t>
      </w:r>
      <w:r>
        <w:rPr>
          <w:spacing w:val="43"/>
        </w:rPr>
        <w:t> </w:t>
      </w:r>
      <w:r>
        <w:rPr>
          <w:i/>
        </w:rPr>
        <w:t>Plasmodium</w:t>
      </w:r>
      <w:r>
        <w:rPr>
          <w:i/>
          <w:spacing w:val="42"/>
        </w:rPr>
        <w:t> </w:t>
      </w:r>
      <w:r>
        <w:rPr>
          <w:i/>
        </w:rPr>
        <w:t>falciparum</w:t>
      </w:r>
      <w:r>
        <w:rPr>
          <w:i/>
          <w:spacing w:val="44"/>
        </w:rPr>
        <w:t> </w:t>
      </w:r>
      <w:r>
        <w:rPr/>
        <w:t>and</w:t>
      </w:r>
      <w:r>
        <w:rPr>
          <w:spacing w:val="42"/>
        </w:rPr>
        <w:t> </w:t>
      </w:r>
      <w:r>
        <w:rPr/>
        <w:t>12</w:t>
      </w:r>
      <w:r>
        <w:rPr>
          <w:spacing w:val="45"/>
        </w:rPr>
        <w:t> </w:t>
      </w:r>
      <w:r>
        <w:rPr/>
        <w:t>(14.3%)</w:t>
      </w:r>
      <w:r>
        <w:rPr>
          <w:spacing w:val="42"/>
        </w:rPr>
        <w:t> </w:t>
      </w:r>
      <w:r>
        <w:rPr/>
        <w:t>had</w:t>
      </w:r>
      <w:r>
        <w:rPr>
          <w:spacing w:val="44"/>
        </w:rPr>
        <w:t> </w:t>
      </w:r>
      <w:r>
        <w:rPr>
          <w:i/>
        </w:rPr>
        <w:t>Plasmodium</w:t>
      </w:r>
      <w:r>
        <w:rPr>
          <w:i/>
          <w:spacing w:val="42"/>
        </w:rPr>
        <w:t> </w:t>
      </w:r>
      <w:r>
        <w:rPr>
          <w:i/>
        </w:rPr>
        <w:t>malariae</w:t>
      </w:r>
      <w:r>
        <w:rPr/>
        <w:t>,</w:t>
      </w:r>
      <w:r>
        <w:rPr>
          <w:spacing w:val="42"/>
        </w:rPr>
        <w:t> </w:t>
      </w:r>
      <w:r>
        <w:rPr>
          <w:spacing w:val="-4"/>
        </w:rPr>
        <w:t>with</w:t>
      </w:r>
    </w:p>
    <w:p>
      <w:pPr>
        <w:pStyle w:val="BodyText"/>
        <w:ind w:left="260"/>
        <w:jc w:val="both"/>
      </w:pPr>
      <w:r>
        <w:rPr/>
        <w:t>male,</w:t>
      </w:r>
      <w:r>
        <w:rPr>
          <w:spacing w:val="-1"/>
        </w:rPr>
        <w:t> </w:t>
      </w:r>
      <w:r>
        <w:rPr/>
        <w:t>45.8%</w:t>
      </w:r>
      <w:r>
        <w:rPr>
          <w:spacing w:val="-2"/>
        </w:rPr>
        <w:t> </w:t>
      </w:r>
      <w:r>
        <w:rPr/>
        <w:t>and</w:t>
      </w:r>
      <w:r>
        <w:rPr>
          <w:spacing w:val="-1"/>
        </w:rPr>
        <w:t> </w:t>
      </w:r>
      <w:r>
        <w:rPr/>
        <w:t>female</w:t>
      </w:r>
      <w:r>
        <w:rPr>
          <w:spacing w:val="-1"/>
        </w:rPr>
        <w:t> </w:t>
      </w:r>
      <w:r>
        <w:rPr/>
        <w:t>54.2%</w:t>
      </w:r>
      <w:r>
        <w:rPr>
          <w:spacing w:val="-1"/>
        </w:rPr>
        <w:t> </w:t>
      </w:r>
      <w:r>
        <w:rPr/>
        <w:t>(Fig.</w:t>
      </w:r>
      <w:r>
        <w:rPr>
          <w:spacing w:val="-1"/>
        </w:rPr>
        <w:t> </w:t>
      </w:r>
      <w:r>
        <w:rPr>
          <w:spacing w:val="-2"/>
        </w:rPr>
        <w:t>4.4).</w:t>
      </w:r>
    </w:p>
    <w:p>
      <w:pPr>
        <w:pStyle w:val="BodyText"/>
      </w:pPr>
    </w:p>
    <w:p>
      <w:pPr>
        <w:pStyle w:val="BodyText"/>
        <w:spacing w:before="240"/>
      </w:pPr>
    </w:p>
    <w:p>
      <w:pPr>
        <w:pStyle w:val="BodyText"/>
        <w:spacing w:line="480" w:lineRule="auto" w:before="1"/>
        <w:ind w:left="260" w:right="855"/>
        <w:jc w:val="both"/>
      </w:pPr>
      <w:r>
        <w:rPr/>
        <w:t>Out of 40 patients screened in each age group, 16 (40%) had </w:t>
      </w:r>
      <w:r>
        <w:rPr>
          <w:i/>
        </w:rPr>
        <w:t>Plasmodium species </w:t>
      </w:r>
      <w:r>
        <w:rPr/>
        <w:t>in age group</w:t>
      </w:r>
      <w:r>
        <w:rPr>
          <w:spacing w:val="4"/>
        </w:rPr>
        <w:t> </w:t>
      </w:r>
      <w:r>
        <w:rPr/>
        <w:t>1</w:t>
      </w:r>
      <w:r>
        <w:rPr>
          <w:spacing w:val="6"/>
        </w:rPr>
        <w:t> </w:t>
      </w:r>
      <w:r>
        <w:rPr/>
        <w:t>-5</w:t>
      </w:r>
      <w:r>
        <w:rPr>
          <w:spacing w:val="9"/>
        </w:rPr>
        <w:t> </w:t>
      </w:r>
      <w:r>
        <w:rPr/>
        <w:t>yr.</w:t>
      </w:r>
      <w:r>
        <w:rPr>
          <w:spacing w:val="5"/>
        </w:rPr>
        <w:t> </w:t>
      </w:r>
      <w:r>
        <w:rPr/>
        <w:t>For</w:t>
      </w:r>
      <w:r>
        <w:rPr>
          <w:spacing w:val="5"/>
        </w:rPr>
        <w:t> </w:t>
      </w:r>
      <w:r>
        <w:rPr/>
        <w:t>age</w:t>
      </w:r>
      <w:r>
        <w:rPr>
          <w:spacing w:val="7"/>
        </w:rPr>
        <w:t> </w:t>
      </w:r>
      <w:r>
        <w:rPr/>
        <w:t>groups</w:t>
      </w:r>
      <w:r>
        <w:rPr>
          <w:spacing w:val="5"/>
        </w:rPr>
        <w:t> </w:t>
      </w:r>
      <w:r>
        <w:rPr/>
        <w:t>6</w:t>
      </w:r>
      <w:r>
        <w:rPr>
          <w:spacing w:val="8"/>
        </w:rPr>
        <w:t> </w:t>
      </w:r>
      <w:r>
        <w:rPr/>
        <w:t>–</w:t>
      </w:r>
      <w:r>
        <w:rPr>
          <w:spacing w:val="6"/>
        </w:rPr>
        <w:t> </w:t>
      </w:r>
      <w:r>
        <w:rPr/>
        <w:t>18yr,</w:t>
      </w:r>
      <w:r>
        <w:rPr>
          <w:spacing w:val="4"/>
        </w:rPr>
        <w:t> </w:t>
      </w:r>
      <w:r>
        <w:rPr/>
        <w:t>19</w:t>
      </w:r>
      <w:r>
        <w:rPr>
          <w:spacing w:val="6"/>
        </w:rPr>
        <w:t> </w:t>
      </w:r>
      <w:r>
        <w:rPr/>
        <w:t>–</w:t>
      </w:r>
      <w:r>
        <w:rPr>
          <w:spacing w:val="6"/>
        </w:rPr>
        <w:t> </w:t>
      </w:r>
      <w:r>
        <w:rPr/>
        <w:t>30</w:t>
      </w:r>
      <w:r>
        <w:rPr>
          <w:spacing w:val="7"/>
        </w:rPr>
        <w:t> </w:t>
      </w:r>
      <w:r>
        <w:rPr/>
        <w:t>yr</w:t>
      </w:r>
      <w:r>
        <w:rPr>
          <w:spacing w:val="5"/>
        </w:rPr>
        <w:t> </w:t>
      </w:r>
      <w:r>
        <w:rPr/>
        <w:t>and</w:t>
      </w:r>
      <w:r>
        <w:rPr>
          <w:spacing w:val="5"/>
        </w:rPr>
        <w:t> </w:t>
      </w:r>
      <w:r>
        <w:rPr/>
        <w:t>31-</w:t>
      </w:r>
      <w:r>
        <w:rPr>
          <w:spacing w:val="4"/>
        </w:rPr>
        <w:t> </w:t>
      </w:r>
      <w:r>
        <w:rPr/>
        <w:t>70</w:t>
      </w:r>
      <w:r>
        <w:rPr>
          <w:spacing w:val="8"/>
        </w:rPr>
        <w:t> </w:t>
      </w:r>
      <w:r>
        <w:rPr/>
        <w:t>yr,</w:t>
      </w:r>
      <w:r>
        <w:rPr>
          <w:spacing w:val="5"/>
        </w:rPr>
        <w:t> </w:t>
      </w:r>
      <w:r>
        <w:rPr/>
        <w:t>the</w:t>
      </w:r>
      <w:r>
        <w:rPr>
          <w:spacing w:val="4"/>
        </w:rPr>
        <w:t> </w:t>
      </w:r>
      <w:r>
        <w:rPr/>
        <w:t>number</w:t>
      </w:r>
      <w:r>
        <w:rPr>
          <w:spacing w:val="4"/>
        </w:rPr>
        <w:t> </w:t>
      </w:r>
      <w:r>
        <w:rPr/>
        <w:t>of</w:t>
      </w:r>
      <w:r>
        <w:rPr>
          <w:spacing w:val="5"/>
        </w:rPr>
        <w:t> </w:t>
      </w:r>
      <w:r>
        <w:rPr/>
        <w:t>patients</w:t>
      </w:r>
      <w:r>
        <w:rPr>
          <w:spacing w:val="6"/>
        </w:rPr>
        <w:t> </w:t>
      </w:r>
      <w:r>
        <w:rPr>
          <w:spacing w:val="-4"/>
        </w:rPr>
        <w:t>with</w:t>
      </w:r>
    </w:p>
    <w:p>
      <w:pPr>
        <w:pStyle w:val="BodyText"/>
        <w:ind w:left="260"/>
        <w:jc w:val="both"/>
      </w:pPr>
      <w:r>
        <w:rPr>
          <w:i/>
        </w:rPr>
        <w:t>Plasmodium</w:t>
      </w:r>
      <w:r>
        <w:rPr>
          <w:i/>
          <w:spacing w:val="-2"/>
        </w:rPr>
        <w:t> </w:t>
      </w:r>
      <w:r>
        <w:rPr/>
        <w:t>species</w:t>
      </w:r>
      <w:r>
        <w:rPr>
          <w:spacing w:val="-2"/>
        </w:rPr>
        <w:t> </w:t>
      </w:r>
      <w:r>
        <w:rPr>
          <w:i/>
        </w:rPr>
        <w:t>we</w:t>
      </w:r>
      <w:r>
        <w:rPr/>
        <w:t>re</w:t>
      </w:r>
      <w:r>
        <w:rPr>
          <w:spacing w:val="-2"/>
        </w:rPr>
        <w:t> </w:t>
      </w:r>
      <w:r>
        <w:rPr/>
        <w:t>19 (47.5%),</w:t>
      </w:r>
      <w:r>
        <w:rPr>
          <w:spacing w:val="-1"/>
        </w:rPr>
        <w:t> </w:t>
      </w:r>
      <w:r>
        <w:rPr/>
        <w:t>21 (52.5%) and</w:t>
      </w:r>
      <w:r>
        <w:rPr>
          <w:spacing w:val="-1"/>
        </w:rPr>
        <w:t> </w:t>
      </w:r>
      <w:r>
        <w:rPr/>
        <w:t>28 (70%)</w:t>
      </w:r>
      <w:r>
        <w:rPr>
          <w:spacing w:val="-1"/>
        </w:rPr>
        <w:t> </w:t>
      </w:r>
      <w:r>
        <w:rPr/>
        <w:t>respectively</w:t>
      </w:r>
      <w:r>
        <w:rPr>
          <w:spacing w:val="-6"/>
        </w:rPr>
        <w:t> </w:t>
      </w:r>
      <w:r>
        <w:rPr/>
        <w:t>(Fig. </w:t>
      </w:r>
      <w:r>
        <w:rPr>
          <w:spacing w:val="-2"/>
        </w:rPr>
        <w:t>4.5).</w:t>
      </w:r>
    </w:p>
    <w:p>
      <w:pPr>
        <w:spacing w:after="0"/>
        <w:jc w:val="both"/>
        <w:sectPr>
          <w:pgSz w:w="11910" w:h="16840"/>
          <w:pgMar w:header="0" w:footer="1254" w:top="1340" w:bottom="1440" w:left="1180" w:right="580"/>
        </w:sectPr>
      </w:pPr>
    </w:p>
    <w:p>
      <w:pPr>
        <w:pStyle w:val="BodyText"/>
        <w:ind w:left="548"/>
        <w:rPr>
          <w:sz w:val="20"/>
        </w:rPr>
      </w:pPr>
      <w:r>
        <w:rPr>
          <w:sz w:val="20"/>
        </w:rPr>
        <w:drawing>
          <wp:inline distT="0" distB="0" distL="0" distR="0">
            <wp:extent cx="5185282" cy="2999803"/>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26" cstate="print"/>
                    <a:stretch>
                      <a:fillRect/>
                    </a:stretch>
                  </pic:blipFill>
                  <pic:spPr>
                    <a:xfrm>
                      <a:off x="0" y="0"/>
                      <a:ext cx="5185282" cy="2999803"/>
                    </a:xfrm>
                    <a:prstGeom prst="rect">
                      <a:avLst/>
                    </a:prstGeom>
                  </pic:spPr>
                </pic:pic>
              </a:graphicData>
            </a:graphic>
          </wp:inline>
        </w:drawing>
      </w:r>
      <w:r>
        <w:rPr>
          <w:sz w:val="20"/>
        </w:rPr>
      </w:r>
    </w:p>
    <w:p>
      <w:pPr>
        <w:pStyle w:val="BodyText"/>
        <w:spacing w:before="73"/>
      </w:pPr>
    </w:p>
    <w:p>
      <w:pPr>
        <w:pStyle w:val="Heading2"/>
        <w:jc w:val="left"/>
      </w:pPr>
      <w:r>
        <w:rPr/>
        <w:t>Fig.</w:t>
      </w:r>
      <w:r>
        <w:rPr>
          <w:spacing w:val="-4"/>
        </w:rPr>
        <w:t> </w:t>
      </w:r>
      <w:r>
        <w:rPr/>
        <w:t>4.3: Proportion</w:t>
      </w:r>
      <w:r>
        <w:rPr>
          <w:spacing w:val="-2"/>
        </w:rPr>
        <w:t> </w:t>
      </w:r>
      <w:r>
        <w:rPr/>
        <w:t>of patient</w:t>
      </w:r>
      <w:r>
        <w:rPr>
          <w:spacing w:val="-2"/>
        </w:rPr>
        <w:t> </w:t>
      </w:r>
      <w:r>
        <w:rPr/>
        <w:t>with</w:t>
      </w:r>
      <w:r>
        <w:rPr>
          <w:spacing w:val="1"/>
        </w:rPr>
        <w:t> </w:t>
      </w:r>
      <w:r>
        <w:rPr>
          <w:i/>
        </w:rPr>
        <w:t>Plasmodium</w:t>
      </w:r>
      <w:r>
        <w:rPr>
          <w:i/>
          <w:spacing w:val="2"/>
        </w:rPr>
        <w:t> </w:t>
      </w:r>
      <w:r>
        <w:rPr>
          <w:spacing w:val="-2"/>
        </w:rPr>
        <w:t>species</w:t>
      </w:r>
    </w:p>
    <w:p>
      <w:pPr>
        <w:spacing w:after="0"/>
        <w:jc w:val="left"/>
        <w:sectPr>
          <w:pgSz w:w="11910" w:h="16840"/>
          <w:pgMar w:header="0" w:footer="1254" w:top="1920" w:bottom="1440" w:left="1180" w:right="580"/>
        </w:sectPr>
      </w:pPr>
    </w:p>
    <w:p>
      <w:pPr>
        <w:pStyle w:val="BodyText"/>
        <w:rPr>
          <w:b/>
          <w:sz w:val="20"/>
        </w:rPr>
      </w:pPr>
    </w:p>
    <w:p>
      <w:pPr>
        <w:pStyle w:val="BodyText"/>
        <w:spacing w:before="18"/>
        <w:rPr>
          <w:b/>
          <w:sz w:val="20"/>
        </w:rPr>
      </w:pPr>
    </w:p>
    <w:p>
      <w:pPr>
        <w:pStyle w:val="BodyText"/>
        <w:ind w:left="538"/>
        <w:rPr>
          <w:sz w:val="20"/>
        </w:rPr>
      </w:pPr>
      <w:r>
        <w:rPr>
          <w:sz w:val="20"/>
        </w:rPr>
        <w:drawing>
          <wp:inline distT="0" distB="0" distL="0" distR="0">
            <wp:extent cx="5257076" cy="3059049"/>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27" cstate="print"/>
                    <a:stretch>
                      <a:fillRect/>
                    </a:stretch>
                  </pic:blipFill>
                  <pic:spPr>
                    <a:xfrm>
                      <a:off x="0" y="0"/>
                      <a:ext cx="5257076" cy="3059049"/>
                    </a:xfrm>
                    <a:prstGeom prst="rect">
                      <a:avLst/>
                    </a:prstGeom>
                  </pic:spPr>
                </pic:pic>
              </a:graphicData>
            </a:graphic>
          </wp:inline>
        </w:drawing>
      </w:r>
      <w:r>
        <w:rPr>
          <w:sz w:val="20"/>
        </w:rPr>
      </w:r>
    </w:p>
    <w:p>
      <w:pPr>
        <w:pStyle w:val="BodyText"/>
        <w:spacing w:before="179"/>
        <w:rPr>
          <w:b/>
          <w:sz w:val="18"/>
        </w:rPr>
      </w:pPr>
    </w:p>
    <w:p>
      <w:pPr>
        <w:spacing w:before="0"/>
        <w:ind w:left="260" w:right="0" w:firstLine="0"/>
        <w:jc w:val="left"/>
        <w:rPr>
          <w:i/>
          <w:sz w:val="18"/>
        </w:rPr>
      </w:pPr>
      <w:r>
        <w:rPr>
          <w:sz w:val="18"/>
        </w:rPr>
        <w:t>Key:</w:t>
      </w:r>
      <w:r>
        <w:rPr>
          <w:spacing w:val="-2"/>
          <w:sz w:val="18"/>
        </w:rPr>
        <w:t> </w:t>
      </w:r>
      <w:r>
        <w:rPr>
          <w:sz w:val="18"/>
        </w:rPr>
        <w:t>M=male,</w:t>
      </w:r>
      <w:r>
        <w:rPr>
          <w:spacing w:val="-2"/>
          <w:sz w:val="18"/>
        </w:rPr>
        <w:t> </w:t>
      </w:r>
      <w:r>
        <w:rPr>
          <w:sz w:val="18"/>
        </w:rPr>
        <w:t>F=Female,</w:t>
      </w:r>
      <w:r>
        <w:rPr>
          <w:spacing w:val="-2"/>
          <w:sz w:val="18"/>
        </w:rPr>
        <w:t> </w:t>
      </w:r>
      <w:r>
        <w:rPr>
          <w:sz w:val="18"/>
        </w:rPr>
        <w:t>pf</w:t>
      </w:r>
      <w:r>
        <w:rPr>
          <w:spacing w:val="-3"/>
          <w:sz w:val="18"/>
        </w:rPr>
        <w:t> </w:t>
      </w:r>
      <w:r>
        <w:rPr>
          <w:sz w:val="18"/>
        </w:rPr>
        <w:t>=</w:t>
      </w:r>
      <w:r>
        <w:rPr>
          <w:spacing w:val="1"/>
          <w:sz w:val="18"/>
        </w:rPr>
        <w:t> </w:t>
      </w:r>
      <w:r>
        <w:rPr>
          <w:i/>
          <w:sz w:val="18"/>
        </w:rPr>
        <w:t>Plasmodium</w:t>
      </w:r>
      <w:r>
        <w:rPr>
          <w:i/>
          <w:spacing w:val="-2"/>
          <w:sz w:val="18"/>
        </w:rPr>
        <w:t> </w:t>
      </w:r>
      <w:r>
        <w:rPr>
          <w:i/>
          <w:sz w:val="18"/>
        </w:rPr>
        <w:t>falciparum</w:t>
      </w:r>
      <w:r>
        <w:rPr>
          <w:sz w:val="18"/>
        </w:rPr>
        <w:t>,</w:t>
      </w:r>
      <w:r>
        <w:rPr>
          <w:spacing w:val="-4"/>
          <w:sz w:val="18"/>
        </w:rPr>
        <w:t> </w:t>
      </w:r>
      <w:r>
        <w:rPr>
          <w:sz w:val="18"/>
        </w:rPr>
        <w:t>pm=</w:t>
      </w:r>
      <w:r>
        <w:rPr>
          <w:i/>
          <w:sz w:val="18"/>
        </w:rPr>
        <w:t>Plasmodium</w:t>
      </w:r>
      <w:r>
        <w:rPr>
          <w:i/>
          <w:spacing w:val="-1"/>
          <w:sz w:val="18"/>
        </w:rPr>
        <w:t> </w:t>
      </w:r>
      <w:r>
        <w:rPr>
          <w:i/>
          <w:spacing w:val="-2"/>
          <w:sz w:val="18"/>
        </w:rPr>
        <w:t>malariae</w:t>
      </w:r>
    </w:p>
    <w:p>
      <w:pPr>
        <w:spacing w:before="109"/>
        <w:ind w:left="260" w:right="0" w:firstLine="0"/>
        <w:jc w:val="left"/>
        <w:rPr>
          <w:b/>
          <w:sz w:val="24"/>
        </w:rPr>
      </w:pPr>
      <w:r>
        <w:rPr>
          <w:b/>
          <w:sz w:val="24"/>
        </w:rPr>
        <w:t>Fig.</w:t>
      </w:r>
      <w:r>
        <w:rPr>
          <w:b/>
          <w:spacing w:val="-2"/>
          <w:sz w:val="24"/>
        </w:rPr>
        <w:t> </w:t>
      </w:r>
      <w:r>
        <w:rPr>
          <w:b/>
          <w:sz w:val="24"/>
        </w:rPr>
        <w:t>4.4:</w:t>
      </w:r>
      <w:r>
        <w:rPr>
          <w:b/>
          <w:spacing w:val="-2"/>
          <w:sz w:val="24"/>
        </w:rPr>
        <w:t> </w:t>
      </w:r>
      <w:r>
        <w:rPr>
          <w:b/>
          <w:sz w:val="24"/>
        </w:rPr>
        <w:t>Variation</w:t>
      </w:r>
      <w:r>
        <w:rPr>
          <w:b/>
          <w:spacing w:val="-2"/>
          <w:sz w:val="24"/>
        </w:rPr>
        <w:t> </w:t>
      </w:r>
      <w:r>
        <w:rPr>
          <w:b/>
          <w:sz w:val="24"/>
        </w:rPr>
        <w:t>of </w:t>
      </w:r>
      <w:r>
        <w:rPr>
          <w:b/>
          <w:i/>
          <w:sz w:val="24"/>
        </w:rPr>
        <w:t>Plasmodium</w:t>
      </w:r>
      <w:r>
        <w:rPr>
          <w:b/>
          <w:i/>
          <w:spacing w:val="1"/>
          <w:sz w:val="24"/>
        </w:rPr>
        <w:t> </w:t>
      </w:r>
      <w:r>
        <w:rPr>
          <w:b/>
          <w:sz w:val="24"/>
        </w:rPr>
        <w:t>species</w:t>
      </w:r>
      <w:r>
        <w:rPr>
          <w:b/>
          <w:spacing w:val="-2"/>
          <w:sz w:val="24"/>
        </w:rPr>
        <w:t> </w:t>
      </w:r>
      <w:r>
        <w:rPr>
          <w:b/>
          <w:sz w:val="24"/>
        </w:rPr>
        <w:t>with</w:t>
      </w:r>
      <w:r>
        <w:rPr>
          <w:b/>
          <w:spacing w:val="-3"/>
          <w:sz w:val="24"/>
        </w:rPr>
        <w:t> </w:t>
      </w:r>
      <w:r>
        <w:rPr>
          <w:b/>
          <w:spacing w:val="-5"/>
          <w:sz w:val="24"/>
        </w:rPr>
        <w:t>sex</w:t>
      </w:r>
    </w:p>
    <w:p>
      <w:pPr>
        <w:spacing w:after="0"/>
        <w:jc w:val="left"/>
        <w:rPr>
          <w:sz w:val="24"/>
        </w:rPr>
        <w:sectPr>
          <w:pgSz w:w="11910" w:h="16840"/>
          <w:pgMar w:header="0" w:footer="1254" w:top="1920" w:bottom="1440" w:left="1180" w:right="580"/>
        </w:sectPr>
      </w:pPr>
    </w:p>
    <w:p>
      <w:pPr>
        <w:pStyle w:val="BodyText"/>
        <w:rPr>
          <w:b/>
          <w:sz w:val="4"/>
        </w:rPr>
      </w:pPr>
    </w:p>
    <w:p>
      <w:pPr>
        <w:pStyle w:val="BodyText"/>
        <w:ind w:left="484"/>
        <w:rPr>
          <w:sz w:val="20"/>
        </w:rPr>
      </w:pPr>
      <w:r>
        <w:rPr>
          <w:sz w:val="20"/>
        </w:rPr>
        <w:drawing>
          <wp:inline distT="0" distB="0" distL="0" distR="0">
            <wp:extent cx="5301489" cy="3083718"/>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8" cstate="print"/>
                    <a:stretch>
                      <a:fillRect/>
                    </a:stretch>
                  </pic:blipFill>
                  <pic:spPr>
                    <a:xfrm>
                      <a:off x="0" y="0"/>
                      <a:ext cx="5301489" cy="3083718"/>
                    </a:xfrm>
                    <a:prstGeom prst="rect">
                      <a:avLst/>
                    </a:prstGeom>
                  </pic:spPr>
                </pic:pic>
              </a:graphicData>
            </a:graphic>
          </wp:inline>
        </w:drawing>
      </w:r>
      <w:r>
        <w:rPr>
          <w:sz w:val="20"/>
        </w:rPr>
      </w:r>
    </w:p>
    <w:p>
      <w:pPr>
        <w:pStyle w:val="BodyText"/>
        <w:spacing w:before="39"/>
        <w:rPr>
          <w:b/>
        </w:rPr>
      </w:pPr>
    </w:p>
    <w:p>
      <w:pPr>
        <w:spacing w:before="0"/>
        <w:ind w:left="260" w:right="0" w:firstLine="0"/>
        <w:jc w:val="left"/>
        <w:rPr>
          <w:sz w:val="24"/>
        </w:rPr>
      </w:pPr>
      <w:r>
        <w:rPr>
          <w:sz w:val="24"/>
        </w:rPr>
        <w:t>Fig.</w:t>
      </w:r>
      <w:r>
        <w:rPr>
          <w:spacing w:val="-3"/>
          <w:sz w:val="24"/>
        </w:rPr>
        <w:t> </w:t>
      </w:r>
      <w:r>
        <w:rPr>
          <w:sz w:val="24"/>
        </w:rPr>
        <w:t>4.5:</w:t>
      </w:r>
      <w:r>
        <w:rPr>
          <w:spacing w:val="-1"/>
          <w:sz w:val="24"/>
        </w:rPr>
        <w:t> </w:t>
      </w:r>
      <w:r>
        <w:rPr>
          <w:sz w:val="24"/>
        </w:rPr>
        <w:t>Proportion of</w:t>
      </w:r>
      <w:r>
        <w:rPr>
          <w:spacing w:val="-2"/>
          <w:sz w:val="24"/>
        </w:rPr>
        <w:t> </w:t>
      </w:r>
      <w:r>
        <w:rPr>
          <w:sz w:val="24"/>
        </w:rPr>
        <w:t>patient with</w:t>
      </w:r>
      <w:r>
        <w:rPr>
          <w:spacing w:val="1"/>
          <w:sz w:val="24"/>
        </w:rPr>
        <w:t> </w:t>
      </w:r>
      <w:r>
        <w:rPr>
          <w:i/>
          <w:sz w:val="24"/>
        </w:rPr>
        <w:t>Plasmodium species</w:t>
      </w:r>
      <w:r>
        <w:rPr>
          <w:i/>
          <w:spacing w:val="-1"/>
          <w:sz w:val="24"/>
        </w:rPr>
        <w:t> </w:t>
      </w:r>
      <w:r>
        <w:rPr>
          <w:sz w:val="24"/>
        </w:rPr>
        <w:t>with </w:t>
      </w:r>
      <w:r>
        <w:rPr>
          <w:spacing w:val="-5"/>
          <w:sz w:val="24"/>
        </w:rPr>
        <w:t>age</w:t>
      </w:r>
    </w:p>
    <w:p>
      <w:pPr>
        <w:spacing w:after="0"/>
        <w:jc w:val="left"/>
        <w:rPr>
          <w:sz w:val="24"/>
        </w:rPr>
        <w:sectPr>
          <w:pgSz w:w="11910" w:h="16840"/>
          <w:pgMar w:header="0" w:footer="1254" w:top="1920" w:bottom="1440" w:left="1180" w:right="580"/>
        </w:sectPr>
      </w:pPr>
    </w:p>
    <w:p>
      <w:pPr>
        <w:pStyle w:val="ListParagraph"/>
        <w:numPr>
          <w:ilvl w:val="1"/>
          <w:numId w:val="15"/>
        </w:numPr>
        <w:tabs>
          <w:tab w:pos="620" w:val="left" w:leader="none"/>
        </w:tabs>
        <w:spacing w:line="240" w:lineRule="auto" w:before="61" w:after="0"/>
        <w:ind w:left="620" w:right="0" w:hanging="360"/>
        <w:jc w:val="both"/>
        <w:rPr>
          <w:b/>
          <w:sz w:val="24"/>
        </w:rPr>
      </w:pPr>
      <w:r>
        <w:rPr>
          <w:b/>
          <w:i/>
          <w:sz w:val="24"/>
        </w:rPr>
        <w:t>In</w:t>
      </w:r>
      <w:r>
        <w:rPr>
          <w:b/>
          <w:i/>
          <w:spacing w:val="-1"/>
          <w:sz w:val="24"/>
        </w:rPr>
        <w:t> </w:t>
      </w:r>
      <w:r>
        <w:rPr>
          <w:b/>
          <w:i/>
          <w:sz w:val="24"/>
        </w:rPr>
        <w:t>vitro </w:t>
      </w:r>
      <w:r>
        <w:rPr>
          <w:b/>
          <w:spacing w:val="-2"/>
          <w:sz w:val="24"/>
        </w:rPr>
        <w:t>Assay</w:t>
      </w:r>
    </w:p>
    <w:p>
      <w:pPr>
        <w:pStyle w:val="Heading2"/>
        <w:numPr>
          <w:ilvl w:val="2"/>
          <w:numId w:val="15"/>
        </w:numPr>
        <w:tabs>
          <w:tab w:pos="800" w:val="left" w:leader="none"/>
        </w:tabs>
        <w:spacing w:line="240" w:lineRule="auto" w:before="240" w:after="0"/>
        <w:ind w:left="800" w:right="0" w:hanging="540"/>
        <w:jc w:val="both"/>
      </w:pPr>
      <w:r>
        <w:rPr/>
        <w:t>Screening</w:t>
      </w:r>
      <w:r>
        <w:rPr>
          <w:spacing w:val="-2"/>
        </w:rPr>
        <w:t> </w:t>
      </w:r>
      <w:r>
        <w:rPr/>
        <w:t>of </w:t>
      </w:r>
      <w:r>
        <w:rPr>
          <w:spacing w:val="-2"/>
        </w:rPr>
        <w:t>patient</w:t>
      </w:r>
    </w:p>
    <w:p>
      <w:pPr>
        <w:pStyle w:val="BodyText"/>
        <w:spacing w:line="480" w:lineRule="auto" w:before="271"/>
        <w:ind w:left="260" w:right="853"/>
        <w:jc w:val="both"/>
      </w:pPr>
      <w:r>
        <w:rPr/>
        <w:t>A total of 304volunteered patients that attended the hospital were screened. Out of these, 258 patients (84.9%) admitted not to have taken antimalarial drugs 14 days prior to attending the hospital, while 46 patients (15.1%) admitted to have taken antimalarial drugs 14 days prior to attending the hospital. 141 patients (54.7%) tested positive for </w:t>
      </w:r>
      <w:r>
        <w:rPr>
          <w:i/>
        </w:rPr>
        <w:t>Plasmodium falciparum</w:t>
      </w:r>
      <w:r>
        <w:rPr/>
        <w:t>. Out of the 141 patients, 93 (66%) had high parasitemia count (Table 4.2).</w:t>
      </w:r>
    </w:p>
    <w:p>
      <w:pPr>
        <w:spacing w:after="0" w:line="480" w:lineRule="auto"/>
        <w:jc w:val="both"/>
        <w:sectPr>
          <w:pgSz w:w="11910" w:h="16840"/>
          <w:pgMar w:header="0" w:footer="1254" w:top="1360" w:bottom="1440" w:left="1180" w:right="580"/>
        </w:sectPr>
      </w:pPr>
    </w:p>
    <w:p>
      <w:pPr>
        <w:pStyle w:val="Heading2"/>
        <w:spacing w:before="61"/>
        <w:jc w:val="left"/>
      </w:pPr>
      <w:r>
        <w:rPr/>
        <w:t>Table</w:t>
      </w:r>
      <w:r>
        <w:rPr>
          <w:spacing w:val="-4"/>
        </w:rPr>
        <w:t> </w:t>
      </w:r>
      <w:r>
        <w:rPr/>
        <w:t>4.2:</w:t>
      </w:r>
      <w:r>
        <w:rPr>
          <w:spacing w:val="-1"/>
        </w:rPr>
        <w:t> </w:t>
      </w:r>
      <w:r>
        <w:rPr/>
        <w:t>Incidence</w:t>
      </w:r>
      <w:r>
        <w:rPr>
          <w:spacing w:val="-2"/>
        </w:rPr>
        <w:t> </w:t>
      </w:r>
      <w:r>
        <w:rPr/>
        <w:t>of</w:t>
      </w:r>
      <w:r>
        <w:rPr>
          <w:spacing w:val="-2"/>
        </w:rPr>
        <w:t> </w:t>
      </w:r>
      <w:r>
        <w:rPr/>
        <w:t>parasitemia</w:t>
      </w:r>
      <w:r>
        <w:rPr>
          <w:spacing w:val="1"/>
        </w:rPr>
        <w:t> </w:t>
      </w:r>
      <w:r>
        <w:rPr/>
        <w:t>in the</w:t>
      </w:r>
      <w:r>
        <w:rPr>
          <w:spacing w:val="-2"/>
        </w:rPr>
        <w:t> </w:t>
      </w:r>
      <w:r>
        <w:rPr/>
        <w:t>blood samples</w:t>
      </w:r>
      <w:r>
        <w:rPr>
          <w:spacing w:val="-1"/>
        </w:rPr>
        <w:t> </w:t>
      </w:r>
      <w:r>
        <w:rPr/>
        <w:t>of patients</w:t>
      </w:r>
      <w:r>
        <w:rPr>
          <w:spacing w:val="-1"/>
        </w:rPr>
        <w:t> </w:t>
      </w:r>
      <w:r>
        <w:rPr>
          <w:spacing w:val="-2"/>
        </w:rPr>
        <w:t>screened</w:t>
      </w:r>
    </w:p>
    <w:p>
      <w:pPr>
        <w:pStyle w:val="BodyText"/>
        <w:spacing w:before="11"/>
        <w:rPr>
          <w:b/>
          <w:sz w:val="11"/>
        </w:rPr>
      </w:pP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2"/>
        <w:gridCol w:w="1420"/>
        <w:gridCol w:w="1996"/>
        <w:gridCol w:w="1232"/>
        <w:gridCol w:w="941"/>
      </w:tblGrid>
      <w:tr>
        <w:trPr>
          <w:trHeight w:val="1105" w:hRule="atLeast"/>
        </w:trPr>
        <w:tc>
          <w:tcPr>
            <w:tcW w:w="2892" w:type="dxa"/>
            <w:tcBorders>
              <w:top w:val="single" w:sz="4" w:space="0" w:color="000000"/>
              <w:bottom w:val="single" w:sz="4" w:space="0" w:color="000000"/>
            </w:tcBorders>
          </w:tcPr>
          <w:p>
            <w:pPr>
              <w:pStyle w:val="TableParagraph"/>
              <w:spacing w:line="240" w:lineRule="auto" w:before="0"/>
              <w:jc w:val="left"/>
              <w:rPr>
                <w:b/>
                <w:sz w:val="24"/>
              </w:rPr>
            </w:pPr>
          </w:p>
          <w:p>
            <w:pPr>
              <w:pStyle w:val="TableParagraph"/>
              <w:spacing w:line="240" w:lineRule="auto" w:before="270"/>
              <w:jc w:val="left"/>
              <w:rPr>
                <w:b/>
                <w:sz w:val="24"/>
              </w:rPr>
            </w:pPr>
          </w:p>
          <w:p>
            <w:pPr>
              <w:pStyle w:val="TableParagraph"/>
              <w:spacing w:line="264" w:lineRule="exact" w:before="0"/>
              <w:ind w:left="115"/>
              <w:jc w:val="left"/>
              <w:rPr>
                <w:sz w:val="24"/>
              </w:rPr>
            </w:pPr>
            <w:r>
              <w:rPr>
                <w:sz w:val="24"/>
              </w:rPr>
              <w:t>Patient</w:t>
            </w:r>
            <w:r>
              <w:rPr>
                <w:spacing w:val="-2"/>
                <w:sz w:val="24"/>
              </w:rPr>
              <w:t> category</w:t>
            </w:r>
          </w:p>
        </w:tc>
        <w:tc>
          <w:tcPr>
            <w:tcW w:w="1420" w:type="dxa"/>
            <w:tcBorders>
              <w:top w:val="single" w:sz="4" w:space="0" w:color="000000"/>
              <w:bottom w:val="single" w:sz="4" w:space="0" w:color="000000"/>
            </w:tcBorders>
          </w:tcPr>
          <w:p>
            <w:pPr>
              <w:pStyle w:val="TableParagraph"/>
              <w:spacing w:line="240" w:lineRule="auto" w:before="0"/>
              <w:ind w:left="118" w:right="223"/>
              <w:jc w:val="left"/>
              <w:rPr>
                <w:sz w:val="24"/>
              </w:rPr>
            </w:pPr>
            <w:r>
              <w:rPr>
                <w:sz w:val="24"/>
              </w:rPr>
              <w:t>High</w:t>
            </w:r>
            <w:r>
              <w:rPr>
                <w:spacing w:val="-15"/>
                <w:sz w:val="24"/>
              </w:rPr>
              <w:t> </w:t>
            </w:r>
            <w:r>
              <w:rPr>
                <w:sz w:val="24"/>
              </w:rPr>
              <w:t>count (&gt; 1000</w:t>
            </w:r>
          </w:p>
          <w:p>
            <w:pPr>
              <w:pStyle w:val="TableParagraph"/>
              <w:spacing w:line="270" w:lineRule="atLeast" w:before="0"/>
              <w:ind w:left="118" w:right="219"/>
              <w:jc w:val="left"/>
              <w:rPr>
                <w:sz w:val="24"/>
              </w:rPr>
            </w:pPr>
            <w:r>
              <w:rPr>
                <w:sz w:val="24"/>
              </w:rPr>
              <w:t>parasite</w:t>
            </w:r>
            <w:r>
              <w:rPr>
                <w:spacing w:val="-15"/>
                <w:sz w:val="24"/>
              </w:rPr>
              <w:t> </w:t>
            </w:r>
            <w:r>
              <w:rPr>
                <w:sz w:val="24"/>
              </w:rPr>
              <w:t>/µl </w:t>
            </w:r>
            <w:r>
              <w:rPr>
                <w:spacing w:val="-2"/>
                <w:sz w:val="24"/>
              </w:rPr>
              <w:t>blood)</w:t>
            </w:r>
          </w:p>
        </w:tc>
        <w:tc>
          <w:tcPr>
            <w:tcW w:w="1996" w:type="dxa"/>
            <w:tcBorders>
              <w:top w:val="single" w:sz="4" w:space="0" w:color="000000"/>
              <w:bottom w:val="single" w:sz="4" w:space="0" w:color="000000"/>
            </w:tcBorders>
          </w:tcPr>
          <w:p>
            <w:pPr>
              <w:pStyle w:val="TableParagraph"/>
              <w:spacing w:line="240" w:lineRule="auto" w:before="270"/>
              <w:ind w:left="227"/>
              <w:jc w:val="left"/>
              <w:rPr>
                <w:sz w:val="24"/>
              </w:rPr>
            </w:pPr>
            <w:r>
              <w:rPr>
                <w:sz w:val="24"/>
              </w:rPr>
              <w:t>Low</w:t>
            </w:r>
            <w:r>
              <w:rPr>
                <w:spacing w:val="-2"/>
                <w:sz w:val="24"/>
              </w:rPr>
              <w:t> count</w:t>
            </w:r>
          </w:p>
          <w:p>
            <w:pPr>
              <w:pStyle w:val="TableParagraph"/>
              <w:spacing w:line="240" w:lineRule="auto" w:before="0"/>
              <w:ind w:left="227"/>
              <w:jc w:val="left"/>
              <w:rPr>
                <w:sz w:val="24"/>
              </w:rPr>
            </w:pPr>
            <w:r>
              <w:rPr>
                <w:sz w:val="24"/>
              </w:rPr>
              <w:t>(&lt;</w:t>
            </w:r>
            <w:r>
              <w:rPr>
                <w:spacing w:val="-2"/>
                <w:sz w:val="24"/>
              </w:rPr>
              <w:t> </w:t>
            </w:r>
            <w:r>
              <w:rPr>
                <w:sz w:val="24"/>
              </w:rPr>
              <w:t>1000 </w:t>
            </w:r>
            <w:r>
              <w:rPr>
                <w:spacing w:val="-2"/>
                <w:sz w:val="24"/>
              </w:rPr>
              <w:t>parasite</w:t>
            </w:r>
          </w:p>
          <w:p>
            <w:pPr>
              <w:pStyle w:val="TableParagraph"/>
              <w:spacing w:line="264" w:lineRule="exact" w:before="0"/>
              <w:ind w:left="227"/>
              <w:jc w:val="left"/>
              <w:rPr>
                <w:sz w:val="24"/>
              </w:rPr>
            </w:pPr>
            <w:r>
              <w:rPr>
                <w:sz w:val="24"/>
              </w:rPr>
              <w:t>/µl</w:t>
            </w:r>
            <w:r>
              <w:rPr>
                <w:spacing w:val="1"/>
                <w:sz w:val="24"/>
              </w:rPr>
              <w:t> </w:t>
            </w:r>
            <w:r>
              <w:rPr>
                <w:spacing w:val="-2"/>
                <w:sz w:val="24"/>
              </w:rPr>
              <w:t>blood)</w:t>
            </w:r>
          </w:p>
        </w:tc>
        <w:tc>
          <w:tcPr>
            <w:tcW w:w="1232" w:type="dxa"/>
            <w:tcBorders>
              <w:top w:val="single" w:sz="4" w:space="0" w:color="000000"/>
              <w:bottom w:val="single" w:sz="4" w:space="0" w:color="000000"/>
            </w:tcBorders>
          </w:tcPr>
          <w:p>
            <w:pPr>
              <w:pStyle w:val="TableParagraph"/>
              <w:spacing w:line="270" w:lineRule="atLeast" w:before="258"/>
              <w:ind w:left="211" w:right="230"/>
              <w:jc w:val="left"/>
              <w:rPr>
                <w:sz w:val="24"/>
              </w:rPr>
            </w:pPr>
            <w:r>
              <w:rPr>
                <w:spacing w:val="-6"/>
                <w:sz w:val="24"/>
              </w:rPr>
              <w:t>No </w:t>
            </w:r>
            <w:r>
              <w:rPr>
                <w:spacing w:val="-2"/>
                <w:sz w:val="24"/>
              </w:rPr>
              <w:t>malarial parasite</w:t>
            </w:r>
          </w:p>
        </w:tc>
        <w:tc>
          <w:tcPr>
            <w:tcW w:w="941" w:type="dxa"/>
            <w:tcBorders>
              <w:top w:val="single" w:sz="4" w:space="0" w:color="000000"/>
              <w:bottom w:val="single" w:sz="4" w:space="0" w:color="000000"/>
            </w:tcBorders>
          </w:tcPr>
          <w:p>
            <w:pPr>
              <w:pStyle w:val="TableParagraph"/>
              <w:spacing w:line="240" w:lineRule="auto" w:before="0"/>
              <w:jc w:val="left"/>
              <w:rPr>
                <w:b/>
                <w:sz w:val="24"/>
              </w:rPr>
            </w:pPr>
          </w:p>
          <w:p>
            <w:pPr>
              <w:pStyle w:val="TableParagraph"/>
              <w:spacing w:line="240" w:lineRule="auto" w:before="270"/>
              <w:jc w:val="left"/>
              <w:rPr>
                <w:b/>
                <w:sz w:val="24"/>
              </w:rPr>
            </w:pPr>
          </w:p>
          <w:p>
            <w:pPr>
              <w:pStyle w:val="TableParagraph"/>
              <w:spacing w:line="264" w:lineRule="exact" w:before="0"/>
              <w:ind w:left="129" w:right="85"/>
              <w:rPr>
                <w:sz w:val="24"/>
              </w:rPr>
            </w:pPr>
            <w:r>
              <w:rPr>
                <w:spacing w:val="-2"/>
                <w:sz w:val="24"/>
              </w:rPr>
              <w:t>Total</w:t>
            </w:r>
          </w:p>
        </w:tc>
      </w:tr>
      <w:tr>
        <w:trPr>
          <w:trHeight w:val="1006" w:hRule="atLeast"/>
        </w:trPr>
        <w:tc>
          <w:tcPr>
            <w:tcW w:w="2892" w:type="dxa"/>
            <w:tcBorders>
              <w:top w:val="single" w:sz="4" w:space="0" w:color="000000"/>
            </w:tcBorders>
          </w:tcPr>
          <w:p>
            <w:pPr>
              <w:pStyle w:val="TableParagraph"/>
              <w:spacing w:line="240" w:lineRule="auto" w:before="275"/>
              <w:ind w:left="115"/>
              <w:jc w:val="left"/>
              <w:rPr>
                <w:sz w:val="24"/>
              </w:rPr>
            </w:pPr>
            <w:r>
              <w:rPr>
                <w:sz w:val="24"/>
              </w:rPr>
              <w:t>Patient</w:t>
            </w:r>
            <w:r>
              <w:rPr>
                <w:spacing w:val="-13"/>
                <w:sz w:val="24"/>
              </w:rPr>
              <w:t> </w:t>
            </w:r>
            <w:r>
              <w:rPr>
                <w:sz w:val="24"/>
              </w:rPr>
              <w:t>with</w:t>
            </w:r>
            <w:r>
              <w:rPr>
                <w:spacing w:val="-13"/>
                <w:sz w:val="24"/>
              </w:rPr>
              <w:t> </w:t>
            </w:r>
            <w:r>
              <w:rPr>
                <w:sz w:val="24"/>
              </w:rPr>
              <w:t>no</w:t>
            </w:r>
            <w:r>
              <w:rPr>
                <w:spacing w:val="-13"/>
                <w:sz w:val="24"/>
              </w:rPr>
              <w:t> </w:t>
            </w:r>
            <w:r>
              <w:rPr>
                <w:sz w:val="24"/>
              </w:rPr>
              <w:t>antimalarial history within 14 days</w:t>
            </w:r>
          </w:p>
        </w:tc>
        <w:tc>
          <w:tcPr>
            <w:tcW w:w="1420" w:type="dxa"/>
            <w:tcBorders>
              <w:top w:val="single" w:sz="4" w:space="0" w:color="000000"/>
            </w:tcBorders>
          </w:tcPr>
          <w:p>
            <w:pPr>
              <w:pStyle w:val="TableParagraph"/>
              <w:spacing w:line="240" w:lineRule="auto" w:before="274"/>
              <w:jc w:val="left"/>
              <w:rPr>
                <w:b/>
                <w:sz w:val="24"/>
              </w:rPr>
            </w:pPr>
          </w:p>
          <w:p>
            <w:pPr>
              <w:pStyle w:val="TableParagraph"/>
              <w:spacing w:line="240" w:lineRule="auto"/>
              <w:ind w:left="126"/>
              <w:rPr>
                <w:sz w:val="24"/>
              </w:rPr>
            </w:pPr>
            <w:r>
              <w:rPr>
                <w:spacing w:val="-5"/>
                <w:sz w:val="24"/>
              </w:rPr>
              <w:t>93</w:t>
            </w:r>
          </w:p>
        </w:tc>
        <w:tc>
          <w:tcPr>
            <w:tcW w:w="1996" w:type="dxa"/>
            <w:tcBorders>
              <w:top w:val="single" w:sz="4" w:space="0" w:color="000000"/>
            </w:tcBorders>
          </w:tcPr>
          <w:p>
            <w:pPr>
              <w:pStyle w:val="TableParagraph"/>
              <w:spacing w:line="240" w:lineRule="auto" w:before="274"/>
              <w:jc w:val="left"/>
              <w:rPr>
                <w:b/>
                <w:sz w:val="24"/>
              </w:rPr>
            </w:pPr>
          </w:p>
          <w:p>
            <w:pPr>
              <w:pStyle w:val="TableParagraph"/>
              <w:spacing w:line="240" w:lineRule="auto"/>
              <w:ind w:right="765"/>
              <w:jc w:val="right"/>
              <w:rPr>
                <w:sz w:val="24"/>
              </w:rPr>
            </w:pPr>
            <w:r>
              <w:rPr>
                <w:spacing w:val="-5"/>
                <w:sz w:val="24"/>
              </w:rPr>
              <w:t>48</w:t>
            </w:r>
          </w:p>
        </w:tc>
        <w:tc>
          <w:tcPr>
            <w:tcW w:w="1232" w:type="dxa"/>
            <w:tcBorders>
              <w:top w:val="single" w:sz="4" w:space="0" w:color="000000"/>
            </w:tcBorders>
          </w:tcPr>
          <w:p>
            <w:pPr>
              <w:pStyle w:val="TableParagraph"/>
              <w:spacing w:line="240" w:lineRule="auto" w:before="274"/>
              <w:jc w:val="left"/>
              <w:rPr>
                <w:b/>
                <w:sz w:val="24"/>
              </w:rPr>
            </w:pPr>
          </w:p>
          <w:p>
            <w:pPr>
              <w:pStyle w:val="TableParagraph"/>
              <w:spacing w:line="240" w:lineRule="auto"/>
              <w:ind w:left="233"/>
              <w:rPr>
                <w:sz w:val="24"/>
              </w:rPr>
            </w:pPr>
            <w:r>
              <w:rPr>
                <w:spacing w:val="-5"/>
                <w:sz w:val="24"/>
              </w:rPr>
              <w:t>117</w:t>
            </w:r>
          </w:p>
        </w:tc>
        <w:tc>
          <w:tcPr>
            <w:tcW w:w="941" w:type="dxa"/>
            <w:tcBorders>
              <w:top w:val="single" w:sz="4" w:space="0" w:color="000000"/>
            </w:tcBorders>
          </w:tcPr>
          <w:p>
            <w:pPr>
              <w:pStyle w:val="TableParagraph"/>
              <w:spacing w:line="240" w:lineRule="auto" w:before="274"/>
              <w:jc w:val="left"/>
              <w:rPr>
                <w:b/>
                <w:sz w:val="24"/>
              </w:rPr>
            </w:pPr>
          </w:p>
          <w:p>
            <w:pPr>
              <w:pStyle w:val="TableParagraph"/>
              <w:spacing w:line="240" w:lineRule="auto"/>
              <w:ind w:left="129"/>
              <w:rPr>
                <w:sz w:val="24"/>
              </w:rPr>
            </w:pPr>
            <w:r>
              <w:rPr>
                <w:spacing w:val="-5"/>
                <w:sz w:val="24"/>
              </w:rPr>
              <w:t>258</w:t>
            </w:r>
          </w:p>
        </w:tc>
      </w:tr>
      <w:tr>
        <w:trPr>
          <w:trHeight w:val="864" w:hRule="atLeast"/>
        </w:trPr>
        <w:tc>
          <w:tcPr>
            <w:tcW w:w="2892" w:type="dxa"/>
          </w:tcPr>
          <w:p>
            <w:pPr>
              <w:pStyle w:val="TableParagraph"/>
              <w:spacing w:line="240" w:lineRule="auto" w:before="169"/>
              <w:ind w:left="115"/>
              <w:jc w:val="left"/>
              <w:rPr>
                <w:sz w:val="24"/>
              </w:rPr>
            </w:pPr>
            <w:r>
              <w:rPr>
                <w:sz w:val="24"/>
              </w:rPr>
              <w:t>Patient</w:t>
            </w:r>
            <w:r>
              <w:rPr>
                <w:spacing w:val="-15"/>
                <w:sz w:val="24"/>
              </w:rPr>
              <w:t> </w:t>
            </w:r>
            <w:r>
              <w:rPr>
                <w:sz w:val="24"/>
              </w:rPr>
              <w:t>with</w:t>
            </w:r>
            <w:r>
              <w:rPr>
                <w:spacing w:val="-15"/>
                <w:sz w:val="24"/>
              </w:rPr>
              <w:t> </w:t>
            </w:r>
            <w:r>
              <w:rPr>
                <w:sz w:val="24"/>
              </w:rPr>
              <w:t>antimalarial history within 14 days</w:t>
            </w:r>
          </w:p>
        </w:tc>
        <w:tc>
          <w:tcPr>
            <w:tcW w:w="1420" w:type="dxa"/>
          </w:tcPr>
          <w:p>
            <w:pPr>
              <w:pStyle w:val="TableParagraph"/>
              <w:spacing w:line="240" w:lineRule="auto" w:before="168"/>
              <w:jc w:val="left"/>
              <w:rPr>
                <w:b/>
                <w:sz w:val="24"/>
              </w:rPr>
            </w:pPr>
          </w:p>
          <w:p>
            <w:pPr>
              <w:pStyle w:val="TableParagraph"/>
              <w:spacing w:line="240" w:lineRule="auto"/>
              <w:ind w:left="126"/>
              <w:rPr>
                <w:sz w:val="24"/>
              </w:rPr>
            </w:pPr>
            <w:r>
              <w:rPr>
                <w:spacing w:val="-10"/>
                <w:sz w:val="24"/>
              </w:rPr>
              <w:t>8</w:t>
            </w:r>
          </w:p>
        </w:tc>
        <w:tc>
          <w:tcPr>
            <w:tcW w:w="1996" w:type="dxa"/>
          </w:tcPr>
          <w:p>
            <w:pPr>
              <w:pStyle w:val="TableParagraph"/>
              <w:spacing w:line="240" w:lineRule="auto" w:before="168"/>
              <w:jc w:val="left"/>
              <w:rPr>
                <w:b/>
                <w:sz w:val="24"/>
              </w:rPr>
            </w:pPr>
          </w:p>
          <w:p>
            <w:pPr>
              <w:pStyle w:val="TableParagraph"/>
              <w:spacing w:line="240" w:lineRule="auto"/>
              <w:ind w:right="765"/>
              <w:jc w:val="right"/>
              <w:rPr>
                <w:sz w:val="24"/>
              </w:rPr>
            </w:pPr>
            <w:r>
              <w:rPr>
                <w:spacing w:val="-5"/>
                <w:sz w:val="24"/>
              </w:rPr>
              <w:t>24</w:t>
            </w:r>
          </w:p>
        </w:tc>
        <w:tc>
          <w:tcPr>
            <w:tcW w:w="1232" w:type="dxa"/>
          </w:tcPr>
          <w:p>
            <w:pPr>
              <w:pStyle w:val="TableParagraph"/>
              <w:spacing w:line="240" w:lineRule="auto" w:before="168"/>
              <w:jc w:val="left"/>
              <w:rPr>
                <w:b/>
                <w:sz w:val="24"/>
              </w:rPr>
            </w:pPr>
          </w:p>
          <w:p>
            <w:pPr>
              <w:pStyle w:val="TableParagraph"/>
              <w:spacing w:line="240" w:lineRule="auto"/>
              <w:ind w:left="233"/>
              <w:rPr>
                <w:sz w:val="24"/>
              </w:rPr>
            </w:pPr>
            <w:r>
              <w:rPr>
                <w:spacing w:val="-5"/>
                <w:sz w:val="24"/>
              </w:rPr>
              <w:t>14</w:t>
            </w:r>
          </w:p>
        </w:tc>
        <w:tc>
          <w:tcPr>
            <w:tcW w:w="941" w:type="dxa"/>
          </w:tcPr>
          <w:p>
            <w:pPr>
              <w:pStyle w:val="TableParagraph"/>
              <w:spacing w:line="240" w:lineRule="auto" w:before="168"/>
              <w:jc w:val="left"/>
              <w:rPr>
                <w:b/>
                <w:sz w:val="24"/>
              </w:rPr>
            </w:pPr>
          </w:p>
          <w:p>
            <w:pPr>
              <w:pStyle w:val="TableParagraph"/>
              <w:spacing w:line="240" w:lineRule="auto"/>
              <w:ind w:left="129"/>
              <w:rPr>
                <w:sz w:val="24"/>
              </w:rPr>
            </w:pPr>
            <w:r>
              <w:rPr>
                <w:spacing w:val="-5"/>
                <w:sz w:val="24"/>
              </w:rPr>
              <w:t>46</w:t>
            </w:r>
          </w:p>
        </w:tc>
      </w:tr>
      <w:tr>
        <w:trPr>
          <w:trHeight w:val="417" w:hRule="atLeast"/>
        </w:trPr>
        <w:tc>
          <w:tcPr>
            <w:tcW w:w="2892" w:type="dxa"/>
            <w:tcBorders>
              <w:bottom w:val="single" w:sz="4" w:space="0" w:color="000000"/>
            </w:tcBorders>
          </w:tcPr>
          <w:p>
            <w:pPr>
              <w:pStyle w:val="TableParagraph"/>
              <w:spacing w:line="264" w:lineRule="exact" w:before="133"/>
              <w:ind w:left="115"/>
              <w:jc w:val="left"/>
              <w:rPr>
                <w:sz w:val="24"/>
              </w:rPr>
            </w:pPr>
            <w:r>
              <w:rPr>
                <w:spacing w:val="-2"/>
                <w:sz w:val="24"/>
              </w:rPr>
              <w:t>Total</w:t>
            </w:r>
          </w:p>
        </w:tc>
        <w:tc>
          <w:tcPr>
            <w:tcW w:w="1420" w:type="dxa"/>
            <w:tcBorders>
              <w:bottom w:val="single" w:sz="4" w:space="0" w:color="000000"/>
            </w:tcBorders>
          </w:tcPr>
          <w:p>
            <w:pPr>
              <w:pStyle w:val="TableParagraph"/>
              <w:spacing w:line="264" w:lineRule="exact" w:before="133"/>
              <w:ind w:left="126"/>
              <w:rPr>
                <w:sz w:val="24"/>
              </w:rPr>
            </w:pPr>
            <w:r>
              <w:rPr>
                <w:spacing w:val="-5"/>
                <w:sz w:val="24"/>
              </w:rPr>
              <w:t>101</w:t>
            </w:r>
          </w:p>
        </w:tc>
        <w:tc>
          <w:tcPr>
            <w:tcW w:w="1996" w:type="dxa"/>
            <w:tcBorders>
              <w:bottom w:val="single" w:sz="4" w:space="0" w:color="000000"/>
            </w:tcBorders>
          </w:tcPr>
          <w:p>
            <w:pPr>
              <w:pStyle w:val="TableParagraph"/>
              <w:spacing w:line="264" w:lineRule="exact" w:before="133"/>
              <w:ind w:right="765"/>
              <w:jc w:val="right"/>
              <w:rPr>
                <w:sz w:val="24"/>
              </w:rPr>
            </w:pPr>
            <w:r>
              <w:rPr>
                <w:spacing w:val="-5"/>
                <w:sz w:val="24"/>
              </w:rPr>
              <w:t>72</w:t>
            </w:r>
          </w:p>
        </w:tc>
        <w:tc>
          <w:tcPr>
            <w:tcW w:w="1232" w:type="dxa"/>
            <w:tcBorders>
              <w:bottom w:val="single" w:sz="4" w:space="0" w:color="000000"/>
            </w:tcBorders>
          </w:tcPr>
          <w:p>
            <w:pPr>
              <w:pStyle w:val="TableParagraph"/>
              <w:spacing w:line="264" w:lineRule="exact" w:before="133"/>
              <w:ind w:left="233"/>
              <w:rPr>
                <w:sz w:val="24"/>
              </w:rPr>
            </w:pPr>
            <w:r>
              <w:rPr>
                <w:spacing w:val="-5"/>
                <w:sz w:val="24"/>
              </w:rPr>
              <w:t>131</w:t>
            </w:r>
          </w:p>
        </w:tc>
        <w:tc>
          <w:tcPr>
            <w:tcW w:w="941" w:type="dxa"/>
            <w:tcBorders>
              <w:bottom w:val="single" w:sz="4" w:space="0" w:color="000000"/>
            </w:tcBorders>
          </w:tcPr>
          <w:p>
            <w:pPr>
              <w:pStyle w:val="TableParagraph"/>
              <w:spacing w:line="264" w:lineRule="exact" w:before="133"/>
              <w:ind w:left="129"/>
              <w:rPr>
                <w:sz w:val="24"/>
              </w:rPr>
            </w:pPr>
            <w:r>
              <w:rPr>
                <w:spacing w:val="-5"/>
                <w:sz w:val="24"/>
              </w:rPr>
              <w:t>304</w:t>
            </w:r>
          </w:p>
        </w:tc>
      </w:tr>
    </w:tbl>
    <w:p>
      <w:pPr>
        <w:spacing w:after="0" w:line="264" w:lineRule="exact"/>
        <w:rPr>
          <w:sz w:val="24"/>
        </w:rPr>
        <w:sectPr>
          <w:pgSz w:w="11910" w:h="16840"/>
          <w:pgMar w:header="0" w:footer="1254" w:top="1360" w:bottom="1440" w:left="1180" w:right="580"/>
        </w:sectPr>
      </w:pPr>
    </w:p>
    <w:p>
      <w:pPr>
        <w:pStyle w:val="ListParagraph"/>
        <w:numPr>
          <w:ilvl w:val="2"/>
          <w:numId w:val="15"/>
        </w:numPr>
        <w:tabs>
          <w:tab w:pos="800" w:val="left" w:leader="none"/>
        </w:tabs>
        <w:spacing w:line="240" w:lineRule="auto" w:before="78" w:after="0"/>
        <w:ind w:left="800" w:right="0" w:hanging="540"/>
        <w:jc w:val="both"/>
        <w:rPr>
          <w:b/>
          <w:sz w:val="24"/>
        </w:rPr>
      </w:pPr>
      <w:r>
        <w:rPr>
          <w:b/>
          <w:sz w:val="24"/>
        </w:rPr>
        <w:t>Evaluation</w:t>
      </w:r>
      <w:r>
        <w:rPr>
          <w:b/>
          <w:spacing w:val="-3"/>
          <w:sz w:val="24"/>
        </w:rPr>
        <w:t> </w:t>
      </w:r>
      <w:r>
        <w:rPr>
          <w:b/>
          <w:sz w:val="24"/>
        </w:rPr>
        <w:t>of</w:t>
      </w:r>
      <w:r>
        <w:rPr>
          <w:b/>
          <w:spacing w:val="-1"/>
          <w:sz w:val="24"/>
        </w:rPr>
        <w:t> </w:t>
      </w:r>
      <w:r>
        <w:rPr>
          <w:b/>
          <w:i/>
          <w:sz w:val="24"/>
        </w:rPr>
        <w:t>In</w:t>
      </w:r>
      <w:r>
        <w:rPr>
          <w:b/>
          <w:i/>
          <w:spacing w:val="-1"/>
          <w:sz w:val="24"/>
        </w:rPr>
        <w:t> </w:t>
      </w:r>
      <w:r>
        <w:rPr>
          <w:b/>
          <w:i/>
          <w:sz w:val="24"/>
        </w:rPr>
        <w:t>vitro</w:t>
      </w:r>
      <w:r>
        <w:rPr>
          <w:b/>
          <w:i/>
          <w:spacing w:val="-1"/>
          <w:sz w:val="24"/>
        </w:rPr>
        <w:t> </w:t>
      </w:r>
      <w:r>
        <w:rPr>
          <w:b/>
          <w:sz w:val="24"/>
        </w:rPr>
        <w:t>susceptibility</w:t>
      </w:r>
      <w:r>
        <w:rPr>
          <w:b/>
          <w:spacing w:val="-2"/>
          <w:sz w:val="24"/>
        </w:rPr>
        <w:t> </w:t>
      </w:r>
      <w:r>
        <w:rPr>
          <w:b/>
          <w:i/>
          <w:sz w:val="24"/>
        </w:rPr>
        <w:t>P.</w:t>
      </w:r>
      <w:r>
        <w:rPr>
          <w:b/>
          <w:i/>
          <w:spacing w:val="-2"/>
          <w:sz w:val="24"/>
        </w:rPr>
        <w:t> </w:t>
      </w:r>
      <w:r>
        <w:rPr>
          <w:b/>
          <w:i/>
          <w:sz w:val="24"/>
        </w:rPr>
        <w:t>falciparum</w:t>
      </w:r>
      <w:r>
        <w:rPr>
          <w:b/>
          <w:i/>
          <w:spacing w:val="1"/>
          <w:sz w:val="24"/>
        </w:rPr>
        <w:t> </w:t>
      </w:r>
      <w:r>
        <w:rPr>
          <w:b/>
          <w:spacing w:val="-2"/>
          <w:sz w:val="24"/>
        </w:rPr>
        <w:t>isolates</w:t>
      </w:r>
    </w:p>
    <w:p>
      <w:pPr>
        <w:pStyle w:val="BodyText"/>
        <w:spacing w:line="480" w:lineRule="auto" w:before="272"/>
        <w:ind w:left="260" w:right="856"/>
        <w:jc w:val="both"/>
      </w:pPr>
      <w:r>
        <w:rPr/>
        <w:t>A total of 93 </w:t>
      </w:r>
      <w:r>
        <w:rPr>
          <w:i/>
        </w:rPr>
        <w:t>Plasmodium falciparum </w:t>
      </w:r>
      <w:r>
        <w:rPr/>
        <w:t>isolates were processed, but 20 isolates were successfully</w:t>
      </w:r>
      <w:r>
        <w:rPr>
          <w:spacing w:val="-2"/>
        </w:rPr>
        <w:t> </w:t>
      </w:r>
      <w:r>
        <w:rPr/>
        <w:t>evaluated for the antimalarial drugs, viz; Chloroquine, Amodiaquine, Artesunate and combinations of Artesunate-Amodiaqu4ine. Some samples were discarded due to failure of schizonts to mature satisfactorily, while others were lost due to fire accident in the laboratory during the study. The schizont maturation counts in Chloroquine, Amodiaquine, Artesunate and a combination of Artesunate-Amodiaquine were obtained (Appendix VI) and schizonts</w:t>
      </w:r>
      <w:r>
        <w:rPr>
          <w:spacing w:val="1"/>
        </w:rPr>
        <w:t> </w:t>
      </w:r>
      <w:r>
        <w:rPr/>
        <w:t>percentage</w:t>
      </w:r>
      <w:r>
        <w:rPr>
          <w:spacing w:val="2"/>
        </w:rPr>
        <w:t> </w:t>
      </w:r>
      <w:r>
        <w:rPr/>
        <w:t>inhibition</w:t>
      </w:r>
      <w:r>
        <w:rPr>
          <w:spacing w:val="1"/>
        </w:rPr>
        <w:t> </w:t>
      </w:r>
      <w:r>
        <w:rPr/>
        <w:t>for</w:t>
      </w:r>
      <w:r>
        <w:rPr>
          <w:spacing w:val="-1"/>
        </w:rPr>
        <w:t> </w:t>
      </w:r>
      <w:r>
        <w:rPr/>
        <w:t>the test</w:t>
      </w:r>
      <w:r>
        <w:rPr>
          <w:spacing w:val="1"/>
        </w:rPr>
        <w:t> </w:t>
      </w:r>
      <w:r>
        <w:rPr/>
        <w:t>antimalarial</w:t>
      </w:r>
      <w:r>
        <w:rPr>
          <w:spacing w:val="1"/>
        </w:rPr>
        <w:t> </w:t>
      </w:r>
      <w:r>
        <w:rPr/>
        <w:t>drugs</w:t>
      </w:r>
      <w:r>
        <w:rPr>
          <w:spacing w:val="3"/>
        </w:rPr>
        <w:t> </w:t>
      </w:r>
      <w:r>
        <w:rPr/>
        <w:t>are</w:t>
      </w:r>
      <w:r>
        <w:rPr>
          <w:spacing w:val="-1"/>
        </w:rPr>
        <w:t> </w:t>
      </w:r>
      <w:r>
        <w:rPr/>
        <w:t>presented</w:t>
      </w:r>
      <w:r>
        <w:rPr>
          <w:spacing w:val="3"/>
        </w:rPr>
        <w:t> </w:t>
      </w:r>
      <w:r>
        <w:rPr/>
        <w:t>in</w:t>
      </w:r>
      <w:r>
        <w:rPr>
          <w:spacing w:val="1"/>
        </w:rPr>
        <w:t> </w:t>
      </w:r>
      <w:r>
        <w:rPr/>
        <w:t>Tables 4.3,</w:t>
      </w:r>
      <w:r>
        <w:rPr>
          <w:spacing w:val="2"/>
        </w:rPr>
        <w:t> </w:t>
      </w:r>
      <w:r>
        <w:rPr>
          <w:spacing w:val="-4"/>
        </w:rPr>
        <w:t>4.4,</w:t>
      </w:r>
    </w:p>
    <w:p>
      <w:pPr>
        <w:pStyle w:val="BodyText"/>
        <w:spacing w:before="1"/>
        <w:ind w:left="260"/>
        <w:jc w:val="both"/>
      </w:pPr>
      <w:r>
        <w:rPr/>
        <w:t>4.5</w:t>
      </w:r>
      <w:r>
        <w:rPr>
          <w:spacing w:val="-1"/>
        </w:rPr>
        <w:t> </w:t>
      </w:r>
      <w:r>
        <w:rPr/>
        <w:t>and </w:t>
      </w:r>
      <w:r>
        <w:rPr>
          <w:spacing w:val="-4"/>
        </w:rPr>
        <w:t>4.6.</w:t>
      </w:r>
    </w:p>
    <w:p>
      <w:pPr>
        <w:spacing w:after="0"/>
        <w:jc w:val="both"/>
        <w:sectPr>
          <w:pgSz w:w="11910" w:h="16840"/>
          <w:pgMar w:header="0" w:footer="1254" w:top="1340" w:bottom="1440" w:left="1180" w:right="580"/>
        </w:sectPr>
      </w:pPr>
    </w:p>
    <w:p>
      <w:pPr>
        <w:pStyle w:val="BodyText"/>
        <w:spacing w:line="362" w:lineRule="auto" w:before="76"/>
        <w:ind w:left="260"/>
        <w:rPr>
          <w:rFonts w:ascii="Calibri" w:hAnsi="Calibri"/>
          <w:sz w:val="22"/>
        </w:rPr>
      </w:pPr>
      <w:r>
        <w:rPr/>
        <w:t>Table</w:t>
      </w:r>
      <w:r>
        <w:rPr>
          <w:spacing w:val="80"/>
        </w:rPr>
        <w:t> </w:t>
      </w:r>
      <w:r>
        <w:rPr/>
        <w:t>4.3:</w:t>
      </w:r>
      <w:r>
        <w:rPr>
          <w:spacing w:val="80"/>
        </w:rPr>
        <w:t> </w:t>
      </w:r>
      <w:r>
        <w:rPr/>
        <w:t>Degree</w:t>
      </w:r>
      <w:r>
        <w:rPr>
          <w:spacing w:val="80"/>
        </w:rPr>
        <w:t> </w:t>
      </w:r>
      <w:r>
        <w:rPr/>
        <w:t>of</w:t>
      </w:r>
      <w:r>
        <w:rPr>
          <w:spacing w:val="80"/>
        </w:rPr>
        <w:t> </w:t>
      </w:r>
      <w:r>
        <w:rPr/>
        <w:t>Chloroquine</w:t>
      </w:r>
      <w:r>
        <w:rPr>
          <w:spacing w:val="80"/>
        </w:rPr>
        <w:t> </w:t>
      </w:r>
      <w:r>
        <w:rPr/>
        <w:t>inhibition</w:t>
      </w:r>
      <w:r>
        <w:rPr>
          <w:spacing w:val="80"/>
        </w:rPr>
        <w:t> </w:t>
      </w:r>
      <w:r>
        <w:rPr/>
        <w:t>of</w:t>
      </w:r>
      <w:r>
        <w:rPr>
          <w:spacing w:val="80"/>
        </w:rPr>
        <w:t> </w:t>
      </w:r>
      <w:r>
        <w:rPr/>
        <w:t>schizont</w:t>
      </w:r>
      <w:r>
        <w:rPr>
          <w:spacing w:val="80"/>
        </w:rPr>
        <w:t> </w:t>
      </w:r>
      <w:r>
        <w:rPr/>
        <w:t>maturation</w:t>
      </w:r>
      <w:r>
        <w:rPr>
          <w:spacing w:val="80"/>
        </w:rPr>
        <w:t> </w:t>
      </w:r>
      <w:r>
        <w:rPr/>
        <w:t>(%)</w:t>
      </w:r>
      <w:r>
        <w:rPr>
          <w:spacing w:val="80"/>
        </w:rPr>
        <w:t> </w:t>
      </w:r>
      <w:r>
        <w:rPr/>
        <w:t>at</w:t>
      </w:r>
      <w:r>
        <w:rPr>
          <w:spacing w:val="80"/>
        </w:rPr>
        <w:t> </w:t>
      </w:r>
      <w:r>
        <w:rPr/>
        <w:t>different antimalarial concentrations (</w:t>
      </w:r>
      <w:r>
        <w:rPr>
          <w:rFonts w:ascii="Calibri" w:hAnsi="Calibri"/>
          <w:sz w:val="22"/>
        </w:rPr>
        <w:t>µM)</w:t>
      </w: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2"/>
        <w:gridCol w:w="963"/>
        <w:gridCol w:w="754"/>
        <w:gridCol w:w="879"/>
        <w:gridCol w:w="915"/>
        <w:gridCol w:w="969"/>
        <w:gridCol w:w="942"/>
        <w:gridCol w:w="943"/>
        <w:gridCol w:w="943"/>
      </w:tblGrid>
      <w:tr>
        <w:trPr>
          <w:trHeight w:val="299" w:hRule="atLeast"/>
        </w:trPr>
        <w:tc>
          <w:tcPr>
            <w:tcW w:w="1852" w:type="dxa"/>
            <w:vMerge w:val="restart"/>
            <w:tcBorders>
              <w:top w:val="single" w:sz="4" w:space="0" w:color="000000"/>
              <w:bottom w:val="single" w:sz="4" w:space="0" w:color="000000"/>
            </w:tcBorders>
          </w:tcPr>
          <w:p>
            <w:pPr>
              <w:pStyle w:val="TableParagraph"/>
              <w:spacing w:line="250" w:lineRule="atLeast" w:before="49"/>
              <w:ind w:left="568" w:right="132" w:hanging="437"/>
              <w:jc w:val="left"/>
              <w:rPr>
                <w:sz w:val="22"/>
              </w:rPr>
            </w:pPr>
            <w:r>
              <w:rPr>
                <w:sz w:val="22"/>
              </w:rPr>
              <w:t>Parasitemia</w:t>
            </w:r>
            <w:r>
              <w:rPr>
                <w:spacing w:val="-14"/>
                <w:sz w:val="22"/>
              </w:rPr>
              <w:t> </w:t>
            </w:r>
            <w:r>
              <w:rPr>
                <w:sz w:val="22"/>
              </w:rPr>
              <w:t>blood </w:t>
            </w:r>
            <w:r>
              <w:rPr>
                <w:spacing w:val="-2"/>
                <w:sz w:val="22"/>
              </w:rPr>
              <w:t>samples</w:t>
            </w:r>
          </w:p>
        </w:tc>
        <w:tc>
          <w:tcPr>
            <w:tcW w:w="963" w:type="dxa"/>
            <w:tcBorders>
              <w:top w:val="single" w:sz="4" w:space="0" w:color="000000"/>
            </w:tcBorders>
          </w:tcPr>
          <w:p>
            <w:pPr>
              <w:pStyle w:val="TableParagraph"/>
              <w:spacing w:line="250" w:lineRule="exact" w:before="29"/>
              <w:ind w:left="2" w:right="13"/>
              <w:rPr>
                <w:sz w:val="22"/>
              </w:rPr>
            </w:pPr>
            <w:r>
              <w:rPr>
                <w:spacing w:val="-10"/>
                <w:sz w:val="22"/>
              </w:rPr>
              <w:t>A</w:t>
            </w:r>
          </w:p>
        </w:tc>
        <w:tc>
          <w:tcPr>
            <w:tcW w:w="754" w:type="dxa"/>
            <w:tcBorders>
              <w:top w:val="single" w:sz="4" w:space="0" w:color="000000"/>
            </w:tcBorders>
          </w:tcPr>
          <w:p>
            <w:pPr>
              <w:pStyle w:val="TableParagraph"/>
              <w:spacing w:line="250" w:lineRule="exact" w:before="29"/>
              <w:ind w:left="1" w:right="61"/>
              <w:rPr>
                <w:sz w:val="22"/>
              </w:rPr>
            </w:pPr>
            <w:r>
              <w:rPr>
                <w:spacing w:val="-10"/>
                <w:sz w:val="22"/>
              </w:rPr>
              <w:t>B</w:t>
            </w:r>
          </w:p>
        </w:tc>
        <w:tc>
          <w:tcPr>
            <w:tcW w:w="879" w:type="dxa"/>
            <w:tcBorders>
              <w:top w:val="single" w:sz="4" w:space="0" w:color="000000"/>
            </w:tcBorders>
          </w:tcPr>
          <w:p>
            <w:pPr>
              <w:pStyle w:val="TableParagraph"/>
              <w:spacing w:line="250" w:lineRule="exact" w:before="29"/>
              <w:ind w:right="57"/>
              <w:rPr>
                <w:sz w:val="22"/>
              </w:rPr>
            </w:pPr>
            <w:r>
              <w:rPr>
                <w:spacing w:val="-10"/>
                <w:sz w:val="22"/>
              </w:rPr>
              <w:t>C</w:t>
            </w:r>
          </w:p>
        </w:tc>
        <w:tc>
          <w:tcPr>
            <w:tcW w:w="915" w:type="dxa"/>
            <w:tcBorders>
              <w:top w:val="single" w:sz="4" w:space="0" w:color="000000"/>
            </w:tcBorders>
          </w:tcPr>
          <w:p>
            <w:pPr>
              <w:pStyle w:val="TableParagraph"/>
              <w:spacing w:line="250" w:lineRule="exact" w:before="29"/>
              <w:ind w:left="33" w:right="2"/>
              <w:rPr>
                <w:sz w:val="22"/>
              </w:rPr>
            </w:pPr>
            <w:r>
              <w:rPr>
                <w:spacing w:val="-10"/>
                <w:sz w:val="22"/>
              </w:rPr>
              <w:t>D</w:t>
            </w:r>
          </w:p>
        </w:tc>
        <w:tc>
          <w:tcPr>
            <w:tcW w:w="969" w:type="dxa"/>
            <w:tcBorders>
              <w:top w:val="single" w:sz="4" w:space="0" w:color="000000"/>
            </w:tcBorders>
          </w:tcPr>
          <w:p>
            <w:pPr>
              <w:pStyle w:val="TableParagraph"/>
              <w:spacing w:line="250" w:lineRule="exact" w:before="29"/>
              <w:ind w:left="35" w:right="2"/>
              <w:rPr>
                <w:sz w:val="22"/>
              </w:rPr>
            </w:pPr>
            <w:r>
              <w:rPr>
                <w:spacing w:val="-10"/>
                <w:sz w:val="22"/>
              </w:rPr>
              <w:t>E</w:t>
            </w:r>
          </w:p>
        </w:tc>
        <w:tc>
          <w:tcPr>
            <w:tcW w:w="942" w:type="dxa"/>
            <w:tcBorders>
              <w:top w:val="single" w:sz="4" w:space="0" w:color="000000"/>
            </w:tcBorders>
          </w:tcPr>
          <w:p>
            <w:pPr>
              <w:pStyle w:val="TableParagraph"/>
              <w:spacing w:line="250" w:lineRule="exact" w:before="29"/>
              <w:ind w:left="6"/>
              <w:rPr>
                <w:sz w:val="22"/>
              </w:rPr>
            </w:pPr>
            <w:r>
              <w:rPr>
                <w:spacing w:val="-10"/>
                <w:sz w:val="22"/>
              </w:rPr>
              <w:t>F</w:t>
            </w:r>
          </w:p>
        </w:tc>
        <w:tc>
          <w:tcPr>
            <w:tcW w:w="943" w:type="dxa"/>
            <w:tcBorders>
              <w:top w:val="single" w:sz="4" w:space="0" w:color="000000"/>
            </w:tcBorders>
          </w:tcPr>
          <w:p>
            <w:pPr>
              <w:pStyle w:val="TableParagraph"/>
              <w:spacing w:line="250" w:lineRule="exact" w:before="29"/>
              <w:ind w:left="9" w:right="2"/>
              <w:rPr>
                <w:sz w:val="22"/>
              </w:rPr>
            </w:pPr>
            <w:r>
              <w:rPr>
                <w:spacing w:val="-10"/>
                <w:sz w:val="22"/>
              </w:rPr>
              <w:t>G</w:t>
            </w:r>
          </w:p>
        </w:tc>
        <w:tc>
          <w:tcPr>
            <w:tcW w:w="943" w:type="dxa"/>
            <w:tcBorders>
              <w:top w:val="single" w:sz="4" w:space="0" w:color="000000"/>
            </w:tcBorders>
          </w:tcPr>
          <w:p>
            <w:pPr>
              <w:pStyle w:val="TableParagraph"/>
              <w:spacing w:line="250" w:lineRule="exact" w:before="29"/>
              <w:ind w:left="9" w:right="2"/>
              <w:rPr>
                <w:sz w:val="22"/>
              </w:rPr>
            </w:pPr>
            <w:r>
              <w:rPr>
                <w:spacing w:val="-10"/>
                <w:sz w:val="22"/>
              </w:rPr>
              <w:t>H</w:t>
            </w:r>
          </w:p>
        </w:tc>
      </w:tr>
      <w:tr>
        <w:trPr>
          <w:trHeight w:val="266" w:hRule="atLeast"/>
        </w:trPr>
        <w:tc>
          <w:tcPr>
            <w:tcW w:w="1852" w:type="dxa"/>
            <w:vMerge/>
            <w:tcBorders>
              <w:top w:val="nil"/>
              <w:bottom w:val="single" w:sz="4" w:space="0" w:color="000000"/>
            </w:tcBorders>
          </w:tcPr>
          <w:p>
            <w:pPr>
              <w:rPr>
                <w:sz w:val="2"/>
                <w:szCs w:val="2"/>
              </w:rPr>
            </w:pPr>
          </w:p>
        </w:tc>
        <w:tc>
          <w:tcPr>
            <w:tcW w:w="963" w:type="dxa"/>
            <w:tcBorders>
              <w:bottom w:val="single" w:sz="4" w:space="0" w:color="000000"/>
            </w:tcBorders>
          </w:tcPr>
          <w:p>
            <w:pPr>
              <w:pStyle w:val="TableParagraph"/>
              <w:spacing w:line="238" w:lineRule="exact" w:before="8"/>
              <w:ind w:right="13"/>
              <w:rPr>
                <w:sz w:val="22"/>
              </w:rPr>
            </w:pPr>
            <w:r>
              <w:rPr>
                <w:spacing w:val="-2"/>
                <w:sz w:val="22"/>
              </w:rPr>
              <w:t>Control</w:t>
            </w:r>
          </w:p>
        </w:tc>
        <w:tc>
          <w:tcPr>
            <w:tcW w:w="754" w:type="dxa"/>
            <w:tcBorders>
              <w:bottom w:val="single" w:sz="4" w:space="0" w:color="000000"/>
            </w:tcBorders>
          </w:tcPr>
          <w:p>
            <w:pPr>
              <w:pStyle w:val="TableParagraph"/>
              <w:spacing w:line="238" w:lineRule="exact" w:before="8"/>
              <w:ind w:right="61"/>
              <w:rPr>
                <w:sz w:val="22"/>
              </w:rPr>
            </w:pPr>
            <w:r>
              <w:rPr>
                <w:spacing w:val="-5"/>
                <w:sz w:val="22"/>
              </w:rPr>
              <w:t>0.2</w:t>
            </w:r>
          </w:p>
        </w:tc>
        <w:tc>
          <w:tcPr>
            <w:tcW w:w="879" w:type="dxa"/>
            <w:tcBorders>
              <w:bottom w:val="single" w:sz="4" w:space="0" w:color="000000"/>
            </w:tcBorders>
          </w:tcPr>
          <w:p>
            <w:pPr>
              <w:pStyle w:val="TableParagraph"/>
              <w:spacing w:line="238" w:lineRule="exact" w:before="8"/>
              <w:ind w:right="57"/>
              <w:rPr>
                <w:sz w:val="22"/>
              </w:rPr>
            </w:pPr>
            <w:r>
              <w:rPr>
                <w:spacing w:val="-5"/>
                <w:sz w:val="22"/>
              </w:rPr>
              <w:t>0.4</w:t>
            </w:r>
          </w:p>
        </w:tc>
        <w:tc>
          <w:tcPr>
            <w:tcW w:w="915" w:type="dxa"/>
            <w:tcBorders>
              <w:bottom w:val="single" w:sz="4" w:space="0" w:color="000000"/>
            </w:tcBorders>
          </w:tcPr>
          <w:p>
            <w:pPr>
              <w:pStyle w:val="TableParagraph"/>
              <w:spacing w:line="238" w:lineRule="exact" w:before="8"/>
              <w:ind w:left="33"/>
              <w:rPr>
                <w:sz w:val="22"/>
              </w:rPr>
            </w:pPr>
            <w:r>
              <w:rPr>
                <w:spacing w:val="-5"/>
                <w:sz w:val="22"/>
              </w:rPr>
              <w:t>0.8</w:t>
            </w:r>
          </w:p>
        </w:tc>
        <w:tc>
          <w:tcPr>
            <w:tcW w:w="969" w:type="dxa"/>
            <w:tcBorders>
              <w:bottom w:val="single" w:sz="4" w:space="0" w:color="000000"/>
            </w:tcBorders>
          </w:tcPr>
          <w:p>
            <w:pPr>
              <w:pStyle w:val="TableParagraph"/>
              <w:spacing w:line="238" w:lineRule="exact" w:before="8"/>
              <w:ind w:left="35"/>
              <w:rPr>
                <w:sz w:val="22"/>
              </w:rPr>
            </w:pPr>
            <w:r>
              <w:rPr>
                <w:spacing w:val="-5"/>
                <w:sz w:val="22"/>
              </w:rPr>
              <w:t>1.6</w:t>
            </w:r>
          </w:p>
        </w:tc>
        <w:tc>
          <w:tcPr>
            <w:tcW w:w="942" w:type="dxa"/>
            <w:tcBorders>
              <w:bottom w:val="single" w:sz="4" w:space="0" w:color="000000"/>
            </w:tcBorders>
          </w:tcPr>
          <w:p>
            <w:pPr>
              <w:pStyle w:val="TableParagraph"/>
              <w:spacing w:line="238" w:lineRule="exact" w:before="8"/>
              <w:ind w:left="6"/>
              <w:rPr>
                <w:sz w:val="22"/>
              </w:rPr>
            </w:pPr>
            <w:r>
              <w:rPr>
                <w:spacing w:val="-5"/>
                <w:sz w:val="22"/>
              </w:rPr>
              <w:t>3.2</w:t>
            </w:r>
          </w:p>
        </w:tc>
        <w:tc>
          <w:tcPr>
            <w:tcW w:w="943" w:type="dxa"/>
            <w:tcBorders>
              <w:bottom w:val="single" w:sz="4" w:space="0" w:color="000000"/>
            </w:tcBorders>
          </w:tcPr>
          <w:p>
            <w:pPr>
              <w:pStyle w:val="TableParagraph"/>
              <w:spacing w:line="238" w:lineRule="exact" w:before="8"/>
              <w:ind w:left="9" w:right="1"/>
              <w:rPr>
                <w:sz w:val="22"/>
              </w:rPr>
            </w:pPr>
            <w:r>
              <w:rPr>
                <w:spacing w:val="-5"/>
                <w:sz w:val="22"/>
              </w:rPr>
              <w:t>6.4</w:t>
            </w:r>
          </w:p>
        </w:tc>
        <w:tc>
          <w:tcPr>
            <w:tcW w:w="943" w:type="dxa"/>
            <w:tcBorders>
              <w:bottom w:val="single" w:sz="4" w:space="0" w:color="000000"/>
            </w:tcBorders>
          </w:tcPr>
          <w:p>
            <w:pPr>
              <w:pStyle w:val="TableParagraph"/>
              <w:spacing w:line="238" w:lineRule="exact" w:before="8"/>
              <w:ind w:left="9"/>
              <w:rPr>
                <w:sz w:val="22"/>
              </w:rPr>
            </w:pPr>
            <w:r>
              <w:rPr>
                <w:spacing w:val="-4"/>
                <w:sz w:val="22"/>
              </w:rPr>
              <w:t>12.8</w:t>
            </w:r>
          </w:p>
        </w:tc>
      </w:tr>
      <w:tr>
        <w:trPr>
          <w:trHeight w:val="304" w:hRule="atLeast"/>
        </w:trPr>
        <w:tc>
          <w:tcPr>
            <w:tcW w:w="1852" w:type="dxa"/>
            <w:tcBorders>
              <w:top w:val="single" w:sz="4" w:space="0" w:color="000000"/>
            </w:tcBorders>
          </w:tcPr>
          <w:p>
            <w:pPr>
              <w:pStyle w:val="TableParagraph"/>
              <w:spacing w:line="240" w:lineRule="auto" w:before="29"/>
              <w:ind w:right="2"/>
              <w:rPr>
                <w:sz w:val="22"/>
              </w:rPr>
            </w:pPr>
            <w:r>
              <w:rPr>
                <w:spacing w:val="-10"/>
                <w:sz w:val="22"/>
              </w:rPr>
              <w:t>1</w:t>
            </w:r>
          </w:p>
        </w:tc>
        <w:tc>
          <w:tcPr>
            <w:tcW w:w="963" w:type="dxa"/>
            <w:tcBorders>
              <w:top w:val="single" w:sz="4" w:space="0" w:color="000000"/>
            </w:tcBorders>
          </w:tcPr>
          <w:p>
            <w:pPr>
              <w:pStyle w:val="TableParagraph"/>
              <w:spacing w:line="240" w:lineRule="auto" w:before="29"/>
              <w:ind w:left="3" w:right="13"/>
              <w:rPr>
                <w:sz w:val="22"/>
              </w:rPr>
            </w:pPr>
            <w:r>
              <w:rPr>
                <w:spacing w:val="-5"/>
                <w:sz w:val="22"/>
              </w:rPr>
              <w:t>0.0</w:t>
            </w:r>
          </w:p>
        </w:tc>
        <w:tc>
          <w:tcPr>
            <w:tcW w:w="754" w:type="dxa"/>
            <w:tcBorders>
              <w:top w:val="single" w:sz="4" w:space="0" w:color="000000"/>
            </w:tcBorders>
          </w:tcPr>
          <w:p>
            <w:pPr>
              <w:pStyle w:val="TableParagraph"/>
              <w:spacing w:line="240" w:lineRule="auto" w:before="29"/>
              <w:ind w:left="5" w:right="61"/>
              <w:rPr>
                <w:sz w:val="22"/>
              </w:rPr>
            </w:pPr>
            <w:r>
              <w:rPr>
                <w:spacing w:val="-4"/>
                <w:sz w:val="22"/>
              </w:rPr>
              <w:t>27.3</w:t>
            </w:r>
          </w:p>
        </w:tc>
        <w:tc>
          <w:tcPr>
            <w:tcW w:w="879" w:type="dxa"/>
            <w:tcBorders>
              <w:top w:val="single" w:sz="4" w:space="0" w:color="000000"/>
            </w:tcBorders>
          </w:tcPr>
          <w:p>
            <w:pPr>
              <w:pStyle w:val="TableParagraph"/>
              <w:spacing w:line="240" w:lineRule="auto" w:before="29"/>
              <w:ind w:right="57"/>
              <w:rPr>
                <w:sz w:val="22"/>
              </w:rPr>
            </w:pPr>
            <w:r>
              <w:rPr>
                <w:spacing w:val="-4"/>
                <w:sz w:val="22"/>
              </w:rPr>
              <w:t>49.1</w:t>
            </w:r>
          </w:p>
        </w:tc>
        <w:tc>
          <w:tcPr>
            <w:tcW w:w="915" w:type="dxa"/>
            <w:tcBorders>
              <w:top w:val="single" w:sz="4" w:space="0" w:color="000000"/>
            </w:tcBorders>
          </w:tcPr>
          <w:p>
            <w:pPr>
              <w:pStyle w:val="TableParagraph"/>
              <w:spacing w:line="240" w:lineRule="auto" w:before="29"/>
              <w:ind w:left="33"/>
              <w:rPr>
                <w:sz w:val="22"/>
              </w:rPr>
            </w:pPr>
            <w:r>
              <w:rPr>
                <w:spacing w:val="-4"/>
                <w:sz w:val="22"/>
              </w:rPr>
              <w:t>69.1</w:t>
            </w:r>
          </w:p>
        </w:tc>
        <w:tc>
          <w:tcPr>
            <w:tcW w:w="969" w:type="dxa"/>
            <w:tcBorders>
              <w:top w:val="single" w:sz="4" w:space="0" w:color="000000"/>
            </w:tcBorders>
          </w:tcPr>
          <w:p>
            <w:pPr>
              <w:pStyle w:val="TableParagraph"/>
              <w:spacing w:line="240" w:lineRule="auto" w:before="29"/>
              <w:ind w:left="35"/>
              <w:rPr>
                <w:sz w:val="22"/>
              </w:rPr>
            </w:pPr>
            <w:r>
              <w:rPr>
                <w:spacing w:val="-4"/>
                <w:sz w:val="22"/>
              </w:rPr>
              <w:t>81.8</w:t>
            </w:r>
          </w:p>
        </w:tc>
        <w:tc>
          <w:tcPr>
            <w:tcW w:w="942" w:type="dxa"/>
            <w:tcBorders>
              <w:top w:val="single" w:sz="4" w:space="0" w:color="000000"/>
            </w:tcBorders>
          </w:tcPr>
          <w:p>
            <w:pPr>
              <w:pStyle w:val="TableParagraph"/>
              <w:spacing w:line="240" w:lineRule="auto" w:before="29"/>
              <w:ind w:left="6"/>
              <w:rPr>
                <w:sz w:val="22"/>
              </w:rPr>
            </w:pPr>
            <w:r>
              <w:rPr>
                <w:spacing w:val="-4"/>
                <w:sz w:val="22"/>
              </w:rPr>
              <w:t>94.5</w:t>
            </w:r>
          </w:p>
        </w:tc>
        <w:tc>
          <w:tcPr>
            <w:tcW w:w="943" w:type="dxa"/>
            <w:tcBorders>
              <w:top w:val="single" w:sz="4" w:space="0" w:color="000000"/>
            </w:tcBorders>
          </w:tcPr>
          <w:p>
            <w:pPr>
              <w:pStyle w:val="TableParagraph"/>
              <w:spacing w:line="240" w:lineRule="auto" w:before="29"/>
              <w:ind w:left="9" w:right="1"/>
              <w:rPr>
                <w:sz w:val="22"/>
              </w:rPr>
            </w:pPr>
            <w:r>
              <w:rPr>
                <w:spacing w:val="-2"/>
                <w:sz w:val="22"/>
              </w:rPr>
              <w:t>100.0</w:t>
            </w:r>
          </w:p>
        </w:tc>
        <w:tc>
          <w:tcPr>
            <w:tcW w:w="943" w:type="dxa"/>
            <w:tcBorders>
              <w:top w:val="single" w:sz="4" w:space="0" w:color="000000"/>
            </w:tcBorders>
          </w:tcPr>
          <w:p>
            <w:pPr>
              <w:pStyle w:val="TableParagraph"/>
              <w:spacing w:line="240" w:lineRule="auto" w:before="29"/>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10"/>
                <w:sz w:val="22"/>
              </w:rPr>
              <w:t>2</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15.5</w:t>
            </w:r>
          </w:p>
        </w:tc>
        <w:tc>
          <w:tcPr>
            <w:tcW w:w="879" w:type="dxa"/>
          </w:tcPr>
          <w:p>
            <w:pPr>
              <w:pStyle w:val="TableParagraph"/>
              <w:spacing w:line="240" w:lineRule="auto" w:before="13"/>
              <w:ind w:right="57"/>
              <w:rPr>
                <w:sz w:val="22"/>
              </w:rPr>
            </w:pPr>
            <w:r>
              <w:rPr>
                <w:spacing w:val="-4"/>
                <w:sz w:val="22"/>
              </w:rPr>
              <w:t>52.1</w:t>
            </w:r>
          </w:p>
        </w:tc>
        <w:tc>
          <w:tcPr>
            <w:tcW w:w="915" w:type="dxa"/>
          </w:tcPr>
          <w:p>
            <w:pPr>
              <w:pStyle w:val="TableParagraph"/>
              <w:spacing w:line="240" w:lineRule="auto" w:before="13"/>
              <w:ind w:left="33"/>
              <w:rPr>
                <w:sz w:val="22"/>
              </w:rPr>
            </w:pPr>
            <w:r>
              <w:rPr>
                <w:spacing w:val="-4"/>
                <w:sz w:val="22"/>
              </w:rPr>
              <w:t>69.0</w:t>
            </w:r>
          </w:p>
        </w:tc>
        <w:tc>
          <w:tcPr>
            <w:tcW w:w="969" w:type="dxa"/>
          </w:tcPr>
          <w:p>
            <w:pPr>
              <w:pStyle w:val="TableParagraph"/>
              <w:spacing w:line="240" w:lineRule="auto" w:before="13"/>
              <w:ind w:left="35"/>
              <w:rPr>
                <w:sz w:val="22"/>
              </w:rPr>
            </w:pPr>
            <w:r>
              <w:rPr>
                <w:spacing w:val="-4"/>
                <w:sz w:val="22"/>
              </w:rPr>
              <w:t>78.9</w:t>
            </w:r>
          </w:p>
        </w:tc>
        <w:tc>
          <w:tcPr>
            <w:tcW w:w="942" w:type="dxa"/>
          </w:tcPr>
          <w:p>
            <w:pPr>
              <w:pStyle w:val="TableParagraph"/>
              <w:spacing w:line="240" w:lineRule="auto" w:before="13"/>
              <w:ind w:left="6"/>
              <w:rPr>
                <w:sz w:val="22"/>
              </w:rPr>
            </w:pPr>
            <w:r>
              <w:rPr>
                <w:spacing w:val="-4"/>
                <w:sz w:val="22"/>
              </w:rPr>
              <w:t>94.4</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8" w:hRule="atLeast"/>
        </w:trPr>
        <w:tc>
          <w:tcPr>
            <w:tcW w:w="1852" w:type="dxa"/>
          </w:tcPr>
          <w:p>
            <w:pPr>
              <w:pStyle w:val="TableParagraph"/>
              <w:spacing w:line="240" w:lineRule="auto" w:before="13"/>
              <w:ind w:right="2"/>
              <w:rPr>
                <w:sz w:val="22"/>
              </w:rPr>
            </w:pPr>
            <w:r>
              <w:rPr>
                <w:spacing w:val="-10"/>
                <w:sz w:val="22"/>
              </w:rPr>
              <w:t>3</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46.2</w:t>
            </w:r>
          </w:p>
        </w:tc>
        <w:tc>
          <w:tcPr>
            <w:tcW w:w="879" w:type="dxa"/>
          </w:tcPr>
          <w:p>
            <w:pPr>
              <w:pStyle w:val="TableParagraph"/>
              <w:spacing w:line="240" w:lineRule="auto" w:before="13"/>
              <w:ind w:right="57"/>
              <w:rPr>
                <w:sz w:val="22"/>
              </w:rPr>
            </w:pPr>
            <w:r>
              <w:rPr>
                <w:spacing w:val="-4"/>
                <w:sz w:val="22"/>
              </w:rPr>
              <w:t>67.7</w:t>
            </w:r>
          </w:p>
        </w:tc>
        <w:tc>
          <w:tcPr>
            <w:tcW w:w="915" w:type="dxa"/>
          </w:tcPr>
          <w:p>
            <w:pPr>
              <w:pStyle w:val="TableParagraph"/>
              <w:spacing w:line="240" w:lineRule="auto" w:before="13"/>
              <w:ind w:left="33"/>
              <w:rPr>
                <w:sz w:val="22"/>
              </w:rPr>
            </w:pPr>
            <w:r>
              <w:rPr>
                <w:spacing w:val="-4"/>
                <w:sz w:val="22"/>
              </w:rPr>
              <w:t>84.6</w:t>
            </w:r>
          </w:p>
        </w:tc>
        <w:tc>
          <w:tcPr>
            <w:tcW w:w="969" w:type="dxa"/>
          </w:tcPr>
          <w:p>
            <w:pPr>
              <w:pStyle w:val="TableParagraph"/>
              <w:spacing w:line="240" w:lineRule="auto" w:before="13"/>
              <w:ind w:left="35"/>
              <w:rPr>
                <w:sz w:val="22"/>
              </w:rPr>
            </w:pPr>
            <w:r>
              <w:rPr>
                <w:spacing w:val="-4"/>
                <w:sz w:val="22"/>
              </w:rPr>
              <w:t>93.8</w:t>
            </w:r>
          </w:p>
        </w:tc>
        <w:tc>
          <w:tcPr>
            <w:tcW w:w="942" w:type="dxa"/>
          </w:tcPr>
          <w:p>
            <w:pPr>
              <w:pStyle w:val="TableParagraph"/>
              <w:spacing w:line="240" w:lineRule="auto" w:before="13"/>
              <w:ind w:left="6"/>
              <w:rPr>
                <w:sz w:val="22"/>
              </w:rPr>
            </w:pPr>
            <w:r>
              <w:rPr>
                <w:spacing w:val="-2"/>
                <w:sz w:val="22"/>
              </w:rPr>
              <w:t>100.0</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10"/>
                <w:sz w:val="22"/>
              </w:rPr>
              <w:t>4</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37.6</w:t>
            </w:r>
          </w:p>
        </w:tc>
        <w:tc>
          <w:tcPr>
            <w:tcW w:w="879" w:type="dxa"/>
          </w:tcPr>
          <w:p>
            <w:pPr>
              <w:pStyle w:val="TableParagraph"/>
              <w:spacing w:line="240" w:lineRule="auto" w:before="13"/>
              <w:ind w:right="57"/>
              <w:rPr>
                <w:sz w:val="22"/>
              </w:rPr>
            </w:pPr>
            <w:r>
              <w:rPr>
                <w:spacing w:val="-4"/>
                <w:sz w:val="22"/>
              </w:rPr>
              <w:t>54.1</w:t>
            </w:r>
          </w:p>
        </w:tc>
        <w:tc>
          <w:tcPr>
            <w:tcW w:w="915" w:type="dxa"/>
          </w:tcPr>
          <w:p>
            <w:pPr>
              <w:pStyle w:val="TableParagraph"/>
              <w:spacing w:line="240" w:lineRule="auto" w:before="13"/>
              <w:ind w:left="33"/>
              <w:rPr>
                <w:sz w:val="22"/>
              </w:rPr>
            </w:pPr>
            <w:r>
              <w:rPr>
                <w:spacing w:val="-4"/>
                <w:sz w:val="22"/>
              </w:rPr>
              <w:t>80.0</w:t>
            </w:r>
          </w:p>
        </w:tc>
        <w:tc>
          <w:tcPr>
            <w:tcW w:w="969" w:type="dxa"/>
          </w:tcPr>
          <w:p>
            <w:pPr>
              <w:pStyle w:val="TableParagraph"/>
              <w:spacing w:line="240" w:lineRule="auto" w:before="13"/>
              <w:ind w:left="35"/>
              <w:rPr>
                <w:sz w:val="22"/>
              </w:rPr>
            </w:pPr>
            <w:r>
              <w:rPr>
                <w:spacing w:val="-4"/>
                <w:sz w:val="22"/>
              </w:rPr>
              <w:t>89.4</w:t>
            </w:r>
          </w:p>
        </w:tc>
        <w:tc>
          <w:tcPr>
            <w:tcW w:w="942" w:type="dxa"/>
          </w:tcPr>
          <w:p>
            <w:pPr>
              <w:pStyle w:val="TableParagraph"/>
              <w:spacing w:line="240" w:lineRule="auto" w:before="13"/>
              <w:ind w:left="6"/>
              <w:rPr>
                <w:sz w:val="22"/>
              </w:rPr>
            </w:pPr>
            <w:r>
              <w:rPr>
                <w:spacing w:val="-4"/>
                <w:sz w:val="22"/>
              </w:rPr>
              <w:t>96.5</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10"/>
                <w:sz w:val="22"/>
              </w:rPr>
              <w:t>5</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24.3</w:t>
            </w:r>
          </w:p>
        </w:tc>
        <w:tc>
          <w:tcPr>
            <w:tcW w:w="879" w:type="dxa"/>
          </w:tcPr>
          <w:p>
            <w:pPr>
              <w:pStyle w:val="TableParagraph"/>
              <w:spacing w:line="240" w:lineRule="auto" w:before="13"/>
              <w:ind w:right="57"/>
              <w:rPr>
                <w:sz w:val="22"/>
              </w:rPr>
            </w:pPr>
            <w:r>
              <w:rPr>
                <w:spacing w:val="-4"/>
                <w:sz w:val="22"/>
              </w:rPr>
              <w:t>51.4</w:t>
            </w:r>
          </w:p>
        </w:tc>
        <w:tc>
          <w:tcPr>
            <w:tcW w:w="915" w:type="dxa"/>
          </w:tcPr>
          <w:p>
            <w:pPr>
              <w:pStyle w:val="TableParagraph"/>
              <w:spacing w:line="240" w:lineRule="auto" w:before="13"/>
              <w:ind w:left="33"/>
              <w:rPr>
                <w:sz w:val="22"/>
              </w:rPr>
            </w:pPr>
            <w:r>
              <w:rPr>
                <w:spacing w:val="-4"/>
                <w:sz w:val="22"/>
              </w:rPr>
              <w:t>71.6</w:t>
            </w:r>
          </w:p>
        </w:tc>
        <w:tc>
          <w:tcPr>
            <w:tcW w:w="969" w:type="dxa"/>
          </w:tcPr>
          <w:p>
            <w:pPr>
              <w:pStyle w:val="TableParagraph"/>
              <w:spacing w:line="240" w:lineRule="auto" w:before="13"/>
              <w:ind w:left="35"/>
              <w:rPr>
                <w:sz w:val="22"/>
              </w:rPr>
            </w:pPr>
            <w:r>
              <w:rPr>
                <w:spacing w:val="-4"/>
                <w:sz w:val="22"/>
              </w:rPr>
              <w:t>85.1</w:t>
            </w:r>
          </w:p>
        </w:tc>
        <w:tc>
          <w:tcPr>
            <w:tcW w:w="942" w:type="dxa"/>
          </w:tcPr>
          <w:p>
            <w:pPr>
              <w:pStyle w:val="TableParagraph"/>
              <w:spacing w:line="240" w:lineRule="auto" w:before="13"/>
              <w:ind w:left="6"/>
              <w:rPr>
                <w:sz w:val="22"/>
              </w:rPr>
            </w:pPr>
            <w:r>
              <w:rPr>
                <w:spacing w:val="-4"/>
                <w:sz w:val="22"/>
              </w:rPr>
              <w:t>93.2</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8" w:hRule="atLeast"/>
        </w:trPr>
        <w:tc>
          <w:tcPr>
            <w:tcW w:w="1852" w:type="dxa"/>
          </w:tcPr>
          <w:p>
            <w:pPr>
              <w:pStyle w:val="TableParagraph"/>
              <w:spacing w:line="240" w:lineRule="auto" w:before="13"/>
              <w:ind w:right="2"/>
              <w:rPr>
                <w:sz w:val="22"/>
              </w:rPr>
            </w:pPr>
            <w:r>
              <w:rPr>
                <w:spacing w:val="-10"/>
                <w:sz w:val="22"/>
              </w:rPr>
              <w:t>6</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51.6</w:t>
            </w:r>
          </w:p>
        </w:tc>
        <w:tc>
          <w:tcPr>
            <w:tcW w:w="879" w:type="dxa"/>
          </w:tcPr>
          <w:p>
            <w:pPr>
              <w:pStyle w:val="TableParagraph"/>
              <w:spacing w:line="240" w:lineRule="auto" w:before="13"/>
              <w:ind w:right="57"/>
              <w:rPr>
                <w:sz w:val="22"/>
              </w:rPr>
            </w:pPr>
            <w:r>
              <w:rPr>
                <w:spacing w:val="-4"/>
                <w:sz w:val="22"/>
              </w:rPr>
              <w:t>75.0</w:t>
            </w:r>
          </w:p>
        </w:tc>
        <w:tc>
          <w:tcPr>
            <w:tcW w:w="915" w:type="dxa"/>
          </w:tcPr>
          <w:p>
            <w:pPr>
              <w:pStyle w:val="TableParagraph"/>
              <w:spacing w:line="240" w:lineRule="auto" w:before="13"/>
              <w:ind w:left="33"/>
              <w:rPr>
                <w:sz w:val="22"/>
              </w:rPr>
            </w:pPr>
            <w:r>
              <w:rPr>
                <w:spacing w:val="-4"/>
                <w:sz w:val="22"/>
              </w:rPr>
              <w:t>82.8</w:t>
            </w:r>
          </w:p>
        </w:tc>
        <w:tc>
          <w:tcPr>
            <w:tcW w:w="969" w:type="dxa"/>
          </w:tcPr>
          <w:p>
            <w:pPr>
              <w:pStyle w:val="TableParagraph"/>
              <w:spacing w:line="240" w:lineRule="auto" w:before="13"/>
              <w:ind w:left="35"/>
              <w:rPr>
                <w:sz w:val="22"/>
              </w:rPr>
            </w:pPr>
            <w:r>
              <w:rPr>
                <w:spacing w:val="-4"/>
                <w:sz w:val="22"/>
              </w:rPr>
              <w:t>89.1</w:t>
            </w:r>
          </w:p>
        </w:tc>
        <w:tc>
          <w:tcPr>
            <w:tcW w:w="942" w:type="dxa"/>
          </w:tcPr>
          <w:p>
            <w:pPr>
              <w:pStyle w:val="TableParagraph"/>
              <w:spacing w:line="240" w:lineRule="auto" w:before="13"/>
              <w:ind w:left="6"/>
              <w:rPr>
                <w:sz w:val="22"/>
              </w:rPr>
            </w:pPr>
            <w:r>
              <w:rPr>
                <w:spacing w:val="-4"/>
                <w:sz w:val="22"/>
              </w:rPr>
              <w:t>96.9</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8" w:hRule="atLeast"/>
        </w:trPr>
        <w:tc>
          <w:tcPr>
            <w:tcW w:w="1852" w:type="dxa"/>
          </w:tcPr>
          <w:p>
            <w:pPr>
              <w:pStyle w:val="TableParagraph"/>
              <w:spacing w:line="240" w:lineRule="auto" w:before="13"/>
              <w:ind w:right="2"/>
              <w:rPr>
                <w:sz w:val="22"/>
              </w:rPr>
            </w:pPr>
            <w:r>
              <w:rPr>
                <w:spacing w:val="-10"/>
                <w:sz w:val="22"/>
              </w:rPr>
              <w:t>7</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31.4</w:t>
            </w:r>
          </w:p>
        </w:tc>
        <w:tc>
          <w:tcPr>
            <w:tcW w:w="879" w:type="dxa"/>
          </w:tcPr>
          <w:p>
            <w:pPr>
              <w:pStyle w:val="TableParagraph"/>
              <w:spacing w:line="240" w:lineRule="auto" w:before="13"/>
              <w:ind w:right="57"/>
              <w:rPr>
                <w:sz w:val="22"/>
              </w:rPr>
            </w:pPr>
            <w:r>
              <w:rPr>
                <w:spacing w:val="-4"/>
                <w:sz w:val="22"/>
              </w:rPr>
              <w:t>60.8</w:t>
            </w:r>
          </w:p>
        </w:tc>
        <w:tc>
          <w:tcPr>
            <w:tcW w:w="915" w:type="dxa"/>
          </w:tcPr>
          <w:p>
            <w:pPr>
              <w:pStyle w:val="TableParagraph"/>
              <w:spacing w:line="240" w:lineRule="auto" w:before="13"/>
              <w:ind w:left="33"/>
              <w:rPr>
                <w:sz w:val="22"/>
              </w:rPr>
            </w:pPr>
            <w:r>
              <w:rPr>
                <w:spacing w:val="-4"/>
                <w:sz w:val="22"/>
              </w:rPr>
              <w:t>64.7</w:t>
            </w:r>
          </w:p>
        </w:tc>
        <w:tc>
          <w:tcPr>
            <w:tcW w:w="969" w:type="dxa"/>
          </w:tcPr>
          <w:p>
            <w:pPr>
              <w:pStyle w:val="TableParagraph"/>
              <w:spacing w:line="240" w:lineRule="auto" w:before="13"/>
              <w:ind w:left="35"/>
              <w:rPr>
                <w:sz w:val="22"/>
              </w:rPr>
            </w:pPr>
            <w:r>
              <w:rPr>
                <w:spacing w:val="-4"/>
                <w:sz w:val="22"/>
              </w:rPr>
              <w:t>72.5</w:t>
            </w:r>
          </w:p>
        </w:tc>
        <w:tc>
          <w:tcPr>
            <w:tcW w:w="942" w:type="dxa"/>
          </w:tcPr>
          <w:p>
            <w:pPr>
              <w:pStyle w:val="TableParagraph"/>
              <w:spacing w:line="240" w:lineRule="auto" w:before="13"/>
              <w:ind w:left="6"/>
              <w:rPr>
                <w:sz w:val="22"/>
              </w:rPr>
            </w:pPr>
            <w:r>
              <w:rPr>
                <w:spacing w:val="-4"/>
                <w:sz w:val="22"/>
              </w:rPr>
              <w:t>80.4</w:t>
            </w:r>
          </w:p>
        </w:tc>
        <w:tc>
          <w:tcPr>
            <w:tcW w:w="943" w:type="dxa"/>
          </w:tcPr>
          <w:p>
            <w:pPr>
              <w:pStyle w:val="TableParagraph"/>
              <w:spacing w:line="240" w:lineRule="auto" w:before="13"/>
              <w:ind w:left="9" w:right="1"/>
              <w:rPr>
                <w:sz w:val="22"/>
              </w:rPr>
            </w:pPr>
            <w:r>
              <w:rPr>
                <w:spacing w:val="-4"/>
                <w:sz w:val="22"/>
              </w:rPr>
              <w:t>92.2</w:t>
            </w:r>
          </w:p>
        </w:tc>
        <w:tc>
          <w:tcPr>
            <w:tcW w:w="943" w:type="dxa"/>
          </w:tcPr>
          <w:p>
            <w:pPr>
              <w:pStyle w:val="TableParagraph"/>
              <w:spacing w:line="240" w:lineRule="auto" w:before="13"/>
              <w:ind w:left="9"/>
              <w:rPr>
                <w:sz w:val="22"/>
              </w:rPr>
            </w:pPr>
            <w:r>
              <w:rPr>
                <w:spacing w:val="-2"/>
                <w:sz w:val="22"/>
              </w:rPr>
              <w:t>100.0</w:t>
            </w:r>
          </w:p>
        </w:tc>
      </w:tr>
      <w:tr>
        <w:trPr>
          <w:trHeight w:val="288" w:hRule="atLeast"/>
        </w:trPr>
        <w:tc>
          <w:tcPr>
            <w:tcW w:w="1852" w:type="dxa"/>
          </w:tcPr>
          <w:p>
            <w:pPr>
              <w:pStyle w:val="TableParagraph"/>
              <w:spacing w:line="240" w:lineRule="auto" w:before="13"/>
              <w:ind w:right="2"/>
              <w:rPr>
                <w:sz w:val="22"/>
              </w:rPr>
            </w:pPr>
            <w:r>
              <w:rPr>
                <w:spacing w:val="-10"/>
                <w:sz w:val="22"/>
              </w:rPr>
              <w:t>8</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37.3</w:t>
            </w:r>
          </w:p>
        </w:tc>
        <w:tc>
          <w:tcPr>
            <w:tcW w:w="879" w:type="dxa"/>
          </w:tcPr>
          <w:p>
            <w:pPr>
              <w:pStyle w:val="TableParagraph"/>
              <w:spacing w:line="240" w:lineRule="auto" w:before="13"/>
              <w:ind w:right="57"/>
              <w:rPr>
                <w:sz w:val="22"/>
              </w:rPr>
            </w:pPr>
            <w:r>
              <w:rPr>
                <w:spacing w:val="-4"/>
                <w:sz w:val="22"/>
              </w:rPr>
              <w:t>55.2</w:t>
            </w:r>
          </w:p>
        </w:tc>
        <w:tc>
          <w:tcPr>
            <w:tcW w:w="915" w:type="dxa"/>
          </w:tcPr>
          <w:p>
            <w:pPr>
              <w:pStyle w:val="TableParagraph"/>
              <w:spacing w:line="240" w:lineRule="auto" w:before="13"/>
              <w:ind w:left="33"/>
              <w:rPr>
                <w:sz w:val="22"/>
              </w:rPr>
            </w:pPr>
            <w:r>
              <w:rPr>
                <w:spacing w:val="-4"/>
                <w:sz w:val="22"/>
              </w:rPr>
              <w:t>70.1</w:t>
            </w:r>
          </w:p>
        </w:tc>
        <w:tc>
          <w:tcPr>
            <w:tcW w:w="969" w:type="dxa"/>
          </w:tcPr>
          <w:p>
            <w:pPr>
              <w:pStyle w:val="TableParagraph"/>
              <w:spacing w:line="240" w:lineRule="auto" w:before="13"/>
              <w:ind w:left="35"/>
              <w:rPr>
                <w:sz w:val="22"/>
              </w:rPr>
            </w:pPr>
            <w:r>
              <w:rPr>
                <w:spacing w:val="-4"/>
                <w:sz w:val="22"/>
              </w:rPr>
              <w:t>86.6</w:t>
            </w:r>
          </w:p>
        </w:tc>
        <w:tc>
          <w:tcPr>
            <w:tcW w:w="942" w:type="dxa"/>
          </w:tcPr>
          <w:p>
            <w:pPr>
              <w:pStyle w:val="TableParagraph"/>
              <w:spacing w:line="240" w:lineRule="auto" w:before="13"/>
              <w:ind w:left="6"/>
              <w:rPr>
                <w:sz w:val="22"/>
              </w:rPr>
            </w:pPr>
            <w:r>
              <w:rPr>
                <w:spacing w:val="-4"/>
                <w:sz w:val="22"/>
              </w:rPr>
              <w:t>91.0</w:t>
            </w:r>
          </w:p>
        </w:tc>
        <w:tc>
          <w:tcPr>
            <w:tcW w:w="943" w:type="dxa"/>
          </w:tcPr>
          <w:p>
            <w:pPr>
              <w:pStyle w:val="TableParagraph"/>
              <w:spacing w:line="240" w:lineRule="auto" w:before="13"/>
              <w:ind w:left="9" w:right="1"/>
              <w:rPr>
                <w:sz w:val="22"/>
              </w:rPr>
            </w:pPr>
            <w:r>
              <w:rPr>
                <w:spacing w:val="-4"/>
                <w:sz w:val="22"/>
              </w:rPr>
              <w:t>95.5</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10"/>
                <w:sz w:val="22"/>
              </w:rPr>
              <w:t>9</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29.6</w:t>
            </w:r>
          </w:p>
        </w:tc>
        <w:tc>
          <w:tcPr>
            <w:tcW w:w="879" w:type="dxa"/>
          </w:tcPr>
          <w:p>
            <w:pPr>
              <w:pStyle w:val="TableParagraph"/>
              <w:spacing w:line="240" w:lineRule="auto" w:before="13"/>
              <w:ind w:right="57"/>
              <w:rPr>
                <w:sz w:val="22"/>
              </w:rPr>
            </w:pPr>
            <w:r>
              <w:rPr>
                <w:spacing w:val="-4"/>
                <w:sz w:val="22"/>
              </w:rPr>
              <w:t>57.4</w:t>
            </w:r>
          </w:p>
        </w:tc>
        <w:tc>
          <w:tcPr>
            <w:tcW w:w="915" w:type="dxa"/>
          </w:tcPr>
          <w:p>
            <w:pPr>
              <w:pStyle w:val="TableParagraph"/>
              <w:spacing w:line="240" w:lineRule="auto" w:before="13"/>
              <w:ind w:left="33"/>
              <w:rPr>
                <w:sz w:val="22"/>
              </w:rPr>
            </w:pPr>
            <w:r>
              <w:rPr>
                <w:spacing w:val="-4"/>
                <w:sz w:val="22"/>
              </w:rPr>
              <w:t>66.7</w:t>
            </w:r>
          </w:p>
        </w:tc>
        <w:tc>
          <w:tcPr>
            <w:tcW w:w="969" w:type="dxa"/>
          </w:tcPr>
          <w:p>
            <w:pPr>
              <w:pStyle w:val="TableParagraph"/>
              <w:spacing w:line="240" w:lineRule="auto" w:before="13"/>
              <w:ind w:left="35"/>
              <w:rPr>
                <w:sz w:val="22"/>
              </w:rPr>
            </w:pPr>
            <w:r>
              <w:rPr>
                <w:spacing w:val="-4"/>
                <w:sz w:val="22"/>
              </w:rPr>
              <w:t>81.5</w:t>
            </w:r>
          </w:p>
        </w:tc>
        <w:tc>
          <w:tcPr>
            <w:tcW w:w="942" w:type="dxa"/>
          </w:tcPr>
          <w:p>
            <w:pPr>
              <w:pStyle w:val="TableParagraph"/>
              <w:spacing w:line="240" w:lineRule="auto" w:before="13"/>
              <w:ind w:left="6"/>
              <w:rPr>
                <w:sz w:val="22"/>
              </w:rPr>
            </w:pPr>
            <w:r>
              <w:rPr>
                <w:spacing w:val="-4"/>
                <w:sz w:val="22"/>
              </w:rPr>
              <w:t>92.6</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5"/>
                <w:sz w:val="22"/>
              </w:rPr>
              <w:t>10</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25.5</w:t>
            </w:r>
          </w:p>
        </w:tc>
        <w:tc>
          <w:tcPr>
            <w:tcW w:w="879" w:type="dxa"/>
          </w:tcPr>
          <w:p>
            <w:pPr>
              <w:pStyle w:val="TableParagraph"/>
              <w:spacing w:line="240" w:lineRule="auto" w:before="13"/>
              <w:ind w:right="57"/>
              <w:rPr>
                <w:sz w:val="22"/>
              </w:rPr>
            </w:pPr>
            <w:r>
              <w:rPr>
                <w:spacing w:val="-4"/>
                <w:sz w:val="22"/>
              </w:rPr>
              <w:t>42.9</w:t>
            </w:r>
          </w:p>
        </w:tc>
        <w:tc>
          <w:tcPr>
            <w:tcW w:w="915" w:type="dxa"/>
          </w:tcPr>
          <w:p>
            <w:pPr>
              <w:pStyle w:val="TableParagraph"/>
              <w:spacing w:line="240" w:lineRule="auto" w:before="13"/>
              <w:ind w:left="33"/>
              <w:rPr>
                <w:sz w:val="22"/>
              </w:rPr>
            </w:pPr>
            <w:r>
              <w:rPr>
                <w:spacing w:val="-4"/>
                <w:sz w:val="22"/>
              </w:rPr>
              <w:t>60.2</w:t>
            </w:r>
          </w:p>
        </w:tc>
        <w:tc>
          <w:tcPr>
            <w:tcW w:w="969" w:type="dxa"/>
          </w:tcPr>
          <w:p>
            <w:pPr>
              <w:pStyle w:val="TableParagraph"/>
              <w:spacing w:line="240" w:lineRule="auto" w:before="13"/>
              <w:ind w:left="35"/>
              <w:rPr>
                <w:sz w:val="22"/>
              </w:rPr>
            </w:pPr>
            <w:r>
              <w:rPr>
                <w:spacing w:val="-4"/>
                <w:sz w:val="22"/>
              </w:rPr>
              <w:t>79.6</w:t>
            </w:r>
          </w:p>
        </w:tc>
        <w:tc>
          <w:tcPr>
            <w:tcW w:w="942" w:type="dxa"/>
          </w:tcPr>
          <w:p>
            <w:pPr>
              <w:pStyle w:val="TableParagraph"/>
              <w:spacing w:line="240" w:lineRule="auto" w:before="13"/>
              <w:ind w:left="6"/>
              <w:rPr>
                <w:sz w:val="22"/>
              </w:rPr>
            </w:pPr>
            <w:r>
              <w:rPr>
                <w:spacing w:val="-4"/>
                <w:sz w:val="22"/>
              </w:rPr>
              <w:t>89.8</w:t>
            </w:r>
          </w:p>
        </w:tc>
        <w:tc>
          <w:tcPr>
            <w:tcW w:w="943" w:type="dxa"/>
          </w:tcPr>
          <w:p>
            <w:pPr>
              <w:pStyle w:val="TableParagraph"/>
              <w:spacing w:line="240" w:lineRule="auto" w:before="13"/>
              <w:ind w:left="9" w:right="1"/>
              <w:rPr>
                <w:sz w:val="22"/>
              </w:rPr>
            </w:pPr>
            <w:r>
              <w:rPr>
                <w:spacing w:val="-4"/>
                <w:sz w:val="22"/>
              </w:rPr>
              <w:t>95.9</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5"/>
                <w:sz w:val="22"/>
              </w:rPr>
              <w:t>11</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27.5</w:t>
            </w:r>
          </w:p>
        </w:tc>
        <w:tc>
          <w:tcPr>
            <w:tcW w:w="879" w:type="dxa"/>
          </w:tcPr>
          <w:p>
            <w:pPr>
              <w:pStyle w:val="TableParagraph"/>
              <w:spacing w:line="240" w:lineRule="auto" w:before="13"/>
              <w:ind w:right="57"/>
              <w:rPr>
                <w:sz w:val="22"/>
              </w:rPr>
            </w:pPr>
            <w:r>
              <w:rPr>
                <w:spacing w:val="-4"/>
                <w:sz w:val="22"/>
              </w:rPr>
              <w:t>47.8</w:t>
            </w:r>
          </w:p>
        </w:tc>
        <w:tc>
          <w:tcPr>
            <w:tcW w:w="915" w:type="dxa"/>
          </w:tcPr>
          <w:p>
            <w:pPr>
              <w:pStyle w:val="TableParagraph"/>
              <w:spacing w:line="240" w:lineRule="auto" w:before="13"/>
              <w:ind w:left="33"/>
              <w:rPr>
                <w:sz w:val="22"/>
              </w:rPr>
            </w:pPr>
            <w:r>
              <w:rPr>
                <w:spacing w:val="-4"/>
                <w:sz w:val="22"/>
              </w:rPr>
              <w:t>69.6</w:t>
            </w:r>
          </w:p>
        </w:tc>
        <w:tc>
          <w:tcPr>
            <w:tcW w:w="969" w:type="dxa"/>
          </w:tcPr>
          <w:p>
            <w:pPr>
              <w:pStyle w:val="TableParagraph"/>
              <w:spacing w:line="240" w:lineRule="auto" w:before="13"/>
              <w:ind w:left="35"/>
              <w:rPr>
                <w:sz w:val="22"/>
              </w:rPr>
            </w:pPr>
            <w:r>
              <w:rPr>
                <w:spacing w:val="-4"/>
                <w:sz w:val="22"/>
              </w:rPr>
              <w:t>73.9</w:t>
            </w:r>
          </w:p>
        </w:tc>
        <w:tc>
          <w:tcPr>
            <w:tcW w:w="942" w:type="dxa"/>
          </w:tcPr>
          <w:p>
            <w:pPr>
              <w:pStyle w:val="TableParagraph"/>
              <w:spacing w:line="240" w:lineRule="auto" w:before="13"/>
              <w:ind w:left="6"/>
              <w:rPr>
                <w:sz w:val="22"/>
              </w:rPr>
            </w:pPr>
            <w:r>
              <w:rPr>
                <w:spacing w:val="-4"/>
                <w:sz w:val="22"/>
              </w:rPr>
              <w:t>89.9</w:t>
            </w:r>
          </w:p>
        </w:tc>
        <w:tc>
          <w:tcPr>
            <w:tcW w:w="943" w:type="dxa"/>
          </w:tcPr>
          <w:p>
            <w:pPr>
              <w:pStyle w:val="TableParagraph"/>
              <w:spacing w:line="240" w:lineRule="auto" w:before="13"/>
              <w:ind w:left="9" w:right="1"/>
              <w:rPr>
                <w:sz w:val="22"/>
              </w:rPr>
            </w:pPr>
            <w:r>
              <w:rPr>
                <w:spacing w:val="-4"/>
                <w:sz w:val="22"/>
              </w:rPr>
              <w:t>95.7</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5"/>
                <w:sz w:val="22"/>
              </w:rPr>
              <w:t>12</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26.9</w:t>
            </w:r>
          </w:p>
        </w:tc>
        <w:tc>
          <w:tcPr>
            <w:tcW w:w="879" w:type="dxa"/>
          </w:tcPr>
          <w:p>
            <w:pPr>
              <w:pStyle w:val="TableParagraph"/>
              <w:spacing w:line="240" w:lineRule="auto" w:before="13"/>
              <w:ind w:right="57"/>
              <w:rPr>
                <w:sz w:val="22"/>
              </w:rPr>
            </w:pPr>
            <w:r>
              <w:rPr>
                <w:spacing w:val="-4"/>
                <w:sz w:val="22"/>
              </w:rPr>
              <w:t>55.2</w:t>
            </w:r>
          </w:p>
        </w:tc>
        <w:tc>
          <w:tcPr>
            <w:tcW w:w="915" w:type="dxa"/>
          </w:tcPr>
          <w:p>
            <w:pPr>
              <w:pStyle w:val="TableParagraph"/>
              <w:spacing w:line="240" w:lineRule="auto" w:before="13"/>
              <w:ind w:left="33"/>
              <w:rPr>
                <w:sz w:val="22"/>
              </w:rPr>
            </w:pPr>
            <w:r>
              <w:rPr>
                <w:spacing w:val="-4"/>
                <w:sz w:val="22"/>
              </w:rPr>
              <w:t>68.7</w:t>
            </w:r>
          </w:p>
        </w:tc>
        <w:tc>
          <w:tcPr>
            <w:tcW w:w="969" w:type="dxa"/>
          </w:tcPr>
          <w:p>
            <w:pPr>
              <w:pStyle w:val="TableParagraph"/>
              <w:spacing w:line="240" w:lineRule="auto" w:before="13"/>
              <w:ind w:left="35"/>
              <w:rPr>
                <w:sz w:val="22"/>
              </w:rPr>
            </w:pPr>
            <w:r>
              <w:rPr>
                <w:spacing w:val="-4"/>
                <w:sz w:val="22"/>
              </w:rPr>
              <w:t>76.1</w:t>
            </w:r>
          </w:p>
        </w:tc>
        <w:tc>
          <w:tcPr>
            <w:tcW w:w="942" w:type="dxa"/>
          </w:tcPr>
          <w:p>
            <w:pPr>
              <w:pStyle w:val="TableParagraph"/>
              <w:spacing w:line="240" w:lineRule="auto" w:before="13"/>
              <w:ind w:left="6"/>
              <w:rPr>
                <w:sz w:val="22"/>
              </w:rPr>
            </w:pPr>
            <w:r>
              <w:rPr>
                <w:spacing w:val="-4"/>
                <w:sz w:val="22"/>
              </w:rPr>
              <w:t>86.6</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8" w:hRule="atLeast"/>
        </w:trPr>
        <w:tc>
          <w:tcPr>
            <w:tcW w:w="1852" w:type="dxa"/>
          </w:tcPr>
          <w:p>
            <w:pPr>
              <w:pStyle w:val="TableParagraph"/>
              <w:spacing w:line="240" w:lineRule="auto" w:before="13"/>
              <w:ind w:right="2"/>
              <w:rPr>
                <w:sz w:val="22"/>
              </w:rPr>
            </w:pPr>
            <w:r>
              <w:rPr>
                <w:spacing w:val="-5"/>
                <w:sz w:val="22"/>
              </w:rPr>
              <w:t>13</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59.5</w:t>
            </w:r>
          </w:p>
        </w:tc>
        <w:tc>
          <w:tcPr>
            <w:tcW w:w="879" w:type="dxa"/>
          </w:tcPr>
          <w:p>
            <w:pPr>
              <w:pStyle w:val="TableParagraph"/>
              <w:spacing w:line="240" w:lineRule="auto" w:before="13"/>
              <w:ind w:right="57"/>
              <w:rPr>
                <w:sz w:val="22"/>
              </w:rPr>
            </w:pPr>
            <w:r>
              <w:rPr>
                <w:spacing w:val="-4"/>
                <w:sz w:val="22"/>
              </w:rPr>
              <w:t>78.4</w:t>
            </w:r>
          </w:p>
        </w:tc>
        <w:tc>
          <w:tcPr>
            <w:tcW w:w="915" w:type="dxa"/>
          </w:tcPr>
          <w:p>
            <w:pPr>
              <w:pStyle w:val="TableParagraph"/>
              <w:spacing w:line="240" w:lineRule="auto" w:before="13"/>
              <w:ind w:left="33"/>
              <w:rPr>
                <w:sz w:val="22"/>
              </w:rPr>
            </w:pPr>
            <w:r>
              <w:rPr>
                <w:spacing w:val="-4"/>
                <w:sz w:val="22"/>
              </w:rPr>
              <w:t>91.9</w:t>
            </w:r>
          </w:p>
        </w:tc>
        <w:tc>
          <w:tcPr>
            <w:tcW w:w="969" w:type="dxa"/>
          </w:tcPr>
          <w:p>
            <w:pPr>
              <w:pStyle w:val="TableParagraph"/>
              <w:spacing w:line="240" w:lineRule="auto" w:before="13"/>
              <w:ind w:left="35"/>
              <w:rPr>
                <w:sz w:val="22"/>
              </w:rPr>
            </w:pPr>
            <w:r>
              <w:rPr>
                <w:spacing w:val="-2"/>
                <w:sz w:val="22"/>
              </w:rPr>
              <w:t>100.0</w:t>
            </w:r>
          </w:p>
        </w:tc>
        <w:tc>
          <w:tcPr>
            <w:tcW w:w="942" w:type="dxa"/>
          </w:tcPr>
          <w:p>
            <w:pPr>
              <w:pStyle w:val="TableParagraph"/>
              <w:spacing w:line="240" w:lineRule="auto" w:before="13"/>
              <w:ind w:left="6"/>
              <w:rPr>
                <w:sz w:val="22"/>
              </w:rPr>
            </w:pPr>
            <w:r>
              <w:rPr>
                <w:spacing w:val="-2"/>
                <w:sz w:val="22"/>
              </w:rPr>
              <w:t>100.0</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5"/>
                <w:sz w:val="22"/>
              </w:rPr>
              <w:t>14</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39.5</w:t>
            </w:r>
          </w:p>
        </w:tc>
        <w:tc>
          <w:tcPr>
            <w:tcW w:w="879" w:type="dxa"/>
          </w:tcPr>
          <w:p>
            <w:pPr>
              <w:pStyle w:val="TableParagraph"/>
              <w:spacing w:line="240" w:lineRule="auto" w:before="13"/>
              <w:ind w:right="57"/>
              <w:rPr>
                <w:sz w:val="22"/>
              </w:rPr>
            </w:pPr>
            <w:r>
              <w:rPr>
                <w:spacing w:val="-4"/>
                <w:sz w:val="22"/>
              </w:rPr>
              <w:t>60.5</w:t>
            </w:r>
          </w:p>
        </w:tc>
        <w:tc>
          <w:tcPr>
            <w:tcW w:w="915" w:type="dxa"/>
          </w:tcPr>
          <w:p>
            <w:pPr>
              <w:pStyle w:val="TableParagraph"/>
              <w:spacing w:line="240" w:lineRule="auto" w:before="13"/>
              <w:ind w:left="33"/>
              <w:rPr>
                <w:sz w:val="22"/>
              </w:rPr>
            </w:pPr>
            <w:r>
              <w:rPr>
                <w:spacing w:val="-4"/>
                <w:sz w:val="22"/>
              </w:rPr>
              <w:t>86.0</w:t>
            </w:r>
          </w:p>
        </w:tc>
        <w:tc>
          <w:tcPr>
            <w:tcW w:w="969" w:type="dxa"/>
          </w:tcPr>
          <w:p>
            <w:pPr>
              <w:pStyle w:val="TableParagraph"/>
              <w:spacing w:line="240" w:lineRule="auto" w:before="13"/>
              <w:ind w:left="35"/>
              <w:rPr>
                <w:sz w:val="22"/>
              </w:rPr>
            </w:pPr>
            <w:r>
              <w:rPr>
                <w:spacing w:val="-4"/>
                <w:sz w:val="22"/>
              </w:rPr>
              <w:t>97.7</w:t>
            </w:r>
          </w:p>
        </w:tc>
        <w:tc>
          <w:tcPr>
            <w:tcW w:w="942" w:type="dxa"/>
          </w:tcPr>
          <w:p>
            <w:pPr>
              <w:pStyle w:val="TableParagraph"/>
              <w:spacing w:line="240" w:lineRule="auto" w:before="13"/>
              <w:ind w:left="6"/>
              <w:rPr>
                <w:sz w:val="22"/>
              </w:rPr>
            </w:pPr>
            <w:r>
              <w:rPr>
                <w:spacing w:val="-2"/>
                <w:sz w:val="22"/>
              </w:rPr>
              <w:t>100.0</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5"/>
                <w:sz w:val="22"/>
              </w:rPr>
              <w:t>15</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65.9</w:t>
            </w:r>
          </w:p>
        </w:tc>
        <w:tc>
          <w:tcPr>
            <w:tcW w:w="879" w:type="dxa"/>
          </w:tcPr>
          <w:p>
            <w:pPr>
              <w:pStyle w:val="TableParagraph"/>
              <w:spacing w:line="240" w:lineRule="auto" w:before="13"/>
              <w:ind w:right="57"/>
              <w:rPr>
                <w:sz w:val="22"/>
              </w:rPr>
            </w:pPr>
            <w:r>
              <w:rPr>
                <w:spacing w:val="-4"/>
                <w:sz w:val="22"/>
              </w:rPr>
              <w:t>81.8</w:t>
            </w:r>
          </w:p>
        </w:tc>
        <w:tc>
          <w:tcPr>
            <w:tcW w:w="915" w:type="dxa"/>
          </w:tcPr>
          <w:p>
            <w:pPr>
              <w:pStyle w:val="TableParagraph"/>
              <w:spacing w:line="240" w:lineRule="auto" w:before="13"/>
              <w:ind w:left="33"/>
              <w:rPr>
                <w:sz w:val="22"/>
              </w:rPr>
            </w:pPr>
            <w:r>
              <w:rPr>
                <w:spacing w:val="-4"/>
                <w:sz w:val="22"/>
              </w:rPr>
              <w:t>89.8</w:t>
            </w:r>
          </w:p>
        </w:tc>
        <w:tc>
          <w:tcPr>
            <w:tcW w:w="969" w:type="dxa"/>
          </w:tcPr>
          <w:p>
            <w:pPr>
              <w:pStyle w:val="TableParagraph"/>
              <w:spacing w:line="240" w:lineRule="auto" w:before="13"/>
              <w:ind w:left="35"/>
              <w:rPr>
                <w:sz w:val="22"/>
              </w:rPr>
            </w:pPr>
            <w:r>
              <w:rPr>
                <w:spacing w:val="-4"/>
                <w:sz w:val="22"/>
              </w:rPr>
              <w:t>96.6</w:t>
            </w:r>
          </w:p>
        </w:tc>
        <w:tc>
          <w:tcPr>
            <w:tcW w:w="942" w:type="dxa"/>
          </w:tcPr>
          <w:p>
            <w:pPr>
              <w:pStyle w:val="TableParagraph"/>
              <w:spacing w:line="240" w:lineRule="auto" w:before="13"/>
              <w:ind w:left="6"/>
              <w:rPr>
                <w:sz w:val="22"/>
              </w:rPr>
            </w:pPr>
            <w:r>
              <w:rPr>
                <w:spacing w:val="-2"/>
                <w:sz w:val="22"/>
              </w:rPr>
              <w:t>100.0</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8" w:hRule="atLeast"/>
        </w:trPr>
        <w:tc>
          <w:tcPr>
            <w:tcW w:w="1852" w:type="dxa"/>
          </w:tcPr>
          <w:p>
            <w:pPr>
              <w:pStyle w:val="TableParagraph"/>
              <w:spacing w:line="240" w:lineRule="auto" w:before="13"/>
              <w:ind w:right="2"/>
              <w:rPr>
                <w:sz w:val="22"/>
              </w:rPr>
            </w:pPr>
            <w:r>
              <w:rPr>
                <w:spacing w:val="-5"/>
                <w:sz w:val="22"/>
              </w:rPr>
              <w:t>16</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32.4</w:t>
            </w:r>
          </w:p>
        </w:tc>
        <w:tc>
          <w:tcPr>
            <w:tcW w:w="879" w:type="dxa"/>
          </w:tcPr>
          <w:p>
            <w:pPr>
              <w:pStyle w:val="TableParagraph"/>
              <w:spacing w:line="240" w:lineRule="auto" w:before="13"/>
              <w:ind w:right="57"/>
              <w:rPr>
                <w:sz w:val="22"/>
              </w:rPr>
            </w:pPr>
            <w:r>
              <w:rPr>
                <w:spacing w:val="-4"/>
                <w:sz w:val="22"/>
              </w:rPr>
              <w:t>67.6</w:t>
            </w:r>
          </w:p>
        </w:tc>
        <w:tc>
          <w:tcPr>
            <w:tcW w:w="915" w:type="dxa"/>
          </w:tcPr>
          <w:p>
            <w:pPr>
              <w:pStyle w:val="TableParagraph"/>
              <w:spacing w:line="240" w:lineRule="auto" w:before="13"/>
              <w:ind w:left="33"/>
              <w:rPr>
                <w:sz w:val="22"/>
              </w:rPr>
            </w:pPr>
            <w:r>
              <w:rPr>
                <w:spacing w:val="-4"/>
                <w:sz w:val="22"/>
              </w:rPr>
              <w:t>86.5</w:t>
            </w:r>
          </w:p>
        </w:tc>
        <w:tc>
          <w:tcPr>
            <w:tcW w:w="969" w:type="dxa"/>
          </w:tcPr>
          <w:p>
            <w:pPr>
              <w:pStyle w:val="TableParagraph"/>
              <w:spacing w:line="240" w:lineRule="auto" w:before="13"/>
              <w:ind w:left="35"/>
              <w:rPr>
                <w:sz w:val="22"/>
              </w:rPr>
            </w:pPr>
            <w:r>
              <w:rPr>
                <w:spacing w:val="-4"/>
                <w:sz w:val="22"/>
              </w:rPr>
              <w:t>97.3</w:t>
            </w:r>
          </w:p>
        </w:tc>
        <w:tc>
          <w:tcPr>
            <w:tcW w:w="942" w:type="dxa"/>
          </w:tcPr>
          <w:p>
            <w:pPr>
              <w:pStyle w:val="TableParagraph"/>
              <w:spacing w:line="240" w:lineRule="auto" w:before="13"/>
              <w:ind w:left="6"/>
              <w:rPr>
                <w:sz w:val="22"/>
              </w:rPr>
            </w:pPr>
            <w:r>
              <w:rPr>
                <w:spacing w:val="-2"/>
                <w:sz w:val="22"/>
              </w:rPr>
              <w:t>100.0</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8" w:hRule="atLeast"/>
        </w:trPr>
        <w:tc>
          <w:tcPr>
            <w:tcW w:w="1852" w:type="dxa"/>
          </w:tcPr>
          <w:p>
            <w:pPr>
              <w:pStyle w:val="TableParagraph"/>
              <w:spacing w:line="240" w:lineRule="auto" w:before="13"/>
              <w:ind w:right="2"/>
              <w:rPr>
                <w:sz w:val="22"/>
              </w:rPr>
            </w:pPr>
            <w:r>
              <w:rPr>
                <w:spacing w:val="-5"/>
                <w:sz w:val="22"/>
              </w:rPr>
              <w:t>17</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44.3</w:t>
            </w:r>
          </w:p>
        </w:tc>
        <w:tc>
          <w:tcPr>
            <w:tcW w:w="879" w:type="dxa"/>
          </w:tcPr>
          <w:p>
            <w:pPr>
              <w:pStyle w:val="TableParagraph"/>
              <w:spacing w:line="240" w:lineRule="auto" w:before="13"/>
              <w:ind w:right="57"/>
              <w:rPr>
                <w:sz w:val="22"/>
              </w:rPr>
            </w:pPr>
            <w:r>
              <w:rPr>
                <w:spacing w:val="-4"/>
                <w:sz w:val="22"/>
              </w:rPr>
              <w:t>67.0</w:t>
            </w:r>
          </w:p>
        </w:tc>
        <w:tc>
          <w:tcPr>
            <w:tcW w:w="915" w:type="dxa"/>
          </w:tcPr>
          <w:p>
            <w:pPr>
              <w:pStyle w:val="TableParagraph"/>
              <w:spacing w:line="240" w:lineRule="auto" w:before="13"/>
              <w:ind w:left="33"/>
              <w:rPr>
                <w:sz w:val="22"/>
              </w:rPr>
            </w:pPr>
            <w:r>
              <w:rPr>
                <w:spacing w:val="-4"/>
                <w:sz w:val="22"/>
              </w:rPr>
              <w:t>75.3</w:t>
            </w:r>
          </w:p>
        </w:tc>
        <w:tc>
          <w:tcPr>
            <w:tcW w:w="969" w:type="dxa"/>
          </w:tcPr>
          <w:p>
            <w:pPr>
              <w:pStyle w:val="TableParagraph"/>
              <w:spacing w:line="240" w:lineRule="auto" w:before="13"/>
              <w:ind w:left="35"/>
              <w:rPr>
                <w:sz w:val="22"/>
              </w:rPr>
            </w:pPr>
            <w:r>
              <w:rPr>
                <w:spacing w:val="-4"/>
                <w:sz w:val="22"/>
              </w:rPr>
              <w:t>87.6</w:t>
            </w:r>
          </w:p>
        </w:tc>
        <w:tc>
          <w:tcPr>
            <w:tcW w:w="942" w:type="dxa"/>
          </w:tcPr>
          <w:p>
            <w:pPr>
              <w:pStyle w:val="TableParagraph"/>
              <w:spacing w:line="240" w:lineRule="auto" w:before="13"/>
              <w:ind w:left="6"/>
              <w:rPr>
                <w:sz w:val="22"/>
              </w:rPr>
            </w:pPr>
            <w:r>
              <w:rPr>
                <w:spacing w:val="-2"/>
                <w:sz w:val="22"/>
              </w:rPr>
              <w:t>100.0</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8" w:hRule="atLeast"/>
        </w:trPr>
        <w:tc>
          <w:tcPr>
            <w:tcW w:w="1852" w:type="dxa"/>
          </w:tcPr>
          <w:p>
            <w:pPr>
              <w:pStyle w:val="TableParagraph"/>
              <w:spacing w:line="240" w:lineRule="auto" w:before="13"/>
              <w:ind w:right="2"/>
              <w:rPr>
                <w:sz w:val="22"/>
              </w:rPr>
            </w:pPr>
            <w:r>
              <w:rPr>
                <w:spacing w:val="-5"/>
                <w:sz w:val="22"/>
              </w:rPr>
              <w:t>18</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43.2</w:t>
            </w:r>
          </w:p>
        </w:tc>
        <w:tc>
          <w:tcPr>
            <w:tcW w:w="879" w:type="dxa"/>
          </w:tcPr>
          <w:p>
            <w:pPr>
              <w:pStyle w:val="TableParagraph"/>
              <w:spacing w:line="240" w:lineRule="auto" w:before="13"/>
              <w:ind w:right="57"/>
              <w:rPr>
                <w:sz w:val="22"/>
              </w:rPr>
            </w:pPr>
            <w:r>
              <w:rPr>
                <w:spacing w:val="-4"/>
                <w:sz w:val="22"/>
              </w:rPr>
              <w:t>73.0</w:t>
            </w:r>
          </w:p>
        </w:tc>
        <w:tc>
          <w:tcPr>
            <w:tcW w:w="915" w:type="dxa"/>
          </w:tcPr>
          <w:p>
            <w:pPr>
              <w:pStyle w:val="TableParagraph"/>
              <w:spacing w:line="240" w:lineRule="auto" w:before="13"/>
              <w:ind w:left="33"/>
              <w:rPr>
                <w:sz w:val="22"/>
              </w:rPr>
            </w:pPr>
            <w:r>
              <w:rPr>
                <w:spacing w:val="-4"/>
                <w:sz w:val="22"/>
              </w:rPr>
              <w:t>86.5</w:t>
            </w:r>
          </w:p>
        </w:tc>
        <w:tc>
          <w:tcPr>
            <w:tcW w:w="969" w:type="dxa"/>
          </w:tcPr>
          <w:p>
            <w:pPr>
              <w:pStyle w:val="TableParagraph"/>
              <w:spacing w:line="240" w:lineRule="auto" w:before="13"/>
              <w:ind w:left="35"/>
              <w:rPr>
                <w:sz w:val="22"/>
              </w:rPr>
            </w:pPr>
            <w:r>
              <w:rPr>
                <w:spacing w:val="-4"/>
                <w:sz w:val="22"/>
              </w:rPr>
              <w:t>97.3</w:t>
            </w:r>
          </w:p>
        </w:tc>
        <w:tc>
          <w:tcPr>
            <w:tcW w:w="942" w:type="dxa"/>
          </w:tcPr>
          <w:p>
            <w:pPr>
              <w:pStyle w:val="TableParagraph"/>
              <w:spacing w:line="240" w:lineRule="auto" w:before="13"/>
              <w:ind w:left="6"/>
              <w:rPr>
                <w:sz w:val="22"/>
              </w:rPr>
            </w:pPr>
            <w:r>
              <w:rPr>
                <w:spacing w:val="-2"/>
                <w:sz w:val="22"/>
              </w:rPr>
              <w:t>100.0</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87" w:hRule="atLeast"/>
        </w:trPr>
        <w:tc>
          <w:tcPr>
            <w:tcW w:w="1852" w:type="dxa"/>
          </w:tcPr>
          <w:p>
            <w:pPr>
              <w:pStyle w:val="TableParagraph"/>
              <w:spacing w:line="240" w:lineRule="auto" w:before="13"/>
              <w:ind w:right="2"/>
              <w:rPr>
                <w:sz w:val="22"/>
              </w:rPr>
            </w:pPr>
            <w:r>
              <w:rPr>
                <w:spacing w:val="-5"/>
                <w:sz w:val="22"/>
              </w:rPr>
              <w:t>19</w:t>
            </w:r>
          </w:p>
        </w:tc>
        <w:tc>
          <w:tcPr>
            <w:tcW w:w="963" w:type="dxa"/>
          </w:tcPr>
          <w:p>
            <w:pPr>
              <w:pStyle w:val="TableParagraph"/>
              <w:spacing w:line="240" w:lineRule="auto" w:before="13"/>
              <w:ind w:left="3" w:right="13"/>
              <w:rPr>
                <w:sz w:val="22"/>
              </w:rPr>
            </w:pPr>
            <w:r>
              <w:rPr>
                <w:spacing w:val="-5"/>
                <w:sz w:val="22"/>
              </w:rPr>
              <w:t>0.0</w:t>
            </w:r>
          </w:p>
        </w:tc>
        <w:tc>
          <w:tcPr>
            <w:tcW w:w="754" w:type="dxa"/>
          </w:tcPr>
          <w:p>
            <w:pPr>
              <w:pStyle w:val="TableParagraph"/>
              <w:spacing w:line="240" w:lineRule="auto" w:before="13"/>
              <w:ind w:left="5" w:right="61"/>
              <w:rPr>
                <w:sz w:val="22"/>
              </w:rPr>
            </w:pPr>
            <w:r>
              <w:rPr>
                <w:spacing w:val="-4"/>
                <w:sz w:val="22"/>
              </w:rPr>
              <w:t>17.5</w:t>
            </w:r>
          </w:p>
        </w:tc>
        <w:tc>
          <w:tcPr>
            <w:tcW w:w="879" w:type="dxa"/>
          </w:tcPr>
          <w:p>
            <w:pPr>
              <w:pStyle w:val="TableParagraph"/>
              <w:spacing w:line="240" w:lineRule="auto" w:before="13"/>
              <w:ind w:right="57"/>
              <w:rPr>
                <w:sz w:val="22"/>
              </w:rPr>
            </w:pPr>
            <w:r>
              <w:rPr>
                <w:spacing w:val="-4"/>
                <w:sz w:val="22"/>
              </w:rPr>
              <w:t>36.3</w:t>
            </w:r>
          </w:p>
        </w:tc>
        <w:tc>
          <w:tcPr>
            <w:tcW w:w="915" w:type="dxa"/>
          </w:tcPr>
          <w:p>
            <w:pPr>
              <w:pStyle w:val="TableParagraph"/>
              <w:spacing w:line="240" w:lineRule="auto" w:before="13"/>
              <w:ind w:left="33"/>
              <w:rPr>
                <w:sz w:val="22"/>
              </w:rPr>
            </w:pPr>
            <w:r>
              <w:rPr>
                <w:spacing w:val="-4"/>
                <w:sz w:val="22"/>
              </w:rPr>
              <w:t>70.0</w:t>
            </w:r>
          </w:p>
        </w:tc>
        <w:tc>
          <w:tcPr>
            <w:tcW w:w="969" w:type="dxa"/>
          </w:tcPr>
          <w:p>
            <w:pPr>
              <w:pStyle w:val="TableParagraph"/>
              <w:spacing w:line="240" w:lineRule="auto" w:before="13"/>
              <w:ind w:left="35"/>
              <w:rPr>
                <w:sz w:val="22"/>
              </w:rPr>
            </w:pPr>
            <w:r>
              <w:rPr>
                <w:spacing w:val="-4"/>
                <w:sz w:val="22"/>
              </w:rPr>
              <w:t>91.3</w:t>
            </w:r>
          </w:p>
        </w:tc>
        <w:tc>
          <w:tcPr>
            <w:tcW w:w="942" w:type="dxa"/>
          </w:tcPr>
          <w:p>
            <w:pPr>
              <w:pStyle w:val="TableParagraph"/>
              <w:spacing w:line="240" w:lineRule="auto" w:before="13"/>
              <w:ind w:left="6"/>
              <w:rPr>
                <w:sz w:val="22"/>
              </w:rPr>
            </w:pPr>
            <w:r>
              <w:rPr>
                <w:spacing w:val="-4"/>
                <w:sz w:val="22"/>
              </w:rPr>
              <w:t>98.8</w:t>
            </w:r>
          </w:p>
        </w:tc>
        <w:tc>
          <w:tcPr>
            <w:tcW w:w="943" w:type="dxa"/>
          </w:tcPr>
          <w:p>
            <w:pPr>
              <w:pStyle w:val="TableParagraph"/>
              <w:spacing w:line="240" w:lineRule="auto" w:before="13"/>
              <w:ind w:left="9" w:right="1"/>
              <w:rPr>
                <w:sz w:val="22"/>
              </w:rPr>
            </w:pPr>
            <w:r>
              <w:rPr>
                <w:spacing w:val="-2"/>
                <w:sz w:val="22"/>
              </w:rPr>
              <w:t>100.0</w:t>
            </w:r>
          </w:p>
        </w:tc>
        <w:tc>
          <w:tcPr>
            <w:tcW w:w="943" w:type="dxa"/>
          </w:tcPr>
          <w:p>
            <w:pPr>
              <w:pStyle w:val="TableParagraph"/>
              <w:spacing w:line="240" w:lineRule="auto" w:before="13"/>
              <w:ind w:left="9"/>
              <w:rPr>
                <w:sz w:val="22"/>
              </w:rPr>
            </w:pPr>
            <w:r>
              <w:rPr>
                <w:spacing w:val="-2"/>
                <w:sz w:val="22"/>
              </w:rPr>
              <w:t>100.0</w:t>
            </w:r>
          </w:p>
        </w:tc>
      </w:tr>
      <w:tr>
        <w:trPr>
          <w:trHeight w:val="271" w:hRule="atLeast"/>
        </w:trPr>
        <w:tc>
          <w:tcPr>
            <w:tcW w:w="1852" w:type="dxa"/>
            <w:tcBorders>
              <w:bottom w:val="single" w:sz="4" w:space="0" w:color="000000"/>
            </w:tcBorders>
          </w:tcPr>
          <w:p>
            <w:pPr>
              <w:pStyle w:val="TableParagraph"/>
              <w:spacing w:line="238" w:lineRule="exact" w:before="13"/>
              <w:ind w:right="2"/>
              <w:rPr>
                <w:sz w:val="22"/>
              </w:rPr>
            </w:pPr>
            <w:r>
              <w:rPr>
                <w:spacing w:val="-5"/>
                <w:sz w:val="22"/>
              </w:rPr>
              <w:t>20</w:t>
            </w:r>
          </w:p>
        </w:tc>
        <w:tc>
          <w:tcPr>
            <w:tcW w:w="963" w:type="dxa"/>
            <w:tcBorders>
              <w:bottom w:val="single" w:sz="4" w:space="0" w:color="000000"/>
            </w:tcBorders>
          </w:tcPr>
          <w:p>
            <w:pPr>
              <w:pStyle w:val="TableParagraph"/>
              <w:spacing w:line="238" w:lineRule="exact" w:before="13"/>
              <w:ind w:left="3" w:right="13"/>
              <w:rPr>
                <w:sz w:val="22"/>
              </w:rPr>
            </w:pPr>
            <w:r>
              <w:rPr>
                <w:spacing w:val="-5"/>
                <w:sz w:val="22"/>
              </w:rPr>
              <w:t>0.0</w:t>
            </w:r>
          </w:p>
        </w:tc>
        <w:tc>
          <w:tcPr>
            <w:tcW w:w="754" w:type="dxa"/>
            <w:tcBorders>
              <w:bottom w:val="single" w:sz="4" w:space="0" w:color="000000"/>
            </w:tcBorders>
          </w:tcPr>
          <w:p>
            <w:pPr>
              <w:pStyle w:val="TableParagraph"/>
              <w:spacing w:line="238" w:lineRule="exact" w:before="13"/>
              <w:ind w:left="5" w:right="61"/>
              <w:rPr>
                <w:sz w:val="22"/>
              </w:rPr>
            </w:pPr>
            <w:r>
              <w:rPr>
                <w:spacing w:val="-4"/>
                <w:sz w:val="22"/>
              </w:rPr>
              <w:t>45.0</w:t>
            </w:r>
          </w:p>
        </w:tc>
        <w:tc>
          <w:tcPr>
            <w:tcW w:w="879" w:type="dxa"/>
            <w:tcBorders>
              <w:bottom w:val="single" w:sz="4" w:space="0" w:color="000000"/>
            </w:tcBorders>
          </w:tcPr>
          <w:p>
            <w:pPr>
              <w:pStyle w:val="TableParagraph"/>
              <w:spacing w:line="238" w:lineRule="exact" w:before="13"/>
              <w:ind w:right="57"/>
              <w:rPr>
                <w:sz w:val="22"/>
              </w:rPr>
            </w:pPr>
            <w:r>
              <w:rPr>
                <w:spacing w:val="-4"/>
                <w:sz w:val="22"/>
              </w:rPr>
              <w:t>87.0</w:t>
            </w:r>
          </w:p>
        </w:tc>
        <w:tc>
          <w:tcPr>
            <w:tcW w:w="915" w:type="dxa"/>
            <w:tcBorders>
              <w:bottom w:val="single" w:sz="4" w:space="0" w:color="000000"/>
            </w:tcBorders>
          </w:tcPr>
          <w:p>
            <w:pPr>
              <w:pStyle w:val="TableParagraph"/>
              <w:spacing w:line="238" w:lineRule="exact" w:before="13"/>
              <w:ind w:left="33"/>
              <w:rPr>
                <w:sz w:val="22"/>
              </w:rPr>
            </w:pPr>
            <w:r>
              <w:rPr>
                <w:spacing w:val="-4"/>
                <w:sz w:val="22"/>
              </w:rPr>
              <w:t>87.0</w:t>
            </w:r>
          </w:p>
        </w:tc>
        <w:tc>
          <w:tcPr>
            <w:tcW w:w="969" w:type="dxa"/>
            <w:tcBorders>
              <w:bottom w:val="single" w:sz="4" w:space="0" w:color="000000"/>
            </w:tcBorders>
          </w:tcPr>
          <w:p>
            <w:pPr>
              <w:pStyle w:val="TableParagraph"/>
              <w:spacing w:line="238" w:lineRule="exact" w:before="13"/>
              <w:ind w:left="35"/>
              <w:rPr>
                <w:sz w:val="22"/>
              </w:rPr>
            </w:pPr>
            <w:r>
              <w:rPr>
                <w:spacing w:val="-4"/>
                <w:sz w:val="22"/>
              </w:rPr>
              <w:t>94.0</w:t>
            </w:r>
          </w:p>
        </w:tc>
        <w:tc>
          <w:tcPr>
            <w:tcW w:w="942" w:type="dxa"/>
            <w:tcBorders>
              <w:bottom w:val="single" w:sz="4" w:space="0" w:color="000000"/>
            </w:tcBorders>
          </w:tcPr>
          <w:p>
            <w:pPr>
              <w:pStyle w:val="TableParagraph"/>
              <w:spacing w:line="238" w:lineRule="exact" w:before="13"/>
              <w:ind w:left="6"/>
              <w:rPr>
                <w:sz w:val="22"/>
              </w:rPr>
            </w:pPr>
            <w:r>
              <w:rPr>
                <w:spacing w:val="-2"/>
                <w:sz w:val="22"/>
              </w:rPr>
              <w:t>100.0</w:t>
            </w:r>
          </w:p>
        </w:tc>
        <w:tc>
          <w:tcPr>
            <w:tcW w:w="943" w:type="dxa"/>
            <w:tcBorders>
              <w:bottom w:val="single" w:sz="4" w:space="0" w:color="000000"/>
            </w:tcBorders>
          </w:tcPr>
          <w:p>
            <w:pPr>
              <w:pStyle w:val="TableParagraph"/>
              <w:spacing w:line="238" w:lineRule="exact" w:before="13"/>
              <w:ind w:left="9" w:right="1"/>
              <w:rPr>
                <w:sz w:val="22"/>
              </w:rPr>
            </w:pPr>
            <w:r>
              <w:rPr>
                <w:spacing w:val="-2"/>
                <w:sz w:val="22"/>
              </w:rPr>
              <w:t>100.0</w:t>
            </w:r>
          </w:p>
        </w:tc>
        <w:tc>
          <w:tcPr>
            <w:tcW w:w="943" w:type="dxa"/>
            <w:tcBorders>
              <w:bottom w:val="single" w:sz="4" w:space="0" w:color="000000"/>
            </w:tcBorders>
          </w:tcPr>
          <w:p>
            <w:pPr>
              <w:pStyle w:val="TableParagraph"/>
              <w:spacing w:line="238" w:lineRule="exact" w:before="13"/>
              <w:ind w:left="9"/>
              <w:rPr>
                <w:sz w:val="22"/>
              </w:rPr>
            </w:pPr>
            <w:r>
              <w:rPr>
                <w:spacing w:val="-2"/>
                <w:sz w:val="22"/>
              </w:rPr>
              <w:t>100.0</w:t>
            </w:r>
          </w:p>
        </w:tc>
      </w:tr>
    </w:tbl>
    <w:p>
      <w:pPr>
        <w:pStyle w:val="BodyText"/>
        <w:spacing w:before="6"/>
        <w:ind w:left="260"/>
      </w:pPr>
      <w:r>
        <w:rPr/>
        <w:t>Key: A</w:t>
      </w:r>
      <w:r>
        <w:rPr>
          <w:spacing w:val="-1"/>
        </w:rPr>
        <w:t> </w:t>
      </w:r>
      <w:r>
        <w:rPr/>
        <w:t>is</w:t>
      </w:r>
      <w:r>
        <w:rPr>
          <w:spacing w:val="-1"/>
        </w:rPr>
        <w:t> </w:t>
      </w:r>
      <w:r>
        <w:rPr/>
        <w:t>control,</w:t>
      </w:r>
      <w:r>
        <w:rPr>
          <w:spacing w:val="-1"/>
        </w:rPr>
        <w:t> </w:t>
      </w:r>
      <w:r>
        <w:rPr/>
        <w:t>B</w:t>
      </w:r>
      <w:r>
        <w:rPr>
          <w:spacing w:val="-3"/>
        </w:rPr>
        <w:t> </w:t>
      </w:r>
      <w:r>
        <w:rPr/>
        <w:t>to</w:t>
      </w:r>
      <w:r>
        <w:rPr>
          <w:spacing w:val="-1"/>
        </w:rPr>
        <w:t> </w:t>
      </w:r>
      <w:r>
        <w:rPr/>
        <w:t>H</w:t>
      </w:r>
      <w:r>
        <w:rPr>
          <w:spacing w:val="1"/>
        </w:rPr>
        <w:t> </w:t>
      </w:r>
      <w:r>
        <w:rPr/>
        <w:t>represent</w:t>
      </w:r>
      <w:r>
        <w:rPr>
          <w:spacing w:val="-1"/>
        </w:rPr>
        <w:t> </w:t>
      </w:r>
      <w:r>
        <w:rPr/>
        <w:t>concentration</w:t>
      </w:r>
      <w:r>
        <w:rPr>
          <w:spacing w:val="1"/>
        </w:rPr>
        <w:t> </w:t>
      </w:r>
      <w:r>
        <w:rPr/>
        <w:t>of</w:t>
      </w:r>
      <w:r>
        <w:rPr>
          <w:spacing w:val="-2"/>
        </w:rPr>
        <w:t> </w:t>
      </w:r>
      <w:r>
        <w:rPr/>
        <w:t>test</w:t>
      </w:r>
      <w:r>
        <w:rPr>
          <w:spacing w:val="-1"/>
        </w:rPr>
        <w:t> </w:t>
      </w:r>
      <w:r>
        <w:rPr>
          <w:spacing w:val="-4"/>
        </w:rPr>
        <w:t>drug</w:t>
      </w:r>
    </w:p>
    <w:p>
      <w:pPr>
        <w:spacing w:after="0"/>
        <w:sectPr>
          <w:pgSz w:w="11910" w:h="16840"/>
          <w:pgMar w:header="0" w:footer="1254" w:top="1340" w:bottom="1440" w:left="1180" w:right="580"/>
        </w:sectPr>
      </w:pPr>
    </w:p>
    <w:p>
      <w:pPr>
        <w:pStyle w:val="BodyText"/>
        <w:spacing w:line="362" w:lineRule="auto" w:before="76"/>
        <w:ind w:left="260"/>
        <w:rPr>
          <w:rFonts w:ascii="Calibri" w:hAnsi="Calibri"/>
          <w:sz w:val="22"/>
        </w:rPr>
      </w:pPr>
      <w:r>
        <w:rPr/>
        <w:t>Table</w:t>
      </w:r>
      <w:r>
        <w:rPr>
          <w:spacing w:val="79"/>
        </w:rPr>
        <w:t> </w:t>
      </w:r>
      <w:r>
        <w:rPr/>
        <w:t>4.4:</w:t>
      </w:r>
      <w:r>
        <w:rPr>
          <w:spacing w:val="80"/>
        </w:rPr>
        <w:t> </w:t>
      </w:r>
      <w:r>
        <w:rPr/>
        <w:t>Degree</w:t>
      </w:r>
      <w:r>
        <w:rPr>
          <w:spacing w:val="79"/>
        </w:rPr>
        <w:t> </w:t>
      </w:r>
      <w:r>
        <w:rPr/>
        <w:t>of</w:t>
      </w:r>
      <w:r>
        <w:rPr>
          <w:spacing w:val="80"/>
        </w:rPr>
        <w:t> </w:t>
      </w:r>
      <w:r>
        <w:rPr/>
        <w:t>Amodiaquine</w:t>
      </w:r>
      <w:r>
        <w:rPr>
          <w:spacing w:val="79"/>
        </w:rPr>
        <w:t> </w:t>
      </w:r>
      <w:r>
        <w:rPr/>
        <w:t>inhibition</w:t>
      </w:r>
      <w:r>
        <w:rPr>
          <w:spacing w:val="78"/>
        </w:rPr>
        <w:t> </w:t>
      </w:r>
      <w:r>
        <w:rPr/>
        <w:t>of</w:t>
      </w:r>
      <w:r>
        <w:rPr>
          <w:spacing w:val="79"/>
        </w:rPr>
        <w:t> </w:t>
      </w:r>
      <w:r>
        <w:rPr/>
        <w:t>schizont</w:t>
      </w:r>
      <w:r>
        <w:rPr>
          <w:spacing w:val="80"/>
        </w:rPr>
        <w:t> </w:t>
      </w:r>
      <w:r>
        <w:rPr/>
        <w:t>maturation</w:t>
      </w:r>
      <w:r>
        <w:rPr>
          <w:spacing w:val="79"/>
        </w:rPr>
        <w:t> </w:t>
      </w:r>
      <w:r>
        <w:rPr/>
        <w:t>(%)</w:t>
      </w:r>
      <w:r>
        <w:rPr>
          <w:spacing w:val="79"/>
        </w:rPr>
        <w:t> </w:t>
      </w:r>
      <w:r>
        <w:rPr/>
        <w:t>at</w:t>
      </w:r>
      <w:r>
        <w:rPr>
          <w:spacing w:val="80"/>
        </w:rPr>
        <w:t> </w:t>
      </w:r>
      <w:r>
        <w:rPr/>
        <w:t>different antimalarial concentrations (</w:t>
      </w:r>
      <w:r>
        <w:rPr>
          <w:rFonts w:ascii="Calibri" w:hAnsi="Calibri"/>
          <w:sz w:val="22"/>
        </w:rPr>
        <w:t>µM)</w:t>
      </w: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1125"/>
        <w:gridCol w:w="953"/>
        <w:gridCol w:w="958"/>
        <w:gridCol w:w="932"/>
        <w:gridCol w:w="987"/>
        <w:gridCol w:w="958"/>
        <w:gridCol w:w="958"/>
        <w:gridCol w:w="958"/>
      </w:tblGrid>
      <w:tr>
        <w:trPr>
          <w:trHeight w:val="390" w:hRule="atLeast"/>
        </w:trPr>
        <w:tc>
          <w:tcPr>
            <w:tcW w:w="1416" w:type="dxa"/>
            <w:vMerge w:val="restart"/>
            <w:tcBorders>
              <w:top w:val="single" w:sz="4" w:space="0" w:color="000000"/>
              <w:bottom w:val="single" w:sz="4" w:space="0" w:color="000000"/>
            </w:tcBorders>
          </w:tcPr>
          <w:p>
            <w:pPr>
              <w:pStyle w:val="TableParagraph"/>
              <w:spacing w:line="247" w:lineRule="exact" w:before="0"/>
              <w:ind w:left="1" w:right="47"/>
              <w:rPr>
                <w:sz w:val="22"/>
              </w:rPr>
            </w:pPr>
            <w:r>
              <w:rPr>
                <w:spacing w:val="-2"/>
                <w:sz w:val="22"/>
              </w:rPr>
              <w:t>Parasitemia</w:t>
            </w:r>
          </w:p>
          <w:p>
            <w:pPr>
              <w:pStyle w:val="TableParagraph"/>
              <w:spacing w:line="252" w:lineRule="exact" w:before="0"/>
              <w:ind w:left="331" w:right="373" w:hanging="4"/>
              <w:rPr>
                <w:sz w:val="22"/>
              </w:rPr>
            </w:pPr>
            <w:r>
              <w:rPr>
                <w:spacing w:val="-2"/>
                <w:sz w:val="22"/>
              </w:rPr>
              <w:t>blood samples</w:t>
            </w:r>
          </w:p>
        </w:tc>
        <w:tc>
          <w:tcPr>
            <w:tcW w:w="1125" w:type="dxa"/>
            <w:tcBorders>
              <w:top w:val="single" w:sz="4" w:space="0" w:color="000000"/>
            </w:tcBorders>
          </w:tcPr>
          <w:p>
            <w:pPr>
              <w:pStyle w:val="TableParagraph"/>
              <w:spacing w:line="240" w:lineRule="auto" w:before="29"/>
              <w:ind w:left="3" w:right="64"/>
              <w:rPr>
                <w:sz w:val="22"/>
              </w:rPr>
            </w:pPr>
            <w:r>
              <w:rPr>
                <w:spacing w:val="-10"/>
                <w:sz w:val="22"/>
              </w:rPr>
              <w:t>A</w:t>
            </w:r>
          </w:p>
        </w:tc>
        <w:tc>
          <w:tcPr>
            <w:tcW w:w="953" w:type="dxa"/>
            <w:tcBorders>
              <w:top w:val="single" w:sz="4" w:space="0" w:color="000000"/>
            </w:tcBorders>
          </w:tcPr>
          <w:p>
            <w:pPr>
              <w:pStyle w:val="TableParagraph"/>
              <w:spacing w:line="240" w:lineRule="auto" w:before="29"/>
              <w:ind w:left="1" w:right="5"/>
              <w:rPr>
                <w:sz w:val="22"/>
              </w:rPr>
            </w:pPr>
            <w:r>
              <w:rPr>
                <w:spacing w:val="-10"/>
                <w:sz w:val="22"/>
              </w:rPr>
              <w:t>B</w:t>
            </w:r>
          </w:p>
        </w:tc>
        <w:tc>
          <w:tcPr>
            <w:tcW w:w="958" w:type="dxa"/>
            <w:tcBorders>
              <w:top w:val="single" w:sz="4" w:space="0" w:color="000000"/>
            </w:tcBorders>
          </w:tcPr>
          <w:p>
            <w:pPr>
              <w:pStyle w:val="TableParagraph"/>
              <w:spacing w:line="240" w:lineRule="auto" w:before="29"/>
              <w:ind w:left="5" w:right="5"/>
              <w:rPr>
                <w:sz w:val="22"/>
              </w:rPr>
            </w:pPr>
            <w:r>
              <w:rPr>
                <w:spacing w:val="-10"/>
                <w:sz w:val="22"/>
              </w:rPr>
              <w:t>C</w:t>
            </w:r>
          </w:p>
        </w:tc>
        <w:tc>
          <w:tcPr>
            <w:tcW w:w="932" w:type="dxa"/>
            <w:tcBorders>
              <w:top w:val="single" w:sz="4" w:space="0" w:color="000000"/>
            </w:tcBorders>
          </w:tcPr>
          <w:p>
            <w:pPr>
              <w:pStyle w:val="TableParagraph"/>
              <w:spacing w:line="240" w:lineRule="auto" w:before="29"/>
              <w:ind w:left="22" w:right="1"/>
              <w:rPr>
                <w:sz w:val="22"/>
              </w:rPr>
            </w:pPr>
            <w:r>
              <w:rPr>
                <w:spacing w:val="-10"/>
                <w:sz w:val="22"/>
              </w:rPr>
              <w:t>D</w:t>
            </w:r>
          </w:p>
        </w:tc>
        <w:tc>
          <w:tcPr>
            <w:tcW w:w="987" w:type="dxa"/>
            <w:tcBorders>
              <w:top w:val="single" w:sz="4" w:space="0" w:color="000000"/>
            </w:tcBorders>
          </w:tcPr>
          <w:p>
            <w:pPr>
              <w:pStyle w:val="TableParagraph"/>
              <w:spacing w:line="240" w:lineRule="auto" w:before="29"/>
              <w:ind w:left="23" w:right="2"/>
              <w:rPr>
                <w:sz w:val="22"/>
              </w:rPr>
            </w:pPr>
            <w:r>
              <w:rPr>
                <w:spacing w:val="-10"/>
                <w:sz w:val="22"/>
              </w:rPr>
              <w:t>E</w:t>
            </w:r>
          </w:p>
        </w:tc>
        <w:tc>
          <w:tcPr>
            <w:tcW w:w="958" w:type="dxa"/>
            <w:tcBorders>
              <w:top w:val="single" w:sz="4" w:space="0" w:color="000000"/>
            </w:tcBorders>
          </w:tcPr>
          <w:p>
            <w:pPr>
              <w:pStyle w:val="TableParagraph"/>
              <w:spacing w:line="240" w:lineRule="auto" w:before="29"/>
              <w:ind w:left="2" w:right="5"/>
              <w:rPr>
                <w:sz w:val="22"/>
              </w:rPr>
            </w:pPr>
            <w:r>
              <w:rPr>
                <w:spacing w:val="-10"/>
                <w:sz w:val="22"/>
              </w:rPr>
              <w:t>F</w:t>
            </w:r>
          </w:p>
        </w:tc>
        <w:tc>
          <w:tcPr>
            <w:tcW w:w="958" w:type="dxa"/>
            <w:tcBorders>
              <w:top w:val="single" w:sz="4" w:space="0" w:color="000000"/>
            </w:tcBorders>
          </w:tcPr>
          <w:p>
            <w:pPr>
              <w:pStyle w:val="TableParagraph"/>
              <w:spacing w:line="240" w:lineRule="auto" w:before="29"/>
              <w:ind w:left="1" w:right="6"/>
              <w:rPr>
                <w:sz w:val="22"/>
              </w:rPr>
            </w:pPr>
            <w:r>
              <w:rPr>
                <w:spacing w:val="-10"/>
                <w:sz w:val="22"/>
              </w:rPr>
              <w:t>G</w:t>
            </w:r>
          </w:p>
        </w:tc>
        <w:tc>
          <w:tcPr>
            <w:tcW w:w="958" w:type="dxa"/>
            <w:tcBorders>
              <w:top w:val="single" w:sz="4" w:space="0" w:color="000000"/>
            </w:tcBorders>
          </w:tcPr>
          <w:p>
            <w:pPr>
              <w:pStyle w:val="TableParagraph"/>
              <w:spacing w:line="240" w:lineRule="auto" w:before="29"/>
              <w:ind w:left="1" w:right="6"/>
              <w:rPr>
                <w:sz w:val="22"/>
              </w:rPr>
            </w:pPr>
            <w:r>
              <w:rPr>
                <w:spacing w:val="-10"/>
                <w:sz w:val="22"/>
              </w:rPr>
              <w:t>H</w:t>
            </w:r>
          </w:p>
        </w:tc>
      </w:tr>
      <w:tr>
        <w:trPr>
          <w:trHeight w:val="357" w:hRule="atLeast"/>
        </w:trPr>
        <w:tc>
          <w:tcPr>
            <w:tcW w:w="1416" w:type="dxa"/>
            <w:vMerge/>
            <w:tcBorders>
              <w:top w:val="nil"/>
              <w:bottom w:val="single" w:sz="4" w:space="0" w:color="000000"/>
            </w:tcBorders>
          </w:tcPr>
          <w:p>
            <w:pPr>
              <w:rPr>
                <w:sz w:val="2"/>
                <w:szCs w:val="2"/>
              </w:rPr>
            </w:pPr>
          </w:p>
        </w:tc>
        <w:tc>
          <w:tcPr>
            <w:tcW w:w="1125" w:type="dxa"/>
            <w:tcBorders>
              <w:bottom w:val="single" w:sz="4" w:space="0" w:color="000000"/>
            </w:tcBorders>
          </w:tcPr>
          <w:p>
            <w:pPr>
              <w:pStyle w:val="TableParagraph"/>
              <w:spacing w:line="238" w:lineRule="exact" w:before="99"/>
              <w:ind w:left="3" w:right="64"/>
              <w:rPr>
                <w:sz w:val="22"/>
              </w:rPr>
            </w:pPr>
            <w:r>
              <w:rPr>
                <w:spacing w:val="-2"/>
                <w:sz w:val="22"/>
              </w:rPr>
              <w:t>control</w:t>
            </w:r>
          </w:p>
        </w:tc>
        <w:tc>
          <w:tcPr>
            <w:tcW w:w="953" w:type="dxa"/>
            <w:tcBorders>
              <w:bottom w:val="single" w:sz="4" w:space="0" w:color="000000"/>
            </w:tcBorders>
          </w:tcPr>
          <w:p>
            <w:pPr>
              <w:pStyle w:val="TableParagraph"/>
              <w:spacing w:line="238" w:lineRule="exact" w:before="99"/>
              <w:ind w:right="5"/>
              <w:rPr>
                <w:sz w:val="22"/>
              </w:rPr>
            </w:pPr>
            <w:r>
              <w:rPr>
                <w:spacing w:val="-4"/>
                <w:sz w:val="22"/>
              </w:rPr>
              <w:t>0.04</w:t>
            </w:r>
          </w:p>
        </w:tc>
        <w:tc>
          <w:tcPr>
            <w:tcW w:w="958" w:type="dxa"/>
            <w:tcBorders>
              <w:bottom w:val="single" w:sz="4" w:space="0" w:color="000000"/>
            </w:tcBorders>
          </w:tcPr>
          <w:p>
            <w:pPr>
              <w:pStyle w:val="TableParagraph"/>
              <w:spacing w:line="238" w:lineRule="exact" w:before="99"/>
              <w:ind w:left="4" w:right="5"/>
              <w:rPr>
                <w:sz w:val="22"/>
              </w:rPr>
            </w:pPr>
            <w:r>
              <w:rPr>
                <w:spacing w:val="-4"/>
                <w:sz w:val="22"/>
              </w:rPr>
              <w:t>0.08</w:t>
            </w:r>
          </w:p>
        </w:tc>
        <w:tc>
          <w:tcPr>
            <w:tcW w:w="932" w:type="dxa"/>
            <w:tcBorders>
              <w:bottom w:val="single" w:sz="4" w:space="0" w:color="000000"/>
            </w:tcBorders>
          </w:tcPr>
          <w:p>
            <w:pPr>
              <w:pStyle w:val="TableParagraph"/>
              <w:spacing w:line="238" w:lineRule="exact" w:before="99"/>
              <w:ind w:left="22"/>
              <w:rPr>
                <w:sz w:val="22"/>
              </w:rPr>
            </w:pPr>
            <w:r>
              <w:rPr>
                <w:spacing w:val="-4"/>
                <w:sz w:val="22"/>
              </w:rPr>
              <w:t>0.16</w:t>
            </w:r>
          </w:p>
        </w:tc>
        <w:tc>
          <w:tcPr>
            <w:tcW w:w="987" w:type="dxa"/>
            <w:tcBorders>
              <w:bottom w:val="single" w:sz="4" w:space="0" w:color="000000"/>
            </w:tcBorders>
          </w:tcPr>
          <w:p>
            <w:pPr>
              <w:pStyle w:val="TableParagraph"/>
              <w:spacing w:line="238" w:lineRule="exact" w:before="99"/>
              <w:ind w:left="23"/>
              <w:rPr>
                <w:sz w:val="22"/>
              </w:rPr>
            </w:pPr>
            <w:r>
              <w:rPr>
                <w:spacing w:val="-4"/>
                <w:sz w:val="22"/>
              </w:rPr>
              <w:t>0.32</w:t>
            </w:r>
          </w:p>
        </w:tc>
        <w:tc>
          <w:tcPr>
            <w:tcW w:w="958" w:type="dxa"/>
            <w:tcBorders>
              <w:bottom w:val="single" w:sz="4" w:space="0" w:color="000000"/>
            </w:tcBorders>
          </w:tcPr>
          <w:p>
            <w:pPr>
              <w:pStyle w:val="TableParagraph"/>
              <w:spacing w:line="238" w:lineRule="exact" w:before="99"/>
              <w:ind w:left="1" w:right="5"/>
              <w:rPr>
                <w:sz w:val="22"/>
              </w:rPr>
            </w:pPr>
            <w:r>
              <w:rPr>
                <w:spacing w:val="-4"/>
                <w:sz w:val="22"/>
              </w:rPr>
              <w:t>0.64</w:t>
            </w:r>
          </w:p>
        </w:tc>
        <w:tc>
          <w:tcPr>
            <w:tcW w:w="958" w:type="dxa"/>
            <w:tcBorders>
              <w:bottom w:val="single" w:sz="4" w:space="0" w:color="000000"/>
            </w:tcBorders>
          </w:tcPr>
          <w:p>
            <w:pPr>
              <w:pStyle w:val="TableParagraph"/>
              <w:spacing w:line="238" w:lineRule="exact" w:before="99"/>
              <w:ind w:left="2" w:right="5"/>
              <w:rPr>
                <w:sz w:val="22"/>
              </w:rPr>
            </w:pPr>
            <w:r>
              <w:rPr>
                <w:spacing w:val="-4"/>
                <w:sz w:val="22"/>
              </w:rPr>
              <w:t>1.28</w:t>
            </w:r>
          </w:p>
        </w:tc>
        <w:tc>
          <w:tcPr>
            <w:tcW w:w="958" w:type="dxa"/>
            <w:tcBorders>
              <w:bottom w:val="single" w:sz="4" w:space="0" w:color="000000"/>
            </w:tcBorders>
          </w:tcPr>
          <w:p>
            <w:pPr>
              <w:pStyle w:val="TableParagraph"/>
              <w:spacing w:line="238" w:lineRule="exact" w:before="99"/>
              <w:ind w:left="1" w:right="5"/>
              <w:rPr>
                <w:sz w:val="22"/>
              </w:rPr>
            </w:pPr>
            <w:r>
              <w:rPr>
                <w:spacing w:val="-4"/>
                <w:sz w:val="22"/>
              </w:rPr>
              <w:t>2.56</w:t>
            </w:r>
          </w:p>
        </w:tc>
      </w:tr>
      <w:tr>
        <w:trPr>
          <w:trHeight w:val="304" w:hRule="atLeast"/>
        </w:trPr>
        <w:tc>
          <w:tcPr>
            <w:tcW w:w="1416" w:type="dxa"/>
            <w:tcBorders>
              <w:top w:val="single" w:sz="4" w:space="0" w:color="000000"/>
            </w:tcBorders>
          </w:tcPr>
          <w:p>
            <w:pPr>
              <w:pStyle w:val="TableParagraph"/>
              <w:spacing w:line="240" w:lineRule="auto" w:before="29"/>
              <w:ind w:right="47"/>
              <w:rPr>
                <w:sz w:val="22"/>
              </w:rPr>
            </w:pPr>
            <w:r>
              <w:rPr>
                <w:spacing w:val="-10"/>
                <w:sz w:val="22"/>
              </w:rPr>
              <w:t>1</w:t>
            </w:r>
          </w:p>
        </w:tc>
        <w:tc>
          <w:tcPr>
            <w:tcW w:w="1125" w:type="dxa"/>
            <w:tcBorders>
              <w:top w:val="single" w:sz="4" w:space="0" w:color="000000"/>
            </w:tcBorders>
          </w:tcPr>
          <w:p>
            <w:pPr>
              <w:pStyle w:val="TableParagraph"/>
              <w:spacing w:line="240" w:lineRule="auto" w:before="29"/>
              <w:ind w:right="64"/>
              <w:rPr>
                <w:sz w:val="22"/>
              </w:rPr>
            </w:pPr>
            <w:r>
              <w:rPr>
                <w:spacing w:val="-5"/>
                <w:sz w:val="22"/>
              </w:rPr>
              <w:t>0.0</w:t>
            </w:r>
          </w:p>
        </w:tc>
        <w:tc>
          <w:tcPr>
            <w:tcW w:w="953" w:type="dxa"/>
            <w:tcBorders>
              <w:top w:val="single" w:sz="4" w:space="0" w:color="000000"/>
            </w:tcBorders>
          </w:tcPr>
          <w:p>
            <w:pPr>
              <w:pStyle w:val="TableParagraph"/>
              <w:spacing w:line="240" w:lineRule="auto" w:before="29"/>
              <w:ind w:right="5"/>
              <w:rPr>
                <w:sz w:val="22"/>
              </w:rPr>
            </w:pPr>
            <w:r>
              <w:rPr>
                <w:spacing w:val="-4"/>
                <w:sz w:val="22"/>
              </w:rPr>
              <w:t>21.4</w:t>
            </w:r>
          </w:p>
        </w:tc>
        <w:tc>
          <w:tcPr>
            <w:tcW w:w="958" w:type="dxa"/>
            <w:tcBorders>
              <w:top w:val="single" w:sz="4" w:space="0" w:color="000000"/>
            </w:tcBorders>
          </w:tcPr>
          <w:p>
            <w:pPr>
              <w:pStyle w:val="TableParagraph"/>
              <w:spacing w:line="240" w:lineRule="auto" w:before="29"/>
              <w:ind w:left="4" w:right="5"/>
              <w:rPr>
                <w:sz w:val="22"/>
              </w:rPr>
            </w:pPr>
            <w:r>
              <w:rPr>
                <w:spacing w:val="-4"/>
                <w:sz w:val="22"/>
              </w:rPr>
              <w:t>41.1</w:t>
            </w:r>
          </w:p>
        </w:tc>
        <w:tc>
          <w:tcPr>
            <w:tcW w:w="932" w:type="dxa"/>
            <w:tcBorders>
              <w:top w:val="single" w:sz="4" w:space="0" w:color="000000"/>
            </w:tcBorders>
          </w:tcPr>
          <w:p>
            <w:pPr>
              <w:pStyle w:val="TableParagraph"/>
              <w:spacing w:line="240" w:lineRule="auto" w:before="29"/>
              <w:ind w:left="22"/>
              <w:rPr>
                <w:sz w:val="22"/>
              </w:rPr>
            </w:pPr>
            <w:r>
              <w:rPr>
                <w:spacing w:val="-4"/>
                <w:sz w:val="22"/>
              </w:rPr>
              <w:t>60.7</w:t>
            </w:r>
          </w:p>
        </w:tc>
        <w:tc>
          <w:tcPr>
            <w:tcW w:w="987" w:type="dxa"/>
            <w:tcBorders>
              <w:top w:val="single" w:sz="4" w:space="0" w:color="000000"/>
            </w:tcBorders>
          </w:tcPr>
          <w:p>
            <w:pPr>
              <w:pStyle w:val="TableParagraph"/>
              <w:spacing w:line="240" w:lineRule="auto" w:before="29"/>
              <w:ind w:left="23"/>
              <w:rPr>
                <w:sz w:val="22"/>
              </w:rPr>
            </w:pPr>
            <w:r>
              <w:rPr>
                <w:spacing w:val="-4"/>
                <w:sz w:val="22"/>
              </w:rPr>
              <w:t>73.2</w:t>
            </w:r>
          </w:p>
        </w:tc>
        <w:tc>
          <w:tcPr>
            <w:tcW w:w="958" w:type="dxa"/>
            <w:tcBorders>
              <w:top w:val="single" w:sz="4" w:space="0" w:color="000000"/>
            </w:tcBorders>
          </w:tcPr>
          <w:p>
            <w:pPr>
              <w:pStyle w:val="TableParagraph"/>
              <w:spacing w:line="240" w:lineRule="auto" w:before="29"/>
              <w:ind w:left="1" w:right="5"/>
              <w:rPr>
                <w:sz w:val="22"/>
              </w:rPr>
            </w:pPr>
            <w:r>
              <w:rPr>
                <w:spacing w:val="-4"/>
                <w:sz w:val="22"/>
              </w:rPr>
              <w:t>92.9</w:t>
            </w:r>
          </w:p>
        </w:tc>
        <w:tc>
          <w:tcPr>
            <w:tcW w:w="958" w:type="dxa"/>
            <w:tcBorders>
              <w:top w:val="single" w:sz="4" w:space="0" w:color="000000"/>
            </w:tcBorders>
          </w:tcPr>
          <w:p>
            <w:pPr>
              <w:pStyle w:val="TableParagraph"/>
              <w:spacing w:line="240" w:lineRule="auto" w:before="29"/>
              <w:ind w:left="2" w:right="5"/>
              <w:rPr>
                <w:sz w:val="22"/>
              </w:rPr>
            </w:pPr>
            <w:r>
              <w:rPr>
                <w:spacing w:val="-2"/>
                <w:sz w:val="22"/>
              </w:rPr>
              <w:t>100.0</w:t>
            </w:r>
          </w:p>
        </w:tc>
        <w:tc>
          <w:tcPr>
            <w:tcW w:w="958" w:type="dxa"/>
            <w:tcBorders>
              <w:top w:val="single" w:sz="4" w:space="0" w:color="000000"/>
            </w:tcBorders>
          </w:tcPr>
          <w:p>
            <w:pPr>
              <w:pStyle w:val="TableParagraph"/>
              <w:spacing w:line="240" w:lineRule="auto" w:before="29"/>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10"/>
                <w:sz w:val="22"/>
              </w:rPr>
              <w:t>2</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17.1</w:t>
            </w:r>
          </w:p>
        </w:tc>
        <w:tc>
          <w:tcPr>
            <w:tcW w:w="958" w:type="dxa"/>
          </w:tcPr>
          <w:p>
            <w:pPr>
              <w:pStyle w:val="TableParagraph"/>
              <w:spacing w:line="240" w:lineRule="auto" w:before="13"/>
              <w:ind w:left="4" w:right="5"/>
              <w:rPr>
                <w:sz w:val="22"/>
              </w:rPr>
            </w:pPr>
            <w:r>
              <w:rPr>
                <w:spacing w:val="-4"/>
                <w:sz w:val="22"/>
              </w:rPr>
              <w:t>42.9</w:t>
            </w:r>
          </w:p>
        </w:tc>
        <w:tc>
          <w:tcPr>
            <w:tcW w:w="932" w:type="dxa"/>
          </w:tcPr>
          <w:p>
            <w:pPr>
              <w:pStyle w:val="TableParagraph"/>
              <w:spacing w:line="240" w:lineRule="auto" w:before="13"/>
              <w:ind w:left="22"/>
              <w:rPr>
                <w:sz w:val="22"/>
              </w:rPr>
            </w:pPr>
            <w:r>
              <w:rPr>
                <w:spacing w:val="-4"/>
                <w:sz w:val="22"/>
              </w:rPr>
              <w:t>70.0</w:t>
            </w:r>
          </w:p>
        </w:tc>
        <w:tc>
          <w:tcPr>
            <w:tcW w:w="987" w:type="dxa"/>
          </w:tcPr>
          <w:p>
            <w:pPr>
              <w:pStyle w:val="TableParagraph"/>
              <w:spacing w:line="240" w:lineRule="auto" w:before="13"/>
              <w:ind w:left="23"/>
              <w:rPr>
                <w:sz w:val="22"/>
              </w:rPr>
            </w:pPr>
            <w:r>
              <w:rPr>
                <w:spacing w:val="-4"/>
                <w:sz w:val="22"/>
              </w:rPr>
              <w:t>81.4</w:t>
            </w:r>
          </w:p>
        </w:tc>
        <w:tc>
          <w:tcPr>
            <w:tcW w:w="958" w:type="dxa"/>
          </w:tcPr>
          <w:p>
            <w:pPr>
              <w:pStyle w:val="TableParagraph"/>
              <w:spacing w:line="240" w:lineRule="auto" w:before="13"/>
              <w:ind w:left="1" w:right="5"/>
              <w:rPr>
                <w:sz w:val="22"/>
              </w:rPr>
            </w:pPr>
            <w:r>
              <w:rPr>
                <w:spacing w:val="-4"/>
                <w:sz w:val="22"/>
              </w:rPr>
              <w:t>95.7</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10"/>
                <w:sz w:val="22"/>
              </w:rPr>
              <w:t>3</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35.8</w:t>
            </w:r>
          </w:p>
        </w:tc>
        <w:tc>
          <w:tcPr>
            <w:tcW w:w="958" w:type="dxa"/>
          </w:tcPr>
          <w:p>
            <w:pPr>
              <w:pStyle w:val="TableParagraph"/>
              <w:spacing w:line="240" w:lineRule="auto" w:before="13"/>
              <w:ind w:left="4" w:right="5"/>
              <w:rPr>
                <w:sz w:val="22"/>
              </w:rPr>
            </w:pPr>
            <w:r>
              <w:rPr>
                <w:spacing w:val="-4"/>
                <w:sz w:val="22"/>
              </w:rPr>
              <w:t>62.7</w:t>
            </w:r>
          </w:p>
        </w:tc>
        <w:tc>
          <w:tcPr>
            <w:tcW w:w="932" w:type="dxa"/>
          </w:tcPr>
          <w:p>
            <w:pPr>
              <w:pStyle w:val="TableParagraph"/>
              <w:spacing w:line="240" w:lineRule="auto" w:before="13"/>
              <w:ind w:left="22"/>
              <w:rPr>
                <w:sz w:val="22"/>
              </w:rPr>
            </w:pPr>
            <w:r>
              <w:rPr>
                <w:spacing w:val="-4"/>
                <w:sz w:val="22"/>
              </w:rPr>
              <w:t>77.6</w:t>
            </w:r>
          </w:p>
        </w:tc>
        <w:tc>
          <w:tcPr>
            <w:tcW w:w="987" w:type="dxa"/>
          </w:tcPr>
          <w:p>
            <w:pPr>
              <w:pStyle w:val="TableParagraph"/>
              <w:spacing w:line="240" w:lineRule="auto" w:before="13"/>
              <w:ind w:left="23"/>
              <w:rPr>
                <w:sz w:val="22"/>
              </w:rPr>
            </w:pPr>
            <w:r>
              <w:rPr>
                <w:spacing w:val="-4"/>
                <w:sz w:val="22"/>
              </w:rPr>
              <w:t>86.6</w:t>
            </w:r>
          </w:p>
        </w:tc>
        <w:tc>
          <w:tcPr>
            <w:tcW w:w="958" w:type="dxa"/>
          </w:tcPr>
          <w:p>
            <w:pPr>
              <w:pStyle w:val="TableParagraph"/>
              <w:spacing w:line="240" w:lineRule="auto" w:before="13"/>
              <w:ind w:left="1" w:right="5"/>
              <w:rPr>
                <w:sz w:val="22"/>
              </w:rPr>
            </w:pPr>
            <w:r>
              <w:rPr>
                <w:spacing w:val="-4"/>
                <w:sz w:val="22"/>
              </w:rPr>
              <w:t>94.0</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8" w:hRule="atLeast"/>
        </w:trPr>
        <w:tc>
          <w:tcPr>
            <w:tcW w:w="1416" w:type="dxa"/>
          </w:tcPr>
          <w:p>
            <w:pPr>
              <w:pStyle w:val="TableParagraph"/>
              <w:spacing w:line="240" w:lineRule="auto" w:before="13"/>
              <w:ind w:right="47"/>
              <w:rPr>
                <w:sz w:val="22"/>
              </w:rPr>
            </w:pPr>
            <w:r>
              <w:rPr>
                <w:spacing w:val="-10"/>
                <w:sz w:val="22"/>
              </w:rPr>
              <w:t>4</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17.6</w:t>
            </w:r>
          </w:p>
        </w:tc>
        <w:tc>
          <w:tcPr>
            <w:tcW w:w="958" w:type="dxa"/>
          </w:tcPr>
          <w:p>
            <w:pPr>
              <w:pStyle w:val="TableParagraph"/>
              <w:spacing w:line="240" w:lineRule="auto" w:before="13"/>
              <w:ind w:left="4" w:right="5"/>
              <w:rPr>
                <w:sz w:val="22"/>
              </w:rPr>
            </w:pPr>
            <w:r>
              <w:rPr>
                <w:spacing w:val="-4"/>
                <w:sz w:val="22"/>
              </w:rPr>
              <w:t>34.1</w:t>
            </w:r>
          </w:p>
        </w:tc>
        <w:tc>
          <w:tcPr>
            <w:tcW w:w="932" w:type="dxa"/>
          </w:tcPr>
          <w:p>
            <w:pPr>
              <w:pStyle w:val="TableParagraph"/>
              <w:spacing w:line="240" w:lineRule="auto" w:before="13"/>
              <w:ind w:left="22"/>
              <w:rPr>
                <w:sz w:val="22"/>
              </w:rPr>
            </w:pPr>
            <w:r>
              <w:rPr>
                <w:spacing w:val="-4"/>
                <w:sz w:val="22"/>
              </w:rPr>
              <w:t>62.4</w:t>
            </w:r>
          </w:p>
        </w:tc>
        <w:tc>
          <w:tcPr>
            <w:tcW w:w="987" w:type="dxa"/>
          </w:tcPr>
          <w:p>
            <w:pPr>
              <w:pStyle w:val="TableParagraph"/>
              <w:spacing w:line="240" w:lineRule="auto" w:before="13"/>
              <w:ind w:left="23"/>
              <w:rPr>
                <w:sz w:val="22"/>
              </w:rPr>
            </w:pPr>
            <w:r>
              <w:rPr>
                <w:spacing w:val="-4"/>
                <w:sz w:val="22"/>
              </w:rPr>
              <w:t>77.6</w:t>
            </w:r>
          </w:p>
        </w:tc>
        <w:tc>
          <w:tcPr>
            <w:tcW w:w="958" w:type="dxa"/>
          </w:tcPr>
          <w:p>
            <w:pPr>
              <w:pStyle w:val="TableParagraph"/>
              <w:spacing w:line="240" w:lineRule="auto" w:before="13"/>
              <w:ind w:left="1" w:right="5"/>
              <w:rPr>
                <w:sz w:val="22"/>
              </w:rPr>
            </w:pPr>
            <w:r>
              <w:rPr>
                <w:spacing w:val="-4"/>
                <w:sz w:val="22"/>
              </w:rPr>
              <w:t>90.6</w:t>
            </w:r>
          </w:p>
        </w:tc>
        <w:tc>
          <w:tcPr>
            <w:tcW w:w="958" w:type="dxa"/>
          </w:tcPr>
          <w:p>
            <w:pPr>
              <w:pStyle w:val="TableParagraph"/>
              <w:spacing w:line="240" w:lineRule="auto" w:before="13"/>
              <w:ind w:left="2" w:right="5"/>
              <w:rPr>
                <w:sz w:val="22"/>
              </w:rPr>
            </w:pPr>
            <w:r>
              <w:rPr>
                <w:spacing w:val="-4"/>
                <w:sz w:val="22"/>
              </w:rPr>
              <w:t>96.5</w:t>
            </w:r>
          </w:p>
        </w:tc>
        <w:tc>
          <w:tcPr>
            <w:tcW w:w="958" w:type="dxa"/>
          </w:tcPr>
          <w:p>
            <w:pPr>
              <w:pStyle w:val="TableParagraph"/>
              <w:spacing w:line="240" w:lineRule="auto" w:before="13"/>
              <w:ind w:left="1" w:right="5"/>
              <w:rPr>
                <w:sz w:val="22"/>
              </w:rPr>
            </w:pPr>
            <w:r>
              <w:rPr>
                <w:spacing w:val="-2"/>
                <w:sz w:val="22"/>
              </w:rPr>
              <w:t>100.0</w:t>
            </w:r>
          </w:p>
        </w:tc>
      </w:tr>
      <w:tr>
        <w:trPr>
          <w:trHeight w:val="288" w:hRule="atLeast"/>
        </w:trPr>
        <w:tc>
          <w:tcPr>
            <w:tcW w:w="1416" w:type="dxa"/>
          </w:tcPr>
          <w:p>
            <w:pPr>
              <w:pStyle w:val="TableParagraph"/>
              <w:spacing w:line="240" w:lineRule="auto" w:before="13"/>
              <w:ind w:right="47"/>
              <w:rPr>
                <w:sz w:val="22"/>
              </w:rPr>
            </w:pPr>
            <w:r>
              <w:rPr>
                <w:spacing w:val="-10"/>
                <w:sz w:val="22"/>
              </w:rPr>
              <w:t>5</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48.6</w:t>
            </w:r>
          </w:p>
        </w:tc>
        <w:tc>
          <w:tcPr>
            <w:tcW w:w="958" w:type="dxa"/>
          </w:tcPr>
          <w:p>
            <w:pPr>
              <w:pStyle w:val="TableParagraph"/>
              <w:spacing w:line="240" w:lineRule="auto" w:before="13"/>
              <w:ind w:left="4" w:right="5"/>
              <w:rPr>
                <w:sz w:val="22"/>
              </w:rPr>
            </w:pPr>
            <w:r>
              <w:rPr>
                <w:spacing w:val="-4"/>
                <w:sz w:val="22"/>
              </w:rPr>
              <w:t>68.1</w:t>
            </w:r>
          </w:p>
        </w:tc>
        <w:tc>
          <w:tcPr>
            <w:tcW w:w="932" w:type="dxa"/>
          </w:tcPr>
          <w:p>
            <w:pPr>
              <w:pStyle w:val="TableParagraph"/>
              <w:spacing w:line="240" w:lineRule="auto" w:before="13"/>
              <w:ind w:left="22"/>
              <w:rPr>
                <w:sz w:val="22"/>
              </w:rPr>
            </w:pPr>
            <w:r>
              <w:rPr>
                <w:spacing w:val="-4"/>
                <w:sz w:val="22"/>
              </w:rPr>
              <w:t>84.7</w:t>
            </w:r>
          </w:p>
        </w:tc>
        <w:tc>
          <w:tcPr>
            <w:tcW w:w="987" w:type="dxa"/>
          </w:tcPr>
          <w:p>
            <w:pPr>
              <w:pStyle w:val="TableParagraph"/>
              <w:spacing w:line="240" w:lineRule="auto" w:before="13"/>
              <w:ind w:left="23"/>
              <w:rPr>
                <w:sz w:val="22"/>
              </w:rPr>
            </w:pPr>
            <w:r>
              <w:rPr>
                <w:spacing w:val="-4"/>
                <w:sz w:val="22"/>
              </w:rPr>
              <w:t>91.7</w:t>
            </w:r>
          </w:p>
        </w:tc>
        <w:tc>
          <w:tcPr>
            <w:tcW w:w="958" w:type="dxa"/>
          </w:tcPr>
          <w:p>
            <w:pPr>
              <w:pStyle w:val="TableParagraph"/>
              <w:spacing w:line="240" w:lineRule="auto" w:before="13"/>
              <w:ind w:left="1" w:right="5"/>
              <w:rPr>
                <w:sz w:val="22"/>
              </w:rPr>
            </w:pPr>
            <w:r>
              <w:rPr>
                <w:spacing w:val="-4"/>
                <w:sz w:val="22"/>
              </w:rPr>
              <w:t>95.8</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8" w:hRule="atLeast"/>
        </w:trPr>
        <w:tc>
          <w:tcPr>
            <w:tcW w:w="1416" w:type="dxa"/>
          </w:tcPr>
          <w:p>
            <w:pPr>
              <w:pStyle w:val="TableParagraph"/>
              <w:spacing w:line="240" w:lineRule="auto" w:before="13"/>
              <w:ind w:right="47"/>
              <w:rPr>
                <w:sz w:val="22"/>
              </w:rPr>
            </w:pPr>
            <w:r>
              <w:rPr>
                <w:spacing w:val="-10"/>
                <w:sz w:val="22"/>
              </w:rPr>
              <w:t>6</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30.6</w:t>
            </w:r>
          </w:p>
        </w:tc>
        <w:tc>
          <w:tcPr>
            <w:tcW w:w="958" w:type="dxa"/>
          </w:tcPr>
          <w:p>
            <w:pPr>
              <w:pStyle w:val="TableParagraph"/>
              <w:spacing w:line="240" w:lineRule="auto" w:before="13"/>
              <w:ind w:left="4" w:right="5"/>
              <w:rPr>
                <w:sz w:val="22"/>
              </w:rPr>
            </w:pPr>
            <w:r>
              <w:rPr>
                <w:spacing w:val="-4"/>
                <w:sz w:val="22"/>
              </w:rPr>
              <w:t>61.3</w:t>
            </w:r>
          </w:p>
        </w:tc>
        <w:tc>
          <w:tcPr>
            <w:tcW w:w="932" w:type="dxa"/>
          </w:tcPr>
          <w:p>
            <w:pPr>
              <w:pStyle w:val="TableParagraph"/>
              <w:spacing w:line="240" w:lineRule="auto" w:before="13"/>
              <w:ind w:left="22"/>
              <w:rPr>
                <w:sz w:val="22"/>
              </w:rPr>
            </w:pPr>
            <w:r>
              <w:rPr>
                <w:spacing w:val="-4"/>
                <w:sz w:val="22"/>
              </w:rPr>
              <w:t>75.8</w:t>
            </w:r>
          </w:p>
        </w:tc>
        <w:tc>
          <w:tcPr>
            <w:tcW w:w="987" w:type="dxa"/>
          </w:tcPr>
          <w:p>
            <w:pPr>
              <w:pStyle w:val="TableParagraph"/>
              <w:spacing w:line="240" w:lineRule="auto" w:before="13"/>
              <w:ind w:left="23"/>
              <w:rPr>
                <w:sz w:val="22"/>
              </w:rPr>
            </w:pPr>
            <w:r>
              <w:rPr>
                <w:spacing w:val="-4"/>
                <w:sz w:val="22"/>
              </w:rPr>
              <w:t>85.5</w:t>
            </w:r>
          </w:p>
        </w:tc>
        <w:tc>
          <w:tcPr>
            <w:tcW w:w="958" w:type="dxa"/>
          </w:tcPr>
          <w:p>
            <w:pPr>
              <w:pStyle w:val="TableParagraph"/>
              <w:spacing w:line="240" w:lineRule="auto" w:before="13"/>
              <w:ind w:left="1" w:right="5"/>
              <w:rPr>
                <w:sz w:val="22"/>
              </w:rPr>
            </w:pPr>
            <w:r>
              <w:rPr>
                <w:spacing w:val="-4"/>
                <w:sz w:val="22"/>
              </w:rPr>
              <w:t>93.5</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8" w:hRule="atLeast"/>
        </w:trPr>
        <w:tc>
          <w:tcPr>
            <w:tcW w:w="1416" w:type="dxa"/>
          </w:tcPr>
          <w:p>
            <w:pPr>
              <w:pStyle w:val="TableParagraph"/>
              <w:spacing w:line="240" w:lineRule="auto" w:before="13"/>
              <w:ind w:right="47"/>
              <w:rPr>
                <w:sz w:val="22"/>
              </w:rPr>
            </w:pPr>
            <w:r>
              <w:rPr>
                <w:spacing w:val="-10"/>
                <w:sz w:val="22"/>
              </w:rPr>
              <w:t>7</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43.4</w:t>
            </w:r>
          </w:p>
        </w:tc>
        <w:tc>
          <w:tcPr>
            <w:tcW w:w="958" w:type="dxa"/>
          </w:tcPr>
          <w:p>
            <w:pPr>
              <w:pStyle w:val="TableParagraph"/>
              <w:spacing w:line="240" w:lineRule="auto" w:before="13"/>
              <w:ind w:left="4" w:right="5"/>
              <w:rPr>
                <w:sz w:val="22"/>
              </w:rPr>
            </w:pPr>
            <w:r>
              <w:rPr>
                <w:spacing w:val="-4"/>
                <w:sz w:val="22"/>
              </w:rPr>
              <w:t>60.4</w:t>
            </w:r>
          </w:p>
        </w:tc>
        <w:tc>
          <w:tcPr>
            <w:tcW w:w="932" w:type="dxa"/>
          </w:tcPr>
          <w:p>
            <w:pPr>
              <w:pStyle w:val="TableParagraph"/>
              <w:spacing w:line="240" w:lineRule="auto" w:before="13"/>
              <w:ind w:left="22"/>
              <w:rPr>
                <w:sz w:val="22"/>
              </w:rPr>
            </w:pPr>
            <w:r>
              <w:rPr>
                <w:spacing w:val="-4"/>
                <w:sz w:val="22"/>
              </w:rPr>
              <w:t>67.9</w:t>
            </w:r>
          </w:p>
        </w:tc>
        <w:tc>
          <w:tcPr>
            <w:tcW w:w="987" w:type="dxa"/>
          </w:tcPr>
          <w:p>
            <w:pPr>
              <w:pStyle w:val="TableParagraph"/>
              <w:spacing w:line="240" w:lineRule="auto" w:before="13"/>
              <w:ind w:left="23"/>
              <w:rPr>
                <w:sz w:val="22"/>
              </w:rPr>
            </w:pPr>
            <w:r>
              <w:rPr>
                <w:spacing w:val="-4"/>
                <w:sz w:val="22"/>
              </w:rPr>
              <w:t>81.1</w:t>
            </w:r>
          </w:p>
        </w:tc>
        <w:tc>
          <w:tcPr>
            <w:tcW w:w="958" w:type="dxa"/>
          </w:tcPr>
          <w:p>
            <w:pPr>
              <w:pStyle w:val="TableParagraph"/>
              <w:spacing w:line="240" w:lineRule="auto" w:before="13"/>
              <w:ind w:left="1" w:right="5"/>
              <w:rPr>
                <w:sz w:val="22"/>
              </w:rPr>
            </w:pPr>
            <w:r>
              <w:rPr>
                <w:spacing w:val="-4"/>
                <w:sz w:val="22"/>
              </w:rPr>
              <w:t>88.7</w:t>
            </w:r>
          </w:p>
        </w:tc>
        <w:tc>
          <w:tcPr>
            <w:tcW w:w="958" w:type="dxa"/>
          </w:tcPr>
          <w:p>
            <w:pPr>
              <w:pStyle w:val="TableParagraph"/>
              <w:spacing w:line="240" w:lineRule="auto" w:before="13"/>
              <w:ind w:left="2" w:right="5"/>
              <w:rPr>
                <w:sz w:val="22"/>
              </w:rPr>
            </w:pPr>
            <w:r>
              <w:rPr>
                <w:spacing w:val="-4"/>
                <w:sz w:val="22"/>
              </w:rPr>
              <w:t>94.3</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10"/>
                <w:sz w:val="22"/>
              </w:rPr>
              <w:t>8</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26.2</w:t>
            </w:r>
          </w:p>
        </w:tc>
        <w:tc>
          <w:tcPr>
            <w:tcW w:w="958" w:type="dxa"/>
          </w:tcPr>
          <w:p>
            <w:pPr>
              <w:pStyle w:val="TableParagraph"/>
              <w:spacing w:line="240" w:lineRule="auto" w:before="13"/>
              <w:ind w:left="4" w:right="5"/>
              <w:rPr>
                <w:sz w:val="22"/>
              </w:rPr>
            </w:pPr>
            <w:r>
              <w:rPr>
                <w:spacing w:val="-4"/>
                <w:sz w:val="22"/>
              </w:rPr>
              <w:t>44.6</w:t>
            </w:r>
          </w:p>
        </w:tc>
        <w:tc>
          <w:tcPr>
            <w:tcW w:w="932" w:type="dxa"/>
          </w:tcPr>
          <w:p>
            <w:pPr>
              <w:pStyle w:val="TableParagraph"/>
              <w:spacing w:line="240" w:lineRule="auto" w:before="13"/>
              <w:ind w:left="22"/>
              <w:rPr>
                <w:sz w:val="22"/>
              </w:rPr>
            </w:pPr>
            <w:r>
              <w:rPr>
                <w:spacing w:val="-4"/>
                <w:sz w:val="22"/>
              </w:rPr>
              <w:t>66.2</w:t>
            </w:r>
          </w:p>
        </w:tc>
        <w:tc>
          <w:tcPr>
            <w:tcW w:w="987" w:type="dxa"/>
          </w:tcPr>
          <w:p>
            <w:pPr>
              <w:pStyle w:val="TableParagraph"/>
              <w:spacing w:line="240" w:lineRule="auto" w:before="13"/>
              <w:ind w:left="23"/>
              <w:rPr>
                <w:sz w:val="22"/>
              </w:rPr>
            </w:pPr>
            <w:r>
              <w:rPr>
                <w:spacing w:val="-4"/>
                <w:sz w:val="22"/>
              </w:rPr>
              <w:t>83.1</w:t>
            </w:r>
          </w:p>
        </w:tc>
        <w:tc>
          <w:tcPr>
            <w:tcW w:w="958" w:type="dxa"/>
          </w:tcPr>
          <w:p>
            <w:pPr>
              <w:pStyle w:val="TableParagraph"/>
              <w:spacing w:line="240" w:lineRule="auto" w:before="13"/>
              <w:ind w:left="1" w:right="5"/>
              <w:rPr>
                <w:sz w:val="22"/>
              </w:rPr>
            </w:pPr>
            <w:r>
              <w:rPr>
                <w:spacing w:val="-4"/>
                <w:sz w:val="22"/>
              </w:rPr>
              <w:t>87.7</w:t>
            </w:r>
          </w:p>
        </w:tc>
        <w:tc>
          <w:tcPr>
            <w:tcW w:w="958" w:type="dxa"/>
          </w:tcPr>
          <w:p>
            <w:pPr>
              <w:pStyle w:val="TableParagraph"/>
              <w:spacing w:line="240" w:lineRule="auto" w:before="13"/>
              <w:ind w:left="2" w:right="5"/>
              <w:rPr>
                <w:sz w:val="22"/>
              </w:rPr>
            </w:pPr>
            <w:r>
              <w:rPr>
                <w:spacing w:val="-4"/>
                <w:sz w:val="22"/>
              </w:rPr>
              <w:t>95.4</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10"/>
                <w:sz w:val="22"/>
              </w:rPr>
              <w:t>9</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25.5</w:t>
            </w:r>
          </w:p>
        </w:tc>
        <w:tc>
          <w:tcPr>
            <w:tcW w:w="958" w:type="dxa"/>
          </w:tcPr>
          <w:p>
            <w:pPr>
              <w:pStyle w:val="TableParagraph"/>
              <w:spacing w:line="240" w:lineRule="auto" w:before="13"/>
              <w:ind w:left="4" w:right="5"/>
              <w:rPr>
                <w:sz w:val="22"/>
              </w:rPr>
            </w:pPr>
            <w:r>
              <w:rPr>
                <w:spacing w:val="-4"/>
                <w:sz w:val="22"/>
              </w:rPr>
              <w:t>45.5</w:t>
            </w:r>
          </w:p>
        </w:tc>
        <w:tc>
          <w:tcPr>
            <w:tcW w:w="932" w:type="dxa"/>
          </w:tcPr>
          <w:p>
            <w:pPr>
              <w:pStyle w:val="TableParagraph"/>
              <w:spacing w:line="240" w:lineRule="auto" w:before="13"/>
              <w:ind w:left="22"/>
              <w:rPr>
                <w:sz w:val="22"/>
              </w:rPr>
            </w:pPr>
            <w:r>
              <w:rPr>
                <w:spacing w:val="-4"/>
                <w:sz w:val="22"/>
              </w:rPr>
              <w:t>52.7</w:t>
            </w:r>
          </w:p>
        </w:tc>
        <w:tc>
          <w:tcPr>
            <w:tcW w:w="987" w:type="dxa"/>
          </w:tcPr>
          <w:p>
            <w:pPr>
              <w:pStyle w:val="TableParagraph"/>
              <w:spacing w:line="240" w:lineRule="auto" w:before="13"/>
              <w:ind w:left="23"/>
              <w:rPr>
                <w:sz w:val="22"/>
              </w:rPr>
            </w:pPr>
            <w:r>
              <w:rPr>
                <w:spacing w:val="-4"/>
                <w:sz w:val="22"/>
              </w:rPr>
              <w:t>65.5</w:t>
            </w:r>
          </w:p>
        </w:tc>
        <w:tc>
          <w:tcPr>
            <w:tcW w:w="958" w:type="dxa"/>
          </w:tcPr>
          <w:p>
            <w:pPr>
              <w:pStyle w:val="TableParagraph"/>
              <w:spacing w:line="240" w:lineRule="auto" w:before="13"/>
              <w:ind w:left="1" w:right="5"/>
              <w:rPr>
                <w:sz w:val="22"/>
              </w:rPr>
            </w:pPr>
            <w:r>
              <w:rPr>
                <w:spacing w:val="-4"/>
                <w:sz w:val="22"/>
              </w:rPr>
              <w:t>80.0</w:t>
            </w:r>
          </w:p>
        </w:tc>
        <w:tc>
          <w:tcPr>
            <w:tcW w:w="958" w:type="dxa"/>
          </w:tcPr>
          <w:p>
            <w:pPr>
              <w:pStyle w:val="TableParagraph"/>
              <w:spacing w:line="240" w:lineRule="auto" w:before="13"/>
              <w:ind w:left="2" w:right="5"/>
              <w:rPr>
                <w:sz w:val="22"/>
              </w:rPr>
            </w:pPr>
            <w:r>
              <w:rPr>
                <w:spacing w:val="-4"/>
                <w:sz w:val="22"/>
              </w:rPr>
              <w:t>90.9</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5"/>
                <w:sz w:val="22"/>
              </w:rPr>
              <w:t>10</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19.6</w:t>
            </w:r>
          </w:p>
        </w:tc>
        <w:tc>
          <w:tcPr>
            <w:tcW w:w="958" w:type="dxa"/>
          </w:tcPr>
          <w:p>
            <w:pPr>
              <w:pStyle w:val="TableParagraph"/>
              <w:spacing w:line="240" w:lineRule="auto" w:before="13"/>
              <w:ind w:left="4" w:right="5"/>
              <w:rPr>
                <w:sz w:val="22"/>
              </w:rPr>
            </w:pPr>
            <w:r>
              <w:rPr>
                <w:spacing w:val="-4"/>
                <w:sz w:val="22"/>
              </w:rPr>
              <w:t>46.7</w:t>
            </w:r>
          </w:p>
        </w:tc>
        <w:tc>
          <w:tcPr>
            <w:tcW w:w="932" w:type="dxa"/>
          </w:tcPr>
          <w:p>
            <w:pPr>
              <w:pStyle w:val="TableParagraph"/>
              <w:spacing w:line="240" w:lineRule="auto" w:before="13"/>
              <w:ind w:left="22"/>
              <w:rPr>
                <w:sz w:val="22"/>
              </w:rPr>
            </w:pPr>
            <w:r>
              <w:rPr>
                <w:spacing w:val="-4"/>
                <w:sz w:val="22"/>
              </w:rPr>
              <w:t>67.4</w:t>
            </w:r>
          </w:p>
        </w:tc>
        <w:tc>
          <w:tcPr>
            <w:tcW w:w="987" w:type="dxa"/>
          </w:tcPr>
          <w:p>
            <w:pPr>
              <w:pStyle w:val="TableParagraph"/>
              <w:spacing w:line="240" w:lineRule="auto" w:before="13"/>
              <w:ind w:left="23"/>
              <w:rPr>
                <w:sz w:val="22"/>
              </w:rPr>
            </w:pPr>
            <w:r>
              <w:rPr>
                <w:spacing w:val="-4"/>
                <w:sz w:val="22"/>
              </w:rPr>
              <w:t>80.4</w:t>
            </w:r>
          </w:p>
        </w:tc>
        <w:tc>
          <w:tcPr>
            <w:tcW w:w="958" w:type="dxa"/>
          </w:tcPr>
          <w:p>
            <w:pPr>
              <w:pStyle w:val="TableParagraph"/>
              <w:spacing w:line="240" w:lineRule="auto" w:before="13"/>
              <w:ind w:left="1" w:right="5"/>
              <w:rPr>
                <w:sz w:val="22"/>
              </w:rPr>
            </w:pPr>
            <w:r>
              <w:rPr>
                <w:spacing w:val="-4"/>
                <w:sz w:val="22"/>
              </w:rPr>
              <w:t>91.3</w:t>
            </w:r>
          </w:p>
        </w:tc>
        <w:tc>
          <w:tcPr>
            <w:tcW w:w="958" w:type="dxa"/>
          </w:tcPr>
          <w:p>
            <w:pPr>
              <w:pStyle w:val="TableParagraph"/>
              <w:spacing w:line="240" w:lineRule="auto" w:before="13"/>
              <w:ind w:left="2" w:right="5"/>
              <w:rPr>
                <w:sz w:val="22"/>
              </w:rPr>
            </w:pPr>
            <w:r>
              <w:rPr>
                <w:spacing w:val="-4"/>
                <w:sz w:val="22"/>
              </w:rPr>
              <w:t>96.7</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5"/>
                <w:sz w:val="22"/>
              </w:rPr>
              <w:t>11</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27.5</w:t>
            </w:r>
          </w:p>
        </w:tc>
        <w:tc>
          <w:tcPr>
            <w:tcW w:w="958" w:type="dxa"/>
          </w:tcPr>
          <w:p>
            <w:pPr>
              <w:pStyle w:val="TableParagraph"/>
              <w:spacing w:line="240" w:lineRule="auto" w:before="13"/>
              <w:ind w:left="4" w:right="5"/>
              <w:rPr>
                <w:sz w:val="22"/>
              </w:rPr>
            </w:pPr>
            <w:r>
              <w:rPr>
                <w:spacing w:val="-4"/>
                <w:sz w:val="22"/>
              </w:rPr>
              <w:t>58.0</w:t>
            </w:r>
          </w:p>
        </w:tc>
        <w:tc>
          <w:tcPr>
            <w:tcW w:w="932" w:type="dxa"/>
          </w:tcPr>
          <w:p>
            <w:pPr>
              <w:pStyle w:val="TableParagraph"/>
              <w:spacing w:line="240" w:lineRule="auto" w:before="13"/>
              <w:ind w:left="22"/>
              <w:rPr>
                <w:sz w:val="22"/>
              </w:rPr>
            </w:pPr>
            <w:r>
              <w:rPr>
                <w:spacing w:val="-4"/>
                <w:sz w:val="22"/>
              </w:rPr>
              <w:t>72.5</w:t>
            </w:r>
          </w:p>
        </w:tc>
        <w:tc>
          <w:tcPr>
            <w:tcW w:w="987" w:type="dxa"/>
          </w:tcPr>
          <w:p>
            <w:pPr>
              <w:pStyle w:val="TableParagraph"/>
              <w:spacing w:line="240" w:lineRule="auto" w:before="13"/>
              <w:ind w:left="23"/>
              <w:rPr>
                <w:sz w:val="22"/>
              </w:rPr>
            </w:pPr>
            <w:r>
              <w:rPr>
                <w:spacing w:val="-4"/>
                <w:sz w:val="22"/>
              </w:rPr>
              <w:t>85.5</w:t>
            </w:r>
          </w:p>
        </w:tc>
        <w:tc>
          <w:tcPr>
            <w:tcW w:w="958" w:type="dxa"/>
          </w:tcPr>
          <w:p>
            <w:pPr>
              <w:pStyle w:val="TableParagraph"/>
              <w:spacing w:line="240" w:lineRule="auto" w:before="13"/>
              <w:ind w:left="1" w:right="5"/>
              <w:rPr>
                <w:sz w:val="22"/>
              </w:rPr>
            </w:pPr>
            <w:r>
              <w:rPr>
                <w:spacing w:val="-4"/>
                <w:sz w:val="22"/>
              </w:rPr>
              <w:t>95.7</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5"/>
                <w:sz w:val="22"/>
              </w:rPr>
              <w:t>12</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25.0</w:t>
            </w:r>
          </w:p>
        </w:tc>
        <w:tc>
          <w:tcPr>
            <w:tcW w:w="958" w:type="dxa"/>
          </w:tcPr>
          <w:p>
            <w:pPr>
              <w:pStyle w:val="TableParagraph"/>
              <w:spacing w:line="240" w:lineRule="auto" w:before="13"/>
              <w:ind w:left="4" w:right="5"/>
              <w:rPr>
                <w:sz w:val="22"/>
              </w:rPr>
            </w:pPr>
            <w:r>
              <w:rPr>
                <w:spacing w:val="-4"/>
                <w:sz w:val="22"/>
              </w:rPr>
              <w:t>52.9</w:t>
            </w:r>
          </w:p>
        </w:tc>
        <w:tc>
          <w:tcPr>
            <w:tcW w:w="932" w:type="dxa"/>
          </w:tcPr>
          <w:p>
            <w:pPr>
              <w:pStyle w:val="TableParagraph"/>
              <w:spacing w:line="240" w:lineRule="auto" w:before="13"/>
              <w:ind w:left="22"/>
              <w:rPr>
                <w:sz w:val="22"/>
              </w:rPr>
            </w:pPr>
            <w:r>
              <w:rPr>
                <w:spacing w:val="-4"/>
                <w:sz w:val="22"/>
              </w:rPr>
              <w:t>67.6</w:t>
            </w:r>
          </w:p>
        </w:tc>
        <w:tc>
          <w:tcPr>
            <w:tcW w:w="987" w:type="dxa"/>
          </w:tcPr>
          <w:p>
            <w:pPr>
              <w:pStyle w:val="TableParagraph"/>
              <w:spacing w:line="240" w:lineRule="auto" w:before="13"/>
              <w:ind w:left="23"/>
              <w:rPr>
                <w:sz w:val="22"/>
              </w:rPr>
            </w:pPr>
            <w:r>
              <w:rPr>
                <w:spacing w:val="-4"/>
                <w:sz w:val="22"/>
              </w:rPr>
              <w:t>73.5</w:t>
            </w:r>
          </w:p>
        </w:tc>
        <w:tc>
          <w:tcPr>
            <w:tcW w:w="958" w:type="dxa"/>
          </w:tcPr>
          <w:p>
            <w:pPr>
              <w:pStyle w:val="TableParagraph"/>
              <w:spacing w:line="240" w:lineRule="auto" w:before="13"/>
              <w:ind w:left="1" w:right="5"/>
              <w:rPr>
                <w:sz w:val="22"/>
              </w:rPr>
            </w:pPr>
            <w:r>
              <w:rPr>
                <w:spacing w:val="-4"/>
                <w:sz w:val="22"/>
              </w:rPr>
              <w:t>86.8</w:t>
            </w:r>
          </w:p>
        </w:tc>
        <w:tc>
          <w:tcPr>
            <w:tcW w:w="958" w:type="dxa"/>
          </w:tcPr>
          <w:p>
            <w:pPr>
              <w:pStyle w:val="TableParagraph"/>
              <w:spacing w:line="240" w:lineRule="auto" w:before="13"/>
              <w:ind w:left="2" w:right="5"/>
              <w:rPr>
                <w:sz w:val="22"/>
              </w:rPr>
            </w:pPr>
            <w:r>
              <w:rPr>
                <w:spacing w:val="-4"/>
                <w:sz w:val="22"/>
              </w:rPr>
              <w:t>95.6</w:t>
            </w:r>
          </w:p>
        </w:tc>
        <w:tc>
          <w:tcPr>
            <w:tcW w:w="958" w:type="dxa"/>
          </w:tcPr>
          <w:p>
            <w:pPr>
              <w:pStyle w:val="TableParagraph"/>
              <w:spacing w:line="240" w:lineRule="auto" w:before="13"/>
              <w:ind w:left="1" w:right="5"/>
              <w:rPr>
                <w:sz w:val="22"/>
              </w:rPr>
            </w:pPr>
            <w:r>
              <w:rPr>
                <w:spacing w:val="-2"/>
                <w:sz w:val="22"/>
              </w:rPr>
              <w:t>100.0</w:t>
            </w:r>
          </w:p>
        </w:tc>
      </w:tr>
      <w:tr>
        <w:trPr>
          <w:trHeight w:val="288" w:hRule="atLeast"/>
        </w:trPr>
        <w:tc>
          <w:tcPr>
            <w:tcW w:w="1416" w:type="dxa"/>
          </w:tcPr>
          <w:p>
            <w:pPr>
              <w:pStyle w:val="TableParagraph"/>
              <w:spacing w:line="240" w:lineRule="auto" w:before="13"/>
              <w:ind w:right="47"/>
              <w:rPr>
                <w:sz w:val="22"/>
              </w:rPr>
            </w:pPr>
            <w:r>
              <w:rPr>
                <w:spacing w:val="-5"/>
                <w:sz w:val="22"/>
              </w:rPr>
              <w:t>13</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56.8</w:t>
            </w:r>
          </w:p>
        </w:tc>
        <w:tc>
          <w:tcPr>
            <w:tcW w:w="958" w:type="dxa"/>
          </w:tcPr>
          <w:p>
            <w:pPr>
              <w:pStyle w:val="TableParagraph"/>
              <w:spacing w:line="240" w:lineRule="auto" w:before="13"/>
              <w:ind w:left="4" w:right="5"/>
              <w:rPr>
                <w:sz w:val="22"/>
              </w:rPr>
            </w:pPr>
            <w:r>
              <w:rPr>
                <w:spacing w:val="-4"/>
                <w:sz w:val="22"/>
              </w:rPr>
              <w:t>78.1</w:t>
            </w:r>
          </w:p>
        </w:tc>
        <w:tc>
          <w:tcPr>
            <w:tcW w:w="932" w:type="dxa"/>
          </w:tcPr>
          <w:p>
            <w:pPr>
              <w:pStyle w:val="TableParagraph"/>
              <w:spacing w:line="240" w:lineRule="auto" w:before="13"/>
              <w:ind w:left="22"/>
              <w:rPr>
                <w:sz w:val="22"/>
              </w:rPr>
            </w:pPr>
            <w:r>
              <w:rPr>
                <w:spacing w:val="-4"/>
                <w:sz w:val="22"/>
              </w:rPr>
              <w:t>93.2</w:t>
            </w:r>
          </w:p>
        </w:tc>
        <w:tc>
          <w:tcPr>
            <w:tcW w:w="987" w:type="dxa"/>
          </w:tcPr>
          <w:p>
            <w:pPr>
              <w:pStyle w:val="TableParagraph"/>
              <w:spacing w:line="240" w:lineRule="auto" w:before="13"/>
              <w:ind w:left="23"/>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5"/>
                <w:sz w:val="22"/>
              </w:rPr>
              <w:t>14</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39.5</w:t>
            </w:r>
          </w:p>
        </w:tc>
        <w:tc>
          <w:tcPr>
            <w:tcW w:w="958" w:type="dxa"/>
          </w:tcPr>
          <w:p>
            <w:pPr>
              <w:pStyle w:val="TableParagraph"/>
              <w:spacing w:line="240" w:lineRule="auto" w:before="13"/>
              <w:ind w:left="4" w:right="5"/>
              <w:rPr>
                <w:sz w:val="22"/>
              </w:rPr>
            </w:pPr>
            <w:r>
              <w:rPr>
                <w:spacing w:val="-4"/>
                <w:sz w:val="22"/>
              </w:rPr>
              <w:t>58.1</w:t>
            </w:r>
          </w:p>
        </w:tc>
        <w:tc>
          <w:tcPr>
            <w:tcW w:w="932" w:type="dxa"/>
          </w:tcPr>
          <w:p>
            <w:pPr>
              <w:pStyle w:val="TableParagraph"/>
              <w:spacing w:line="240" w:lineRule="auto" w:before="13"/>
              <w:ind w:left="22"/>
              <w:rPr>
                <w:sz w:val="22"/>
              </w:rPr>
            </w:pPr>
            <w:r>
              <w:rPr>
                <w:spacing w:val="-4"/>
                <w:sz w:val="22"/>
              </w:rPr>
              <w:t>86.0</w:t>
            </w:r>
          </w:p>
        </w:tc>
        <w:tc>
          <w:tcPr>
            <w:tcW w:w="987" w:type="dxa"/>
          </w:tcPr>
          <w:p>
            <w:pPr>
              <w:pStyle w:val="TableParagraph"/>
              <w:spacing w:line="240" w:lineRule="auto" w:before="13"/>
              <w:ind w:left="23"/>
              <w:rPr>
                <w:sz w:val="22"/>
              </w:rPr>
            </w:pPr>
            <w:r>
              <w:rPr>
                <w:spacing w:val="-4"/>
                <w:sz w:val="22"/>
              </w:rPr>
              <w:t>97.7</w:t>
            </w:r>
          </w:p>
        </w:tc>
        <w:tc>
          <w:tcPr>
            <w:tcW w:w="958" w:type="dxa"/>
          </w:tcPr>
          <w:p>
            <w:pPr>
              <w:pStyle w:val="TableParagraph"/>
              <w:spacing w:line="240" w:lineRule="auto" w:before="13"/>
              <w:ind w:left="1" w:right="5"/>
              <w:rPr>
                <w:sz w:val="22"/>
              </w:rPr>
            </w:pPr>
            <w:r>
              <w:rPr>
                <w:spacing w:val="-2"/>
                <w:sz w:val="22"/>
              </w:rPr>
              <w:t>100.0</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5"/>
                <w:sz w:val="22"/>
              </w:rPr>
              <w:t>15</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69.7</w:t>
            </w:r>
          </w:p>
        </w:tc>
        <w:tc>
          <w:tcPr>
            <w:tcW w:w="958" w:type="dxa"/>
          </w:tcPr>
          <w:p>
            <w:pPr>
              <w:pStyle w:val="TableParagraph"/>
              <w:spacing w:line="240" w:lineRule="auto" w:before="13"/>
              <w:ind w:left="4" w:right="5"/>
              <w:rPr>
                <w:sz w:val="22"/>
              </w:rPr>
            </w:pPr>
            <w:r>
              <w:rPr>
                <w:spacing w:val="-4"/>
                <w:sz w:val="22"/>
              </w:rPr>
              <w:t>80.9</w:t>
            </w:r>
          </w:p>
        </w:tc>
        <w:tc>
          <w:tcPr>
            <w:tcW w:w="932" w:type="dxa"/>
          </w:tcPr>
          <w:p>
            <w:pPr>
              <w:pStyle w:val="TableParagraph"/>
              <w:spacing w:line="240" w:lineRule="auto" w:before="13"/>
              <w:ind w:left="22"/>
              <w:rPr>
                <w:sz w:val="22"/>
              </w:rPr>
            </w:pPr>
            <w:r>
              <w:rPr>
                <w:spacing w:val="-4"/>
                <w:sz w:val="22"/>
              </w:rPr>
              <w:t>92.1</w:t>
            </w:r>
          </w:p>
        </w:tc>
        <w:tc>
          <w:tcPr>
            <w:tcW w:w="987" w:type="dxa"/>
          </w:tcPr>
          <w:p>
            <w:pPr>
              <w:pStyle w:val="TableParagraph"/>
              <w:spacing w:line="240" w:lineRule="auto" w:before="13"/>
              <w:ind w:left="23"/>
              <w:rPr>
                <w:sz w:val="22"/>
              </w:rPr>
            </w:pPr>
            <w:r>
              <w:rPr>
                <w:spacing w:val="-4"/>
                <w:sz w:val="22"/>
              </w:rPr>
              <w:t>97.8</w:t>
            </w:r>
          </w:p>
        </w:tc>
        <w:tc>
          <w:tcPr>
            <w:tcW w:w="958" w:type="dxa"/>
          </w:tcPr>
          <w:p>
            <w:pPr>
              <w:pStyle w:val="TableParagraph"/>
              <w:spacing w:line="240" w:lineRule="auto" w:before="13"/>
              <w:ind w:left="1" w:right="5"/>
              <w:rPr>
                <w:sz w:val="22"/>
              </w:rPr>
            </w:pPr>
            <w:r>
              <w:rPr>
                <w:spacing w:val="-2"/>
                <w:sz w:val="22"/>
              </w:rPr>
              <w:t>100.0</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8" w:hRule="atLeast"/>
        </w:trPr>
        <w:tc>
          <w:tcPr>
            <w:tcW w:w="1416" w:type="dxa"/>
          </w:tcPr>
          <w:p>
            <w:pPr>
              <w:pStyle w:val="TableParagraph"/>
              <w:spacing w:line="240" w:lineRule="auto" w:before="13"/>
              <w:ind w:right="47"/>
              <w:rPr>
                <w:sz w:val="22"/>
              </w:rPr>
            </w:pPr>
            <w:r>
              <w:rPr>
                <w:spacing w:val="-5"/>
                <w:sz w:val="22"/>
              </w:rPr>
              <w:t>16</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29.7</w:t>
            </w:r>
          </w:p>
        </w:tc>
        <w:tc>
          <w:tcPr>
            <w:tcW w:w="958" w:type="dxa"/>
          </w:tcPr>
          <w:p>
            <w:pPr>
              <w:pStyle w:val="TableParagraph"/>
              <w:spacing w:line="240" w:lineRule="auto" w:before="13"/>
              <w:ind w:left="4" w:right="5"/>
              <w:rPr>
                <w:sz w:val="22"/>
              </w:rPr>
            </w:pPr>
            <w:r>
              <w:rPr>
                <w:spacing w:val="-4"/>
                <w:sz w:val="22"/>
              </w:rPr>
              <w:t>73.0</w:t>
            </w:r>
          </w:p>
        </w:tc>
        <w:tc>
          <w:tcPr>
            <w:tcW w:w="932" w:type="dxa"/>
          </w:tcPr>
          <w:p>
            <w:pPr>
              <w:pStyle w:val="TableParagraph"/>
              <w:spacing w:line="240" w:lineRule="auto" w:before="13"/>
              <w:ind w:left="22"/>
              <w:rPr>
                <w:sz w:val="22"/>
              </w:rPr>
            </w:pPr>
            <w:r>
              <w:rPr>
                <w:spacing w:val="-4"/>
                <w:sz w:val="22"/>
              </w:rPr>
              <w:t>89.2</w:t>
            </w:r>
          </w:p>
        </w:tc>
        <w:tc>
          <w:tcPr>
            <w:tcW w:w="987" w:type="dxa"/>
          </w:tcPr>
          <w:p>
            <w:pPr>
              <w:pStyle w:val="TableParagraph"/>
              <w:spacing w:line="240" w:lineRule="auto" w:before="13"/>
              <w:ind w:left="23"/>
              <w:rPr>
                <w:sz w:val="22"/>
              </w:rPr>
            </w:pPr>
            <w:r>
              <w:rPr>
                <w:spacing w:val="-4"/>
                <w:sz w:val="22"/>
              </w:rPr>
              <w:t>97.3</w:t>
            </w:r>
          </w:p>
        </w:tc>
        <w:tc>
          <w:tcPr>
            <w:tcW w:w="958" w:type="dxa"/>
          </w:tcPr>
          <w:p>
            <w:pPr>
              <w:pStyle w:val="TableParagraph"/>
              <w:spacing w:line="240" w:lineRule="auto" w:before="13"/>
              <w:ind w:left="1" w:right="5"/>
              <w:rPr>
                <w:sz w:val="22"/>
              </w:rPr>
            </w:pPr>
            <w:r>
              <w:rPr>
                <w:spacing w:val="-2"/>
                <w:sz w:val="22"/>
              </w:rPr>
              <w:t>100.0</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8" w:hRule="atLeast"/>
        </w:trPr>
        <w:tc>
          <w:tcPr>
            <w:tcW w:w="1416" w:type="dxa"/>
          </w:tcPr>
          <w:p>
            <w:pPr>
              <w:pStyle w:val="TableParagraph"/>
              <w:spacing w:line="240" w:lineRule="auto" w:before="13"/>
              <w:ind w:right="47"/>
              <w:rPr>
                <w:sz w:val="22"/>
              </w:rPr>
            </w:pPr>
            <w:r>
              <w:rPr>
                <w:spacing w:val="-5"/>
                <w:sz w:val="22"/>
              </w:rPr>
              <w:t>17</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39.6</w:t>
            </w:r>
          </w:p>
        </w:tc>
        <w:tc>
          <w:tcPr>
            <w:tcW w:w="958" w:type="dxa"/>
          </w:tcPr>
          <w:p>
            <w:pPr>
              <w:pStyle w:val="TableParagraph"/>
              <w:spacing w:line="240" w:lineRule="auto" w:before="13"/>
              <w:ind w:left="4" w:right="5"/>
              <w:rPr>
                <w:sz w:val="22"/>
              </w:rPr>
            </w:pPr>
            <w:r>
              <w:rPr>
                <w:spacing w:val="-4"/>
                <w:sz w:val="22"/>
              </w:rPr>
              <w:t>68.8</w:t>
            </w:r>
          </w:p>
        </w:tc>
        <w:tc>
          <w:tcPr>
            <w:tcW w:w="932" w:type="dxa"/>
          </w:tcPr>
          <w:p>
            <w:pPr>
              <w:pStyle w:val="TableParagraph"/>
              <w:spacing w:line="240" w:lineRule="auto" w:before="13"/>
              <w:ind w:left="22"/>
              <w:rPr>
                <w:sz w:val="22"/>
              </w:rPr>
            </w:pPr>
            <w:r>
              <w:rPr>
                <w:spacing w:val="-4"/>
                <w:sz w:val="22"/>
              </w:rPr>
              <w:t>77.1</w:t>
            </w:r>
          </w:p>
        </w:tc>
        <w:tc>
          <w:tcPr>
            <w:tcW w:w="987" w:type="dxa"/>
          </w:tcPr>
          <w:p>
            <w:pPr>
              <w:pStyle w:val="TableParagraph"/>
              <w:spacing w:line="240" w:lineRule="auto" w:before="13"/>
              <w:ind w:left="23"/>
              <w:rPr>
                <w:sz w:val="22"/>
              </w:rPr>
            </w:pPr>
            <w:r>
              <w:rPr>
                <w:spacing w:val="-4"/>
                <w:sz w:val="22"/>
              </w:rPr>
              <w:t>93.8</w:t>
            </w:r>
          </w:p>
        </w:tc>
        <w:tc>
          <w:tcPr>
            <w:tcW w:w="958" w:type="dxa"/>
          </w:tcPr>
          <w:p>
            <w:pPr>
              <w:pStyle w:val="TableParagraph"/>
              <w:spacing w:line="240" w:lineRule="auto" w:before="13"/>
              <w:ind w:left="1" w:right="5"/>
              <w:rPr>
                <w:sz w:val="22"/>
              </w:rPr>
            </w:pPr>
            <w:r>
              <w:rPr>
                <w:spacing w:val="-2"/>
                <w:sz w:val="22"/>
              </w:rPr>
              <w:t>100.0</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5"/>
                <w:sz w:val="22"/>
              </w:rPr>
              <w:t>18</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42.9</w:t>
            </w:r>
          </w:p>
        </w:tc>
        <w:tc>
          <w:tcPr>
            <w:tcW w:w="958" w:type="dxa"/>
          </w:tcPr>
          <w:p>
            <w:pPr>
              <w:pStyle w:val="TableParagraph"/>
              <w:spacing w:line="240" w:lineRule="auto" w:before="13"/>
              <w:ind w:left="4" w:right="5"/>
              <w:rPr>
                <w:sz w:val="22"/>
              </w:rPr>
            </w:pPr>
            <w:r>
              <w:rPr>
                <w:spacing w:val="-4"/>
                <w:sz w:val="22"/>
              </w:rPr>
              <w:t>68.6</w:t>
            </w:r>
          </w:p>
        </w:tc>
        <w:tc>
          <w:tcPr>
            <w:tcW w:w="932" w:type="dxa"/>
          </w:tcPr>
          <w:p>
            <w:pPr>
              <w:pStyle w:val="TableParagraph"/>
              <w:spacing w:line="240" w:lineRule="auto" w:before="13"/>
              <w:ind w:left="22"/>
              <w:rPr>
                <w:sz w:val="22"/>
              </w:rPr>
            </w:pPr>
            <w:r>
              <w:rPr>
                <w:spacing w:val="-4"/>
                <w:sz w:val="22"/>
              </w:rPr>
              <w:t>85.7</w:t>
            </w:r>
          </w:p>
        </w:tc>
        <w:tc>
          <w:tcPr>
            <w:tcW w:w="987" w:type="dxa"/>
          </w:tcPr>
          <w:p>
            <w:pPr>
              <w:pStyle w:val="TableParagraph"/>
              <w:spacing w:line="240" w:lineRule="auto" w:before="13"/>
              <w:ind w:left="23"/>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87" w:hRule="atLeast"/>
        </w:trPr>
        <w:tc>
          <w:tcPr>
            <w:tcW w:w="1416" w:type="dxa"/>
          </w:tcPr>
          <w:p>
            <w:pPr>
              <w:pStyle w:val="TableParagraph"/>
              <w:spacing w:line="240" w:lineRule="auto" w:before="13"/>
              <w:ind w:right="47"/>
              <w:rPr>
                <w:sz w:val="22"/>
              </w:rPr>
            </w:pPr>
            <w:r>
              <w:rPr>
                <w:spacing w:val="-5"/>
                <w:sz w:val="22"/>
              </w:rPr>
              <w:t>19</w:t>
            </w:r>
          </w:p>
        </w:tc>
        <w:tc>
          <w:tcPr>
            <w:tcW w:w="1125" w:type="dxa"/>
          </w:tcPr>
          <w:p>
            <w:pPr>
              <w:pStyle w:val="TableParagraph"/>
              <w:spacing w:line="240" w:lineRule="auto" w:before="13"/>
              <w:ind w:right="64"/>
              <w:rPr>
                <w:sz w:val="22"/>
              </w:rPr>
            </w:pPr>
            <w:r>
              <w:rPr>
                <w:spacing w:val="-5"/>
                <w:sz w:val="22"/>
              </w:rPr>
              <w:t>0.0</w:t>
            </w:r>
          </w:p>
        </w:tc>
        <w:tc>
          <w:tcPr>
            <w:tcW w:w="953" w:type="dxa"/>
          </w:tcPr>
          <w:p>
            <w:pPr>
              <w:pStyle w:val="TableParagraph"/>
              <w:spacing w:line="240" w:lineRule="auto" w:before="13"/>
              <w:ind w:right="5"/>
              <w:rPr>
                <w:sz w:val="22"/>
              </w:rPr>
            </w:pPr>
            <w:r>
              <w:rPr>
                <w:spacing w:val="-4"/>
                <w:sz w:val="22"/>
              </w:rPr>
              <w:t>24.2</w:t>
            </w:r>
          </w:p>
        </w:tc>
        <w:tc>
          <w:tcPr>
            <w:tcW w:w="958" w:type="dxa"/>
          </w:tcPr>
          <w:p>
            <w:pPr>
              <w:pStyle w:val="TableParagraph"/>
              <w:spacing w:line="240" w:lineRule="auto" w:before="13"/>
              <w:ind w:left="4" w:right="5"/>
              <w:rPr>
                <w:sz w:val="22"/>
              </w:rPr>
            </w:pPr>
            <w:r>
              <w:rPr>
                <w:spacing w:val="-4"/>
                <w:sz w:val="22"/>
              </w:rPr>
              <w:t>66.1</w:t>
            </w:r>
          </w:p>
        </w:tc>
        <w:tc>
          <w:tcPr>
            <w:tcW w:w="932" w:type="dxa"/>
          </w:tcPr>
          <w:p>
            <w:pPr>
              <w:pStyle w:val="TableParagraph"/>
              <w:spacing w:line="240" w:lineRule="auto" w:before="13"/>
              <w:ind w:left="22"/>
              <w:rPr>
                <w:sz w:val="22"/>
              </w:rPr>
            </w:pPr>
            <w:r>
              <w:rPr>
                <w:spacing w:val="-4"/>
                <w:sz w:val="22"/>
              </w:rPr>
              <w:t>85.5</w:t>
            </w:r>
          </w:p>
        </w:tc>
        <w:tc>
          <w:tcPr>
            <w:tcW w:w="987" w:type="dxa"/>
          </w:tcPr>
          <w:p>
            <w:pPr>
              <w:pStyle w:val="TableParagraph"/>
              <w:spacing w:line="240" w:lineRule="auto" w:before="13"/>
              <w:ind w:left="23"/>
              <w:rPr>
                <w:sz w:val="22"/>
              </w:rPr>
            </w:pPr>
            <w:r>
              <w:rPr>
                <w:spacing w:val="-4"/>
                <w:sz w:val="22"/>
              </w:rPr>
              <w:t>96.8</w:t>
            </w:r>
          </w:p>
        </w:tc>
        <w:tc>
          <w:tcPr>
            <w:tcW w:w="958" w:type="dxa"/>
          </w:tcPr>
          <w:p>
            <w:pPr>
              <w:pStyle w:val="TableParagraph"/>
              <w:spacing w:line="240" w:lineRule="auto" w:before="13"/>
              <w:ind w:left="1" w:right="5"/>
              <w:rPr>
                <w:sz w:val="22"/>
              </w:rPr>
            </w:pPr>
            <w:r>
              <w:rPr>
                <w:spacing w:val="-2"/>
                <w:sz w:val="22"/>
              </w:rPr>
              <w:t>100.0</w:t>
            </w:r>
          </w:p>
        </w:tc>
        <w:tc>
          <w:tcPr>
            <w:tcW w:w="958" w:type="dxa"/>
          </w:tcPr>
          <w:p>
            <w:pPr>
              <w:pStyle w:val="TableParagraph"/>
              <w:spacing w:line="240" w:lineRule="auto" w:before="13"/>
              <w:ind w:left="2" w:right="5"/>
              <w:rPr>
                <w:sz w:val="22"/>
              </w:rPr>
            </w:pPr>
            <w:r>
              <w:rPr>
                <w:spacing w:val="-2"/>
                <w:sz w:val="22"/>
              </w:rPr>
              <w:t>100.0</w:t>
            </w:r>
          </w:p>
        </w:tc>
        <w:tc>
          <w:tcPr>
            <w:tcW w:w="958" w:type="dxa"/>
          </w:tcPr>
          <w:p>
            <w:pPr>
              <w:pStyle w:val="TableParagraph"/>
              <w:spacing w:line="240" w:lineRule="auto" w:before="13"/>
              <w:ind w:left="1" w:right="5"/>
              <w:rPr>
                <w:sz w:val="22"/>
              </w:rPr>
            </w:pPr>
            <w:r>
              <w:rPr>
                <w:spacing w:val="-2"/>
                <w:sz w:val="22"/>
              </w:rPr>
              <w:t>100.0</w:t>
            </w:r>
          </w:p>
        </w:tc>
      </w:tr>
      <w:tr>
        <w:trPr>
          <w:trHeight w:val="273" w:hRule="atLeast"/>
        </w:trPr>
        <w:tc>
          <w:tcPr>
            <w:tcW w:w="1416" w:type="dxa"/>
            <w:tcBorders>
              <w:bottom w:val="single" w:sz="4" w:space="0" w:color="000000"/>
            </w:tcBorders>
          </w:tcPr>
          <w:p>
            <w:pPr>
              <w:pStyle w:val="TableParagraph"/>
              <w:spacing w:line="240" w:lineRule="exact" w:before="13"/>
              <w:ind w:right="47"/>
              <w:rPr>
                <w:sz w:val="22"/>
              </w:rPr>
            </w:pPr>
            <w:r>
              <w:rPr>
                <w:spacing w:val="-5"/>
                <w:sz w:val="22"/>
              </w:rPr>
              <w:t>20</w:t>
            </w:r>
          </w:p>
        </w:tc>
        <w:tc>
          <w:tcPr>
            <w:tcW w:w="1125" w:type="dxa"/>
            <w:tcBorders>
              <w:bottom w:val="single" w:sz="4" w:space="0" w:color="000000"/>
            </w:tcBorders>
          </w:tcPr>
          <w:p>
            <w:pPr>
              <w:pStyle w:val="TableParagraph"/>
              <w:spacing w:line="240" w:lineRule="exact" w:before="13"/>
              <w:ind w:right="64"/>
              <w:rPr>
                <w:sz w:val="22"/>
              </w:rPr>
            </w:pPr>
            <w:r>
              <w:rPr>
                <w:spacing w:val="-5"/>
                <w:sz w:val="22"/>
              </w:rPr>
              <w:t>0.0</w:t>
            </w:r>
          </w:p>
        </w:tc>
        <w:tc>
          <w:tcPr>
            <w:tcW w:w="953" w:type="dxa"/>
            <w:tcBorders>
              <w:bottom w:val="single" w:sz="4" w:space="0" w:color="000000"/>
            </w:tcBorders>
          </w:tcPr>
          <w:p>
            <w:pPr>
              <w:pStyle w:val="TableParagraph"/>
              <w:spacing w:line="240" w:lineRule="exact" w:before="13"/>
              <w:ind w:right="5"/>
              <w:rPr>
                <w:sz w:val="22"/>
              </w:rPr>
            </w:pPr>
            <w:r>
              <w:rPr>
                <w:spacing w:val="-4"/>
                <w:sz w:val="22"/>
              </w:rPr>
              <w:t>42.6</w:t>
            </w:r>
          </w:p>
        </w:tc>
        <w:tc>
          <w:tcPr>
            <w:tcW w:w="958" w:type="dxa"/>
            <w:tcBorders>
              <w:bottom w:val="single" w:sz="4" w:space="0" w:color="000000"/>
            </w:tcBorders>
          </w:tcPr>
          <w:p>
            <w:pPr>
              <w:pStyle w:val="TableParagraph"/>
              <w:spacing w:line="240" w:lineRule="exact" w:before="13"/>
              <w:ind w:left="4" w:right="5"/>
              <w:rPr>
                <w:sz w:val="22"/>
              </w:rPr>
            </w:pPr>
            <w:r>
              <w:rPr>
                <w:spacing w:val="-4"/>
                <w:sz w:val="22"/>
              </w:rPr>
              <w:t>85.1</w:t>
            </w:r>
          </w:p>
        </w:tc>
        <w:tc>
          <w:tcPr>
            <w:tcW w:w="932" w:type="dxa"/>
            <w:tcBorders>
              <w:bottom w:val="single" w:sz="4" w:space="0" w:color="000000"/>
            </w:tcBorders>
          </w:tcPr>
          <w:p>
            <w:pPr>
              <w:pStyle w:val="TableParagraph"/>
              <w:spacing w:line="240" w:lineRule="exact" w:before="13"/>
              <w:ind w:left="22"/>
              <w:rPr>
                <w:sz w:val="22"/>
              </w:rPr>
            </w:pPr>
            <w:r>
              <w:rPr>
                <w:spacing w:val="-4"/>
                <w:sz w:val="22"/>
              </w:rPr>
              <w:t>85.1</w:t>
            </w:r>
          </w:p>
        </w:tc>
        <w:tc>
          <w:tcPr>
            <w:tcW w:w="987" w:type="dxa"/>
            <w:tcBorders>
              <w:bottom w:val="single" w:sz="4" w:space="0" w:color="000000"/>
            </w:tcBorders>
          </w:tcPr>
          <w:p>
            <w:pPr>
              <w:pStyle w:val="TableParagraph"/>
              <w:spacing w:line="240" w:lineRule="exact" w:before="13"/>
              <w:ind w:left="23"/>
              <w:rPr>
                <w:sz w:val="22"/>
              </w:rPr>
            </w:pPr>
            <w:r>
              <w:rPr>
                <w:spacing w:val="-4"/>
                <w:sz w:val="22"/>
              </w:rPr>
              <w:t>95.0</w:t>
            </w:r>
          </w:p>
        </w:tc>
        <w:tc>
          <w:tcPr>
            <w:tcW w:w="958" w:type="dxa"/>
            <w:tcBorders>
              <w:bottom w:val="single" w:sz="4" w:space="0" w:color="000000"/>
            </w:tcBorders>
          </w:tcPr>
          <w:p>
            <w:pPr>
              <w:pStyle w:val="TableParagraph"/>
              <w:spacing w:line="240" w:lineRule="exact" w:before="13"/>
              <w:ind w:left="1" w:right="5"/>
              <w:rPr>
                <w:sz w:val="22"/>
              </w:rPr>
            </w:pPr>
            <w:r>
              <w:rPr>
                <w:spacing w:val="-2"/>
                <w:sz w:val="22"/>
              </w:rPr>
              <w:t>100.0</w:t>
            </w:r>
          </w:p>
        </w:tc>
        <w:tc>
          <w:tcPr>
            <w:tcW w:w="958" w:type="dxa"/>
            <w:tcBorders>
              <w:bottom w:val="single" w:sz="4" w:space="0" w:color="000000"/>
            </w:tcBorders>
          </w:tcPr>
          <w:p>
            <w:pPr>
              <w:pStyle w:val="TableParagraph"/>
              <w:spacing w:line="240" w:lineRule="exact" w:before="13"/>
              <w:ind w:left="2" w:right="5"/>
              <w:rPr>
                <w:sz w:val="22"/>
              </w:rPr>
            </w:pPr>
            <w:r>
              <w:rPr>
                <w:spacing w:val="-2"/>
                <w:sz w:val="22"/>
              </w:rPr>
              <w:t>100.0</w:t>
            </w:r>
          </w:p>
        </w:tc>
        <w:tc>
          <w:tcPr>
            <w:tcW w:w="958" w:type="dxa"/>
            <w:tcBorders>
              <w:bottom w:val="single" w:sz="4" w:space="0" w:color="000000"/>
            </w:tcBorders>
          </w:tcPr>
          <w:p>
            <w:pPr>
              <w:pStyle w:val="TableParagraph"/>
              <w:spacing w:line="240" w:lineRule="exact" w:before="13"/>
              <w:ind w:left="1" w:right="5"/>
              <w:rPr>
                <w:sz w:val="22"/>
              </w:rPr>
            </w:pPr>
            <w:r>
              <w:rPr>
                <w:spacing w:val="-2"/>
                <w:sz w:val="22"/>
              </w:rPr>
              <w:t>100.0</w:t>
            </w:r>
          </w:p>
        </w:tc>
      </w:tr>
    </w:tbl>
    <w:p>
      <w:pPr>
        <w:pStyle w:val="BodyText"/>
        <w:spacing w:before="8"/>
        <w:ind w:left="260"/>
      </w:pPr>
      <w:r>
        <w:rPr/>
        <w:t>Key: A</w:t>
      </w:r>
      <w:r>
        <w:rPr>
          <w:spacing w:val="-1"/>
        </w:rPr>
        <w:t> </w:t>
      </w:r>
      <w:r>
        <w:rPr/>
        <w:t>is</w:t>
      </w:r>
      <w:r>
        <w:rPr>
          <w:spacing w:val="-1"/>
        </w:rPr>
        <w:t> </w:t>
      </w:r>
      <w:r>
        <w:rPr/>
        <w:t>control,</w:t>
      </w:r>
      <w:r>
        <w:rPr>
          <w:spacing w:val="-1"/>
        </w:rPr>
        <w:t> </w:t>
      </w:r>
      <w:r>
        <w:rPr/>
        <w:t>B</w:t>
      </w:r>
      <w:r>
        <w:rPr>
          <w:spacing w:val="-3"/>
        </w:rPr>
        <w:t> </w:t>
      </w:r>
      <w:r>
        <w:rPr/>
        <w:t>to</w:t>
      </w:r>
      <w:r>
        <w:rPr>
          <w:spacing w:val="-1"/>
        </w:rPr>
        <w:t> </w:t>
      </w:r>
      <w:r>
        <w:rPr/>
        <w:t>H</w:t>
      </w:r>
      <w:r>
        <w:rPr>
          <w:spacing w:val="1"/>
        </w:rPr>
        <w:t> </w:t>
      </w:r>
      <w:r>
        <w:rPr/>
        <w:t>represent</w:t>
      </w:r>
      <w:r>
        <w:rPr>
          <w:spacing w:val="-1"/>
        </w:rPr>
        <w:t> </w:t>
      </w:r>
      <w:r>
        <w:rPr/>
        <w:t>concentration</w:t>
      </w:r>
      <w:r>
        <w:rPr>
          <w:spacing w:val="1"/>
        </w:rPr>
        <w:t> </w:t>
      </w:r>
      <w:r>
        <w:rPr/>
        <w:t>of</w:t>
      </w:r>
      <w:r>
        <w:rPr>
          <w:spacing w:val="-2"/>
        </w:rPr>
        <w:t> </w:t>
      </w:r>
      <w:r>
        <w:rPr/>
        <w:t>test</w:t>
      </w:r>
      <w:r>
        <w:rPr>
          <w:spacing w:val="-1"/>
        </w:rPr>
        <w:t> </w:t>
      </w:r>
      <w:r>
        <w:rPr>
          <w:spacing w:val="-4"/>
        </w:rPr>
        <w:t>drug</w:t>
      </w:r>
    </w:p>
    <w:p>
      <w:pPr>
        <w:spacing w:after="0"/>
        <w:sectPr>
          <w:pgSz w:w="11910" w:h="16840"/>
          <w:pgMar w:header="0" w:footer="1254" w:top="1340" w:bottom="1440" w:left="1180" w:right="580"/>
        </w:sectPr>
      </w:pPr>
    </w:p>
    <w:p>
      <w:pPr>
        <w:pStyle w:val="BodyText"/>
        <w:spacing w:line="362" w:lineRule="auto" w:before="76"/>
        <w:ind w:left="260" w:right="855"/>
        <w:rPr>
          <w:rFonts w:ascii="Calibri" w:hAnsi="Calibri"/>
          <w:sz w:val="22"/>
        </w:rPr>
      </w:pPr>
      <w:r>
        <w:rPr/>
        <w:t>Table</w:t>
      </w:r>
      <w:r>
        <w:rPr>
          <w:spacing w:val="80"/>
        </w:rPr>
        <w:t> </w:t>
      </w:r>
      <w:r>
        <w:rPr/>
        <w:t>4.5:</w:t>
      </w:r>
      <w:r>
        <w:rPr>
          <w:spacing w:val="80"/>
        </w:rPr>
        <w:t> </w:t>
      </w:r>
      <w:r>
        <w:rPr/>
        <w:t>Degree</w:t>
      </w:r>
      <w:r>
        <w:rPr>
          <w:spacing w:val="80"/>
        </w:rPr>
        <w:t> </w:t>
      </w:r>
      <w:r>
        <w:rPr/>
        <w:t>of</w:t>
      </w:r>
      <w:r>
        <w:rPr>
          <w:spacing w:val="80"/>
        </w:rPr>
        <w:t> </w:t>
      </w:r>
      <w:r>
        <w:rPr/>
        <w:t>Artesunate</w:t>
      </w:r>
      <w:r>
        <w:rPr>
          <w:spacing w:val="80"/>
        </w:rPr>
        <w:t> </w:t>
      </w:r>
      <w:r>
        <w:rPr/>
        <w:t>inhibition</w:t>
      </w:r>
      <w:r>
        <w:rPr>
          <w:spacing w:val="80"/>
        </w:rPr>
        <w:t> </w:t>
      </w:r>
      <w:r>
        <w:rPr/>
        <w:t>of</w:t>
      </w:r>
      <w:r>
        <w:rPr>
          <w:spacing w:val="80"/>
        </w:rPr>
        <w:t> </w:t>
      </w:r>
      <w:r>
        <w:rPr/>
        <w:t>schizont</w:t>
      </w:r>
      <w:r>
        <w:rPr>
          <w:spacing w:val="80"/>
        </w:rPr>
        <w:t> </w:t>
      </w:r>
      <w:r>
        <w:rPr/>
        <w:t>maturation</w:t>
      </w:r>
      <w:r>
        <w:rPr>
          <w:spacing w:val="80"/>
        </w:rPr>
        <w:t> </w:t>
      </w:r>
      <w:r>
        <w:rPr/>
        <w:t>(%)</w:t>
      </w:r>
      <w:r>
        <w:rPr>
          <w:spacing w:val="80"/>
        </w:rPr>
        <w:t> </w:t>
      </w:r>
      <w:r>
        <w:rPr/>
        <w:t>at</w:t>
      </w:r>
      <w:r>
        <w:rPr>
          <w:spacing w:val="80"/>
        </w:rPr>
        <w:t> </w:t>
      </w:r>
      <w:r>
        <w:rPr/>
        <w:t>different</w:t>
      </w:r>
      <w:r>
        <w:rPr>
          <w:spacing w:val="80"/>
        </w:rPr>
        <w:t> </w:t>
      </w:r>
      <w:r>
        <w:rPr/>
        <w:t>antimalarial concentrations (</w:t>
      </w:r>
      <w:r>
        <w:rPr>
          <w:rFonts w:ascii="Calibri" w:hAnsi="Calibri"/>
          <w:sz w:val="22"/>
        </w:rPr>
        <w:t>µM)</w:t>
      </w: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5"/>
        <w:gridCol w:w="1076"/>
        <w:gridCol w:w="944"/>
        <w:gridCol w:w="958"/>
        <w:gridCol w:w="959"/>
        <w:gridCol w:w="959"/>
        <w:gridCol w:w="958"/>
        <w:gridCol w:w="958"/>
        <w:gridCol w:w="958"/>
      </w:tblGrid>
      <w:tr>
        <w:trPr>
          <w:trHeight w:val="390" w:hRule="atLeast"/>
        </w:trPr>
        <w:tc>
          <w:tcPr>
            <w:tcW w:w="1395" w:type="dxa"/>
            <w:vMerge w:val="restart"/>
            <w:tcBorders>
              <w:top w:val="single" w:sz="4" w:space="0" w:color="000000"/>
              <w:bottom w:val="single" w:sz="4" w:space="0" w:color="000000"/>
            </w:tcBorders>
          </w:tcPr>
          <w:p>
            <w:pPr>
              <w:pStyle w:val="TableParagraph"/>
              <w:spacing w:line="247" w:lineRule="exact" w:before="0"/>
              <w:ind w:left="1" w:right="2"/>
              <w:rPr>
                <w:sz w:val="22"/>
              </w:rPr>
            </w:pPr>
            <w:r>
              <w:rPr>
                <w:spacing w:val="-2"/>
                <w:sz w:val="22"/>
              </w:rPr>
              <w:t>Parasitemia</w:t>
            </w:r>
          </w:p>
          <w:p>
            <w:pPr>
              <w:pStyle w:val="TableParagraph"/>
              <w:spacing w:line="252" w:lineRule="exact" w:before="0"/>
              <w:ind w:left="343" w:right="340" w:hanging="4"/>
              <w:rPr>
                <w:sz w:val="22"/>
              </w:rPr>
            </w:pPr>
            <w:r>
              <w:rPr>
                <w:spacing w:val="-2"/>
                <w:sz w:val="22"/>
              </w:rPr>
              <w:t>blood samples</w:t>
            </w:r>
          </w:p>
        </w:tc>
        <w:tc>
          <w:tcPr>
            <w:tcW w:w="1076" w:type="dxa"/>
            <w:tcBorders>
              <w:top w:val="single" w:sz="4" w:space="0" w:color="000000"/>
            </w:tcBorders>
          </w:tcPr>
          <w:p>
            <w:pPr>
              <w:pStyle w:val="TableParagraph"/>
              <w:spacing w:line="240" w:lineRule="auto" w:before="29"/>
              <w:ind w:left="4" w:right="31"/>
              <w:rPr>
                <w:sz w:val="22"/>
              </w:rPr>
            </w:pPr>
            <w:r>
              <w:rPr>
                <w:spacing w:val="-10"/>
                <w:sz w:val="22"/>
              </w:rPr>
              <w:t>A</w:t>
            </w:r>
          </w:p>
        </w:tc>
        <w:tc>
          <w:tcPr>
            <w:tcW w:w="944" w:type="dxa"/>
            <w:tcBorders>
              <w:top w:val="single" w:sz="4" w:space="0" w:color="000000"/>
            </w:tcBorders>
          </w:tcPr>
          <w:p>
            <w:pPr>
              <w:pStyle w:val="TableParagraph"/>
              <w:spacing w:line="240" w:lineRule="auto" w:before="29"/>
              <w:ind w:left="1" w:right="10"/>
              <w:rPr>
                <w:sz w:val="22"/>
              </w:rPr>
            </w:pPr>
            <w:r>
              <w:rPr>
                <w:spacing w:val="-10"/>
                <w:sz w:val="22"/>
              </w:rPr>
              <w:t>B</w:t>
            </w:r>
          </w:p>
        </w:tc>
        <w:tc>
          <w:tcPr>
            <w:tcW w:w="958" w:type="dxa"/>
            <w:tcBorders>
              <w:top w:val="single" w:sz="4" w:space="0" w:color="000000"/>
            </w:tcBorders>
          </w:tcPr>
          <w:p>
            <w:pPr>
              <w:pStyle w:val="TableParagraph"/>
              <w:spacing w:line="240" w:lineRule="auto" w:before="29"/>
              <w:ind w:left="6" w:right="5"/>
              <w:rPr>
                <w:sz w:val="22"/>
              </w:rPr>
            </w:pPr>
            <w:r>
              <w:rPr>
                <w:spacing w:val="-10"/>
                <w:sz w:val="22"/>
              </w:rPr>
              <w:t>C</w:t>
            </w:r>
          </w:p>
        </w:tc>
        <w:tc>
          <w:tcPr>
            <w:tcW w:w="959" w:type="dxa"/>
            <w:tcBorders>
              <w:top w:val="single" w:sz="4" w:space="0" w:color="000000"/>
            </w:tcBorders>
          </w:tcPr>
          <w:p>
            <w:pPr>
              <w:pStyle w:val="TableParagraph"/>
              <w:spacing w:line="240" w:lineRule="auto" w:before="29"/>
              <w:ind w:left="2" w:right="3"/>
              <w:rPr>
                <w:sz w:val="22"/>
              </w:rPr>
            </w:pPr>
            <w:r>
              <w:rPr>
                <w:spacing w:val="-10"/>
                <w:sz w:val="22"/>
              </w:rPr>
              <w:t>D</w:t>
            </w:r>
          </w:p>
        </w:tc>
        <w:tc>
          <w:tcPr>
            <w:tcW w:w="959" w:type="dxa"/>
            <w:tcBorders>
              <w:top w:val="single" w:sz="4" w:space="0" w:color="000000"/>
            </w:tcBorders>
          </w:tcPr>
          <w:p>
            <w:pPr>
              <w:pStyle w:val="TableParagraph"/>
              <w:spacing w:line="240" w:lineRule="auto" w:before="29"/>
              <w:ind w:left="2" w:right="2"/>
              <w:rPr>
                <w:sz w:val="22"/>
              </w:rPr>
            </w:pPr>
            <w:r>
              <w:rPr>
                <w:spacing w:val="-10"/>
                <w:sz w:val="22"/>
              </w:rPr>
              <w:t>E</w:t>
            </w:r>
          </w:p>
        </w:tc>
        <w:tc>
          <w:tcPr>
            <w:tcW w:w="958" w:type="dxa"/>
            <w:tcBorders>
              <w:top w:val="single" w:sz="4" w:space="0" w:color="000000"/>
            </w:tcBorders>
          </w:tcPr>
          <w:p>
            <w:pPr>
              <w:pStyle w:val="TableParagraph"/>
              <w:spacing w:line="240" w:lineRule="auto" w:before="29"/>
              <w:ind w:left="5" w:right="5"/>
              <w:rPr>
                <w:sz w:val="22"/>
              </w:rPr>
            </w:pPr>
            <w:r>
              <w:rPr>
                <w:spacing w:val="-10"/>
                <w:sz w:val="22"/>
              </w:rPr>
              <w:t>F</w:t>
            </w:r>
          </w:p>
        </w:tc>
        <w:tc>
          <w:tcPr>
            <w:tcW w:w="958" w:type="dxa"/>
            <w:tcBorders>
              <w:top w:val="single" w:sz="4" w:space="0" w:color="000000"/>
            </w:tcBorders>
          </w:tcPr>
          <w:p>
            <w:pPr>
              <w:pStyle w:val="TableParagraph"/>
              <w:spacing w:line="240" w:lineRule="auto" w:before="29"/>
              <w:ind w:left="5" w:right="5"/>
              <w:rPr>
                <w:sz w:val="22"/>
              </w:rPr>
            </w:pPr>
            <w:r>
              <w:rPr>
                <w:spacing w:val="-10"/>
                <w:sz w:val="22"/>
              </w:rPr>
              <w:t>G</w:t>
            </w:r>
          </w:p>
        </w:tc>
        <w:tc>
          <w:tcPr>
            <w:tcW w:w="958" w:type="dxa"/>
            <w:tcBorders>
              <w:top w:val="single" w:sz="4" w:space="0" w:color="000000"/>
            </w:tcBorders>
          </w:tcPr>
          <w:p>
            <w:pPr>
              <w:pStyle w:val="TableParagraph"/>
              <w:spacing w:line="240" w:lineRule="auto" w:before="29"/>
              <w:ind w:left="4" w:right="5"/>
              <w:rPr>
                <w:sz w:val="22"/>
              </w:rPr>
            </w:pPr>
            <w:r>
              <w:rPr>
                <w:spacing w:val="-10"/>
                <w:sz w:val="22"/>
              </w:rPr>
              <w:t>H</w:t>
            </w:r>
          </w:p>
        </w:tc>
      </w:tr>
      <w:tr>
        <w:trPr>
          <w:trHeight w:val="357" w:hRule="atLeast"/>
        </w:trPr>
        <w:tc>
          <w:tcPr>
            <w:tcW w:w="1395" w:type="dxa"/>
            <w:vMerge/>
            <w:tcBorders>
              <w:top w:val="nil"/>
              <w:bottom w:val="single" w:sz="4" w:space="0" w:color="000000"/>
            </w:tcBorders>
          </w:tcPr>
          <w:p>
            <w:pPr>
              <w:rPr>
                <w:sz w:val="2"/>
                <w:szCs w:val="2"/>
              </w:rPr>
            </w:pPr>
          </w:p>
        </w:tc>
        <w:tc>
          <w:tcPr>
            <w:tcW w:w="1076" w:type="dxa"/>
            <w:tcBorders>
              <w:bottom w:val="single" w:sz="4" w:space="0" w:color="000000"/>
            </w:tcBorders>
          </w:tcPr>
          <w:p>
            <w:pPr>
              <w:pStyle w:val="TableParagraph"/>
              <w:spacing w:line="238" w:lineRule="exact" w:before="99"/>
              <w:ind w:left="3" w:right="31"/>
              <w:rPr>
                <w:sz w:val="22"/>
              </w:rPr>
            </w:pPr>
            <w:r>
              <w:rPr>
                <w:spacing w:val="-2"/>
                <w:sz w:val="22"/>
              </w:rPr>
              <w:t>Control</w:t>
            </w:r>
          </w:p>
        </w:tc>
        <w:tc>
          <w:tcPr>
            <w:tcW w:w="944" w:type="dxa"/>
            <w:tcBorders>
              <w:bottom w:val="single" w:sz="4" w:space="0" w:color="000000"/>
            </w:tcBorders>
          </w:tcPr>
          <w:p>
            <w:pPr>
              <w:pStyle w:val="TableParagraph"/>
              <w:spacing w:line="238" w:lineRule="exact" w:before="99"/>
              <w:ind w:right="10"/>
              <w:rPr>
                <w:sz w:val="22"/>
              </w:rPr>
            </w:pPr>
            <w:r>
              <w:rPr>
                <w:spacing w:val="-2"/>
                <w:sz w:val="22"/>
              </w:rPr>
              <w:t>0.002</w:t>
            </w:r>
          </w:p>
        </w:tc>
        <w:tc>
          <w:tcPr>
            <w:tcW w:w="958" w:type="dxa"/>
            <w:tcBorders>
              <w:bottom w:val="single" w:sz="4" w:space="0" w:color="000000"/>
            </w:tcBorders>
          </w:tcPr>
          <w:p>
            <w:pPr>
              <w:pStyle w:val="TableParagraph"/>
              <w:spacing w:line="238" w:lineRule="exact" w:before="99"/>
              <w:ind w:left="6" w:right="5"/>
              <w:rPr>
                <w:sz w:val="22"/>
              </w:rPr>
            </w:pPr>
            <w:r>
              <w:rPr>
                <w:spacing w:val="-2"/>
                <w:sz w:val="22"/>
              </w:rPr>
              <w:t>0.004</w:t>
            </w:r>
          </w:p>
        </w:tc>
        <w:tc>
          <w:tcPr>
            <w:tcW w:w="959" w:type="dxa"/>
            <w:tcBorders>
              <w:bottom w:val="single" w:sz="4" w:space="0" w:color="000000"/>
            </w:tcBorders>
          </w:tcPr>
          <w:p>
            <w:pPr>
              <w:pStyle w:val="TableParagraph"/>
              <w:spacing w:line="238" w:lineRule="exact" w:before="99"/>
              <w:ind w:left="2" w:right="2"/>
              <w:rPr>
                <w:sz w:val="22"/>
              </w:rPr>
            </w:pPr>
            <w:r>
              <w:rPr>
                <w:spacing w:val="-2"/>
                <w:sz w:val="22"/>
              </w:rPr>
              <w:t>0.008</w:t>
            </w:r>
          </w:p>
        </w:tc>
        <w:tc>
          <w:tcPr>
            <w:tcW w:w="959" w:type="dxa"/>
            <w:tcBorders>
              <w:bottom w:val="single" w:sz="4" w:space="0" w:color="000000"/>
            </w:tcBorders>
          </w:tcPr>
          <w:p>
            <w:pPr>
              <w:pStyle w:val="TableParagraph"/>
              <w:spacing w:line="238" w:lineRule="exact" w:before="99"/>
              <w:ind w:left="3" w:right="1"/>
              <w:rPr>
                <w:sz w:val="22"/>
              </w:rPr>
            </w:pPr>
            <w:r>
              <w:rPr>
                <w:spacing w:val="-2"/>
                <w:sz w:val="22"/>
              </w:rPr>
              <w:t>0.016</w:t>
            </w:r>
          </w:p>
        </w:tc>
        <w:tc>
          <w:tcPr>
            <w:tcW w:w="958" w:type="dxa"/>
            <w:tcBorders>
              <w:bottom w:val="single" w:sz="4" w:space="0" w:color="000000"/>
            </w:tcBorders>
          </w:tcPr>
          <w:p>
            <w:pPr>
              <w:pStyle w:val="TableParagraph"/>
              <w:spacing w:line="238" w:lineRule="exact" w:before="99"/>
              <w:ind w:left="5" w:right="5"/>
              <w:rPr>
                <w:sz w:val="22"/>
              </w:rPr>
            </w:pPr>
            <w:r>
              <w:rPr>
                <w:spacing w:val="-2"/>
                <w:sz w:val="22"/>
              </w:rPr>
              <w:t>0.032</w:t>
            </w:r>
          </w:p>
        </w:tc>
        <w:tc>
          <w:tcPr>
            <w:tcW w:w="958" w:type="dxa"/>
            <w:tcBorders>
              <w:bottom w:val="single" w:sz="4" w:space="0" w:color="000000"/>
            </w:tcBorders>
          </w:tcPr>
          <w:p>
            <w:pPr>
              <w:pStyle w:val="TableParagraph"/>
              <w:spacing w:line="238" w:lineRule="exact" w:before="99"/>
              <w:ind w:left="5" w:right="5"/>
              <w:rPr>
                <w:sz w:val="22"/>
              </w:rPr>
            </w:pPr>
            <w:r>
              <w:rPr>
                <w:spacing w:val="-2"/>
                <w:sz w:val="22"/>
              </w:rPr>
              <w:t>0.064</w:t>
            </w:r>
          </w:p>
        </w:tc>
        <w:tc>
          <w:tcPr>
            <w:tcW w:w="958" w:type="dxa"/>
            <w:tcBorders>
              <w:bottom w:val="single" w:sz="4" w:space="0" w:color="000000"/>
            </w:tcBorders>
          </w:tcPr>
          <w:p>
            <w:pPr>
              <w:pStyle w:val="TableParagraph"/>
              <w:spacing w:line="238" w:lineRule="exact" w:before="99"/>
              <w:ind w:left="5" w:right="5"/>
              <w:rPr>
                <w:sz w:val="22"/>
              </w:rPr>
            </w:pPr>
            <w:r>
              <w:rPr>
                <w:spacing w:val="-2"/>
                <w:sz w:val="22"/>
              </w:rPr>
              <w:t>0.128</w:t>
            </w:r>
          </w:p>
        </w:tc>
      </w:tr>
      <w:tr>
        <w:trPr>
          <w:trHeight w:val="304" w:hRule="atLeast"/>
        </w:trPr>
        <w:tc>
          <w:tcPr>
            <w:tcW w:w="1395" w:type="dxa"/>
            <w:tcBorders>
              <w:top w:val="single" w:sz="4" w:space="0" w:color="000000"/>
            </w:tcBorders>
          </w:tcPr>
          <w:p>
            <w:pPr>
              <w:pStyle w:val="TableParagraph"/>
              <w:spacing w:line="240" w:lineRule="auto" w:before="29"/>
              <w:ind w:left="1" w:right="2"/>
              <w:rPr>
                <w:sz w:val="22"/>
              </w:rPr>
            </w:pPr>
            <w:r>
              <w:rPr>
                <w:spacing w:val="-10"/>
                <w:sz w:val="22"/>
              </w:rPr>
              <w:t>1</w:t>
            </w:r>
          </w:p>
        </w:tc>
        <w:tc>
          <w:tcPr>
            <w:tcW w:w="1076" w:type="dxa"/>
            <w:tcBorders>
              <w:top w:val="single" w:sz="4" w:space="0" w:color="000000"/>
            </w:tcBorders>
          </w:tcPr>
          <w:p>
            <w:pPr>
              <w:pStyle w:val="TableParagraph"/>
              <w:spacing w:line="240" w:lineRule="auto" w:before="29"/>
              <w:ind w:right="31"/>
              <w:rPr>
                <w:sz w:val="22"/>
              </w:rPr>
            </w:pPr>
            <w:r>
              <w:rPr>
                <w:spacing w:val="-5"/>
                <w:sz w:val="22"/>
              </w:rPr>
              <w:t>0.0</w:t>
            </w:r>
          </w:p>
        </w:tc>
        <w:tc>
          <w:tcPr>
            <w:tcW w:w="944" w:type="dxa"/>
            <w:tcBorders>
              <w:top w:val="single" w:sz="4" w:space="0" w:color="000000"/>
            </w:tcBorders>
          </w:tcPr>
          <w:p>
            <w:pPr>
              <w:pStyle w:val="TableParagraph"/>
              <w:spacing w:line="240" w:lineRule="auto" w:before="29"/>
              <w:ind w:right="10"/>
              <w:rPr>
                <w:sz w:val="22"/>
              </w:rPr>
            </w:pPr>
            <w:r>
              <w:rPr>
                <w:spacing w:val="-4"/>
                <w:sz w:val="22"/>
              </w:rPr>
              <w:t>10.7</w:t>
            </w:r>
          </w:p>
        </w:tc>
        <w:tc>
          <w:tcPr>
            <w:tcW w:w="958" w:type="dxa"/>
            <w:tcBorders>
              <w:top w:val="single" w:sz="4" w:space="0" w:color="000000"/>
            </w:tcBorders>
          </w:tcPr>
          <w:p>
            <w:pPr>
              <w:pStyle w:val="TableParagraph"/>
              <w:spacing w:line="240" w:lineRule="auto" w:before="29"/>
              <w:ind w:left="6" w:right="5"/>
              <w:rPr>
                <w:sz w:val="22"/>
              </w:rPr>
            </w:pPr>
            <w:r>
              <w:rPr>
                <w:spacing w:val="-4"/>
                <w:sz w:val="22"/>
              </w:rPr>
              <w:t>26.8</w:t>
            </w:r>
          </w:p>
        </w:tc>
        <w:tc>
          <w:tcPr>
            <w:tcW w:w="959" w:type="dxa"/>
            <w:tcBorders>
              <w:top w:val="single" w:sz="4" w:space="0" w:color="000000"/>
            </w:tcBorders>
          </w:tcPr>
          <w:p>
            <w:pPr>
              <w:pStyle w:val="TableParagraph"/>
              <w:spacing w:line="240" w:lineRule="auto" w:before="29"/>
              <w:ind w:left="2" w:right="2"/>
              <w:rPr>
                <w:sz w:val="22"/>
              </w:rPr>
            </w:pPr>
            <w:r>
              <w:rPr>
                <w:spacing w:val="-4"/>
                <w:sz w:val="22"/>
              </w:rPr>
              <w:t>48.2</w:t>
            </w:r>
          </w:p>
        </w:tc>
        <w:tc>
          <w:tcPr>
            <w:tcW w:w="959" w:type="dxa"/>
            <w:tcBorders>
              <w:top w:val="single" w:sz="4" w:space="0" w:color="000000"/>
            </w:tcBorders>
          </w:tcPr>
          <w:p>
            <w:pPr>
              <w:pStyle w:val="TableParagraph"/>
              <w:spacing w:line="240" w:lineRule="auto" w:before="29"/>
              <w:ind w:left="3" w:right="1"/>
              <w:rPr>
                <w:sz w:val="22"/>
              </w:rPr>
            </w:pPr>
            <w:r>
              <w:rPr>
                <w:spacing w:val="-4"/>
                <w:sz w:val="22"/>
              </w:rPr>
              <w:t>73.2</w:t>
            </w:r>
          </w:p>
        </w:tc>
        <w:tc>
          <w:tcPr>
            <w:tcW w:w="958" w:type="dxa"/>
            <w:tcBorders>
              <w:top w:val="single" w:sz="4" w:space="0" w:color="000000"/>
            </w:tcBorders>
          </w:tcPr>
          <w:p>
            <w:pPr>
              <w:pStyle w:val="TableParagraph"/>
              <w:spacing w:line="240" w:lineRule="auto" w:before="29"/>
              <w:ind w:left="5" w:right="5"/>
              <w:rPr>
                <w:sz w:val="22"/>
              </w:rPr>
            </w:pPr>
            <w:r>
              <w:rPr>
                <w:spacing w:val="-4"/>
                <w:sz w:val="22"/>
              </w:rPr>
              <w:t>87.5</w:t>
            </w:r>
          </w:p>
        </w:tc>
        <w:tc>
          <w:tcPr>
            <w:tcW w:w="958" w:type="dxa"/>
            <w:tcBorders>
              <w:top w:val="single" w:sz="4" w:space="0" w:color="000000"/>
            </w:tcBorders>
          </w:tcPr>
          <w:p>
            <w:pPr>
              <w:pStyle w:val="TableParagraph"/>
              <w:spacing w:line="240" w:lineRule="auto" w:before="29"/>
              <w:ind w:left="5" w:right="5"/>
              <w:rPr>
                <w:sz w:val="22"/>
              </w:rPr>
            </w:pPr>
            <w:r>
              <w:rPr>
                <w:spacing w:val="-2"/>
                <w:sz w:val="22"/>
              </w:rPr>
              <w:t>100.0</w:t>
            </w:r>
          </w:p>
        </w:tc>
        <w:tc>
          <w:tcPr>
            <w:tcW w:w="958" w:type="dxa"/>
            <w:tcBorders>
              <w:top w:val="single" w:sz="4" w:space="0" w:color="000000"/>
            </w:tcBorders>
          </w:tcPr>
          <w:p>
            <w:pPr>
              <w:pStyle w:val="TableParagraph"/>
              <w:spacing w:line="240" w:lineRule="auto" w:before="29"/>
              <w:ind w:left="5" w:right="5"/>
              <w:rPr>
                <w:sz w:val="22"/>
              </w:rPr>
            </w:pPr>
            <w:r>
              <w:rPr>
                <w:spacing w:val="-2"/>
                <w:sz w:val="22"/>
              </w:rPr>
              <w:t>100.0</w:t>
            </w:r>
          </w:p>
        </w:tc>
      </w:tr>
      <w:tr>
        <w:trPr>
          <w:trHeight w:val="287" w:hRule="atLeast"/>
        </w:trPr>
        <w:tc>
          <w:tcPr>
            <w:tcW w:w="1395" w:type="dxa"/>
          </w:tcPr>
          <w:p>
            <w:pPr>
              <w:pStyle w:val="TableParagraph"/>
              <w:spacing w:line="240" w:lineRule="auto" w:before="13"/>
              <w:ind w:left="1" w:right="2"/>
              <w:rPr>
                <w:sz w:val="22"/>
              </w:rPr>
            </w:pPr>
            <w:r>
              <w:rPr>
                <w:spacing w:val="-10"/>
                <w:sz w:val="22"/>
              </w:rPr>
              <w:t>2</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11.0</w:t>
            </w:r>
          </w:p>
        </w:tc>
        <w:tc>
          <w:tcPr>
            <w:tcW w:w="958" w:type="dxa"/>
          </w:tcPr>
          <w:p>
            <w:pPr>
              <w:pStyle w:val="TableParagraph"/>
              <w:spacing w:line="240" w:lineRule="auto" w:before="13"/>
              <w:ind w:left="6" w:right="5"/>
              <w:rPr>
                <w:sz w:val="22"/>
              </w:rPr>
            </w:pPr>
            <w:r>
              <w:rPr>
                <w:spacing w:val="-4"/>
                <w:sz w:val="22"/>
              </w:rPr>
              <w:t>39.7</w:t>
            </w:r>
          </w:p>
        </w:tc>
        <w:tc>
          <w:tcPr>
            <w:tcW w:w="959" w:type="dxa"/>
          </w:tcPr>
          <w:p>
            <w:pPr>
              <w:pStyle w:val="TableParagraph"/>
              <w:spacing w:line="240" w:lineRule="auto" w:before="13"/>
              <w:ind w:left="2" w:right="2"/>
              <w:rPr>
                <w:sz w:val="22"/>
              </w:rPr>
            </w:pPr>
            <w:r>
              <w:rPr>
                <w:spacing w:val="-4"/>
                <w:sz w:val="22"/>
              </w:rPr>
              <w:t>63.0</w:t>
            </w:r>
          </w:p>
        </w:tc>
        <w:tc>
          <w:tcPr>
            <w:tcW w:w="959" w:type="dxa"/>
          </w:tcPr>
          <w:p>
            <w:pPr>
              <w:pStyle w:val="TableParagraph"/>
              <w:spacing w:line="240" w:lineRule="auto" w:before="13"/>
              <w:ind w:left="3" w:right="1"/>
              <w:rPr>
                <w:sz w:val="22"/>
              </w:rPr>
            </w:pPr>
            <w:r>
              <w:rPr>
                <w:spacing w:val="-4"/>
                <w:sz w:val="22"/>
              </w:rPr>
              <w:t>72.6</w:t>
            </w:r>
          </w:p>
        </w:tc>
        <w:tc>
          <w:tcPr>
            <w:tcW w:w="958" w:type="dxa"/>
          </w:tcPr>
          <w:p>
            <w:pPr>
              <w:pStyle w:val="TableParagraph"/>
              <w:spacing w:line="240" w:lineRule="auto" w:before="13"/>
              <w:ind w:left="5" w:right="5"/>
              <w:rPr>
                <w:sz w:val="22"/>
              </w:rPr>
            </w:pPr>
            <w:r>
              <w:rPr>
                <w:spacing w:val="-4"/>
                <w:sz w:val="22"/>
              </w:rPr>
              <w:t>90.4</w:t>
            </w:r>
          </w:p>
        </w:tc>
        <w:tc>
          <w:tcPr>
            <w:tcW w:w="958" w:type="dxa"/>
          </w:tcPr>
          <w:p>
            <w:pPr>
              <w:pStyle w:val="TableParagraph"/>
              <w:spacing w:line="240" w:lineRule="auto" w:before="13"/>
              <w:ind w:left="5" w:right="5"/>
              <w:rPr>
                <w:sz w:val="22"/>
              </w:rPr>
            </w:pPr>
            <w:r>
              <w:rPr>
                <w:spacing w:val="-4"/>
                <w:sz w:val="22"/>
              </w:rPr>
              <w:t>94.5</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left="1" w:right="2"/>
              <w:rPr>
                <w:sz w:val="22"/>
              </w:rPr>
            </w:pPr>
            <w:r>
              <w:rPr>
                <w:spacing w:val="-10"/>
                <w:sz w:val="22"/>
              </w:rPr>
              <w:t>3</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22.4</w:t>
            </w:r>
          </w:p>
        </w:tc>
        <w:tc>
          <w:tcPr>
            <w:tcW w:w="958" w:type="dxa"/>
          </w:tcPr>
          <w:p>
            <w:pPr>
              <w:pStyle w:val="TableParagraph"/>
              <w:spacing w:line="240" w:lineRule="auto" w:before="13"/>
              <w:ind w:left="6" w:right="5"/>
              <w:rPr>
                <w:sz w:val="22"/>
              </w:rPr>
            </w:pPr>
            <w:r>
              <w:rPr>
                <w:spacing w:val="-4"/>
                <w:sz w:val="22"/>
              </w:rPr>
              <w:t>46.3</w:t>
            </w:r>
          </w:p>
        </w:tc>
        <w:tc>
          <w:tcPr>
            <w:tcW w:w="959" w:type="dxa"/>
          </w:tcPr>
          <w:p>
            <w:pPr>
              <w:pStyle w:val="TableParagraph"/>
              <w:spacing w:line="240" w:lineRule="auto" w:before="13"/>
              <w:ind w:left="2" w:right="2"/>
              <w:rPr>
                <w:sz w:val="22"/>
              </w:rPr>
            </w:pPr>
            <w:r>
              <w:rPr>
                <w:spacing w:val="-4"/>
                <w:sz w:val="22"/>
              </w:rPr>
              <w:t>61.2</w:t>
            </w:r>
          </w:p>
        </w:tc>
        <w:tc>
          <w:tcPr>
            <w:tcW w:w="959" w:type="dxa"/>
          </w:tcPr>
          <w:p>
            <w:pPr>
              <w:pStyle w:val="TableParagraph"/>
              <w:spacing w:line="240" w:lineRule="auto" w:before="13"/>
              <w:ind w:left="3" w:right="1"/>
              <w:rPr>
                <w:sz w:val="22"/>
              </w:rPr>
            </w:pPr>
            <w:r>
              <w:rPr>
                <w:spacing w:val="-4"/>
                <w:sz w:val="22"/>
              </w:rPr>
              <w:t>79.1</w:t>
            </w:r>
          </w:p>
        </w:tc>
        <w:tc>
          <w:tcPr>
            <w:tcW w:w="958" w:type="dxa"/>
          </w:tcPr>
          <w:p>
            <w:pPr>
              <w:pStyle w:val="TableParagraph"/>
              <w:spacing w:line="240" w:lineRule="auto" w:before="13"/>
              <w:ind w:left="5" w:right="5"/>
              <w:rPr>
                <w:sz w:val="22"/>
              </w:rPr>
            </w:pPr>
            <w:r>
              <w:rPr>
                <w:spacing w:val="-4"/>
                <w:sz w:val="22"/>
              </w:rPr>
              <w:t>92.5</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left="1" w:right="2"/>
              <w:rPr>
                <w:sz w:val="22"/>
              </w:rPr>
            </w:pPr>
            <w:r>
              <w:rPr>
                <w:spacing w:val="-10"/>
                <w:sz w:val="22"/>
              </w:rPr>
              <w:t>4</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31.0</w:t>
            </w:r>
          </w:p>
        </w:tc>
        <w:tc>
          <w:tcPr>
            <w:tcW w:w="958" w:type="dxa"/>
          </w:tcPr>
          <w:p>
            <w:pPr>
              <w:pStyle w:val="TableParagraph"/>
              <w:spacing w:line="240" w:lineRule="auto" w:before="13"/>
              <w:ind w:left="6" w:right="5"/>
              <w:rPr>
                <w:sz w:val="22"/>
              </w:rPr>
            </w:pPr>
            <w:r>
              <w:rPr>
                <w:spacing w:val="-4"/>
                <w:sz w:val="22"/>
              </w:rPr>
              <w:t>51.7</w:t>
            </w:r>
          </w:p>
        </w:tc>
        <w:tc>
          <w:tcPr>
            <w:tcW w:w="959" w:type="dxa"/>
          </w:tcPr>
          <w:p>
            <w:pPr>
              <w:pStyle w:val="TableParagraph"/>
              <w:spacing w:line="240" w:lineRule="auto" w:before="13"/>
              <w:ind w:left="2" w:right="2"/>
              <w:rPr>
                <w:sz w:val="22"/>
              </w:rPr>
            </w:pPr>
            <w:r>
              <w:rPr>
                <w:spacing w:val="-4"/>
                <w:sz w:val="22"/>
              </w:rPr>
              <w:t>74.7</w:t>
            </w:r>
          </w:p>
        </w:tc>
        <w:tc>
          <w:tcPr>
            <w:tcW w:w="959" w:type="dxa"/>
          </w:tcPr>
          <w:p>
            <w:pPr>
              <w:pStyle w:val="TableParagraph"/>
              <w:spacing w:line="240" w:lineRule="auto" w:before="13"/>
              <w:ind w:left="3" w:right="1"/>
              <w:rPr>
                <w:sz w:val="22"/>
              </w:rPr>
            </w:pPr>
            <w:r>
              <w:rPr>
                <w:spacing w:val="-4"/>
                <w:sz w:val="22"/>
              </w:rPr>
              <w:t>88.5</w:t>
            </w:r>
          </w:p>
        </w:tc>
        <w:tc>
          <w:tcPr>
            <w:tcW w:w="958" w:type="dxa"/>
          </w:tcPr>
          <w:p>
            <w:pPr>
              <w:pStyle w:val="TableParagraph"/>
              <w:spacing w:line="240" w:lineRule="auto" w:before="13"/>
              <w:ind w:left="5" w:right="5"/>
              <w:rPr>
                <w:sz w:val="22"/>
              </w:rPr>
            </w:pPr>
            <w:r>
              <w:rPr>
                <w:spacing w:val="-4"/>
                <w:sz w:val="22"/>
              </w:rPr>
              <w:t>96.6</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left="1" w:right="2"/>
              <w:rPr>
                <w:sz w:val="22"/>
              </w:rPr>
            </w:pPr>
            <w:r>
              <w:rPr>
                <w:spacing w:val="-10"/>
                <w:sz w:val="22"/>
              </w:rPr>
              <w:t>5</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21.6</w:t>
            </w:r>
          </w:p>
        </w:tc>
        <w:tc>
          <w:tcPr>
            <w:tcW w:w="958" w:type="dxa"/>
          </w:tcPr>
          <w:p>
            <w:pPr>
              <w:pStyle w:val="TableParagraph"/>
              <w:spacing w:line="240" w:lineRule="auto" w:before="13"/>
              <w:ind w:left="6" w:right="5"/>
              <w:rPr>
                <w:sz w:val="22"/>
              </w:rPr>
            </w:pPr>
            <w:r>
              <w:rPr>
                <w:spacing w:val="-4"/>
                <w:sz w:val="22"/>
              </w:rPr>
              <w:t>44.6</w:t>
            </w:r>
          </w:p>
        </w:tc>
        <w:tc>
          <w:tcPr>
            <w:tcW w:w="959" w:type="dxa"/>
          </w:tcPr>
          <w:p>
            <w:pPr>
              <w:pStyle w:val="TableParagraph"/>
              <w:spacing w:line="240" w:lineRule="auto" w:before="13"/>
              <w:ind w:left="2" w:right="2"/>
              <w:rPr>
                <w:sz w:val="22"/>
              </w:rPr>
            </w:pPr>
            <w:r>
              <w:rPr>
                <w:spacing w:val="-4"/>
                <w:sz w:val="22"/>
              </w:rPr>
              <w:t>59.5</w:t>
            </w:r>
          </w:p>
        </w:tc>
        <w:tc>
          <w:tcPr>
            <w:tcW w:w="959" w:type="dxa"/>
          </w:tcPr>
          <w:p>
            <w:pPr>
              <w:pStyle w:val="TableParagraph"/>
              <w:spacing w:line="240" w:lineRule="auto" w:before="13"/>
              <w:ind w:left="3" w:right="1"/>
              <w:rPr>
                <w:sz w:val="22"/>
              </w:rPr>
            </w:pPr>
            <w:r>
              <w:rPr>
                <w:spacing w:val="-4"/>
                <w:sz w:val="22"/>
              </w:rPr>
              <w:t>78.4</w:t>
            </w:r>
          </w:p>
        </w:tc>
        <w:tc>
          <w:tcPr>
            <w:tcW w:w="958" w:type="dxa"/>
          </w:tcPr>
          <w:p>
            <w:pPr>
              <w:pStyle w:val="TableParagraph"/>
              <w:spacing w:line="240" w:lineRule="auto" w:before="13"/>
              <w:ind w:left="5" w:right="5"/>
              <w:rPr>
                <w:sz w:val="22"/>
              </w:rPr>
            </w:pPr>
            <w:r>
              <w:rPr>
                <w:spacing w:val="-4"/>
                <w:sz w:val="22"/>
              </w:rPr>
              <w:t>90.5</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left="1" w:right="2"/>
              <w:rPr>
                <w:sz w:val="22"/>
              </w:rPr>
            </w:pPr>
            <w:r>
              <w:rPr>
                <w:spacing w:val="-10"/>
                <w:sz w:val="22"/>
              </w:rPr>
              <w:t>6</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20.6</w:t>
            </w:r>
          </w:p>
        </w:tc>
        <w:tc>
          <w:tcPr>
            <w:tcW w:w="958" w:type="dxa"/>
          </w:tcPr>
          <w:p>
            <w:pPr>
              <w:pStyle w:val="TableParagraph"/>
              <w:spacing w:line="240" w:lineRule="auto" w:before="13"/>
              <w:ind w:left="6" w:right="5"/>
              <w:rPr>
                <w:sz w:val="22"/>
              </w:rPr>
            </w:pPr>
            <w:r>
              <w:rPr>
                <w:spacing w:val="-4"/>
                <w:sz w:val="22"/>
              </w:rPr>
              <w:t>44.4</w:t>
            </w:r>
          </w:p>
        </w:tc>
        <w:tc>
          <w:tcPr>
            <w:tcW w:w="959" w:type="dxa"/>
          </w:tcPr>
          <w:p>
            <w:pPr>
              <w:pStyle w:val="TableParagraph"/>
              <w:spacing w:line="240" w:lineRule="auto" w:before="13"/>
              <w:ind w:left="2" w:right="2"/>
              <w:rPr>
                <w:sz w:val="22"/>
              </w:rPr>
            </w:pPr>
            <w:r>
              <w:rPr>
                <w:spacing w:val="-4"/>
                <w:sz w:val="22"/>
              </w:rPr>
              <w:t>68.3</w:t>
            </w:r>
          </w:p>
        </w:tc>
        <w:tc>
          <w:tcPr>
            <w:tcW w:w="959" w:type="dxa"/>
          </w:tcPr>
          <w:p>
            <w:pPr>
              <w:pStyle w:val="TableParagraph"/>
              <w:spacing w:line="240" w:lineRule="auto" w:before="13"/>
              <w:ind w:left="3" w:right="1"/>
              <w:rPr>
                <w:sz w:val="22"/>
              </w:rPr>
            </w:pPr>
            <w:r>
              <w:rPr>
                <w:spacing w:val="-4"/>
                <w:sz w:val="22"/>
              </w:rPr>
              <w:t>76.2</w:t>
            </w:r>
          </w:p>
        </w:tc>
        <w:tc>
          <w:tcPr>
            <w:tcW w:w="958" w:type="dxa"/>
          </w:tcPr>
          <w:p>
            <w:pPr>
              <w:pStyle w:val="TableParagraph"/>
              <w:spacing w:line="240" w:lineRule="auto" w:before="13"/>
              <w:ind w:left="5" w:right="5"/>
              <w:rPr>
                <w:sz w:val="22"/>
              </w:rPr>
            </w:pPr>
            <w:r>
              <w:rPr>
                <w:spacing w:val="-4"/>
                <w:sz w:val="22"/>
              </w:rPr>
              <w:t>90.5</w:t>
            </w:r>
          </w:p>
        </w:tc>
        <w:tc>
          <w:tcPr>
            <w:tcW w:w="958" w:type="dxa"/>
          </w:tcPr>
          <w:p>
            <w:pPr>
              <w:pStyle w:val="TableParagraph"/>
              <w:spacing w:line="240" w:lineRule="auto" w:before="13"/>
              <w:ind w:left="5" w:right="5"/>
              <w:rPr>
                <w:sz w:val="22"/>
              </w:rPr>
            </w:pPr>
            <w:r>
              <w:rPr>
                <w:spacing w:val="-4"/>
                <w:sz w:val="22"/>
              </w:rPr>
              <w:t>95.2</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left="1" w:right="2"/>
              <w:rPr>
                <w:sz w:val="22"/>
              </w:rPr>
            </w:pPr>
            <w:r>
              <w:rPr>
                <w:spacing w:val="-10"/>
                <w:sz w:val="22"/>
              </w:rPr>
              <w:t>7</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25.0</w:t>
            </w:r>
          </w:p>
        </w:tc>
        <w:tc>
          <w:tcPr>
            <w:tcW w:w="958" w:type="dxa"/>
          </w:tcPr>
          <w:p>
            <w:pPr>
              <w:pStyle w:val="TableParagraph"/>
              <w:spacing w:line="240" w:lineRule="auto" w:before="13"/>
              <w:ind w:left="6" w:right="5"/>
              <w:rPr>
                <w:sz w:val="22"/>
              </w:rPr>
            </w:pPr>
            <w:r>
              <w:rPr>
                <w:spacing w:val="-4"/>
                <w:sz w:val="22"/>
              </w:rPr>
              <w:t>50.0</w:t>
            </w:r>
          </w:p>
        </w:tc>
        <w:tc>
          <w:tcPr>
            <w:tcW w:w="959" w:type="dxa"/>
          </w:tcPr>
          <w:p>
            <w:pPr>
              <w:pStyle w:val="TableParagraph"/>
              <w:spacing w:line="240" w:lineRule="auto" w:before="13"/>
              <w:ind w:left="2" w:right="2"/>
              <w:rPr>
                <w:sz w:val="22"/>
              </w:rPr>
            </w:pPr>
            <w:r>
              <w:rPr>
                <w:spacing w:val="-4"/>
                <w:sz w:val="22"/>
              </w:rPr>
              <w:t>61.5</w:t>
            </w:r>
          </w:p>
        </w:tc>
        <w:tc>
          <w:tcPr>
            <w:tcW w:w="959" w:type="dxa"/>
          </w:tcPr>
          <w:p>
            <w:pPr>
              <w:pStyle w:val="TableParagraph"/>
              <w:spacing w:line="240" w:lineRule="auto" w:before="13"/>
              <w:ind w:left="3" w:right="1"/>
              <w:rPr>
                <w:sz w:val="22"/>
              </w:rPr>
            </w:pPr>
            <w:r>
              <w:rPr>
                <w:spacing w:val="-4"/>
                <w:sz w:val="22"/>
              </w:rPr>
              <w:t>73.1</w:t>
            </w:r>
          </w:p>
        </w:tc>
        <w:tc>
          <w:tcPr>
            <w:tcW w:w="958" w:type="dxa"/>
          </w:tcPr>
          <w:p>
            <w:pPr>
              <w:pStyle w:val="TableParagraph"/>
              <w:spacing w:line="240" w:lineRule="auto" w:before="13"/>
              <w:ind w:left="5" w:right="5"/>
              <w:rPr>
                <w:sz w:val="22"/>
              </w:rPr>
            </w:pPr>
            <w:r>
              <w:rPr>
                <w:spacing w:val="-4"/>
                <w:sz w:val="22"/>
              </w:rPr>
              <w:t>80.8</w:t>
            </w:r>
          </w:p>
        </w:tc>
        <w:tc>
          <w:tcPr>
            <w:tcW w:w="958" w:type="dxa"/>
          </w:tcPr>
          <w:p>
            <w:pPr>
              <w:pStyle w:val="TableParagraph"/>
              <w:spacing w:line="240" w:lineRule="auto" w:before="13"/>
              <w:ind w:left="5" w:right="5"/>
              <w:rPr>
                <w:sz w:val="22"/>
              </w:rPr>
            </w:pPr>
            <w:r>
              <w:rPr>
                <w:spacing w:val="-4"/>
                <w:sz w:val="22"/>
              </w:rPr>
              <w:t>90.4</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left="1" w:right="2"/>
              <w:rPr>
                <w:sz w:val="22"/>
              </w:rPr>
            </w:pPr>
            <w:r>
              <w:rPr>
                <w:spacing w:val="-10"/>
                <w:sz w:val="22"/>
              </w:rPr>
              <w:t>8</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22.4</w:t>
            </w:r>
          </w:p>
        </w:tc>
        <w:tc>
          <w:tcPr>
            <w:tcW w:w="958" w:type="dxa"/>
          </w:tcPr>
          <w:p>
            <w:pPr>
              <w:pStyle w:val="TableParagraph"/>
              <w:spacing w:line="240" w:lineRule="auto" w:before="13"/>
              <w:ind w:left="6" w:right="5"/>
              <w:rPr>
                <w:sz w:val="22"/>
              </w:rPr>
            </w:pPr>
            <w:r>
              <w:rPr>
                <w:spacing w:val="-4"/>
                <w:sz w:val="22"/>
              </w:rPr>
              <w:t>34.3</w:t>
            </w:r>
          </w:p>
        </w:tc>
        <w:tc>
          <w:tcPr>
            <w:tcW w:w="959" w:type="dxa"/>
          </w:tcPr>
          <w:p>
            <w:pPr>
              <w:pStyle w:val="TableParagraph"/>
              <w:spacing w:line="240" w:lineRule="auto" w:before="13"/>
              <w:ind w:left="2" w:right="2"/>
              <w:rPr>
                <w:sz w:val="22"/>
              </w:rPr>
            </w:pPr>
            <w:r>
              <w:rPr>
                <w:spacing w:val="-4"/>
                <w:sz w:val="22"/>
              </w:rPr>
              <w:t>53.7</w:t>
            </w:r>
          </w:p>
        </w:tc>
        <w:tc>
          <w:tcPr>
            <w:tcW w:w="959" w:type="dxa"/>
          </w:tcPr>
          <w:p>
            <w:pPr>
              <w:pStyle w:val="TableParagraph"/>
              <w:spacing w:line="240" w:lineRule="auto" w:before="13"/>
              <w:ind w:left="3" w:right="1"/>
              <w:rPr>
                <w:sz w:val="22"/>
              </w:rPr>
            </w:pPr>
            <w:r>
              <w:rPr>
                <w:spacing w:val="-4"/>
                <w:sz w:val="22"/>
              </w:rPr>
              <w:t>70.1</w:t>
            </w:r>
          </w:p>
        </w:tc>
        <w:tc>
          <w:tcPr>
            <w:tcW w:w="958" w:type="dxa"/>
          </w:tcPr>
          <w:p>
            <w:pPr>
              <w:pStyle w:val="TableParagraph"/>
              <w:spacing w:line="240" w:lineRule="auto" w:before="13"/>
              <w:ind w:left="5" w:right="5"/>
              <w:rPr>
                <w:sz w:val="22"/>
              </w:rPr>
            </w:pPr>
            <w:r>
              <w:rPr>
                <w:spacing w:val="-4"/>
                <w:sz w:val="22"/>
              </w:rPr>
              <w:t>77.6</w:t>
            </w:r>
          </w:p>
        </w:tc>
        <w:tc>
          <w:tcPr>
            <w:tcW w:w="958" w:type="dxa"/>
          </w:tcPr>
          <w:p>
            <w:pPr>
              <w:pStyle w:val="TableParagraph"/>
              <w:spacing w:line="240" w:lineRule="auto" w:before="13"/>
              <w:ind w:left="5" w:right="5"/>
              <w:rPr>
                <w:sz w:val="22"/>
              </w:rPr>
            </w:pPr>
            <w:r>
              <w:rPr>
                <w:spacing w:val="-4"/>
                <w:sz w:val="22"/>
              </w:rPr>
              <w:t>86.6</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left="1" w:right="2"/>
              <w:rPr>
                <w:sz w:val="22"/>
              </w:rPr>
            </w:pPr>
            <w:r>
              <w:rPr>
                <w:spacing w:val="-10"/>
                <w:sz w:val="22"/>
              </w:rPr>
              <w:t>9</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24.5</w:t>
            </w:r>
          </w:p>
        </w:tc>
        <w:tc>
          <w:tcPr>
            <w:tcW w:w="958" w:type="dxa"/>
          </w:tcPr>
          <w:p>
            <w:pPr>
              <w:pStyle w:val="TableParagraph"/>
              <w:spacing w:line="240" w:lineRule="auto" w:before="13"/>
              <w:ind w:left="6" w:right="5"/>
              <w:rPr>
                <w:sz w:val="22"/>
              </w:rPr>
            </w:pPr>
            <w:r>
              <w:rPr>
                <w:spacing w:val="-4"/>
                <w:sz w:val="22"/>
              </w:rPr>
              <w:t>54.7</w:t>
            </w:r>
          </w:p>
        </w:tc>
        <w:tc>
          <w:tcPr>
            <w:tcW w:w="959" w:type="dxa"/>
          </w:tcPr>
          <w:p>
            <w:pPr>
              <w:pStyle w:val="TableParagraph"/>
              <w:spacing w:line="240" w:lineRule="auto" w:before="13"/>
              <w:ind w:left="2" w:right="2"/>
              <w:rPr>
                <w:sz w:val="22"/>
              </w:rPr>
            </w:pPr>
            <w:r>
              <w:rPr>
                <w:spacing w:val="-4"/>
                <w:sz w:val="22"/>
              </w:rPr>
              <w:t>67.9</w:t>
            </w:r>
          </w:p>
        </w:tc>
        <w:tc>
          <w:tcPr>
            <w:tcW w:w="959" w:type="dxa"/>
          </w:tcPr>
          <w:p>
            <w:pPr>
              <w:pStyle w:val="TableParagraph"/>
              <w:spacing w:line="240" w:lineRule="auto" w:before="13"/>
              <w:ind w:left="3" w:right="1"/>
              <w:rPr>
                <w:sz w:val="22"/>
              </w:rPr>
            </w:pPr>
            <w:r>
              <w:rPr>
                <w:spacing w:val="-4"/>
                <w:sz w:val="22"/>
              </w:rPr>
              <w:t>77.4</w:t>
            </w:r>
          </w:p>
        </w:tc>
        <w:tc>
          <w:tcPr>
            <w:tcW w:w="958" w:type="dxa"/>
          </w:tcPr>
          <w:p>
            <w:pPr>
              <w:pStyle w:val="TableParagraph"/>
              <w:spacing w:line="240" w:lineRule="auto" w:before="13"/>
              <w:ind w:left="5" w:right="5"/>
              <w:rPr>
                <w:sz w:val="22"/>
              </w:rPr>
            </w:pPr>
            <w:r>
              <w:rPr>
                <w:spacing w:val="-4"/>
                <w:sz w:val="22"/>
              </w:rPr>
              <w:t>90.6</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10</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14.4</w:t>
            </w:r>
          </w:p>
        </w:tc>
        <w:tc>
          <w:tcPr>
            <w:tcW w:w="958" w:type="dxa"/>
          </w:tcPr>
          <w:p>
            <w:pPr>
              <w:pStyle w:val="TableParagraph"/>
              <w:spacing w:line="240" w:lineRule="auto" w:before="13"/>
              <w:ind w:left="6" w:right="5"/>
              <w:rPr>
                <w:sz w:val="22"/>
              </w:rPr>
            </w:pPr>
            <w:r>
              <w:rPr>
                <w:spacing w:val="-4"/>
                <w:sz w:val="22"/>
              </w:rPr>
              <w:t>33.3</w:t>
            </w:r>
          </w:p>
        </w:tc>
        <w:tc>
          <w:tcPr>
            <w:tcW w:w="959" w:type="dxa"/>
          </w:tcPr>
          <w:p>
            <w:pPr>
              <w:pStyle w:val="TableParagraph"/>
              <w:spacing w:line="240" w:lineRule="auto" w:before="13"/>
              <w:ind w:left="2" w:right="2"/>
              <w:rPr>
                <w:sz w:val="22"/>
              </w:rPr>
            </w:pPr>
            <w:r>
              <w:rPr>
                <w:spacing w:val="-4"/>
                <w:sz w:val="22"/>
              </w:rPr>
              <w:t>54.4</w:t>
            </w:r>
          </w:p>
        </w:tc>
        <w:tc>
          <w:tcPr>
            <w:tcW w:w="959" w:type="dxa"/>
          </w:tcPr>
          <w:p>
            <w:pPr>
              <w:pStyle w:val="TableParagraph"/>
              <w:spacing w:line="240" w:lineRule="auto" w:before="13"/>
              <w:ind w:left="3" w:right="1"/>
              <w:rPr>
                <w:sz w:val="22"/>
              </w:rPr>
            </w:pPr>
            <w:r>
              <w:rPr>
                <w:spacing w:val="-4"/>
                <w:sz w:val="22"/>
              </w:rPr>
              <w:t>74.4</w:t>
            </w:r>
          </w:p>
        </w:tc>
        <w:tc>
          <w:tcPr>
            <w:tcW w:w="958" w:type="dxa"/>
          </w:tcPr>
          <w:p>
            <w:pPr>
              <w:pStyle w:val="TableParagraph"/>
              <w:spacing w:line="240" w:lineRule="auto" w:before="13"/>
              <w:ind w:left="5" w:right="5"/>
              <w:rPr>
                <w:sz w:val="22"/>
              </w:rPr>
            </w:pPr>
            <w:r>
              <w:rPr>
                <w:spacing w:val="-4"/>
                <w:sz w:val="22"/>
              </w:rPr>
              <w:t>86.7</w:t>
            </w:r>
          </w:p>
        </w:tc>
        <w:tc>
          <w:tcPr>
            <w:tcW w:w="958" w:type="dxa"/>
          </w:tcPr>
          <w:p>
            <w:pPr>
              <w:pStyle w:val="TableParagraph"/>
              <w:spacing w:line="240" w:lineRule="auto" w:before="13"/>
              <w:ind w:left="5" w:right="5"/>
              <w:rPr>
                <w:sz w:val="22"/>
              </w:rPr>
            </w:pPr>
            <w:r>
              <w:rPr>
                <w:spacing w:val="-4"/>
                <w:sz w:val="22"/>
              </w:rPr>
              <w:t>94.4</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11</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23.9</w:t>
            </w:r>
          </w:p>
        </w:tc>
        <w:tc>
          <w:tcPr>
            <w:tcW w:w="958" w:type="dxa"/>
          </w:tcPr>
          <w:p>
            <w:pPr>
              <w:pStyle w:val="TableParagraph"/>
              <w:spacing w:line="240" w:lineRule="auto" w:before="13"/>
              <w:ind w:left="6" w:right="5"/>
              <w:rPr>
                <w:sz w:val="22"/>
              </w:rPr>
            </w:pPr>
            <w:r>
              <w:rPr>
                <w:spacing w:val="-4"/>
                <w:sz w:val="22"/>
              </w:rPr>
              <w:t>50.7</w:t>
            </w:r>
          </w:p>
        </w:tc>
        <w:tc>
          <w:tcPr>
            <w:tcW w:w="959" w:type="dxa"/>
          </w:tcPr>
          <w:p>
            <w:pPr>
              <w:pStyle w:val="TableParagraph"/>
              <w:spacing w:line="240" w:lineRule="auto" w:before="13"/>
              <w:ind w:left="2" w:right="2"/>
              <w:rPr>
                <w:sz w:val="22"/>
              </w:rPr>
            </w:pPr>
            <w:r>
              <w:rPr>
                <w:spacing w:val="-4"/>
                <w:sz w:val="22"/>
              </w:rPr>
              <w:t>70.1</w:t>
            </w:r>
          </w:p>
        </w:tc>
        <w:tc>
          <w:tcPr>
            <w:tcW w:w="959" w:type="dxa"/>
          </w:tcPr>
          <w:p>
            <w:pPr>
              <w:pStyle w:val="TableParagraph"/>
              <w:spacing w:line="240" w:lineRule="auto" w:before="13"/>
              <w:ind w:left="3" w:right="1"/>
              <w:rPr>
                <w:sz w:val="22"/>
              </w:rPr>
            </w:pPr>
            <w:r>
              <w:rPr>
                <w:spacing w:val="-4"/>
                <w:sz w:val="22"/>
              </w:rPr>
              <w:t>77.6</w:t>
            </w:r>
          </w:p>
        </w:tc>
        <w:tc>
          <w:tcPr>
            <w:tcW w:w="958" w:type="dxa"/>
          </w:tcPr>
          <w:p>
            <w:pPr>
              <w:pStyle w:val="TableParagraph"/>
              <w:spacing w:line="240" w:lineRule="auto" w:before="13"/>
              <w:ind w:left="5" w:right="5"/>
              <w:rPr>
                <w:sz w:val="22"/>
              </w:rPr>
            </w:pPr>
            <w:r>
              <w:rPr>
                <w:spacing w:val="-4"/>
                <w:sz w:val="22"/>
              </w:rPr>
              <w:t>91.0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12</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27.5</w:t>
            </w:r>
          </w:p>
        </w:tc>
        <w:tc>
          <w:tcPr>
            <w:tcW w:w="958" w:type="dxa"/>
          </w:tcPr>
          <w:p>
            <w:pPr>
              <w:pStyle w:val="TableParagraph"/>
              <w:spacing w:line="240" w:lineRule="auto" w:before="13"/>
              <w:ind w:left="6" w:right="5"/>
              <w:rPr>
                <w:sz w:val="22"/>
              </w:rPr>
            </w:pPr>
            <w:r>
              <w:rPr>
                <w:spacing w:val="-4"/>
                <w:sz w:val="22"/>
              </w:rPr>
              <w:t>56.5</w:t>
            </w:r>
          </w:p>
        </w:tc>
        <w:tc>
          <w:tcPr>
            <w:tcW w:w="959" w:type="dxa"/>
          </w:tcPr>
          <w:p>
            <w:pPr>
              <w:pStyle w:val="TableParagraph"/>
              <w:spacing w:line="240" w:lineRule="auto" w:before="13"/>
              <w:ind w:left="2" w:right="2"/>
              <w:rPr>
                <w:sz w:val="22"/>
              </w:rPr>
            </w:pPr>
            <w:r>
              <w:rPr>
                <w:spacing w:val="-4"/>
                <w:sz w:val="22"/>
              </w:rPr>
              <w:t>71.0</w:t>
            </w:r>
          </w:p>
        </w:tc>
        <w:tc>
          <w:tcPr>
            <w:tcW w:w="959" w:type="dxa"/>
          </w:tcPr>
          <w:p>
            <w:pPr>
              <w:pStyle w:val="TableParagraph"/>
              <w:spacing w:line="240" w:lineRule="auto" w:before="13"/>
              <w:ind w:left="3" w:right="1"/>
              <w:rPr>
                <w:sz w:val="22"/>
              </w:rPr>
            </w:pPr>
            <w:r>
              <w:rPr>
                <w:spacing w:val="-4"/>
                <w:sz w:val="22"/>
              </w:rPr>
              <w:t>78.3</w:t>
            </w:r>
          </w:p>
        </w:tc>
        <w:tc>
          <w:tcPr>
            <w:tcW w:w="958" w:type="dxa"/>
          </w:tcPr>
          <w:p>
            <w:pPr>
              <w:pStyle w:val="TableParagraph"/>
              <w:spacing w:line="240" w:lineRule="auto" w:before="13"/>
              <w:ind w:left="5" w:right="5"/>
              <w:rPr>
                <w:sz w:val="22"/>
              </w:rPr>
            </w:pPr>
            <w:r>
              <w:rPr>
                <w:spacing w:val="-4"/>
                <w:sz w:val="22"/>
              </w:rPr>
              <w:t>91.3</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right="2"/>
              <w:rPr>
                <w:sz w:val="22"/>
              </w:rPr>
            </w:pPr>
            <w:r>
              <w:rPr>
                <w:spacing w:val="-5"/>
                <w:sz w:val="22"/>
              </w:rPr>
              <w:t>13</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58.6</w:t>
            </w:r>
          </w:p>
        </w:tc>
        <w:tc>
          <w:tcPr>
            <w:tcW w:w="958" w:type="dxa"/>
          </w:tcPr>
          <w:p>
            <w:pPr>
              <w:pStyle w:val="TableParagraph"/>
              <w:spacing w:line="240" w:lineRule="auto" w:before="13"/>
              <w:ind w:left="6" w:right="5"/>
              <w:rPr>
                <w:sz w:val="22"/>
              </w:rPr>
            </w:pPr>
            <w:r>
              <w:rPr>
                <w:spacing w:val="-4"/>
                <w:sz w:val="22"/>
              </w:rPr>
              <w:t>74.3</w:t>
            </w:r>
          </w:p>
        </w:tc>
        <w:tc>
          <w:tcPr>
            <w:tcW w:w="959" w:type="dxa"/>
          </w:tcPr>
          <w:p>
            <w:pPr>
              <w:pStyle w:val="TableParagraph"/>
              <w:spacing w:line="240" w:lineRule="auto" w:before="13"/>
              <w:ind w:left="2" w:right="2"/>
              <w:rPr>
                <w:sz w:val="22"/>
              </w:rPr>
            </w:pPr>
            <w:r>
              <w:rPr>
                <w:spacing w:val="-4"/>
                <w:sz w:val="22"/>
              </w:rPr>
              <w:t>92.9</w:t>
            </w:r>
          </w:p>
        </w:tc>
        <w:tc>
          <w:tcPr>
            <w:tcW w:w="959" w:type="dxa"/>
          </w:tcPr>
          <w:p>
            <w:pPr>
              <w:pStyle w:val="TableParagraph"/>
              <w:spacing w:line="240" w:lineRule="auto" w:before="13"/>
              <w:ind w:left="3" w:right="1"/>
              <w:rPr>
                <w:sz w:val="22"/>
              </w:rPr>
            </w:pPr>
            <w:r>
              <w:rPr>
                <w:spacing w:val="-2"/>
                <w:sz w:val="22"/>
              </w:rPr>
              <w:t>100.0</w:t>
            </w:r>
          </w:p>
        </w:tc>
        <w:tc>
          <w:tcPr>
            <w:tcW w:w="958" w:type="dxa"/>
          </w:tcPr>
          <w:p>
            <w:pPr>
              <w:pStyle w:val="TableParagraph"/>
              <w:spacing w:line="240" w:lineRule="auto" w:before="13"/>
              <w:ind w:left="5" w:right="5"/>
              <w:rPr>
                <w:sz w:val="22"/>
              </w:rPr>
            </w:pPr>
            <w:r>
              <w:rPr>
                <w:spacing w:val="-4"/>
                <w:sz w:val="22"/>
              </w:rPr>
              <w:t>98.6</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14</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40.5</w:t>
            </w:r>
          </w:p>
        </w:tc>
        <w:tc>
          <w:tcPr>
            <w:tcW w:w="958" w:type="dxa"/>
          </w:tcPr>
          <w:p>
            <w:pPr>
              <w:pStyle w:val="TableParagraph"/>
              <w:spacing w:line="240" w:lineRule="auto" w:before="13"/>
              <w:ind w:left="6" w:right="5"/>
              <w:rPr>
                <w:sz w:val="22"/>
              </w:rPr>
            </w:pPr>
            <w:r>
              <w:rPr>
                <w:spacing w:val="-4"/>
                <w:sz w:val="22"/>
              </w:rPr>
              <w:t>59.5</w:t>
            </w:r>
          </w:p>
        </w:tc>
        <w:tc>
          <w:tcPr>
            <w:tcW w:w="959" w:type="dxa"/>
          </w:tcPr>
          <w:p>
            <w:pPr>
              <w:pStyle w:val="TableParagraph"/>
              <w:spacing w:line="240" w:lineRule="auto" w:before="13"/>
              <w:ind w:left="2" w:right="2"/>
              <w:rPr>
                <w:sz w:val="22"/>
              </w:rPr>
            </w:pPr>
            <w:r>
              <w:rPr>
                <w:spacing w:val="-4"/>
                <w:sz w:val="22"/>
              </w:rPr>
              <w:t>81.0</w:t>
            </w:r>
          </w:p>
        </w:tc>
        <w:tc>
          <w:tcPr>
            <w:tcW w:w="959" w:type="dxa"/>
          </w:tcPr>
          <w:p>
            <w:pPr>
              <w:pStyle w:val="TableParagraph"/>
              <w:spacing w:line="240" w:lineRule="auto" w:before="13"/>
              <w:ind w:left="3" w:right="1"/>
              <w:rPr>
                <w:sz w:val="22"/>
              </w:rPr>
            </w:pPr>
            <w:r>
              <w:rPr>
                <w:spacing w:val="-4"/>
                <w:sz w:val="22"/>
              </w:rPr>
              <w:t>95.2</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15</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59.8</w:t>
            </w:r>
          </w:p>
        </w:tc>
        <w:tc>
          <w:tcPr>
            <w:tcW w:w="958" w:type="dxa"/>
          </w:tcPr>
          <w:p>
            <w:pPr>
              <w:pStyle w:val="TableParagraph"/>
              <w:spacing w:line="240" w:lineRule="auto" w:before="13"/>
              <w:ind w:left="6" w:right="5"/>
              <w:rPr>
                <w:sz w:val="22"/>
              </w:rPr>
            </w:pPr>
            <w:r>
              <w:rPr>
                <w:spacing w:val="-4"/>
                <w:sz w:val="22"/>
              </w:rPr>
              <w:t>78.2</w:t>
            </w:r>
          </w:p>
        </w:tc>
        <w:tc>
          <w:tcPr>
            <w:tcW w:w="959" w:type="dxa"/>
          </w:tcPr>
          <w:p>
            <w:pPr>
              <w:pStyle w:val="TableParagraph"/>
              <w:spacing w:line="240" w:lineRule="auto" w:before="13"/>
              <w:ind w:left="2" w:right="2"/>
              <w:rPr>
                <w:sz w:val="22"/>
              </w:rPr>
            </w:pPr>
            <w:r>
              <w:rPr>
                <w:spacing w:val="-4"/>
                <w:sz w:val="22"/>
              </w:rPr>
              <w:t>92.0</w:t>
            </w:r>
          </w:p>
        </w:tc>
        <w:tc>
          <w:tcPr>
            <w:tcW w:w="959" w:type="dxa"/>
          </w:tcPr>
          <w:p>
            <w:pPr>
              <w:pStyle w:val="TableParagraph"/>
              <w:spacing w:line="240" w:lineRule="auto" w:before="13"/>
              <w:ind w:left="3" w:right="1"/>
              <w:rPr>
                <w:sz w:val="22"/>
              </w:rPr>
            </w:pPr>
            <w:r>
              <w:rPr>
                <w:spacing w:val="-4"/>
                <w:sz w:val="22"/>
              </w:rPr>
              <w:t>98.9</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right="2"/>
              <w:rPr>
                <w:sz w:val="22"/>
              </w:rPr>
            </w:pPr>
            <w:r>
              <w:rPr>
                <w:spacing w:val="-5"/>
                <w:sz w:val="22"/>
              </w:rPr>
              <w:t>16</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31.4</w:t>
            </w:r>
          </w:p>
        </w:tc>
        <w:tc>
          <w:tcPr>
            <w:tcW w:w="958" w:type="dxa"/>
          </w:tcPr>
          <w:p>
            <w:pPr>
              <w:pStyle w:val="TableParagraph"/>
              <w:spacing w:line="240" w:lineRule="auto" w:before="13"/>
              <w:ind w:left="6" w:right="5"/>
              <w:rPr>
                <w:sz w:val="22"/>
              </w:rPr>
            </w:pPr>
            <w:r>
              <w:rPr>
                <w:spacing w:val="-4"/>
                <w:sz w:val="22"/>
              </w:rPr>
              <w:t>68.6</w:t>
            </w:r>
          </w:p>
        </w:tc>
        <w:tc>
          <w:tcPr>
            <w:tcW w:w="959" w:type="dxa"/>
          </w:tcPr>
          <w:p>
            <w:pPr>
              <w:pStyle w:val="TableParagraph"/>
              <w:spacing w:line="240" w:lineRule="auto" w:before="13"/>
              <w:ind w:left="2" w:right="2"/>
              <w:rPr>
                <w:sz w:val="22"/>
              </w:rPr>
            </w:pPr>
            <w:r>
              <w:rPr>
                <w:spacing w:val="-4"/>
                <w:sz w:val="22"/>
              </w:rPr>
              <w:t>85.7</w:t>
            </w:r>
          </w:p>
        </w:tc>
        <w:tc>
          <w:tcPr>
            <w:tcW w:w="959" w:type="dxa"/>
          </w:tcPr>
          <w:p>
            <w:pPr>
              <w:pStyle w:val="TableParagraph"/>
              <w:spacing w:line="240" w:lineRule="auto" w:before="13"/>
              <w:ind w:left="3" w:right="1"/>
              <w:rPr>
                <w:sz w:val="22"/>
              </w:rPr>
            </w:pPr>
            <w:r>
              <w:rPr>
                <w:spacing w:val="-4"/>
                <w:sz w:val="22"/>
              </w:rPr>
              <w:t>94.3</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right="2"/>
              <w:rPr>
                <w:sz w:val="22"/>
              </w:rPr>
            </w:pPr>
            <w:r>
              <w:rPr>
                <w:spacing w:val="-5"/>
                <w:sz w:val="22"/>
              </w:rPr>
              <w:t>17</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44.9</w:t>
            </w:r>
          </w:p>
        </w:tc>
        <w:tc>
          <w:tcPr>
            <w:tcW w:w="958" w:type="dxa"/>
          </w:tcPr>
          <w:p>
            <w:pPr>
              <w:pStyle w:val="TableParagraph"/>
              <w:spacing w:line="240" w:lineRule="auto" w:before="13"/>
              <w:ind w:left="6" w:right="5"/>
              <w:rPr>
                <w:sz w:val="22"/>
              </w:rPr>
            </w:pPr>
            <w:r>
              <w:rPr>
                <w:spacing w:val="-4"/>
                <w:sz w:val="22"/>
              </w:rPr>
              <w:t>69.4</w:t>
            </w:r>
          </w:p>
        </w:tc>
        <w:tc>
          <w:tcPr>
            <w:tcW w:w="959" w:type="dxa"/>
          </w:tcPr>
          <w:p>
            <w:pPr>
              <w:pStyle w:val="TableParagraph"/>
              <w:spacing w:line="240" w:lineRule="auto" w:before="13"/>
              <w:ind w:left="2" w:right="2"/>
              <w:rPr>
                <w:sz w:val="22"/>
              </w:rPr>
            </w:pPr>
            <w:r>
              <w:rPr>
                <w:spacing w:val="-4"/>
                <w:sz w:val="22"/>
              </w:rPr>
              <w:t>77.6</w:t>
            </w:r>
          </w:p>
        </w:tc>
        <w:tc>
          <w:tcPr>
            <w:tcW w:w="959" w:type="dxa"/>
          </w:tcPr>
          <w:p>
            <w:pPr>
              <w:pStyle w:val="TableParagraph"/>
              <w:spacing w:line="240" w:lineRule="auto" w:before="13"/>
              <w:ind w:left="3" w:right="1"/>
              <w:rPr>
                <w:sz w:val="22"/>
              </w:rPr>
            </w:pPr>
            <w:r>
              <w:rPr>
                <w:spacing w:val="-4"/>
                <w:sz w:val="22"/>
              </w:rPr>
              <w:t>89.8</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18</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44.4</w:t>
            </w:r>
          </w:p>
        </w:tc>
        <w:tc>
          <w:tcPr>
            <w:tcW w:w="958" w:type="dxa"/>
          </w:tcPr>
          <w:p>
            <w:pPr>
              <w:pStyle w:val="TableParagraph"/>
              <w:spacing w:line="240" w:lineRule="auto" w:before="13"/>
              <w:ind w:left="6" w:right="5"/>
              <w:rPr>
                <w:sz w:val="22"/>
              </w:rPr>
            </w:pPr>
            <w:r>
              <w:rPr>
                <w:spacing w:val="-4"/>
                <w:sz w:val="22"/>
              </w:rPr>
              <w:t>66.7</w:t>
            </w:r>
          </w:p>
        </w:tc>
        <w:tc>
          <w:tcPr>
            <w:tcW w:w="959" w:type="dxa"/>
          </w:tcPr>
          <w:p>
            <w:pPr>
              <w:pStyle w:val="TableParagraph"/>
              <w:spacing w:line="240" w:lineRule="auto" w:before="13"/>
              <w:ind w:left="2" w:right="2"/>
              <w:rPr>
                <w:sz w:val="22"/>
              </w:rPr>
            </w:pPr>
            <w:r>
              <w:rPr>
                <w:spacing w:val="-4"/>
                <w:sz w:val="22"/>
              </w:rPr>
              <w:t>83.3</w:t>
            </w:r>
          </w:p>
        </w:tc>
        <w:tc>
          <w:tcPr>
            <w:tcW w:w="959" w:type="dxa"/>
          </w:tcPr>
          <w:p>
            <w:pPr>
              <w:pStyle w:val="TableParagraph"/>
              <w:spacing w:line="240" w:lineRule="auto" w:before="13"/>
              <w:ind w:left="3" w:right="1"/>
              <w:rPr>
                <w:sz w:val="22"/>
              </w:rPr>
            </w:pPr>
            <w:r>
              <w:rPr>
                <w:spacing w:val="-4"/>
                <w:sz w:val="22"/>
              </w:rPr>
              <w:t>97.2</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19</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21.1</w:t>
            </w:r>
          </w:p>
        </w:tc>
        <w:tc>
          <w:tcPr>
            <w:tcW w:w="958" w:type="dxa"/>
          </w:tcPr>
          <w:p>
            <w:pPr>
              <w:pStyle w:val="TableParagraph"/>
              <w:spacing w:line="240" w:lineRule="auto" w:before="13"/>
              <w:ind w:left="6" w:right="5"/>
              <w:rPr>
                <w:sz w:val="22"/>
              </w:rPr>
            </w:pPr>
            <w:r>
              <w:rPr>
                <w:spacing w:val="-4"/>
                <w:sz w:val="22"/>
              </w:rPr>
              <w:t>57.9</w:t>
            </w:r>
          </w:p>
        </w:tc>
        <w:tc>
          <w:tcPr>
            <w:tcW w:w="959" w:type="dxa"/>
          </w:tcPr>
          <w:p>
            <w:pPr>
              <w:pStyle w:val="TableParagraph"/>
              <w:spacing w:line="240" w:lineRule="auto" w:before="13"/>
              <w:ind w:left="2" w:right="2"/>
              <w:rPr>
                <w:sz w:val="22"/>
              </w:rPr>
            </w:pPr>
            <w:r>
              <w:rPr>
                <w:spacing w:val="-4"/>
                <w:sz w:val="22"/>
              </w:rPr>
              <w:t>78.9</w:t>
            </w:r>
          </w:p>
        </w:tc>
        <w:tc>
          <w:tcPr>
            <w:tcW w:w="959" w:type="dxa"/>
          </w:tcPr>
          <w:p>
            <w:pPr>
              <w:pStyle w:val="TableParagraph"/>
              <w:spacing w:line="240" w:lineRule="auto" w:before="13"/>
              <w:ind w:left="3" w:right="1"/>
              <w:rPr>
                <w:sz w:val="22"/>
              </w:rPr>
            </w:pPr>
            <w:r>
              <w:rPr>
                <w:spacing w:val="-4"/>
                <w:sz w:val="22"/>
              </w:rPr>
              <w:t>93.4</w:t>
            </w:r>
          </w:p>
        </w:tc>
        <w:tc>
          <w:tcPr>
            <w:tcW w:w="958" w:type="dxa"/>
          </w:tcPr>
          <w:p>
            <w:pPr>
              <w:pStyle w:val="TableParagraph"/>
              <w:spacing w:line="240" w:lineRule="auto" w:before="13"/>
              <w:ind w:left="5" w:right="5"/>
              <w:rPr>
                <w:sz w:val="22"/>
              </w:rPr>
            </w:pPr>
            <w:r>
              <w:rPr>
                <w:spacing w:val="-4"/>
                <w:sz w:val="22"/>
              </w:rPr>
              <w:t>98.7</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73" w:hRule="atLeast"/>
        </w:trPr>
        <w:tc>
          <w:tcPr>
            <w:tcW w:w="1395" w:type="dxa"/>
            <w:tcBorders>
              <w:bottom w:val="single" w:sz="4" w:space="0" w:color="000000"/>
            </w:tcBorders>
          </w:tcPr>
          <w:p>
            <w:pPr>
              <w:pStyle w:val="TableParagraph"/>
              <w:spacing w:line="240" w:lineRule="exact" w:before="13"/>
              <w:ind w:right="2"/>
              <w:rPr>
                <w:sz w:val="22"/>
              </w:rPr>
            </w:pPr>
            <w:r>
              <w:rPr>
                <w:spacing w:val="-5"/>
                <w:sz w:val="22"/>
              </w:rPr>
              <w:t>20</w:t>
            </w:r>
          </w:p>
        </w:tc>
        <w:tc>
          <w:tcPr>
            <w:tcW w:w="1076" w:type="dxa"/>
            <w:tcBorders>
              <w:bottom w:val="single" w:sz="4" w:space="0" w:color="000000"/>
            </w:tcBorders>
          </w:tcPr>
          <w:p>
            <w:pPr>
              <w:pStyle w:val="TableParagraph"/>
              <w:spacing w:line="240" w:lineRule="exact" w:before="13"/>
              <w:ind w:right="31"/>
              <w:rPr>
                <w:sz w:val="22"/>
              </w:rPr>
            </w:pPr>
            <w:r>
              <w:rPr>
                <w:spacing w:val="-5"/>
                <w:sz w:val="22"/>
              </w:rPr>
              <w:t>0.0</w:t>
            </w:r>
          </w:p>
        </w:tc>
        <w:tc>
          <w:tcPr>
            <w:tcW w:w="944" w:type="dxa"/>
            <w:tcBorders>
              <w:bottom w:val="single" w:sz="4" w:space="0" w:color="000000"/>
            </w:tcBorders>
          </w:tcPr>
          <w:p>
            <w:pPr>
              <w:pStyle w:val="TableParagraph"/>
              <w:spacing w:line="240" w:lineRule="exact" w:before="13"/>
              <w:ind w:right="10"/>
              <w:rPr>
                <w:sz w:val="22"/>
              </w:rPr>
            </w:pPr>
            <w:r>
              <w:rPr>
                <w:spacing w:val="-4"/>
                <w:sz w:val="22"/>
              </w:rPr>
              <w:t>46.0</w:t>
            </w:r>
          </w:p>
        </w:tc>
        <w:tc>
          <w:tcPr>
            <w:tcW w:w="958" w:type="dxa"/>
            <w:tcBorders>
              <w:bottom w:val="single" w:sz="4" w:space="0" w:color="000000"/>
            </w:tcBorders>
          </w:tcPr>
          <w:p>
            <w:pPr>
              <w:pStyle w:val="TableParagraph"/>
              <w:spacing w:line="240" w:lineRule="exact" w:before="13"/>
              <w:ind w:left="6" w:right="5"/>
              <w:rPr>
                <w:sz w:val="22"/>
              </w:rPr>
            </w:pPr>
            <w:r>
              <w:rPr>
                <w:spacing w:val="-4"/>
                <w:sz w:val="22"/>
              </w:rPr>
              <w:t>86.0</w:t>
            </w:r>
          </w:p>
        </w:tc>
        <w:tc>
          <w:tcPr>
            <w:tcW w:w="959" w:type="dxa"/>
            <w:tcBorders>
              <w:bottom w:val="single" w:sz="4" w:space="0" w:color="000000"/>
            </w:tcBorders>
          </w:tcPr>
          <w:p>
            <w:pPr>
              <w:pStyle w:val="TableParagraph"/>
              <w:spacing w:line="240" w:lineRule="exact" w:before="13"/>
              <w:ind w:left="2" w:right="2"/>
              <w:rPr>
                <w:sz w:val="22"/>
              </w:rPr>
            </w:pPr>
            <w:r>
              <w:rPr>
                <w:spacing w:val="-4"/>
                <w:sz w:val="22"/>
              </w:rPr>
              <w:t>86.0</w:t>
            </w:r>
          </w:p>
        </w:tc>
        <w:tc>
          <w:tcPr>
            <w:tcW w:w="959" w:type="dxa"/>
            <w:tcBorders>
              <w:bottom w:val="single" w:sz="4" w:space="0" w:color="000000"/>
            </w:tcBorders>
          </w:tcPr>
          <w:p>
            <w:pPr>
              <w:pStyle w:val="TableParagraph"/>
              <w:spacing w:line="240" w:lineRule="exact" w:before="13"/>
              <w:ind w:left="3" w:right="1"/>
              <w:rPr>
                <w:sz w:val="22"/>
              </w:rPr>
            </w:pPr>
            <w:r>
              <w:rPr>
                <w:spacing w:val="-4"/>
                <w:sz w:val="22"/>
              </w:rPr>
              <w:t>94.0</w:t>
            </w:r>
          </w:p>
        </w:tc>
        <w:tc>
          <w:tcPr>
            <w:tcW w:w="958" w:type="dxa"/>
            <w:tcBorders>
              <w:bottom w:val="single" w:sz="4" w:space="0" w:color="000000"/>
            </w:tcBorders>
          </w:tcPr>
          <w:p>
            <w:pPr>
              <w:pStyle w:val="TableParagraph"/>
              <w:spacing w:line="240" w:lineRule="exact" w:before="13"/>
              <w:ind w:left="5" w:right="5"/>
              <w:rPr>
                <w:sz w:val="22"/>
              </w:rPr>
            </w:pPr>
            <w:r>
              <w:rPr>
                <w:spacing w:val="-4"/>
                <w:sz w:val="22"/>
              </w:rPr>
              <w:t>99.0</w:t>
            </w:r>
          </w:p>
        </w:tc>
        <w:tc>
          <w:tcPr>
            <w:tcW w:w="958" w:type="dxa"/>
            <w:tcBorders>
              <w:bottom w:val="single" w:sz="4" w:space="0" w:color="000000"/>
            </w:tcBorders>
          </w:tcPr>
          <w:p>
            <w:pPr>
              <w:pStyle w:val="TableParagraph"/>
              <w:spacing w:line="240" w:lineRule="exact" w:before="13"/>
              <w:ind w:left="5" w:right="5"/>
              <w:rPr>
                <w:sz w:val="22"/>
              </w:rPr>
            </w:pPr>
            <w:r>
              <w:rPr>
                <w:spacing w:val="-2"/>
                <w:sz w:val="22"/>
              </w:rPr>
              <w:t>100.0</w:t>
            </w:r>
          </w:p>
        </w:tc>
        <w:tc>
          <w:tcPr>
            <w:tcW w:w="958" w:type="dxa"/>
            <w:tcBorders>
              <w:bottom w:val="single" w:sz="4" w:space="0" w:color="000000"/>
            </w:tcBorders>
          </w:tcPr>
          <w:p>
            <w:pPr>
              <w:pStyle w:val="TableParagraph"/>
              <w:spacing w:line="240" w:lineRule="exact" w:before="13"/>
              <w:ind w:left="5" w:right="5"/>
              <w:rPr>
                <w:sz w:val="22"/>
              </w:rPr>
            </w:pPr>
            <w:r>
              <w:rPr>
                <w:spacing w:val="-2"/>
                <w:sz w:val="22"/>
              </w:rPr>
              <w:t>100.0</w:t>
            </w:r>
          </w:p>
        </w:tc>
      </w:tr>
    </w:tbl>
    <w:p>
      <w:pPr>
        <w:pStyle w:val="BodyText"/>
        <w:spacing w:before="8"/>
        <w:ind w:left="260"/>
      </w:pPr>
      <w:r>
        <w:rPr/>
        <w:t>Key: A</w:t>
      </w:r>
      <w:r>
        <w:rPr>
          <w:spacing w:val="-1"/>
        </w:rPr>
        <w:t> </w:t>
      </w:r>
      <w:r>
        <w:rPr/>
        <w:t>is</w:t>
      </w:r>
      <w:r>
        <w:rPr>
          <w:spacing w:val="-1"/>
        </w:rPr>
        <w:t> </w:t>
      </w:r>
      <w:r>
        <w:rPr/>
        <w:t>control,</w:t>
      </w:r>
      <w:r>
        <w:rPr>
          <w:spacing w:val="-1"/>
        </w:rPr>
        <w:t> </w:t>
      </w:r>
      <w:r>
        <w:rPr/>
        <w:t>B</w:t>
      </w:r>
      <w:r>
        <w:rPr>
          <w:spacing w:val="-3"/>
        </w:rPr>
        <w:t> </w:t>
      </w:r>
      <w:r>
        <w:rPr/>
        <w:t>to</w:t>
      </w:r>
      <w:r>
        <w:rPr>
          <w:spacing w:val="-1"/>
        </w:rPr>
        <w:t> </w:t>
      </w:r>
      <w:r>
        <w:rPr/>
        <w:t>H</w:t>
      </w:r>
      <w:r>
        <w:rPr>
          <w:spacing w:val="1"/>
        </w:rPr>
        <w:t> </w:t>
      </w:r>
      <w:r>
        <w:rPr/>
        <w:t>represent</w:t>
      </w:r>
      <w:r>
        <w:rPr>
          <w:spacing w:val="-1"/>
        </w:rPr>
        <w:t> </w:t>
      </w:r>
      <w:r>
        <w:rPr/>
        <w:t>concentration</w:t>
      </w:r>
      <w:r>
        <w:rPr>
          <w:spacing w:val="1"/>
        </w:rPr>
        <w:t> </w:t>
      </w:r>
      <w:r>
        <w:rPr/>
        <w:t>of</w:t>
      </w:r>
      <w:r>
        <w:rPr>
          <w:spacing w:val="-2"/>
        </w:rPr>
        <w:t> </w:t>
      </w:r>
      <w:r>
        <w:rPr/>
        <w:t>test</w:t>
      </w:r>
      <w:r>
        <w:rPr>
          <w:spacing w:val="-1"/>
        </w:rPr>
        <w:t> </w:t>
      </w:r>
      <w:r>
        <w:rPr>
          <w:spacing w:val="-4"/>
        </w:rPr>
        <w:t>drug</w:t>
      </w:r>
    </w:p>
    <w:p>
      <w:pPr>
        <w:spacing w:after="0"/>
        <w:sectPr>
          <w:pgSz w:w="11910" w:h="16840"/>
          <w:pgMar w:header="0" w:footer="1254" w:top="1340" w:bottom="1440" w:left="1180" w:right="580"/>
        </w:sectPr>
      </w:pPr>
    </w:p>
    <w:p>
      <w:pPr>
        <w:pStyle w:val="BodyText"/>
        <w:spacing w:line="362" w:lineRule="auto" w:before="76"/>
        <w:ind w:left="260" w:right="855"/>
        <w:rPr>
          <w:rFonts w:ascii="Calibri" w:hAnsi="Calibri"/>
          <w:sz w:val="22"/>
        </w:rPr>
      </w:pPr>
      <w:r>
        <w:rPr/>
        <w:t>Table</w:t>
      </w:r>
      <w:r>
        <w:rPr>
          <w:spacing w:val="40"/>
        </w:rPr>
        <w:t> </w:t>
      </w:r>
      <w:r>
        <w:rPr/>
        <w:t>4.6:</w:t>
      </w:r>
      <w:r>
        <w:rPr>
          <w:spacing w:val="40"/>
        </w:rPr>
        <w:t> </w:t>
      </w:r>
      <w:r>
        <w:rPr/>
        <w:t>Degree</w:t>
      </w:r>
      <w:r>
        <w:rPr>
          <w:spacing w:val="40"/>
        </w:rPr>
        <w:t> </w:t>
      </w:r>
      <w:r>
        <w:rPr/>
        <w:t>of</w:t>
      </w:r>
      <w:r>
        <w:rPr>
          <w:spacing w:val="40"/>
        </w:rPr>
        <w:t> </w:t>
      </w:r>
      <w:r>
        <w:rPr/>
        <w:t>Artesunate-Amodiaquine</w:t>
      </w:r>
      <w:r>
        <w:rPr>
          <w:spacing w:val="40"/>
        </w:rPr>
        <w:t> </w:t>
      </w:r>
      <w:r>
        <w:rPr/>
        <w:t>inhibition</w:t>
      </w:r>
      <w:r>
        <w:rPr>
          <w:spacing w:val="40"/>
        </w:rPr>
        <w:t> </w:t>
      </w:r>
      <w:r>
        <w:rPr/>
        <w:t>of</w:t>
      </w:r>
      <w:r>
        <w:rPr>
          <w:spacing w:val="40"/>
        </w:rPr>
        <w:t> </w:t>
      </w:r>
      <w:r>
        <w:rPr/>
        <w:t>schizont</w:t>
      </w:r>
      <w:r>
        <w:rPr>
          <w:spacing w:val="40"/>
        </w:rPr>
        <w:t> </w:t>
      </w:r>
      <w:r>
        <w:rPr/>
        <w:t>maturation</w:t>
      </w:r>
      <w:r>
        <w:rPr>
          <w:spacing w:val="40"/>
        </w:rPr>
        <w:t> </w:t>
      </w:r>
      <w:r>
        <w:rPr/>
        <w:t>(%)</w:t>
      </w:r>
      <w:r>
        <w:rPr>
          <w:spacing w:val="40"/>
        </w:rPr>
        <w:t> </w:t>
      </w:r>
      <w:r>
        <w:rPr/>
        <w:t>at</w:t>
      </w:r>
      <w:r>
        <w:rPr>
          <w:spacing w:val="80"/>
        </w:rPr>
        <w:t> </w:t>
      </w:r>
      <w:r>
        <w:rPr/>
        <w:t>different antimalarial concentrations (</w:t>
      </w:r>
      <w:r>
        <w:rPr>
          <w:rFonts w:ascii="Calibri" w:hAnsi="Calibri"/>
          <w:sz w:val="22"/>
        </w:rPr>
        <w:t>µM)</w:t>
      </w: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5"/>
        <w:gridCol w:w="1076"/>
        <w:gridCol w:w="944"/>
        <w:gridCol w:w="958"/>
        <w:gridCol w:w="959"/>
        <w:gridCol w:w="959"/>
        <w:gridCol w:w="958"/>
        <w:gridCol w:w="958"/>
        <w:gridCol w:w="958"/>
      </w:tblGrid>
      <w:tr>
        <w:trPr>
          <w:trHeight w:val="390" w:hRule="atLeast"/>
        </w:trPr>
        <w:tc>
          <w:tcPr>
            <w:tcW w:w="1395" w:type="dxa"/>
            <w:vMerge w:val="restart"/>
            <w:tcBorders>
              <w:top w:val="single" w:sz="4" w:space="0" w:color="000000"/>
              <w:bottom w:val="single" w:sz="4" w:space="0" w:color="000000"/>
            </w:tcBorders>
          </w:tcPr>
          <w:p>
            <w:pPr>
              <w:pStyle w:val="TableParagraph"/>
              <w:spacing w:line="247" w:lineRule="exact" w:before="0"/>
              <w:ind w:left="1" w:right="2"/>
              <w:rPr>
                <w:sz w:val="22"/>
              </w:rPr>
            </w:pPr>
            <w:r>
              <w:rPr>
                <w:spacing w:val="-2"/>
                <w:sz w:val="22"/>
              </w:rPr>
              <w:t>Parasitemia</w:t>
            </w:r>
          </w:p>
          <w:p>
            <w:pPr>
              <w:pStyle w:val="TableParagraph"/>
              <w:spacing w:line="252" w:lineRule="exact" w:before="0"/>
              <w:ind w:left="343" w:right="340" w:hanging="4"/>
              <w:rPr>
                <w:sz w:val="22"/>
              </w:rPr>
            </w:pPr>
            <w:r>
              <w:rPr>
                <w:spacing w:val="-2"/>
                <w:sz w:val="22"/>
              </w:rPr>
              <w:t>blood samples</w:t>
            </w:r>
          </w:p>
        </w:tc>
        <w:tc>
          <w:tcPr>
            <w:tcW w:w="1076" w:type="dxa"/>
            <w:tcBorders>
              <w:top w:val="single" w:sz="4" w:space="0" w:color="000000"/>
            </w:tcBorders>
          </w:tcPr>
          <w:p>
            <w:pPr>
              <w:pStyle w:val="TableParagraph"/>
              <w:spacing w:line="240" w:lineRule="auto" w:before="29"/>
              <w:ind w:left="4" w:right="31"/>
              <w:rPr>
                <w:sz w:val="22"/>
              </w:rPr>
            </w:pPr>
            <w:r>
              <w:rPr>
                <w:spacing w:val="-10"/>
                <w:sz w:val="22"/>
              </w:rPr>
              <w:t>A</w:t>
            </w:r>
          </w:p>
        </w:tc>
        <w:tc>
          <w:tcPr>
            <w:tcW w:w="944" w:type="dxa"/>
            <w:tcBorders>
              <w:top w:val="single" w:sz="4" w:space="0" w:color="000000"/>
            </w:tcBorders>
          </w:tcPr>
          <w:p>
            <w:pPr>
              <w:pStyle w:val="TableParagraph"/>
              <w:spacing w:line="240" w:lineRule="auto" w:before="29"/>
              <w:ind w:left="1" w:right="10"/>
              <w:rPr>
                <w:sz w:val="22"/>
              </w:rPr>
            </w:pPr>
            <w:r>
              <w:rPr>
                <w:spacing w:val="-10"/>
                <w:sz w:val="22"/>
              </w:rPr>
              <w:t>B</w:t>
            </w:r>
          </w:p>
        </w:tc>
        <w:tc>
          <w:tcPr>
            <w:tcW w:w="958" w:type="dxa"/>
            <w:tcBorders>
              <w:top w:val="single" w:sz="4" w:space="0" w:color="000000"/>
            </w:tcBorders>
          </w:tcPr>
          <w:p>
            <w:pPr>
              <w:pStyle w:val="TableParagraph"/>
              <w:spacing w:line="240" w:lineRule="auto" w:before="29"/>
              <w:ind w:left="6" w:right="5"/>
              <w:rPr>
                <w:sz w:val="22"/>
              </w:rPr>
            </w:pPr>
            <w:r>
              <w:rPr>
                <w:spacing w:val="-10"/>
                <w:sz w:val="22"/>
              </w:rPr>
              <w:t>C</w:t>
            </w:r>
          </w:p>
        </w:tc>
        <w:tc>
          <w:tcPr>
            <w:tcW w:w="959" w:type="dxa"/>
            <w:tcBorders>
              <w:top w:val="single" w:sz="4" w:space="0" w:color="000000"/>
            </w:tcBorders>
          </w:tcPr>
          <w:p>
            <w:pPr>
              <w:pStyle w:val="TableParagraph"/>
              <w:spacing w:line="240" w:lineRule="auto" w:before="29"/>
              <w:ind w:left="2" w:right="3"/>
              <w:rPr>
                <w:sz w:val="22"/>
              </w:rPr>
            </w:pPr>
            <w:r>
              <w:rPr>
                <w:spacing w:val="-10"/>
                <w:sz w:val="22"/>
              </w:rPr>
              <w:t>D</w:t>
            </w:r>
          </w:p>
        </w:tc>
        <w:tc>
          <w:tcPr>
            <w:tcW w:w="959" w:type="dxa"/>
            <w:tcBorders>
              <w:top w:val="single" w:sz="4" w:space="0" w:color="000000"/>
            </w:tcBorders>
          </w:tcPr>
          <w:p>
            <w:pPr>
              <w:pStyle w:val="TableParagraph"/>
              <w:spacing w:line="240" w:lineRule="auto" w:before="29"/>
              <w:ind w:left="2" w:right="2"/>
              <w:rPr>
                <w:sz w:val="22"/>
              </w:rPr>
            </w:pPr>
            <w:r>
              <w:rPr>
                <w:spacing w:val="-10"/>
                <w:sz w:val="22"/>
              </w:rPr>
              <w:t>E</w:t>
            </w:r>
          </w:p>
        </w:tc>
        <w:tc>
          <w:tcPr>
            <w:tcW w:w="958" w:type="dxa"/>
            <w:tcBorders>
              <w:top w:val="single" w:sz="4" w:space="0" w:color="000000"/>
            </w:tcBorders>
          </w:tcPr>
          <w:p>
            <w:pPr>
              <w:pStyle w:val="TableParagraph"/>
              <w:spacing w:line="240" w:lineRule="auto" w:before="29"/>
              <w:ind w:left="5" w:right="5"/>
              <w:rPr>
                <w:sz w:val="22"/>
              </w:rPr>
            </w:pPr>
            <w:r>
              <w:rPr>
                <w:spacing w:val="-10"/>
                <w:sz w:val="22"/>
              </w:rPr>
              <w:t>F</w:t>
            </w:r>
          </w:p>
        </w:tc>
        <w:tc>
          <w:tcPr>
            <w:tcW w:w="958" w:type="dxa"/>
            <w:tcBorders>
              <w:top w:val="single" w:sz="4" w:space="0" w:color="000000"/>
            </w:tcBorders>
          </w:tcPr>
          <w:p>
            <w:pPr>
              <w:pStyle w:val="TableParagraph"/>
              <w:spacing w:line="240" w:lineRule="auto" w:before="29"/>
              <w:ind w:left="5" w:right="5"/>
              <w:rPr>
                <w:sz w:val="22"/>
              </w:rPr>
            </w:pPr>
            <w:r>
              <w:rPr>
                <w:spacing w:val="-10"/>
                <w:sz w:val="22"/>
              </w:rPr>
              <w:t>G</w:t>
            </w:r>
          </w:p>
        </w:tc>
        <w:tc>
          <w:tcPr>
            <w:tcW w:w="958" w:type="dxa"/>
            <w:tcBorders>
              <w:top w:val="single" w:sz="4" w:space="0" w:color="000000"/>
            </w:tcBorders>
          </w:tcPr>
          <w:p>
            <w:pPr>
              <w:pStyle w:val="TableParagraph"/>
              <w:spacing w:line="240" w:lineRule="auto" w:before="29"/>
              <w:ind w:left="4" w:right="5"/>
              <w:rPr>
                <w:sz w:val="22"/>
              </w:rPr>
            </w:pPr>
            <w:r>
              <w:rPr>
                <w:spacing w:val="-10"/>
                <w:sz w:val="22"/>
              </w:rPr>
              <w:t>H</w:t>
            </w:r>
          </w:p>
        </w:tc>
      </w:tr>
      <w:tr>
        <w:trPr>
          <w:trHeight w:val="357" w:hRule="atLeast"/>
        </w:trPr>
        <w:tc>
          <w:tcPr>
            <w:tcW w:w="1395" w:type="dxa"/>
            <w:vMerge/>
            <w:tcBorders>
              <w:top w:val="nil"/>
              <w:bottom w:val="single" w:sz="4" w:space="0" w:color="000000"/>
            </w:tcBorders>
          </w:tcPr>
          <w:p>
            <w:pPr>
              <w:rPr>
                <w:sz w:val="2"/>
                <w:szCs w:val="2"/>
              </w:rPr>
            </w:pPr>
          </w:p>
        </w:tc>
        <w:tc>
          <w:tcPr>
            <w:tcW w:w="1076" w:type="dxa"/>
            <w:tcBorders>
              <w:bottom w:val="single" w:sz="4" w:space="0" w:color="000000"/>
            </w:tcBorders>
          </w:tcPr>
          <w:p>
            <w:pPr>
              <w:pStyle w:val="TableParagraph"/>
              <w:spacing w:line="238" w:lineRule="exact" w:before="99"/>
              <w:ind w:left="3" w:right="31"/>
              <w:rPr>
                <w:sz w:val="22"/>
              </w:rPr>
            </w:pPr>
            <w:r>
              <w:rPr>
                <w:spacing w:val="-2"/>
                <w:sz w:val="22"/>
              </w:rPr>
              <w:t>Control</w:t>
            </w:r>
          </w:p>
        </w:tc>
        <w:tc>
          <w:tcPr>
            <w:tcW w:w="944" w:type="dxa"/>
            <w:tcBorders>
              <w:bottom w:val="single" w:sz="4" w:space="0" w:color="000000"/>
            </w:tcBorders>
          </w:tcPr>
          <w:p>
            <w:pPr>
              <w:pStyle w:val="TableParagraph"/>
              <w:spacing w:line="238" w:lineRule="exact" w:before="99"/>
              <w:ind w:right="10"/>
              <w:rPr>
                <w:sz w:val="22"/>
              </w:rPr>
            </w:pPr>
            <w:r>
              <w:rPr>
                <w:spacing w:val="-2"/>
                <w:sz w:val="22"/>
              </w:rPr>
              <w:t>0.021</w:t>
            </w:r>
          </w:p>
        </w:tc>
        <w:tc>
          <w:tcPr>
            <w:tcW w:w="958" w:type="dxa"/>
            <w:tcBorders>
              <w:bottom w:val="single" w:sz="4" w:space="0" w:color="000000"/>
            </w:tcBorders>
          </w:tcPr>
          <w:p>
            <w:pPr>
              <w:pStyle w:val="TableParagraph"/>
              <w:spacing w:line="238" w:lineRule="exact" w:before="99"/>
              <w:ind w:left="6" w:right="5"/>
              <w:rPr>
                <w:sz w:val="22"/>
              </w:rPr>
            </w:pPr>
            <w:r>
              <w:rPr>
                <w:spacing w:val="-2"/>
                <w:sz w:val="22"/>
              </w:rPr>
              <w:t>0.042</w:t>
            </w:r>
          </w:p>
        </w:tc>
        <w:tc>
          <w:tcPr>
            <w:tcW w:w="959" w:type="dxa"/>
            <w:tcBorders>
              <w:bottom w:val="single" w:sz="4" w:space="0" w:color="000000"/>
            </w:tcBorders>
          </w:tcPr>
          <w:p>
            <w:pPr>
              <w:pStyle w:val="TableParagraph"/>
              <w:spacing w:line="238" w:lineRule="exact" w:before="99"/>
              <w:ind w:left="2" w:right="2"/>
              <w:rPr>
                <w:sz w:val="22"/>
              </w:rPr>
            </w:pPr>
            <w:r>
              <w:rPr>
                <w:spacing w:val="-2"/>
                <w:sz w:val="22"/>
              </w:rPr>
              <w:t>0.084</w:t>
            </w:r>
          </w:p>
        </w:tc>
        <w:tc>
          <w:tcPr>
            <w:tcW w:w="959" w:type="dxa"/>
            <w:tcBorders>
              <w:bottom w:val="single" w:sz="4" w:space="0" w:color="000000"/>
            </w:tcBorders>
          </w:tcPr>
          <w:p>
            <w:pPr>
              <w:pStyle w:val="TableParagraph"/>
              <w:spacing w:line="238" w:lineRule="exact" w:before="99"/>
              <w:ind w:left="3" w:right="1"/>
              <w:rPr>
                <w:sz w:val="22"/>
              </w:rPr>
            </w:pPr>
            <w:r>
              <w:rPr>
                <w:spacing w:val="-2"/>
                <w:sz w:val="22"/>
              </w:rPr>
              <w:t>0.168</w:t>
            </w:r>
          </w:p>
        </w:tc>
        <w:tc>
          <w:tcPr>
            <w:tcW w:w="958" w:type="dxa"/>
            <w:tcBorders>
              <w:bottom w:val="single" w:sz="4" w:space="0" w:color="000000"/>
            </w:tcBorders>
          </w:tcPr>
          <w:p>
            <w:pPr>
              <w:pStyle w:val="TableParagraph"/>
              <w:spacing w:line="238" w:lineRule="exact" w:before="99"/>
              <w:ind w:left="5" w:right="5"/>
              <w:rPr>
                <w:sz w:val="22"/>
              </w:rPr>
            </w:pPr>
            <w:r>
              <w:rPr>
                <w:spacing w:val="-2"/>
                <w:sz w:val="22"/>
              </w:rPr>
              <w:t>0.336</w:t>
            </w:r>
          </w:p>
        </w:tc>
        <w:tc>
          <w:tcPr>
            <w:tcW w:w="958" w:type="dxa"/>
            <w:tcBorders>
              <w:bottom w:val="single" w:sz="4" w:space="0" w:color="000000"/>
            </w:tcBorders>
          </w:tcPr>
          <w:p>
            <w:pPr>
              <w:pStyle w:val="TableParagraph"/>
              <w:spacing w:line="238" w:lineRule="exact" w:before="99"/>
              <w:ind w:left="5" w:right="5"/>
              <w:rPr>
                <w:sz w:val="22"/>
              </w:rPr>
            </w:pPr>
            <w:r>
              <w:rPr>
                <w:spacing w:val="-2"/>
                <w:sz w:val="22"/>
              </w:rPr>
              <w:t>0.672</w:t>
            </w:r>
          </w:p>
        </w:tc>
        <w:tc>
          <w:tcPr>
            <w:tcW w:w="958" w:type="dxa"/>
            <w:tcBorders>
              <w:bottom w:val="single" w:sz="4" w:space="0" w:color="000000"/>
            </w:tcBorders>
          </w:tcPr>
          <w:p>
            <w:pPr>
              <w:pStyle w:val="TableParagraph"/>
              <w:spacing w:line="238" w:lineRule="exact" w:before="99"/>
              <w:ind w:left="5" w:right="5"/>
              <w:rPr>
                <w:sz w:val="22"/>
              </w:rPr>
            </w:pPr>
            <w:r>
              <w:rPr>
                <w:spacing w:val="-2"/>
                <w:sz w:val="22"/>
              </w:rPr>
              <w:t>1.344</w:t>
            </w:r>
          </w:p>
        </w:tc>
      </w:tr>
      <w:tr>
        <w:trPr>
          <w:trHeight w:val="304" w:hRule="atLeast"/>
        </w:trPr>
        <w:tc>
          <w:tcPr>
            <w:tcW w:w="1395" w:type="dxa"/>
            <w:tcBorders>
              <w:top w:val="single" w:sz="4" w:space="0" w:color="000000"/>
            </w:tcBorders>
          </w:tcPr>
          <w:p>
            <w:pPr>
              <w:pStyle w:val="TableParagraph"/>
              <w:spacing w:line="240" w:lineRule="auto" w:before="29"/>
              <w:ind w:left="1" w:right="2"/>
              <w:rPr>
                <w:sz w:val="22"/>
              </w:rPr>
            </w:pPr>
            <w:r>
              <w:rPr>
                <w:spacing w:val="-10"/>
                <w:sz w:val="22"/>
              </w:rPr>
              <w:t>1</w:t>
            </w:r>
          </w:p>
        </w:tc>
        <w:tc>
          <w:tcPr>
            <w:tcW w:w="1076" w:type="dxa"/>
            <w:tcBorders>
              <w:top w:val="single" w:sz="4" w:space="0" w:color="000000"/>
            </w:tcBorders>
          </w:tcPr>
          <w:p>
            <w:pPr>
              <w:pStyle w:val="TableParagraph"/>
              <w:spacing w:line="240" w:lineRule="auto" w:before="29"/>
              <w:ind w:right="31"/>
              <w:rPr>
                <w:sz w:val="22"/>
              </w:rPr>
            </w:pPr>
            <w:r>
              <w:rPr>
                <w:spacing w:val="-5"/>
                <w:sz w:val="22"/>
              </w:rPr>
              <w:t>0.0</w:t>
            </w:r>
          </w:p>
        </w:tc>
        <w:tc>
          <w:tcPr>
            <w:tcW w:w="944" w:type="dxa"/>
            <w:tcBorders>
              <w:top w:val="single" w:sz="4" w:space="0" w:color="000000"/>
            </w:tcBorders>
          </w:tcPr>
          <w:p>
            <w:pPr>
              <w:pStyle w:val="TableParagraph"/>
              <w:spacing w:line="240" w:lineRule="auto" w:before="29"/>
              <w:ind w:right="10"/>
              <w:rPr>
                <w:sz w:val="22"/>
              </w:rPr>
            </w:pPr>
            <w:r>
              <w:rPr>
                <w:spacing w:val="-5"/>
                <w:sz w:val="22"/>
              </w:rPr>
              <w:t>9.3</w:t>
            </w:r>
          </w:p>
        </w:tc>
        <w:tc>
          <w:tcPr>
            <w:tcW w:w="958" w:type="dxa"/>
            <w:tcBorders>
              <w:top w:val="single" w:sz="4" w:space="0" w:color="000000"/>
            </w:tcBorders>
          </w:tcPr>
          <w:p>
            <w:pPr>
              <w:pStyle w:val="TableParagraph"/>
              <w:spacing w:line="240" w:lineRule="auto" w:before="29"/>
              <w:ind w:left="6" w:right="5"/>
              <w:rPr>
                <w:sz w:val="22"/>
              </w:rPr>
            </w:pPr>
            <w:r>
              <w:rPr>
                <w:spacing w:val="-4"/>
                <w:sz w:val="22"/>
              </w:rPr>
              <w:t>38.9</w:t>
            </w:r>
          </w:p>
        </w:tc>
        <w:tc>
          <w:tcPr>
            <w:tcW w:w="959" w:type="dxa"/>
            <w:tcBorders>
              <w:top w:val="single" w:sz="4" w:space="0" w:color="000000"/>
            </w:tcBorders>
          </w:tcPr>
          <w:p>
            <w:pPr>
              <w:pStyle w:val="TableParagraph"/>
              <w:spacing w:line="240" w:lineRule="auto" w:before="29"/>
              <w:ind w:left="2" w:right="2"/>
              <w:rPr>
                <w:sz w:val="22"/>
              </w:rPr>
            </w:pPr>
            <w:r>
              <w:rPr>
                <w:spacing w:val="-4"/>
                <w:sz w:val="22"/>
              </w:rPr>
              <w:t>50.0</w:t>
            </w:r>
          </w:p>
        </w:tc>
        <w:tc>
          <w:tcPr>
            <w:tcW w:w="959" w:type="dxa"/>
            <w:tcBorders>
              <w:top w:val="single" w:sz="4" w:space="0" w:color="000000"/>
            </w:tcBorders>
          </w:tcPr>
          <w:p>
            <w:pPr>
              <w:pStyle w:val="TableParagraph"/>
              <w:spacing w:line="240" w:lineRule="auto" w:before="29"/>
              <w:ind w:left="3" w:right="1"/>
              <w:rPr>
                <w:sz w:val="22"/>
              </w:rPr>
            </w:pPr>
            <w:r>
              <w:rPr>
                <w:spacing w:val="-4"/>
                <w:sz w:val="22"/>
              </w:rPr>
              <w:t>77.8</w:t>
            </w:r>
          </w:p>
        </w:tc>
        <w:tc>
          <w:tcPr>
            <w:tcW w:w="958" w:type="dxa"/>
            <w:tcBorders>
              <w:top w:val="single" w:sz="4" w:space="0" w:color="000000"/>
            </w:tcBorders>
          </w:tcPr>
          <w:p>
            <w:pPr>
              <w:pStyle w:val="TableParagraph"/>
              <w:spacing w:line="240" w:lineRule="auto" w:before="29"/>
              <w:ind w:left="5" w:right="5"/>
              <w:rPr>
                <w:sz w:val="22"/>
              </w:rPr>
            </w:pPr>
            <w:r>
              <w:rPr>
                <w:spacing w:val="-4"/>
                <w:sz w:val="22"/>
              </w:rPr>
              <w:t>92.6</w:t>
            </w:r>
          </w:p>
        </w:tc>
        <w:tc>
          <w:tcPr>
            <w:tcW w:w="958" w:type="dxa"/>
            <w:tcBorders>
              <w:top w:val="single" w:sz="4" w:space="0" w:color="000000"/>
            </w:tcBorders>
          </w:tcPr>
          <w:p>
            <w:pPr>
              <w:pStyle w:val="TableParagraph"/>
              <w:spacing w:line="240" w:lineRule="auto" w:before="29"/>
              <w:ind w:left="5" w:right="5"/>
              <w:rPr>
                <w:sz w:val="22"/>
              </w:rPr>
            </w:pPr>
            <w:r>
              <w:rPr>
                <w:spacing w:val="-2"/>
                <w:sz w:val="22"/>
              </w:rPr>
              <w:t>100.0</w:t>
            </w:r>
          </w:p>
        </w:tc>
        <w:tc>
          <w:tcPr>
            <w:tcW w:w="958" w:type="dxa"/>
            <w:tcBorders>
              <w:top w:val="single" w:sz="4" w:space="0" w:color="000000"/>
            </w:tcBorders>
          </w:tcPr>
          <w:p>
            <w:pPr>
              <w:pStyle w:val="TableParagraph"/>
              <w:spacing w:line="240" w:lineRule="auto" w:before="29"/>
              <w:ind w:left="5" w:right="5"/>
              <w:rPr>
                <w:sz w:val="22"/>
              </w:rPr>
            </w:pPr>
            <w:r>
              <w:rPr>
                <w:spacing w:val="-2"/>
                <w:sz w:val="22"/>
              </w:rPr>
              <w:t>100.0</w:t>
            </w:r>
          </w:p>
        </w:tc>
      </w:tr>
      <w:tr>
        <w:trPr>
          <w:trHeight w:val="287" w:hRule="atLeast"/>
        </w:trPr>
        <w:tc>
          <w:tcPr>
            <w:tcW w:w="1395" w:type="dxa"/>
          </w:tcPr>
          <w:p>
            <w:pPr>
              <w:pStyle w:val="TableParagraph"/>
              <w:spacing w:line="240" w:lineRule="auto" w:before="13"/>
              <w:ind w:left="1" w:right="2"/>
              <w:rPr>
                <w:sz w:val="22"/>
              </w:rPr>
            </w:pPr>
            <w:r>
              <w:rPr>
                <w:spacing w:val="-10"/>
                <w:sz w:val="22"/>
              </w:rPr>
              <w:t>2</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27.8</w:t>
            </w:r>
          </w:p>
        </w:tc>
        <w:tc>
          <w:tcPr>
            <w:tcW w:w="958" w:type="dxa"/>
          </w:tcPr>
          <w:p>
            <w:pPr>
              <w:pStyle w:val="TableParagraph"/>
              <w:spacing w:line="240" w:lineRule="auto" w:before="13"/>
              <w:ind w:left="6" w:right="5"/>
              <w:rPr>
                <w:sz w:val="22"/>
              </w:rPr>
            </w:pPr>
            <w:r>
              <w:rPr>
                <w:spacing w:val="-4"/>
                <w:sz w:val="22"/>
              </w:rPr>
              <w:t>58.3</w:t>
            </w:r>
          </w:p>
        </w:tc>
        <w:tc>
          <w:tcPr>
            <w:tcW w:w="959" w:type="dxa"/>
          </w:tcPr>
          <w:p>
            <w:pPr>
              <w:pStyle w:val="TableParagraph"/>
              <w:spacing w:line="240" w:lineRule="auto" w:before="13"/>
              <w:ind w:left="2" w:right="2"/>
              <w:rPr>
                <w:sz w:val="22"/>
              </w:rPr>
            </w:pPr>
            <w:r>
              <w:rPr>
                <w:spacing w:val="-4"/>
                <w:sz w:val="22"/>
              </w:rPr>
              <w:t>73.6</w:t>
            </w:r>
          </w:p>
        </w:tc>
        <w:tc>
          <w:tcPr>
            <w:tcW w:w="959" w:type="dxa"/>
          </w:tcPr>
          <w:p>
            <w:pPr>
              <w:pStyle w:val="TableParagraph"/>
              <w:spacing w:line="240" w:lineRule="auto" w:before="13"/>
              <w:ind w:left="3" w:right="1"/>
              <w:rPr>
                <w:sz w:val="22"/>
              </w:rPr>
            </w:pPr>
            <w:r>
              <w:rPr>
                <w:spacing w:val="-4"/>
                <w:sz w:val="22"/>
              </w:rPr>
              <w:t>86.1</w:t>
            </w:r>
          </w:p>
        </w:tc>
        <w:tc>
          <w:tcPr>
            <w:tcW w:w="958" w:type="dxa"/>
          </w:tcPr>
          <w:p>
            <w:pPr>
              <w:pStyle w:val="TableParagraph"/>
              <w:spacing w:line="240" w:lineRule="auto" w:before="13"/>
              <w:ind w:left="5" w:right="5"/>
              <w:rPr>
                <w:sz w:val="22"/>
              </w:rPr>
            </w:pPr>
            <w:r>
              <w:rPr>
                <w:spacing w:val="-4"/>
                <w:sz w:val="22"/>
              </w:rPr>
              <w:t>95.8</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left="1" w:right="2"/>
              <w:rPr>
                <w:sz w:val="22"/>
              </w:rPr>
            </w:pPr>
            <w:r>
              <w:rPr>
                <w:spacing w:val="-10"/>
                <w:sz w:val="22"/>
              </w:rPr>
              <w:t>3</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27.3</w:t>
            </w:r>
          </w:p>
        </w:tc>
        <w:tc>
          <w:tcPr>
            <w:tcW w:w="958" w:type="dxa"/>
          </w:tcPr>
          <w:p>
            <w:pPr>
              <w:pStyle w:val="TableParagraph"/>
              <w:spacing w:line="240" w:lineRule="auto" w:before="13"/>
              <w:ind w:left="6" w:right="5"/>
              <w:rPr>
                <w:sz w:val="22"/>
              </w:rPr>
            </w:pPr>
            <w:r>
              <w:rPr>
                <w:spacing w:val="-4"/>
                <w:sz w:val="22"/>
              </w:rPr>
              <w:t>54.5</w:t>
            </w:r>
          </w:p>
        </w:tc>
        <w:tc>
          <w:tcPr>
            <w:tcW w:w="959" w:type="dxa"/>
          </w:tcPr>
          <w:p>
            <w:pPr>
              <w:pStyle w:val="TableParagraph"/>
              <w:spacing w:line="240" w:lineRule="auto" w:before="13"/>
              <w:ind w:left="2" w:right="2"/>
              <w:rPr>
                <w:sz w:val="22"/>
              </w:rPr>
            </w:pPr>
            <w:r>
              <w:rPr>
                <w:spacing w:val="-4"/>
                <w:sz w:val="22"/>
              </w:rPr>
              <w:t>71.2</w:t>
            </w:r>
          </w:p>
        </w:tc>
        <w:tc>
          <w:tcPr>
            <w:tcW w:w="959" w:type="dxa"/>
          </w:tcPr>
          <w:p>
            <w:pPr>
              <w:pStyle w:val="TableParagraph"/>
              <w:spacing w:line="240" w:lineRule="auto" w:before="13"/>
              <w:ind w:left="3" w:right="1"/>
              <w:rPr>
                <w:sz w:val="22"/>
              </w:rPr>
            </w:pPr>
            <w:r>
              <w:rPr>
                <w:spacing w:val="-4"/>
                <w:sz w:val="22"/>
              </w:rPr>
              <w:t>81.8</w:t>
            </w:r>
          </w:p>
        </w:tc>
        <w:tc>
          <w:tcPr>
            <w:tcW w:w="958" w:type="dxa"/>
          </w:tcPr>
          <w:p>
            <w:pPr>
              <w:pStyle w:val="TableParagraph"/>
              <w:spacing w:line="240" w:lineRule="auto" w:before="13"/>
              <w:ind w:left="5" w:right="5"/>
              <w:rPr>
                <w:sz w:val="22"/>
              </w:rPr>
            </w:pPr>
            <w:r>
              <w:rPr>
                <w:spacing w:val="-4"/>
                <w:sz w:val="22"/>
              </w:rPr>
              <w:t>95.5</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left="1" w:right="2"/>
              <w:rPr>
                <w:sz w:val="22"/>
              </w:rPr>
            </w:pPr>
            <w:r>
              <w:rPr>
                <w:spacing w:val="-10"/>
                <w:sz w:val="22"/>
              </w:rPr>
              <w:t>4</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20.0</w:t>
            </w:r>
          </w:p>
        </w:tc>
        <w:tc>
          <w:tcPr>
            <w:tcW w:w="958" w:type="dxa"/>
          </w:tcPr>
          <w:p>
            <w:pPr>
              <w:pStyle w:val="TableParagraph"/>
              <w:spacing w:line="240" w:lineRule="auto" w:before="13"/>
              <w:ind w:left="6" w:right="5"/>
              <w:rPr>
                <w:sz w:val="22"/>
              </w:rPr>
            </w:pPr>
            <w:r>
              <w:rPr>
                <w:spacing w:val="-4"/>
                <w:sz w:val="22"/>
              </w:rPr>
              <w:t>37.6</w:t>
            </w:r>
          </w:p>
        </w:tc>
        <w:tc>
          <w:tcPr>
            <w:tcW w:w="959" w:type="dxa"/>
          </w:tcPr>
          <w:p>
            <w:pPr>
              <w:pStyle w:val="TableParagraph"/>
              <w:spacing w:line="240" w:lineRule="auto" w:before="13"/>
              <w:ind w:left="2" w:right="2"/>
              <w:rPr>
                <w:sz w:val="22"/>
              </w:rPr>
            </w:pPr>
            <w:r>
              <w:rPr>
                <w:spacing w:val="-4"/>
                <w:sz w:val="22"/>
              </w:rPr>
              <w:t>65.9</w:t>
            </w:r>
          </w:p>
        </w:tc>
        <w:tc>
          <w:tcPr>
            <w:tcW w:w="959" w:type="dxa"/>
          </w:tcPr>
          <w:p>
            <w:pPr>
              <w:pStyle w:val="TableParagraph"/>
              <w:spacing w:line="240" w:lineRule="auto" w:before="13"/>
              <w:ind w:left="3" w:right="1"/>
              <w:rPr>
                <w:sz w:val="22"/>
              </w:rPr>
            </w:pPr>
            <w:r>
              <w:rPr>
                <w:spacing w:val="-4"/>
                <w:sz w:val="22"/>
              </w:rPr>
              <w:t>83.5</w:t>
            </w:r>
          </w:p>
        </w:tc>
        <w:tc>
          <w:tcPr>
            <w:tcW w:w="958" w:type="dxa"/>
          </w:tcPr>
          <w:p>
            <w:pPr>
              <w:pStyle w:val="TableParagraph"/>
              <w:spacing w:line="240" w:lineRule="auto" w:before="13"/>
              <w:ind w:left="5" w:right="5"/>
              <w:rPr>
                <w:sz w:val="22"/>
              </w:rPr>
            </w:pPr>
            <w:r>
              <w:rPr>
                <w:spacing w:val="-4"/>
                <w:sz w:val="22"/>
              </w:rPr>
              <w:t>94.1</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left="1" w:right="2"/>
              <w:rPr>
                <w:sz w:val="22"/>
              </w:rPr>
            </w:pPr>
            <w:r>
              <w:rPr>
                <w:spacing w:val="-10"/>
                <w:sz w:val="22"/>
              </w:rPr>
              <w:t>5</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32.9</w:t>
            </w:r>
          </w:p>
        </w:tc>
        <w:tc>
          <w:tcPr>
            <w:tcW w:w="958" w:type="dxa"/>
          </w:tcPr>
          <w:p>
            <w:pPr>
              <w:pStyle w:val="TableParagraph"/>
              <w:spacing w:line="240" w:lineRule="auto" w:before="13"/>
              <w:ind w:left="6" w:right="5"/>
              <w:rPr>
                <w:sz w:val="22"/>
              </w:rPr>
            </w:pPr>
            <w:r>
              <w:rPr>
                <w:spacing w:val="-4"/>
                <w:sz w:val="22"/>
              </w:rPr>
              <w:t>58.9</w:t>
            </w:r>
          </w:p>
        </w:tc>
        <w:tc>
          <w:tcPr>
            <w:tcW w:w="959" w:type="dxa"/>
          </w:tcPr>
          <w:p>
            <w:pPr>
              <w:pStyle w:val="TableParagraph"/>
              <w:spacing w:line="240" w:lineRule="auto" w:before="13"/>
              <w:ind w:left="2" w:right="2"/>
              <w:rPr>
                <w:sz w:val="22"/>
              </w:rPr>
            </w:pPr>
            <w:r>
              <w:rPr>
                <w:spacing w:val="-4"/>
                <w:sz w:val="22"/>
              </w:rPr>
              <w:t>75.3</w:t>
            </w:r>
          </w:p>
        </w:tc>
        <w:tc>
          <w:tcPr>
            <w:tcW w:w="959" w:type="dxa"/>
          </w:tcPr>
          <w:p>
            <w:pPr>
              <w:pStyle w:val="TableParagraph"/>
              <w:spacing w:line="240" w:lineRule="auto" w:before="13"/>
              <w:ind w:left="3" w:right="1"/>
              <w:rPr>
                <w:sz w:val="22"/>
              </w:rPr>
            </w:pPr>
            <w:r>
              <w:rPr>
                <w:spacing w:val="-4"/>
                <w:sz w:val="22"/>
              </w:rPr>
              <w:t>90.4</w:t>
            </w:r>
          </w:p>
        </w:tc>
        <w:tc>
          <w:tcPr>
            <w:tcW w:w="958" w:type="dxa"/>
          </w:tcPr>
          <w:p>
            <w:pPr>
              <w:pStyle w:val="TableParagraph"/>
              <w:spacing w:line="240" w:lineRule="auto" w:before="13"/>
              <w:ind w:left="5" w:right="5"/>
              <w:rPr>
                <w:sz w:val="22"/>
              </w:rPr>
            </w:pPr>
            <w:r>
              <w:rPr>
                <w:spacing w:val="-4"/>
                <w:sz w:val="22"/>
              </w:rPr>
              <w:t>95.9</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left="1" w:right="2"/>
              <w:rPr>
                <w:sz w:val="22"/>
              </w:rPr>
            </w:pPr>
            <w:r>
              <w:rPr>
                <w:spacing w:val="-10"/>
                <w:sz w:val="22"/>
              </w:rPr>
              <w:t>6</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49.2</w:t>
            </w:r>
          </w:p>
        </w:tc>
        <w:tc>
          <w:tcPr>
            <w:tcW w:w="958" w:type="dxa"/>
          </w:tcPr>
          <w:p>
            <w:pPr>
              <w:pStyle w:val="TableParagraph"/>
              <w:spacing w:line="240" w:lineRule="auto" w:before="13"/>
              <w:ind w:left="6" w:right="5"/>
              <w:rPr>
                <w:sz w:val="22"/>
              </w:rPr>
            </w:pPr>
            <w:r>
              <w:rPr>
                <w:spacing w:val="-4"/>
                <w:sz w:val="22"/>
              </w:rPr>
              <w:t>68.3</w:t>
            </w:r>
          </w:p>
        </w:tc>
        <w:tc>
          <w:tcPr>
            <w:tcW w:w="959" w:type="dxa"/>
          </w:tcPr>
          <w:p>
            <w:pPr>
              <w:pStyle w:val="TableParagraph"/>
              <w:spacing w:line="240" w:lineRule="auto" w:before="13"/>
              <w:ind w:left="2" w:right="2"/>
              <w:rPr>
                <w:sz w:val="22"/>
              </w:rPr>
            </w:pPr>
            <w:r>
              <w:rPr>
                <w:spacing w:val="-4"/>
                <w:sz w:val="22"/>
              </w:rPr>
              <w:t>81.0</w:t>
            </w:r>
          </w:p>
        </w:tc>
        <w:tc>
          <w:tcPr>
            <w:tcW w:w="959" w:type="dxa"/>
          </w:tcPr>
          <w:p>
            <w:pPr>
              <w:pStyle w:val="TableParagraph"/>
              <w:spacing w:line="240" w:lineRule="auto" w:before="13"/>
              <w:ind w:left="3" w:right="1"/>
              <w:rPr>
                <w:sz w:val="22"/>
              </w:rPr>
            </w:pPr>
            <w:r>
              <w:rPr>
                <w:spacing w:val="-4"/>
                <w:sz w:val="22"/>
              </w:rPr>
              <w:t>87.3</w:t>
            </w:r>
          </w:p>
        </w:tc>
        <w:tc>
          <w:tcPr>
            <w:tcW w:w="958" w:type="dxa"/>
          </w:tcPr>
          <w:p>
            <w:pPr>
              <w:pStyle w:val="TableParagraph"/>
              <w:spacing w:line="240" w:lineRule="auto" w:before="13"/>
              <w:ind w:left="5" w:right="5"/>
              <w:rPr>
                <w:sz w:val="22"/>
              </w:rPr>
            </w:pPr>
            <w:r>
              <w:rPr>
                <w:spacing w:val="-4"/>
                <w:sz w:val="22"/>
              </w:rPr>
              <w:t>95.2</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left="1" w:right="2"/>
              <w:rPr>
                <w:sz w:val="22"/>
              </w:rPr>
            </w:pPr>
            <w:r>
              <w:rPr>
                <w:spacing w:val="-10"/>
                <w:sz w:val="22"/>
              </w:rPr>
              <w:t>7</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21.2</w:t>
            </w:r>
          </w:p>
        </w:tc>
        <w:tc>
          <w:tcPr>
            <w:tcW w:w="958" w:type="dxa"/>
          </w:tcPr>
          <w:p>
            <w:pPr>
              <w:pStyle w:val="TableParagraph"/>
              <w:spacing w:line="240" w:lineRule="auto" w:before="13"/>
              <w:ind w:left="6" w:right="5"/>
              <w:rPr>
                <w:sz w:val="22"/>
              </w:rPr>
            </w:pPr>
            <w:r>
              <w:rPr>
                <w:spacing w:val="-4"/>
                <w:sz w:val="22"/>
              </w:rPr>
              <w:t>46.2</w:t>
            </w:r>
          </w:p>
        </w:tc>
        <w:tc>
          <w:tcPr>
            <w:tcW w:w="959" w:type="dxa"/>
          </w:tcPr>
          <w:p>
            <w:pPr>
              <w:pStyle w:val="TableParagraph"/>
              <w:spacing w:line="240" w:lineRule="auto" w:before="13"/>
              <w:ind w:left="2" w:right="2"/>
              <w:rPr>
                <w:sz w:val="22"/>
              </w:rPr>
            </w:pPr>
            <w:r>
              <w:rPr>
                <w:spacing w:val="-4"/>
                <w:sz w:val="22"/>
              </w:rPr>
              <w:t>61.5</w:t>
            </w:r>
          </w:p>
        </w:tc>
        <w:tc>
          <w:tcPr>
            <w:tcW w:w="959" w:type="dxa"/>
          </w:tcPr>
          <w:p>
            <w:pPr>
              <w:pStyle w:val="TableParagraph"/>
              <w:spacing w:line="240" w:lineRule="auto" w:before="13"/>
              <w:ind w:left="3" w:right="1"/>
              <w:rPr>
                <w:sz w:val="22"/>
              </w:rPr>
            </w:pPr>
            <w:r>
              <w:rPr>
                <w:spacing w:val="-4"/>
                <w:sz w:val="22"/>
              </w:rPr>
              <w:t>67.3</w:t>
            </w:r>
          </w:p>
        </w:tc>
        <w:tc>
          <w:tcPr>
            <w:tcW w:w="958" w:type="dxa"/>
          </w:tcPr>
          <w:p>
            <w:pPr>
              <w:pStyle w:val="TableParagraph"/>
              <w:spacing w:line="240" w:lineRule="auto" w:before="13"/>
              <w:ind w:left="5" w:right="5"/>
              <w:rPr>
                <w:sz w:val="22"/>
              </w:rPr>
            </w:pPr>
            <w:r>
              <w:rPr>
                <w:spacing w:val="-4"/>
                <w:sz w:val="22"/>
              </w:rPr>
              <w:t>78.8</w:t>
            </w:r>
          </w:p>
        </w:tc>
        <w:tc>
          <w:tcPr>
            <w:tcW w:w="958" w:type="dxa"/>
          </w:tcPr>
          <w:p>
            <w:pPr>
              <w:pStyle w:val="TableParagraph"/>
              <w:spacing w:line="240" w:lineRule="auto" w:before="13"/>
              <w:ind w:left="5" w:right="5"/>
              <w:rPr>
                <w:sz w:val="22"/>
              </w:rPr>
            </w:pPr>
            <w:r>
              <w:rPr>
                <w:spacing w:val="-4"/>
                <w:sz w:val="22"/>
              </w:rPr>
              <w:t>88.5</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left="1" w:right="2"/>
              <w:rPr>
                <w:sz w:val="22"/>
              </w:rPr>
            </w:pPr>
            <w:r>
              <w:rPr>
                <w:spacing w:val="-10"/>
                <w:sz w:val="22"/>
              </w:rPr>
              <w:t>8</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23.1</w:t>
            </w:r>
          </w:p>
        </w:tc>
        <w:tc>
          <w:tcPr>
            <w:tcW w:w="958" w:type="dxa"/>
          </w:tcPr>
          <w:p>
            <w:pPr>
              <w:pStyle w:val="TableParagraph"/>
              <w:spacing w:line="240" w:lineRule="auto" w:before="13"/>
              <w:ind w:left="6" w:right="5"/>
              <w:rPr>
                <w:sz w:val="22"/>
              </w:rPr>
            </w:pPr>
            <w:r>
              <w:rPr>
                <w:spacing w:val="-4"/>
                <w:sz w:val="22"/>
              </w:rPr>
              <w:t>36.9</w:t>
            </w:r>
          </w:p>
        </w:tc>
        <w:tc>
          <w:tcPr>
            <w:tcW w:w="959" w:type="dxa"/>
          </w:tcPr>
          <w:p>
            <w:pPr>
              <w:pStyle w:val="TableParagraph"/>
              <w:spacing w:line="240" w:lineRule="auto" w:before="13"/>
              <w:ind w:left="2" w:right="2"/>
              <w:rPr>
                <w:sz w:val="22"/>
              </w:rPr>
            </w:pPr>
            <w:r>
              <w:rPr>
                <w:spacing w:val="-4"/>
                <w:sz w:val="22"/>
              </w:rPr>
              <w:t>56.9</w:t>
            </w:r>
          </w:p>
        </w:tc>
        <w:tc>
          <w:tcPr>
            <w:tcW w:w="959" w:type="dxa"/>
          </w:tcPr>
          <w:p>
            <w:pPr>
              <w:pStyle w:val="TableParagraph"/>
              <w:spacing w:line="240" w:lineRule="auto" w:before="13"/>
              <w:ind w:left="3" w:right="1"/>
              <w:rPr>
                <w:sz w:val="22"/>
              </w:rPr>
            </w:pPr>
            <w:r>
              <w:rPr>
                <w:spacing w:val="-4"/>
                <w:sz w:val="22"/>
              </w:rPr>
              <w:t>73.8</w:t>
            </w:r>
          </w:p>
        </w:tc>
        <w:tc>
          <w:tcPr>
            <w:tcW w:w="958" w:type="dxa"/>
          </w:tcPr>
          <w:p>
            <w:pPr>
              <w:pStyle w:val="TableParagraph"/>
              <w:spacing w:line="240" w:lineRule="auto" w:before="13"/>
              <w:ind w:left="5" w:right="5"/>
              <w:rPr>
                <w:sz w:val="22"/>
              </w:rPr>
            </w:pPr>
            <w:r>
              <w:rPr>
                <w:spacing w:val="-4"/>
                <w:sz w:val="22"/>
              </w:rPr>
              <w:t>81.5</w:t>
            </w:r>
          </w:p>
        </w:tc>
        <w:tc>
          <w:tcPr>
            <w:tcW w:w="958" w:type="dxa"/>
          </w:tcPr>
          <w:p>
            <w:pPr>
              <w:pStyle w:val="TableParagraph"/>
              <w:spacing w:line="240" w:lineRule="auto" w:before="13"/>
              <w:ind w:left="5" w:right="5"/>
              <w:rPr>
                <w:sz w:val="22"/>
              </w:rPr>
            </w:pPr>
            <w:r>
              <w:rPr>
                <w:spacing w:val="-4"/>
                <w:sz w:val="22"/>
              </w:rPr>
              <w:t>90.8</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left="1" w:right="2"/>
              <w:rPr>
                <w:sz w:val="22"/>
              </w:rPr>
            </w:pPr>
            <w:r>
              <w:rPr>
                <w:spacing w:val="-10"/>
                <w:sz w:val="22"/>
              </w:rPr>
              <w:t>9</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22.2</w:t>
            </w:r>
          </w:p>
        </w:tc>
        <w:tc>
          <w:tcPr>
            <w:tcW w:w="958" w:type="dxa"/>
          </w:tcPr>
          <w:p>
            <w:pPr>
              <w:pStyle w:val="TableParagraph"/>
              <w:spacing w:line="240" w:lineRule="auto" w:before="13"/>
              <w:ind w:left="6" w:right="5"/>
              <w:rPr>
                <w:sz w:val="22"/>
              </w:rPr>
            </w:pPr>
            <w:r>
              <w:rPr>
                <w:spacing w:val="-4"/>
                <w:sz w:val="22"/>
              </w:rPr>
              <w:t>53.7</w:t>
            </w:r>
          </w:p>
        </w:tc>
        <w:tc>
          <w:tcPr>
            <w:tcW w:w="959" w:type="dxa"/>
          </w:tcPr>
          <w:p>
            <w:pPr>
              <w:pStyle w:val="TableParagraph"/>
              <w:spacing w:line="240" w:lineRule="auto" w:before="13"/>
              <w:ind w:left="2" w:right="2"/>
              <w:rPr>
                <w:sz w:val="22"/>
              </w:rPr>
            </w:pPr>
            <w:r>
              <w:rPr>
                <w:spacing w:val="-4"/>
                <w:sz w:val="22"/>
              </w:rPr>
              <w:t>64.8</w:t>
            </w:r>
          </w:p>
        </w:tc>
        <w:tc>
          <w:tcPr>
            <w:tcW w:w="959" w:type="dxa"/>
          </w:tcPr>
          <w:p>
            <w:pPr>
              <w:pStyle w:val="TableParagraph"/>
              <w:spacing w:line="240" w:lineRule="auto" w:before="13"/>
              <w:ind w:left="3" w:right="1"/>
              <w:rPr>
                <w:sz w:val="22"/>
              </w:rPr>
            </w:pPr>
            <w:r>
              <w:rPr>
                <w:spacing w:val="-4"/>
                <w:sz w:val="22"/>
              </w:rPr>
              <w:t>81.5</w:t>
            </w:r>
          </w:p>
        </w:tc>
        <w:tc>
          <w:tcPr>
            <w:tcW w:w="958" w:type="dxa"/>
          </w:tcPr>
          <w:p>
            <w:pPr>
              <w:pStyle w:val="TableParagraph"/>
              <w:spacing w:line="240" w:lineRule="auto" w:before="13"/>
              <w:ind w:left="5" w:right="5"/>
              <w:rPr>
                <w:sz w:val="22"/>
              </w:rPr>
            </w:pPr>
            <w:r>
              <w:rPr>
                <w:spacing w:val="-4"/>
                <w:sz w:val="22"/>
              </w:rPr>
              <w:t>88.9</w:t>
            </w:r>
          </w:p>
        </w:tc>
        <w:tc>
          <w:tcPr>
            <w:tcW w:w="958" w:type="dxa"/>
          </w:tcPr>
          <w:p>
            <w:pPr>
              <w:pStyle w:val="TableParagraph"/>
              <w:spacing w:line="240" w:lineRule="auto" w:before="13"/>
              <w:ind w:left="5" w:right="5"/>
              <w:rPr>
                <w:sz w:val="22"/>
              </w:rPr>
            </w:pPr>
            <w:r>
              <w:rPr>
                <w:spacing w:val="-4"/>
                <w:sz w:val="22"/>
              </w:rPr>
              <w:t>96.3</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10</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14.0</w:t>
            </w:r>
          </w:p>
        </w:tc>
        <w:tc>
          <w:tcPr>
            <w:tcW w:w="958" w:type="dxa"/>
          </w:tcPr>
          <w:p>
            <w:pPr>
              <w:pStyle w:val="TableParagraph"/>
              <w:spacing w:line="240" w:lineRule="auto" w:before="13"/>
              <w:ind w:left="6" w:right="5"/>
              <w:rPr>
                <w:sz w:val="22"/>
              </w:rPr>
            </w:pPr>
            <w:r>
              <w:rPr>
                <w:spacing w:val="-4"/>
                <w:sz w:val="22"/>
              </w:rPr>
              <w:t>31.2</w:t>
            </w:r>
          </w:p>
        </w:tc>
        <w:tc>
          <w:tcPr>
            <w:tcW w:w="959" w:type="dxa"/>
          </w:tcPr>
          <w:p>
            <w:pPr>
              <w:pStyle w:val="TableParagraph"/>
              <w:spacing w:line="240" w:lineRule="auto" w:before="13"/>
              <w:ind w:left="2" w:right="2"/>
              <w:rPr>
                <w:sz w:val="22"/>
              </w:rPr>
            </w:pPr>
            <w:r>
              <w:rPr>
                <w:spacing w:val="-4"/>
                <w:sz w:val="22"/>
              </w:rPr>
              <w:t>54.8</w:t>
            </w:r>
          </w:p>
        </w:tc>
        <w:tc>
          <w:tcPr>
            <w:tcW w:w="959" w:type="dxa"/>
          </w:tcPr>
          <w:p>
            <w:pPr>
              <w:pStyle w:val="TableParagraph"/>
              <w:spacing w:line="240" w:lineRule="auto" w:before="13"/>
              <w:ind w:left="3" w:right="1"/>
              <w:rPr>
                <w:sz w:val="22"/>
              </w:rPr>
            </w:pPr>
            <w:r>
              <w:rPr>
                <w:spacing w:val="-4"/>
                <w:sz w:val="22"/>
              </w:rPr>
              <w:t>74.2</w:t>
            </w:r>
          </w:p>
        </w:tc>
        <w:tc>
          <w:tcPr>
            <w:tcW w:w="958" w:type="dxa"/>
          </w:tcPr>
          <w:p>
            <w:pPr>
              <w:pStyle w:val="TableParagraph"/>
              <w:spacing w:line="240" w:lineRule="auto" w:before="13"/>
              <w:ind w:left="5" w:right="5"/>
              <w:rPr>
                <w:sz w:val="22"/>
              </w:rPr>
            </w:pPr>
            <w:r>
              <w:rPr>
                <w:spacing w:val="-4"/>
                <w:sz w:val="22"/>
              </w:rPr>
              <w:t>81.7</w:t>
            </w:r>
          </w:p>
        </w:tc>
        <w:tc>
          <w:tcPr>
            <w:tcW w:w="958" w:type="dxa"/>
          </w:tcPr>
          <w:p>
            <w:pPr>
              <w:pStyle w:val="TableParagraph"/>
              <w:spacing w:line="240" w:lineRule="auto" w:before="13"/>
              <w:ind w:left="5" w:right="5"/>
              <w:rPr>
                <w:sz w:val="22"/>
              </w:rPr>
            </w:pPr>
            <w:r>
              <w:rPr>
                <w:spacing w:val="-4"/>
                <w:sz w:val="22"/>
              </w:rPr>
              <w:t>93.5</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11</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29.0</w:t>
            </w:r>
          </w:p>
        </w:tc>
        <w:tc>
          <w:tcPr>
            <w:tcW w:w="958" w:type="dxa"/>
          </w:tcPr>
          <w:p>
            <w:pPr>
              <w:pStyle w:val="TableParagraph"/>
              <w:spacing w:line="240" w:lineRule="auto" w:before="13"/>
              <w:ind w:left="6" w:right="5"/>
              <w:rPr>
                <w:sz w:val="22"/>
              </w:rPr>
            </w:pPr>
            <w:r>
              <w:rPr>
                <w:spacing w:val="-4"/>
                <w:sz w:val="22"/>
              </w:rPr>
              <w:t>53.6</w:t>
            </w:r>
          </w:p>
        </w:tc>
        <w:tc>
          <w:tcPr>
            <w:tcW w:w="959" w:type="dxa"/>
          </w:tcPr>
          <w:p>
            <w:pPr>
              <w:pStyle w:val="TableParagraph"/>
              <w:spacing w:line="240" w:lineRule="auto" w:before="13"/>
              <w:ind w:left="2" w:right="2"/>
              <w:rPr>
                <w:sz w:val="22"/>
              </w:rPr>
            </w:pPr>
            <w:r>
              <w:rPr>
                <w:spacing w:val="-4"/>
                <w:sz w:val="22"/>
              </w:rPr>
              <w:t>71.0</w:t>
            </w:r>
          </w:p>
        </w:tc>
        <w:tc>
          <w:tcPr>
            <w:tcW w:w="959" w:type="dxa"/>
          </w:tcPr>
          <w:p>
            <w:pPr>
              <w:pStyle w:val="TableParagraph"/>
              <w:spacing w:line="240" w:lineRule="auto" w:before="13"/>
              <w:ind w:left="3" w:right="1"/>
              <w:rPr>
                <w:sz w:val="22"/>
              </w:rPr>
            </w:pPr>
            <w:r>
              <w:rPr>
                <w:spacing w:val="-4"/>
                <w:sz w:val="22"/>
              </w:rPr>
              <w:t>79.7</w:t>
            </w:r>
          </w:p>
        </w:tc>
        <w:tc>
          <w:tcPr>
            <w:tcW w:w="958" w:type="dxa"/>
          </w:tcPr>
          <w:p>
            <w:pPr>
              <w:pStyle w:val="TableParagraph"/>
              <w:spacing w:line="240" w:lineRule="auto" w:before="13"/>
              <w:ind w:left="5" w:right="5"/>
              <w:rPr>
                <w:sz w:val="22"/>
              </w:rPr>
            </w:pPr>
            <w:r>
              <w:rPr>
                <w:spacing w:val="-4"/>
                <w:sz w:val="22"/>
              </w:rPr>
              <w:t>92.8</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12</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24.6</w:t>
            </w:r>
          </w:p>
        </w:tc>
        <w:tc>
          <w:tcPr>
            <w:tcW w:w="958" w:type="dxa"/>
          </w:tcPr>
          <w:p>
            <w:pPr>
              <w:pStyle w:val="TableParagraph"/>
              <w:spacing w:line="240" w:lineRule="auto" w:before="13"/>
              <w:ind w:left="6" w:right="5"/>
              <w:rPr>
                <w:sz w:val="22"/>
              </w:rPr>
            </w:pPr>
            <w:r>
              <w:rPr>
                <w:spacing w:val="-4"/>
                <w:sz w:val="22"/>
              </w:rPr>
              <w:t>59.4</w:t>
            </w:r>
          </w:p>
        </w:tc>
        <w:tc>
          <w:tcPr>
            <w:tcW w:w="959" w:type="dxa"/>
          </w:tcPr>
          <w:p>
            <w:pPr>
              <w:pStyle w:val="TableParagraph"/>
              <w:spacing w:line="240" w:lineRule="auto" w:before="13"/>
              <w:ind w:left="2" w:right="2"/>
              <w:rPr>
                <w:sz w:val="22"/>
              </w:rPr>
            </w:pPr>
            <w:r>
              <w:rPr>
                <w:spacing w:val="-4"/>
                <w:sz w:val="22"/>
              </w:rPr>
              <w:t>71.0</w:t>
            </w:r>
          </w:p>
        </w:tc>
        <w:tc>
          <w:tcPr>
            <w:tcW w:w="959" w:type="dxa"/>
          </w:tcPr>
          <w:p>
            <w:pPr>
              <w:pStyle w:val="TableParagraph"/>
              <w:spacing w:line="240" w:lineRule="auto" w:before="13"/>
              <w:ind w:left="3" w:right="1"/>
              <w:rPr>
                <w:sz w:val="22"/>
              </w:rPr>
            </w:pPr>
            <w:r>
              <w:rPr>
                <w:spacing w:val="-4"/>
                <w:sz w:val="22"/>
              </w:rPr>
              <w:t>84.1</w:t>
            </w:r>
          </w:p>
        </w:tc>
        <w:tc>
          <w:tcPr>
            <w:tcW w:w="958" w:type="dxa"/>
          </w:tcPr>
          <w:p>
            <w:pPr>
              <w:pStyle w:val="TableParagraph"/>
              <w:spacing w:line="240" w:lineRule="auto" w:before="13"/>
              <w:ind w:left="5" w:right="5"/>
              <w:rPr>
                <w:sz w:val="22"/>
              </w:rPr>
            </w:pPr>
            <w:r>
              <w:rPr>
                <w:spacing w:val="-4"/>
                <w:sz w:val="22"/>
              </w:rPr>
              <w:t>92.8</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right="2"/>
              <w:rPr>
                <w:sz w:val="22"/>
              </w:rPr>
            </w:pPr>
            <w:r>
              <w:rPr>
                <w:spacing w:val="-5"/>
                <w:sz w:val="22"/>
              </w:rPr>
              <w:t>13</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68.5</w:t>
            </w:r>
          </w:p>
        </w:tc>
        <w:tc>
          <w:tcPr>
            <w:tcW w:w="958" w:type="dxa"/>
          </w:tcPr>
          <w:p>
            <w:pPr>
              <w:pStyle w:val="TableParagraph"/>
              <w:spacing w:line="240" w:lineRule="auto" w:before="13"/>
              <w:ind w:left="6" w:right="5"/>
              <w:rPr>
                <w:sz w:val="22"/>
              </w:rPr>
            </w:pPr>
            <w:r>
              <w:rPr>
                <w:spacing w:val="-4"/>
                <w:sz w:val="22"/>
              </w:rPr>
              <w:t>79.5</w:t>
            </w:r>
          </w:p>
        </w:tc>
        <w:tc>
          <w:tcPr>
            <w:tcW w:w="959" w:type="dxa"/>
          </w:tcPr>
          <w:p>
            <w:pPr>
              <w:pStyle w:val="TableParagraph"/>
              <w:spacing w:line="240" w:lineRule="auto" w:before="13"/>
              <w:ind w:left="2" w:right="2"/>
              <w:rPr>
                <w:sz w:val="22"/>
              </w:rPr>
            </w:pPr>
            <w:r>
              <w:rPr>
                <w:spacing w:val="-4"/>
                <w:sz w:val="22"/>
              </w:rPr>
              <w:t>91.8</w:t>
            </w:r>
          </w:p>
        </w:tc>
        <w:tc>
          <w:tcPr>
            <w:tcW w:w="959" w:type="dxa"/>
          </w:tcPr>
          <w:p>
            <w:pPr>
              <w:pStyle w:val="TableParagraph"/>
              <w:spacing w:line="240" w:lineRule="auto" w:before="13"/>
              <w:ind w:left="3" w:right="1"/>
              <w:rPr>
                <w:sz w:val="22"/>
              </w:rPr>
            </w:pPr>
            <w:r>
              <w:rPr>
                <w:spacing w:val="-4"/>
                <w:sz w:val="22"/>
              </w:rPr>
              <w:t>97.3</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14</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34.9</w:t>
            </w:r>
          </w:p>
        </w:tc>
        <w:tc>
          <w:tcPr>
            <w:tcW w:w="958" w:type="dxa"/>
          </w:tcPr>
          <w:p>
            <w:pPr>
              <w:pStyle w:val="TableParagraph"/>
              <w:spacing w:line="240" w:lineRule="auto" w:before="13"/>
              <w:ind w:left="6" w:right="5"/>
              <w:rPr>
                <w:sz w:val="22"/>
              </w:rPr>
            </w:pPr>
            <w:r>
              <w:rPr>
                <w:spacing w:val="-4"/>
                <w:sz w:val="22"/>
              </w:rPr>
              <w:t>62.8</w:t>
            </w:r>
          </w:p>
        </w:tc>
        <w:tc>
          <w:tcPr>
            <w:tcW w:w="959" w:type="dxa"/>
          </w:tcPr>
          <w:p>
            <w:pPr>
              <w:pStyle w:val="TableParagraph"/>
              <w:spacing w:line="240" w:lineRule="auto" w:before="13"/>
              <w:ind w:left="2" w:right="2"/>
              <w:rPr>
                <w:sz w:val="22"/>
              </w:rPr>
            </w:pPr>
            <w:r>
              <w:rPr>
                <w:spacing w:val="-4"/>
                <w:sz w:val="22"/>
              </w:rPr>
              <w:t>83.7</w:t>
            </w:r>
          </w:p>
        </w:tc>
        <w:tc>
          <w:tcPr>
            <w:tcW w:w="959" w:type="dxa"/>
          </w:tcPr>
          <w:p>
            <w:pPr>
              <w:pStyle w:val="TableParagraph"/>
              <w:spacing w:line="240" w:lineRule="auto" w:before="13"/>
              <w:ind w:left="3" w:right="1"/>
              <w:rPr>
                <w:sz w:val="22"/>
              </w:rPr>
            </w:pPr>
            <w:r>
              <w:rPr>
                <w:spacing w:val="-4"/>
                <w:sz w:val="22"/>
              </w:rPr>
              <w:t>97.7</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15</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64.8</w:t>
            </w:r>
          </w:p>
        </w:tc>
        <w:tc>
          <w:tcPr>
            <w:tcW w:w="958" w:type="dxa"/>
          </w:tcPr>
          <w:p>
            <w:pPr>
              <w:pStyle w:val="TableParagraph"/>
              <w:spacing w:line="240" w:lineRule="auto" w:before="13"/>
              <w:ind w:left="6" w:right="5"/>
              <w:rPr>
                <w:sz w:val="22"/>
              </w:rPr>
            </w:pPr>
            <w:r>
              <w:rPr>
                <w:spacing w:val="-4"/>
                <w:sz w:val="22"/>
              </w:rPr>
              <w:t>80.7</w:t>
            </w:r>
          </w:p>
        </w:tc>
        <w:tc>
          <w:tcPr>
            <w:tcW w:w="959" w:type="dxa"/>
          </w:tcPr>
          <w:p>
            <w:pPr>
              <w:pStyle w:val="TableParagraph"/>
              <w:spacing w:line="240" w:lineRule="auto" w:before="13"/>
              <w:ind w:left="2" w:right="2"/>
              <w:rPr>
                <w:sz w:val="22"/>
              </w:rPr>
            </w:pPr>
            <w:r>
              <w:rPr>
                <w:spacing w:val="-4"/>
                <w:sz w:val="22"/>
              </w:rPr>
              <w:t>93.2</w:t>
            </w:r>
          </w:p>
        </w:tc>
        <w:tc>
          <w:tcPr>
            <w:tcW w:w="959" w:type="dxa"/>
          </w:tcPr>
          <w:p>
            <w:pPr>
              <w:pStyle w:val="TableParagraph"/>
              <w:spacing w:line="240" w:lineRule="auto" w:before="13"/>
              <w:ind w:left="3" w:right="1"/>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right="2"/>
              <w:rPr>
                <w:sz w:val="22"/>
              </w:rPr>
            </w:pPr>
            <w:r>
              <w:rPr>
                <w:spacing w:val="-5"/>
                <w:sz w:val="22"/>
              </w:rPr>
              <w:t>16</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27.8</w:t>
            </w:r>
          </w:p>
        </w:tc>
        <w:tc>
          <w:tcPr>
            <w:tcW w:w="958" w:type="dxa"/>
          </w:tcPr>
          <w:p>
            <w:pPr>
              <w:pStyle w:val="TableParagraph"/>
              <w:spacing w:line="240" w:lineRule="auto" w:before="13"/>
              <w:ind w:left="6" w:right="5"/>
              <w:rPr>
                <w:sz w:val="22"/>
              </w:rPr>
            </w:pPr>
            <w:r>
              <w:rPr>
                <w:spacing w:val="-4"/>
                <w:sz w:val="22"/>
              </w:rPr>
              <w:t>66.7</w:t>
            </w:r>
          </w:p>
        </w:tc>
        <w:tc>
          <w:tcPr>
            <w:tcW w:w="959" w:type="dxa"/>
          </w:tcPr>
          <w:p>
            <w:pPr>
              <w:pStyle w:val="TableParagraph"/>
              <w:spacing w:line="240" w:lineRule="auto" w:before="13"/>
              <w:ind w:left="2" w:right="2"/>
              <w:rPr>
                <w:sz w:val="22"/>
              </w:rPr>
            </w:pPr>
            <w:r>
              <w:rPr>
                <w:spacing w:val="-4"/>
                <w:sz w:val="22"/>
              </w:rPr>
              <w:t>88.9</w:t>
            </w:r>
          </w:p>
        </w:tc>
        <w:tc>
          <w:tcPr>
            <w:tcW w:w="959" w:type="dxa"/>
          </w:tcPr>
          <w:p>
            <w:pPr>
              <w:pStyle w:val="TableParagraph"/>
              <w:spacing w:line="240" w:lineRule="auto" w:before="13"/>
              <w:ind w:left="3" w:right="1"/>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8" w:hRule="atLeast"/>
        </w:trPr>
        <w:tc>
          <w:tcPr>
            <w:tcW w:w="1395" w:type="dxa"/>
          </w:tcPr>
          <w:p>
            <w:pPr>
              <w:pStyle w:val="TableParagraph"/>
              <w:spacing w:line="240" w:lineRule="auto" w:before="13"/>
              <w:ind w:right="2"/>
              <w:rPr>
                <w:sz w:val="22"/>
              </w:rPr>
            </w:pPr>
            <w:r>
              <w:rPr>
                <w:spacing w:val="-5"/>
                <w:sz w:val="22"/>
              </w:rPr>
              <w:t>17</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51.0</w:t>
            </w:r>
          </w:p>
        </w:tc>
        <w:tc>
          <w:tcPr>
            <w:tcW w:w="958" w:type="dxa"/>
          </w:tcPr>
          <w:p>
            <w:pPr>
              <w:pStyle w:val="TableParagraph"/>
              <w:spacing w:line="240" w:lineRule="auto" w:before="13"/>
              <w:ind w:left="6" w:right="5"/>
              <w:rPr>
                <w:sz w:val="22"/>
              </w:rPr>
            </w:pPr>
            <w:r>
              <w:rPr>
                <w:spacing w:val="-4"/>
                <w:sz w:val="22"/>
              </w:rPr>
              <w:t>67.3</w:t>
            </w:r>
          </w:p>
        </w:tc>
        <w:tc>
          <w:tcPr>
            <w:tcW w:w="959" w:type="dxa"/>
          </w:tcPr>
          <w:p>
            <w:pPr>
              <w:pStyle w:val="TableParagraph"/>
              <w:spacing w:line="240" w:lineRule="auto" w:before="13"/>
              <w:ind w:left="2" w:right="2"/>
              <w:rPr>
                <w:sz w:val="22"/>
              </w:rPr>
            </w:pPr>
            <w:r>
              <w:rPr>
                <w:spacing w:val="-4"/>
                <w:sz w:val="22"/>
              </w:rPr>
              <w:t>75.5</w:t>
            </w:r>
          </w:p>
        </w:tc>
        <w:tc>
          <w:tcPr>
            <w:tcW w:w="959" w:type="dxa"/>
          </w:tcPr>
          <w:p>
            <w:pPr>
              <w:pStyle w:val="TableParagraph"/>
              <w:spacing w:line="240" w:lineRule="auto" w:before="13"/>
              <w:ind w:left="3" w:right="1"/>
              <w:rPr>
                <w:sz w:val="22"/>
              </w:rPr>
            </w:pPr>
            <w:r>
              <w:rPr>
                <w:spacing w:val="-4"/>
                <w:sz w:val="22"/>
              </w:rPr>
              <w:t>91.8</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18</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38.9</w:t>
            </w:r>
          </w:p>
        </w:tc>
        <w:tc>
          <w:tcPr>
            <w:tcW w:w="958" w:type="dxa"/>
          </w:tcPr>
          <w:p>
            <w:pPr>
              <w:pStyle w:val="TableParagraph"/>
              <w:spacing w:line="240" w:lineRule="auto" w:before="13"/>
              <w:ind w:left="6" w:right="5"/>
              <w:rPr>
                <w:sz w:val="22"/>
              </w:rPr>
            </w:pPr>
            <w:r>
              <w:rPr>
                <w:spacing w:val="-4"/>
                <w:sz w:val="22"/>
              </w:rPr>
              <w:t>69.4</w:t>
            </w:r>
          </w:p>
        </w:tc>
        <w:tc>
          <w:tcPr>
            <w:tcW w:w="959" w:type="dxa"/>
          </w:tcPr>
          <w:p>
            <w:pPr>
              <w:pStyle w:val="TableParagraph"/>
              <w:spacing w:line="240" w:lineRule="auto" w:before="13"/>
              <w:ind w:left="2" w:right="2"/>
              <w:rPr>
                <w:sz w:val="22"/>
              </w:rPr>
            </w:pPr>
            <w:r>
              <w:rPr>
                <w:spacing w:val="-4"/>
                <w:sz w:val="22"/>
              </w:rPr>
              <w:t>88.9</w:t>
            </w:r>
          </w:p>
        </w:tc>
        <w:tc>
          <w:tcPr>
            <w:tcW w:w="959" w:type="dxa"/>
          </w:tcPr>
          <w:p>
            <w:pPr>
              <w:pStyle w:val="TableParagraph"/>
              <w:spacing w:line="240" w:lineRule="auto" w:before="13"/>
              <w:ind w:left="3" w:right="1"/>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87" w:hRule="atLeast"/>
        </w:trPr>
        <w:tc>
          <w:tcPr>
            <w:tcW w:w="1395" w:type="dxa"/>
          </w:tcPr>
          <w:p>
            <w:pPr>
              <w:pStyle w:val="TableParagraph"/>
              <w:spacing w:line="240" w:lineRule="auto" w:before="13"/>
              <w:ind w:right="2"/>
              <w:rPr>
                <w:sz w:val="22"/>
              </w:rPr>
            </w:pPr>
            <w:r>
              <w:rPr>
                <w:spacing w:val="-5"/>
                <w:sz w:val="22"/>
              </w:rPr>
              <w:t>19</w:t>
            </w:r>
          </w:p>
        </w:tc>
        <w:tc>
          <w:tcPr>
            <w:tcW w:w="1076" w:type="dxa"/>
          </w:tcPr>
          <w:p>
            <w:pPr>
              <w:pStyle w:val="TableParagraph"/>
              <w:spacing w:line="240" w:lineRule="auto" w:before="13"/>
              <w:ind w:right="31"/>
              <w:rPr>
                <w:sz w:val="22"/>
              </w:rPr>
            </w:pPr>
            <w:r>
              <w:rPr>
                <w:spacing w:val="-5"/>
                <w:sz w:val="22"/>
              </w:rPr>
              <w:t>0.0</w:t>
            </w:r>
          </w:p>
        </w:tc>
        <w:tc>
          <w:tcPr>
            <w:tcW w:w="944" w:type="dxa"/>
          </w:tcPr>
          <w:p>
            <w:pPr>
              <w:pStyle w:val="TableParagraph"/>
              <w:spacing w:line="240" w:lineRule="auto" w:before="13"/>
              <w:ind w:right="10"/>
              <w:rPr>
                <w:sz w:val="22"/>
              </w:rPr>
            </w:pPr>
            <w:r>
              <w:rPr>
                <w:spacing w:val="-4"/>
                <w:sz w:val="22"/>
              </w:rPr>
              <w:t>27.2</w:t>
            </w:r>
          </w:p>
        </w:tc>
        <w:tc>
          <w:tcPr>
            <w:tcW w:w="958" w:type="dxa"/>
          </w:tcPr>
          <w:p>
            <w:pPr>
              <w:pStyle w:val="TableParagraph"/>
              <w:spacing w:line="240" w:lineRule="auto" w:before="13"/>
              <w:ind w:left="6" w:right="5"/>
              <w:rPr>
                <w:sz w:val="22"/>
              </w:rPr>
            </w:pPr>
            <w:r>
              <w:rPr>
                <w:spacing w:val="-4"/>
                <w:sz w:val="22"/>
              </w:rPr>
              <w:t>66.7</w:t>
            </w:r>
          </w:p>
        </w:tc>
        <w:tc>
          <w:tcPr>
            <w:tcW w:w="959" w:type="dxa"/>
          </w:tcPr>
          <w:p>
            <w:pPr>
              <w:pStyle w:val="TableParagraph"/>
              <w:spacing w:line="240" w:lineRule="auto" w:before="13"/>
              <w:ind w:left="2" w:right="2"/>
              <w:rPr>
                <w:sz w:val="22"/>
              </w:rPr>
            </w:pPr>
            <w:r>
              <w:rPr>
                <w:spacing w:val="-4"/>
                <w:sz w:val="22"/>
              </w:rPr>
              <w:t>84.0</w:t>
            </w:r>
          </w:p>
        </w:tc>
        <w:tc>
          <w:tcPr>
            <w:tcW w:w="959" w:type="dxa"/>
          </w:tcPr>
          <w:p>
            <w:pPr>
              <w:pStyle w:val="TableParagraph"/>
              <w:spacing w:line="240" w:lineRule="auto" w:before="13"/>
              <w:ind w:left="3" w:right="1"/>
              <w:rPr>
                <w:sz w:val="22"/>
              </w:rPr>
            </w:pPr>
            <w:r>
              <w:rPr>
                <w:spacing w:val="-4"/>
                <w:sz w:val="22"/>
              </w:rPr>
              <w:t>95.1</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c>
          <w:tcPr>
            <w:tcW w:w="958" w:type="dxa"/>
          </w:tcPr>
          <w:p>
            <w:pPr>
              <w:pStyle w:val="TableParagraph"/>
              <w:spacing w:line="240" w:lineRule="auto" w:before="13"/>
              <w:ind w:left="5" w:right="5"/>
              <w:rPr>
                <w:sz w:val="22"/>
              </w:rPr>
            </w:pPr>
            <w:r>
              <w:rPr>
                <w:spacing w:val="-2"/>
                <w:sz w:val="22"/>
              </w:rPr>
              <w:t>100.0</w:t>
            </w:r>
          </w:p>
        </w:tc>
      </w:tr>
      <w:tr>
        <w:trPr>
          <w:trHeight w:val="273" w:hRule="atLeast"/>
        </w:trPr>
        <w:tc>
          <w:tcPr>
            <w:tcW w:w="1395" w:type="dxa"/>
            <w:tcBorders>
              <w:bottom w:val="single" w:sz="4" w:space="0" w:color="000000"/>
            </w:tcBorders>
          </w:tcPr>
          <w:p>
            <w:pPr>
              <w:pStyle w:val="TableParagraph"/>
              <w:spacing w:line="240" w:lineRule="exact" w:before="13"/>
              <w:ind w:right="2"/>
              <w:rPr>
                <w:sz w:val="22"/>
              </w:rPr>
            </w:pPr>
            <w:r>
              <w:rPr>
                <w:spacing w:val="-5"/>
                <w:sz w:val="22"/>
              </w:rPr>
              <w:t>20</w:t>
            </w:r>
          </w:p>
        </w:tc>
        <w:tc>
          <w:tcPr>
            <w:tcW w:w="1076" w:type="dxa"/>
            <w:tcBorders>
              <w:bottom w:val="single" w:sz="4" w:space="0" w:color="000000"/>
            </w:tcBorders>
          </w:tcPr>
          <w:p>
            <w:pPr>
              <w:pStyle w:val="TableParagraph"/>
              <w:spacing w:line="240" w:lineRule="exact" w:before="13"/>
              <w:ind w:right="31"/>
              <w:rPr>
                <w:sz w:val="22"/>
              </w:rPr>
            </w:pPr>
            <w:r>
              <w:rPr>
                <w:spacing w:val="-5"/>
                <w:sz w:val="22"/>
              </w:rPr>
              <w:t>0.0</w:t>
            </w:r>
          </w:p>
        </w:tc>
        <w:tc>
          <w:tcPr>
            <w:tcW w:w="944" w:type="dxa"/>
            <w:tcBorders>
              <w:bottom w:val="single" w:sz="4" w:space="0" w:color="000000"/>
            </w:tcBorders>
          </w:tcPr>
          <w:p>
            <w:pPr>
              <w:pStyle w:val="TableParagraph"/>
              <w:spacing w:line="240" w:lineRule="exact" w:before="13"/>
              <w:ind w:right="10"/>
              <w:rPr>
                <w:sz w:val="22"/>
              </w:rPr>
            </w:pPr>
            <w:r>
              <w:rPr>
                <w:spacing w:val="-4"/>
                <w:sz w:val="22"/>
              </w:rPr>
              <w:t>46.5</w:t>
            </w:r>
          </w:p>
        </w:tc>
        <w:tc>
          <w:tcPr>
            <w:tcW w:w="958" w:type="dxa"/>
            <w:tcBorders>
              <w:bottom w:val="single" w:sz="4" w:space="0" w:color="000000"/>
            </w:tcBorders>
          </w:tcPr>
          <w:p>
            <w:pPr>
              <w:pStyle w:val="TableParagraph"/>
              <w:spacing w:line="240" w:lineRule="exact" w:before="13"/>
              <w:ind w:left="6" w:right="5"/>
              <w:rPr>
                <w:sz w:val="22"/>
              </w:rPr>
            </w:pPr>
            <w:r>
              <w:rPr>
                <w:spacing w:val="-4"/>
                <w:sz w:val="22"/>
              </w:rPr>
              <w:t>86.9</w:t>
            </w:r>
          </w:p>
        </w:tc>
        <w:tc>
          <w:tcPr>
            <w:tcW w:w="959" w:type="dxa"/>
            <w:tcBorders>
              <w:bottom w:val="single" w:sz="4" w:space="0" w:color="000000"/>
            </w:tcBorders>
          </w:tcPr>
          <w:p>
            <w:pPr>
              <w:pStyle w:val="TableParagraph"/>
              <w:spacing w:line="240" w:lineRule="exact" w:before="13"/>
              <w:ind w:left="2" w:right="2"/>
              <w:rPr>
                <w:sz w:val="22"/>
              </w:rPr>
            </w:pPr>
            <w:r>
              <w:rPr>
                <w:spacing w:val="-4"/>
                <w:sz w:val="22"/>
              </w:rPr>
              <w:t>86.9</w:t>
            </w:r>
          </w:p>
        </w:tc>
        <w:tc>
          <w:tcPr>
            <w:tcW w:w="959" w:type="dxa"/>
            <w:tcBorders>
              <w:bottom w:val="single" w:sz="4" w:space="0" w:color="000000"/>
            </w:tcBorders>
          </w:tcPr>
          <w:p>
            <w:pPr>
              <w:pStyle w:val="TableParagraph"/>
              <w:spacing w:line="240" w:lineRule="exact" w:before="13"/>
              <w:ind w:left="3" w:right="1"/>
              <w:rPr>
                <w:sz w:val="22"/>
              </w:rPr>
            </w:pPr>
            <w:r>
              <w:rPr>
                <w:spacing w:val="-4"/>
                <w:sz w:val="22"/>
              </w:rPr>
              <w:t>92.9</w:t>
            </w:r>
          </w:p>
        </w:tc>
        <w:tc>
          <w:tcPr>
            <w:tcW w:w="958" w:type="dxa"/>
            <w:tcBorders>
              <w:bottom w:val="single" w:sz="4" w:space="0" w:color="000000"/>
            </w:tcBorders>
          </w:tcPr>
          <w:p>
            <w:pPr>
              <w:pStyle w:val="TableParagraph"/>
              <w:spacing w:line="240" w:lineRule="exact" w:before="13"/>
              <w:ind w:left="5" w:right="5"/>
              <w:rPr>
                <w:sz w:val="22"/>
              </w:rPr>
            </w:pPr>
            <w:r>
              <w:rPr>
                <w:spacing w:val="-4"/>
                <w:sz w:val="22"/>
              </w:rPr>
              <w:t>99.0</w:t>
            </w:r>
          </w:p>
        </w:tc>
        <w:tc>
          <w:tcPr>
            <w:tcW w:w="958" w:type="dxa"/>
            <w:tcBorders>
              <w:bottom w:val="single" w:sz="4" w:space="0" w:color="000000"/>
            </w:tcBorders>
          </w:tcPr>
          <w:p>
            <w:pPr>
              <w:pStyle w:val="TableParagraph"/>
              <w:spacing w:line="240" w:lineRule="exact" w:before="13"/>
              <w:ind w:left="5" w:right="5"/>
              <w:rPr>
                <w:sz w:val="22"/>
              </w:rPr>
            </w:pPr>
            <w:r>
              <w:rPr>
                <w:spacing w:val="-2"/>
                <w:sz w:val="22"/>
              </w:rPr>
              <w:t>100.0</w:t>
            </w:r>
          </w:p>
        </w:tc>
        <w:tc>
          <w:tcPr>
            <w:tcW w:w="958" w:type="dxa"/>
            <w:tcBorders>
              <w:bottom w:val="single" w:sz="4" w:space="0" w:color="000000"/>
            </w:tcBorders>
          </w:tcPr>
          <w:p>
            <w:pPr>
              <w:pStyle w:val="TableParagraph"/>
              <w:spacing w:line="240" w:lineRule="exact" w:before="13"/>
              <w:ind w:left="5" w:right="5"/>
              <w:rPr>
                <w:sz w:val="22"/>
              </w:rPr>
            </w:pPr>
            <w:r>
              <w:rPr>
                <w:spacing w:val="-2"/>
                <w:sz w:val="22"/>
              </w:rPr>
              <w:t>100.0</w:t>
            </w:r>
          </w:p>
        </w:tc>
      </w:tr>
    </w:tbl>
    <w:p>
      <w:pPr>
        <w:pStyle w:val="BodyText"/>
        <w:spacing w:before="8"/>
        <w:ind w:left="260"/>
      </w:pPr>
      <w:r>
        <w:rPr/>
        <w:t>Key: A</w:t>
      </w:r>
      <w:r>
        <w:rPr>
          <w:spacing w:val="-1"/>
        </w:rPr>
        <w:t> </w:t>
      </w:r>
      <w:r>
        <w:rPr/>
        <w:t>is</w:t>
      </w:r>
      <w:r>
        <w:rPr>
          <w:spacing w:val="-1"/>
        </w:rPr>
        <w:t> </w:t>
      </w:r>
      <w:r>
        <w:rPr/>
        <w:t>control,</w:t>
      </w:r>
      <w:r>
        <w:rPr>
          <w:spacing w:val="-1"/>
        </w:rPr>
        <w:t> </w:t>
      </w:r>
      <w:r>
        <w:rPr/>
        <w:t>B</w:t>
      </w:r>
      <w:r>
        <w:rPr>
          <w:spacing w:val="-3"/>
        </w:rPr>
        <w:t> </w:t>
      </w:r>
      <w:r>
        <w:rPr/>
        <w:t>to</w:t>
      </w:r>
      <w:r>
        <w:rPr>
          <w:spacing w:val="-1"/>
        </w:rPr>
        <w:t> </w:t>
      </w:r>
      <w:r>
        <w:rPr/>
        <w:t>H</w:t>
      </w:r>
      <w:r>
        <w:rPr>
          <w:spacing w:val="1"/>
        </w:rPr>
        <w:t> </w:t>
      </w:r>
      <w:r>
        <w:rPr/>
        <w:t>represent</w:t>
      </w:r>
      <w:r>
        <w:rPr>
          <w:spacing w:val="-1"/>
        </w:rPr>
        <w:t> </w:t>
      </w:r>
      <w:r>
        <w:rPr/>
        <w:t>concentration</w:t>
      </w:r>
      <w:r>
        <w:rPr>
          <w:spacing w:val="1"/>
        </w:rPr>
        <w:t> </w:t>
      </w:r>
      <w:r>
        <w:rPr/>
        <w:t>of</w:t>
      </w:r>
      <w:r>
        <w:rPr>
          <w:spacing w:val="-2"/>
        </w:rPr>
        <w:t> </w:t>
      </w:r>
      <w:r>
        <w:rPr/>
        <w:t>test</w:t>
      </w:r>
      <w:r>
        <w:rPr>
          <w:spacing w:val="-1"/>
        </w:rPr>
        <w:t> </w:t>
      </w:r>
      <w:r>
        <w:rPr>
          <w:spacing w:val="-4"/>
        </w:rPr>
        <w:t>drug</w:t>
      </w:r>
    </w:p>
    <w:p>
      <w:pPr>
        <w:spacing w:after="0"/>
        <w:sectPr>
          <w:pgSz w:w="11910" w:h="16840"/>
          <w:pgMar w:header="0" w:footer="1254" w:top="1340" w:bottom="1440" w:left="1180" w:right="580"/>
        </w:sectPr>
      </w:pPr>
    </w:p>
    <w:p>
      <w:pPr>
        <w:pStyle w:val="BodyText"/>
        <w:spacing w:line="480" w:lineRule="auto" w:before="74"/>
        <w:ind w:left="260" w:right="857"/>
        <w:jc w:val="both"/>
      </w:pPr>
      <w:r>
        <w:rPr/>
        <w:t>The percentage schizont maturation inhibition was converted to probit and the respective LC</w:t>
      </w:r>
      <w:r>
        <w:rPr>
          <w:vertAlign w:val="subscript"/>
        </w:rPr>
        <w:t>50</w:t>
      </w:r>
      <w:r>
        <w:rPr>
          <w:vertAlign w:val="baseline"/>
        </w:rPr>
        <w:t>, LC</w:t>
      </w:r>
      <w:r>
        <w:rPr>
          <w:vertAlign w:val="subscript"/>
        </w:rPr>
        <w:t>90</w:t>
      </w:r>
      <w:r>
        <w:rPr>
          <w:vertAlign w:val="baseline"/>
        </w:rPr>
        <w:t>, LC</w:t>
      </w:r>
      <w:r>
        <w:rPr>
          <w:vertAlign w:val="subscript"/>
        </w:rPr>
        <w:t>95</w:t>
      </w:r>
      <w:r>
        <w:rPr>
          <w:vertAlign w:val="baseline"/>
        </w:rPr>
        <w:t> and LC</w:t>
      </w:r>
      <w:r>
        <w:rPr>
          <w:vertAlign w:val="subscript"/>
        </w:rPr>
        <w:t>99</w:t>
      </w:r>
      <w:r>
        <w:rPr>
          <w:vertAlign w:val="baseline"/>
        </w:rPr>
        <w:t> were computed for each </w:t>
      </w:r>
      <w:r>
        <w:rPr>
          <w:i/>
          <w:vertAlign w:val="baseline"/>
        </w:rPr>
        <w:t>Plasmodium falciparum </w:t>
      </w:r>
      <w:r>
        <w:rPr>
          <w:vertAlign w:val="baseline"/>
        </w:rPr>
        <w:t>isolate. The probit plots for</w:t>
      </w:r>
      <w:r>
        <w:rPr>
          <w:spacing w:val="-2"/>
          <w:vertAlign w:val="baseline"/>
        </w:rPr>
        <w:t> </w:t>
      </w:r>
      <w:r>
        <w:rPr>
          <w:vertAlign w:val="baseline"/>
        </w:rPr>
        <w:t>the respective</w:t>
      </w:r>
      <w:r>
        <w:rPr>
          <w:spacing w:val="-1"/>
          <w:vertAlign w:val="baseline"/>
        </w:rPr>
        <w:t> </w:t>
      </w:r>
      <w:r>
        <w:rPr>
          <w:vertAlign w:val="baseline"/>
        </w:rPr>
        <w:t>drugs are shown</w:t>
      </w:r>
      <w:r>
        <w:rPr>
          <w:spacing w:val="-1"/>
          <w:vertAlign w:val="baseline"/>
        </w:rPr>
        <w:t> </w:t>
      </w:r>
      <w:r>
        <w:rPr>
          <w:vertAlign w:val="baseline"/>
        </w:rPr>
        <w:t>in Appendix VII. The results for each drug are presented herein. The inhibitory concentrations for Chloroquine, Amodiaquine, Artesunate and Artesunate-Amodiaquine are presented in Tables 4.7, 4.8, 4.9 and 4.10 respectively.</w:t>
      </w:r>
    </w:p>
    <w:p>
      <w:pPr>
        <w:pStyle w:val="BodyText"/>
      </w:pPr>
    </w:p>
    <w:p>
      <w:pPr>
        <w:pStyle w:val="BodyText"/>
      </w:pPr>
    </w:p>
    <w:p>
      <w:pPr>
        <w:pStyle w:val="BodyText"/>
        <w:spacing w:line="480" w:lineRule="auto" w:before="1"/>
        <w:ind w:left="260" w:right="856"/>
        <w:jc w:val="both"/>
      </w:pPr>
      <w:r>
        <w:rPr/>
        <w:t>In Table 4.7, the IC</w:t>
      </w:r>
      <w:r>
        <w:rPr>
          <w:vertAlign w:val="subscript"/>
        </w:rPr>
        <w:t>50</w:t>
      </w:r>
      <w:r>
        <w:rPr>
          <w:vertAlign w:val="baseline"/>
        </w:rPr>
        <w:t> of 19 isolates (95%) exceeded the peak plasma level (PPL) break point of 114 nM for Chloroquine. In Table 4.8, the IC</w:t>
      </w:r>
      <w:r>
        <w:rPr>
          <w:vertAlign w:val="subscript"/>
        </w:rPr>
        <w:t>50</w:t>
      </w:r>
      <w:r>
        <w:rPr>
          <w:vertAlign w:val="baseline"/>
        </w:rPr>
        <w:t> of 7 isolates (35%) exceeded the peak plasma level (PPL) break point of 80 nM for Amodiaquine. In Table 4.9, the IC</w:t>
      </w:r>
      <w:r>
        <w:rPr>
          <w:vertAlign w:val="subscript"/>
        </w:rPr>
        <w:t>50</w:t>
      </w:r>
      <w:r>
        <w:rPr>
          <w:vertAlign w:val="baseline"/>
        </w:rPr>
        <w:t> of 15 isolates (75%) exceeded the peak plasma level (PPL) break point of 2.8nM for Artesunate. The reported PPL break point of Artesunate is 2.8 nM and that of Amodiaquine is 80 nM. Considering the upper limit (80 nM) as the PPL break point of Artesunate-Amodiaquine,</w:t>
      </w:r>
      <w:r>
        <w:rPr>
          <w:spacing w:val="80"/>
          <w:vertAlign w:val="baseline"/>
        </w:rPr>
        <w:t> </w:t>
      </w:r>
      <w:r>
        <w:rPr>
          <w:vertAlign w:val="baseline"/>
        </w:rPr>
        <w:t>only one (5%) isolate had IC</w:t>
      </w:r>
      <w:r>
        <w:rPr>
          <w:vertAlign w:val="subscript"/>
        </w:rPr>
        <w:t>50</w:t>
      </w:r>
      <w:r>
        <w:rPr>
          <w:vertAlign w:val="baseline"/>
        </w:rPr>
        <w:t> greater than 80 nM.</w:t>
      </w:r>
    </w:p>
    <w:p>
      <w:pPr>
        <w:pStyle w:val="BodyText"/>
      </w:pPr>
    </w:p>
    <w:p>
      <w:pPr>
        <w:pStyle w:val="BodyText"/>
      </w:pPr>
    </w:p>
    <w:p>
      <w:pPr>
        <w:pStyle w:val="BodyText"/>
        <w:spacing w:line="480" w:lineRule="auto"/>
        <w:ind w:left="260" w:right="853"/>
        <w:jc w:val="both"/>
      </w:pPr>
      <w:r>
        <w:rPr/>
        <w:t>The </w:t>
      </w:r>
      <w:r>
        <w:rPr>
          <w:i/>
        </w:rPr>
        <w:t>in vitro </w:t>
      </w:r>
      <w:r>
        <w:rPr/>
        <w:t>response of malaria parasites in various drug concentrations are expressed as the IC</w:t>
      </w:r>
      <w:r>
        <w:rPr>
          <w:vertAlign w:val="subscript"/>
        </w:rPr>
        <w:t>50</w:t>
      </w:r>
      <w:r>
        <w:rPr>
          <w:vertAlign w:val="baseline"/>
        </w:rPr>
        <w:t> value (the 50% inhibitory dose, ID</w:t>
      </w:r>
      <w:r>
        <w:rPr>
          <w:vertAlign w:val="subscript"/>
        </w:rPr>
        <w:t>50</w:t>
      </w:r>
      <w:r>
        <w:rPr>
          <w:vertAlign w:val="baseline"/>
        </w:rPr>
        <w:t>, or the 50% effective dose, ED</w:t>
      </w:r>
      <w:r>
        <w:rPr>
          <w:vertAlign w:val="subscript"/>
        </w:rPr>
        <w:t>50</w:t>
      </w:r>
      <w:r>
        <w:rPr>
          <w:vertAlign w:val="baseline"/>
        </w:rPr>
        <w:t>). This is the concentration of an antimalarial drug that inhibits 50% of schizont maturation as compared with the development in drug-free control wells (Basco, 2007). The drug resistant </w:t>
      </w:r>
      <w:r>
        <w:rPr>
          <w:i/>
          <w:vertAlign w:val="baseline"/>
        </w:rPr>
        <w:t>P. falciparum </w:t>
      </w:r>
      <w:r>
        <w:rPr>
          <w:vertAlign w:val="baseline"/>
        </w:rPr>
        <w:t>parasites were identified as isolates with IC</w:t>
      </w:r>
      <w:r>
        <w:rPr>
          <w:vertAlign w:val="subscript"/>
        </w:rPr>
        <w:t>50</w:t>
      </w:r>
      <w:r>
        <w:rPr>
          <w:vertAlign w:val="baseline"/>
        </w:rPr>
        <w:t>values greater than published threshold values for sensitive parasite isolates. The threshold values compared were Chloroquine: IC</w:t>
      </w:r>
      <w:r>
        <w:rPr>
          <w:vertAlign w:val="subscript"/>
        </w:rPr>
        <w:t>50</w:t>
      </w:r>
      <w:r>
        <w:rPr>
          <w:vertAlign w:val="baseline"/>
        </w:rPr>
        <w:t> &gt; 114 nM; Amodiaquine: IC</w:t>
      </w:r>
      <w:r>
        <w:rPr>
          <w:vertAlign w:val="subscript"/>
        </w:rPr>
        <w:t>50</w:t>
      </w:r>
      <w:r>
        <w:rPr>
          <w:vertAlign w:val="baseline"/>
        </w:rPr>
        <w:t> &gt; 80 nM; Artesunate: IC</w:t>
      </w:r>
      <w:r>
        <w:rPr>
          <w:vertAlign w:val="subscript"/>
        </w:rPr>
        <w:t>50</w:t>
      </w:r>
      <w:r>
        <w:rPr>
          <w:vertAlign w:val="baseline"/>
        </w:rPr>
        <w:t> &gt; 2.8 nM. The results are presented in Table 4.11.</w:t>
      </w:r>
    </w:p>
    <w:p>
      <w:pPr>
        <w:pStyle w:val="BodyText"/>
      </w:pPr>
    </w:p>
    <w:p>
      <w:pPr>
        <w:pStyle w:val="BodyText"/>
        <w:spacing w:before="2"/>
      </w:pPr>
    </w:p>
    <w:p>
      <w:pPr>
        <w:pStyle w:val="BodyText"/>
        <w:spacing w:line="480" w:lineRule="auto"/>
        <w:ind w:left="260" w:right="861"/>
        <w:jc w:val="both"/>
      </w:pPr>
      <w:r>
        <w:rPr/>
        <w:t>The</w:t>
      </w:r>
      <w:r>
        <w:rPr>
          <w:spacing w:val="-1"/>
        </w:rPr>
        <w:t> </w:t>
      </w:r>
      <w:r>
        <w:rPr>
          <w:i/>
        </w:rPr>
        <w:t>in vitro </w:t>
      </w:r>
      <w:r>
        <w:rPr/>
        <w:t>susceptibility</w:t>
      </w:r>
      <w:r>
        <w:rPr>
          <w:spacing w:val="-3"/>
        </w:rPr>
        <w:t> </w:t>
      </w:r>
      <w:r>
        <w:rPr/>
        <w:t>of </w:t>
      </w:r>
      <w:r>
        <w:rPr>
          <w:i/>
        </w:rPr>
        <w:t>P.</w:t>
      </w:r>
      <w:r>
        <w:rPr>
          <w:i/>
          <w:spacing w:val="-1"/>
        </w:rPr>
        <w:t> </w:t>
      </w:r>
      <w:r>
        <w:rPr>
          <w:i/>
        </w:rPr>
        <w:t>falciparum </w:t>
      </w:r>
      <w:r>
        <w:rPr/>
        <w:t>isolates to the</w:t>
      </w:r>
      <w:r>
        <w:rPr>
          <w:spacing w:val="-1"/>
        </w:rPr>
        <w:t> </w:t>
      </w:r>
      <w:r>
        <w:rPr/>
        <w:t>selected</w:t>
      </w:r>
      <w:r>
        <w:rPr>
          <w:spacing w:val="-1"/>
        </w:rPr>
        <w:t> </w:t>
      </w:r>
      <w:r>
        <w:rPr/>
        <w:t>test antimalarial drugs is in this order:</w:t>
      </w:r>
      <w:r>
        <w:rPr>
          <w:spacing w:val="80"/>
          <w:w w:val="150"/>
        </w:rPr>
        <w:t> </w:t>
      </w:r>
      <w:r>
        <w:rPr/>
        <w:t>Artesunate-Amodiaquine&gt;Amodiaquine&gt;Artesunate&gt;Chloroquine.</w:t>
      </w:r>
    </w:p>
    <w:p>
      <w:pPr>
        <w:spacing w:after="0" w:line="480" w:lineRule="auto"/>
        <w:jc w:val="both"/>
        <w:sectPr>
          <w:pgSz w:w="11910" w:h="16840"/>
          <w:pgMar w:header="0" w:footer="1254" w:top="1340" w:bottom="1440" w:left="1180" w:right="580"/>
        </w:sectPr>
      </w:pPr>
    </w:p>
    <w:p>
      <w:pPr>
        <w:spacing w:before="61"/>
        <w:ind w:left="260" w:right="0" w:firstLine="0"/>
        <w:jc w:val="left"/>
        <w:rPr>
          <w:b/>
          <w:sz w:val="24"/>
        </w:rPr>
      </w:pPr>
      <w:r>
        <w:rPr>
          <w:b/>
          <w:sz w:val="24"/>
        </w:rPr>
        <w:t>Table</w:t>
      </w:r>
      <w:r>
        <w:rPr>
          <w:b/>
          <w:spacing w:val="-4"/>
          <w:sz w:val="24"/>
        </w:rPr>
        <w:t> </w:t>
      </w:r>
      <w:r>
        <w:rPr>
          <w:b/>
          <w:sz w:val="24"/>
        </w:rPr>
        <w:t>4.7:</w:t>
      </w:r>
      <w:r>
        <w:rPr>
          <w:b/>
          <w:spacing w:val="-4"/>
          <w:sz w:val="24"/>
        </w:rPr>
        <w:t> </w:t>
      </w:r>
      <w:r>
        <w:rPr>
          <w:b/>
          <w:sz w:val="24"/>
        </w:rPr>
        <w:t>Inhibitory</w:t>
      </w:r>
      <w:r>
        <w:rPr>
          <w:b/>
          <w:spacing w:val="-2"/>
          <w:sz w:val="24"/>
        </w:rPr>
        <w:t> </w:t>
      </w:r>
      <w:r>
        <w:rPr>
          <w:b/>
          <w:sz w:val="24"/>
        </w:rPr>
        <w:t>concentrations</w:t>
      </w:r>
      <w:r>
        <w:rPr>
          <w:b/>
          <w:spacing w:val="-2"/>
          <w:sz w:val="24"/>
        </w:rPr>
        <w:t> </w:t>
      </w:r>
      <w:r>
        <w:rPr>
          <w:b/>
          <w:sz w:val="24"/>
        </w:rPr>
        <w:t>(nM)</w:t>
      </w:r>
      <w:r>
        <w:rPr>
          <w:b/>
          <w:spacing w:val="-3"/>
          <w:sz w:val="24"/>
        </w:rPr>
        <w:t> </w:t>
      </w:r>
      <w:r>
        <w:rPr>
          <w:b/>
          <w:sz w:val="24"/>
        </w:rPr>
        <w:t>of</w:t>
      </w:r>
      <w:r>
        <w:rPr>
          <w:b/>
          <w:spacing w:val="-1"/>
          <w:sz w:val="24"/>
        </w:rPr>
        <w:t> </w:t>
      </w:r>
      <w:r>
        <w:rPr>
          <w:b/>
          <w:sz w:val="24"/>
        </w:rPr>
        <w:t>Chloroquine</w:t>
      </w:r>
      <w:r>
        <w:rPr>
          <w:b/>
          <w:spacing w:val="-3"/>
          <w:sz w:val="24"/>
        </w:rPr>
        <w:t> </w:t>
      </w:r>
      <w:r>
        <w:rPr>
          <w:b/>
          <w:sz w:val="24"/>
        </w:rPr>
        <w:t>against</w:t>
      </w:r>
      <w:r>
        <w:rPr>
          <w:b/>
          <w:spacing w:val="-2"/>
          <w:sz w:val="24"/>
        </w:rPr>
        <w:t> </w:t>
      </w:r>
      <w:r>
        <w:rPr>
          <w:b/>
          <w:sz w:val="24"/>
        </w:rPr>
        <w:t>schizont </w:t>
      </w:r>
      <w:r>
        <w:rPr>
          <w:b/>
          <w:spacing w:val="-2"/>
          <w:sz w:val="24"/>
        </w:rPr>
        <w:t>maturation</w:t>
      </w:r>
    </w:p>
    <w:p>
      <w:pPr>
        <w:pStyle w:val="BodyText"/>
        <w:spacing w:before="13"/>
        <w:rPr>
          <w:b/>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0"/>
        <w:gridCol w:w="916"/>
        <w:gridCol w:w="996"/>
        <w:gridCol w:w="1115"/>
        <w:gridCol w:w="1116"/>
        <w:gridCol w:w="960"/>
      </w:tblGrid>
      <w:tr>
        <w:trPr>
          <w:trHeight w:val="403" w:hRule="atLeast"/>
        </w:trPr>
        <w:tc>
          <w:tcPr>
            <w:tcW w:w="1070" w:type="dxa"/>
            <w:tcBorders>
              <w:top w:val="single" w:sz="4" w:space="0" w:color="000000"/>
              <w:bottom w:val="single" w:sz="4" w:space="0" w:color="000000"/>
            </w:tcBorders>
          </w:tcPr>
          <w:p>
            <w:pPr>
              <w:pStyle w:val="TableParagraph"/>
              <w:spacing w:line="240" w:lineRule="auto" w:before="0"/>
              <w:jc w:val="left"/>
              <w:rPr>
                <w:sz w:val="22"/>
              </w:rPr>
            </w:pPr>
          </w:p>
        </w:tc>
        <w:tc>
          <w:tcPr>
            <w:tcW w:w="916" w:type="dxa"/>
            <w:tcBorders>
              <w:top w:val="single" w:sz="4" w:space="0" w:color="000000"/>
              <w:bottom w:val="single" w:sz="4" w:space="0" w:color="000000"/>
            </w:tcBorders>
          </w:tcPr>
          <w:p>
            <w:pPr>
              <w:pStyle w:val="TableParagraph"/>
              <w:spacing w:line="264" w:lineRule="exact" w:before="119"/>
              <w:ind w:left="65"/>
              <w:jc w:val="left"/>
              <w:rPr>
                <w:sz w:val="24"/>
              </w:rPr>
            </w:pPr>
            <w:r>
              <w:rPr>
                <w:spacing w:val="-4"/>
                <w:sz w:val="24"/>
              </w:rPr>
              <w:t>LC</w:t>
            </w:r>
            <w:r>
              <w:rPr>
                <w:spacing w:val="-4"/>
                <w:sz w:val="24"/>
                <w:vertAlign w:val="subscript"/>
              </w:rPr>
              <w:t>50</w:t>
            </w:r>
          </w:p>
        </w:tc>
        <w:tc>
          <w:tcPr>
            <w:tcW w:w="996" w:type="dxa"/>
            <w:tcBorders>
              <w:top w:val="single" w:sz="4" w:space="0" w:color="000000"/>
              <w:bottom w:val="single" w:sz="4" w:space="0" w:color="000000"/>
            </w:tcBorders>
          </w:tcPr>
          <w:p>
            <w:pPr>
              <w:pStyle w:val="TableParagraph"/>
              <w:spacing w:line="264" w:lineRule="exact" w:before="119"/>
              <w:ind w:left="109"/>
              <w:jc w:val="left"/>
              <w:rPr>
                <w:sz w:val="24"/>
              </w:rPr>
            </w:pPr>
            <w:r>
              <w:rPr>
                <w:spacing w:val="-4"/>
                <w:sz w:val="24"/>
              </w:rPr>
              <w:t>LC</w:t>
            </w:r>
            <w:r>
              <w:rPr>
                <w:spacing w:val="-4"/>
                <w:sz w:val="24"/>
                <w:vertAlign w:val="subscript"/>
              </w:rPr>
              <w:t>90</w:t>
            </w:r>
          </w:p>
        </w:tc>
        <w:tc>
          <w:tcPr>
            <w:tcW w:w="1115" w:type="dxa"/>
            <w:tcBorders>
              <w:top w:val="single" w:sz="4" w:space="0" w:color="000000"/>
              <w:bottom w:val="single" w:sz="4" w:space="0" w:color="000000"/>
            </w:tcBorders>
          </w:tcPr>
          <w:p>
            <w:pPr>
              <w:pStyle w:val="TableParagraph"/>
              <w:spacing w:line="264" w:lineRule="exact" w:before="119"/>
              <w:ind w:left="109"/>
              <w:jc w:val="left"/>
              <w:rPr>
                <w:sz w:val="24"/>
              </w:rPr>
            </w:pPr>
            <w:r>
              <w:rPr>
                <w:spacing w:val="-4"/>
                <w:sz w:val="24"/>
              </w:rPr>
              <w:t>LC</w:t>
            </w:r>
            <w:r>
              <w:rPr>
                <w:spacing w:val="-4"/>
                <w:sz w:val="24"/>
                <w:vertAlign w:val="subscript"/>
              </w:rPr>
              <w:t>95</w:t>
            </w:r>
          </w:p>
        </w:tc>
        <w:tc>
          <w:tcPr>
            <w:tcW w:w="1116" w:type="dxa"/>
            <w:tcBorders>
              <w:top w:val="single" w:sz="4" w:space="0" w:color="000000"/>
              <w:bottom w:val="single" w:sz="4" w:space="0" w:color="000000"/>
            </w:tcBorders>
          </w:tcPr>
          <w:p>
            <w:pPr>
              <w:pStyle w:val="TableParagraph"/>
              <w:spacing w:line="264" w:lineRule="exact" w:before="119"/>
              <w:ind w:left="110"/>
              <w:jc w:val="left"/>
              <w:rPr>
                <w:sz w:val="24"/>
              </w:rPr>
            </w:pPr>
            <w:r>
              <w:rPr>
                <w:spacing w:val="-4"/>
                <w:sz w:val="24"/>
              </w:rPr>
              <w:t>LC</w:t>
            </w:r>
            <w:r>
              <w:rPr>
                <w:spacing w:val="-4"/>
                <w:sz w:val="24"/>
                <w:vertAlign w:val="subscript"/>
              </w:rPr>
              <w:t>99</w:t>
            </w:r>
          </w:p>
        </w:tc>
        <w:tc>
          <w:tcPr>
            <w:tcW w:w="960" w:type="dxa"/>
            <w:tcBorders>
              <w:top w:val="single" w:sz="4" w:space="0" w:color="000000"/>
              <w:bottom w:val="single" w:sz="4" w:space="0" w:color="000000"/>
            </w:tcBorders>
          </w:tcPr>
          <w:p>
            <w:pPr>
              <w:pStyle w:val="TableParagraph"/>
              <w:spacing w:line="158" w:lineRule="auto" w:before="121"/>
              <w:ind w:left="113"/>
              <w:jc w:val="left"/>
              <w:rPr>
                <w:sz w:val="16"/>
              </w:rPr>
            </w:pPr>
            <w:r>
              <w:rPr>
                <w:spacing w:val="-5"/>
                <w:position w:val="-10"/>
                <w:sz w:val="24"/>
              </w:rPr>
              <w:t>R</w:t>
            </w:r>
            <w:r>
              <w:rPr>
                <w:spacing w:val="-5"/>
                <w:sz w:val="16"/>
              </w:rPr>
              <w:t>2</w:t>
            </w:r>
          </w:p>
        </w:tc>
      </w:tr>
      <w:tr>
        <w:trPr>
          <w:trHeight w:val="289" w:hRule="atLeast"/>
        </w:trPr>
        <w:tc>
          <w:tcPr>
            <w:tcW w:w="1070" w:type="dxa"/>
            <w:tcBorders>
              <w:top w:val="single" w:sz="4" w:space="0" w:color="000000"/>
            </w:tcBorders>
          </w:tcPr>
          <w:p>
            <w:pPr>
              <w:pStyle w:val="TableParagraph"/>
              <w:spacing w:before="3"/>
              <w:ind w:right="146"/>
              <w:jc w:val="right"/>
              <w:rPr>
                <w:sz w:val="24"/>
              </w:rPr>
            </w:pPr>
            <w:r>
              <w:rPr>
                <w:spacing w:val="-10"/>
                <w:sz w:val="24"/>
              </w:rPr>
              <w:t>1</w:t>
            </w:r>
          </w:p>
        </w:tc>
        <w:tc>
          <w:tcPr>
            <w:tcW w:w="916" w:type="dxa"/>
            <w:tcBorders>
              <w:top w:val="single" w:sz="4" w:space="0" w:color="000000"/>
            </w:tcBorders>
          </w:tcPr>
          <w:p>
            <w:pPr>
              <w:pStyle w:val="TableParagraph"/>
              <w:spacing w:before="3"/>
              <w:ind w:left="149"/>
              <w:jc w:val="left"/>
              <w:rPr>
                <w:sz w:val="24"/>
              </w:rPr>
            </w:pPr>
            <w:r>
              <w:rPr>
                <w:spacing w:val="-2"/>
                <w:sz w:val="24"/>
              </w:rPr>
              <w:t>431.28</w:t>
            </w:r>
          </w:p>
        </w:tc>
        <w:tc>
          <w:tcPr>
            <w:tcW w:w="996" w:type="dxa"/>
            <w:tcBorders>
              <w:top w:val="single" w:sz="4" w:space="0" w:color="000000"/>
            </w:tcBorders>
          </w:tcPr>
          <w:p>
            <w:pPr>
              <w:pStyle w:val="TableParagraph"/>
              <w:spacing w:before="3"/>
              <w:ind w:left="109"/>
              <w:jc w:val="left"/>
              <w:rPr>
                <w:sz w:val="24"/>
              </w:rPr>
            </w:pPr>
            <w:r>
              <w:rPr>
                <w:spacing w:val="-2"/>
                <w:sz w:val="24"/>
              </w:rPr>
              <w:t>2271.61</w:t>
            </w:r>
          </w:p>
        </w:tc>
        <w:tc>
          <w:tcPr>
            <w:tcW w:w="1115" w:type="dxa"/>
            <w:tcBorders>
              <w:top w:val="single" w:sz="4" w:space="0" w:color="000000"/>
            </w:tcBorders>
          </w:tcPr>
          <w:p>
            <w:pPr>
              <w:pStyle w:val="TableParagraph"/>
              <w:spacing w:before="3"/>
              <w:ind w:left="229"/>
              <w:jc w:val="left"/>
              <w:rPr>
                <w:sz w:val="24"/>
              </w:rPr>
            </w:pPr>
            <w:r>
              <w:rPr>
                <w:spacing w:val="-2"/>
                <w:sz w:val="24"/>
              </w:rPr>
              <w:t>3624.73</w:t>
            </w:r>
          </w:p>
        </w:tc>
        <w:tc>
          <w:tcPr>
            <w:tcW w:w="1116" w:type="dxa"/>
            <w:tcBorders>
              <w:top w:val="single" w:sz="4" w:space="0" w:color="000000"/>
            </w:tcBorders>
          </w:tcPr>
          <w:p>
            <w:pPr>
              <w:pStyle w:val="TableParagraph"/>
              <w:spacing w:before="3"/>
              <w:ind w:left="230"/>
              <w:jc w:val="left"/>
              <w:rPr>
                <w:sz w:val="24"/>
              </w:rPr>
            </w:pPr>
            <w:r>
              <w:rPr>
                <w:spacing w:val="-2"/>
                <w:sz w:val="24"/>
              </w:rPr>
              <w:t>8876.66</w:t>
            </w:r>
          </w:p>
        </w:tc>
        <w:tc>
          <w:tcPr>
            <w:tcW w:w="960" w:type="dxa"/>
            <w:tcBorders>
              <w:top w:val="single" w:sz="4" w:space="0" w:color="000000"/>
            </w:tcBorders>
          </w:tcPr>
          <w:p>
            <w:pPr>
              <w:pStyle w:val="TableParagraph"/>
              <w:spacing w:before="3"/>
              <w:ind w:right="100"/>
              <w:jc w:val="right"/>
              <w:rPr>
                <w:sz w:val="24"/>
              </w:rPr>
            </w:pPr>
            <w:r>
              <w:rPr>
                <w:spacing w:val="-2"/>
                <w:sz w:val="24"/>
              </w:rPr>
              <w:t>0.995</w:t>
            </w:r>
          </w:p>
        </w:tc>
      </w:tr>
      <w:tr>
        <w:trPr>
          <w:trHeight w:val="288" w:hRule="atLeast"/>
        </w:trPr>
        <w:tc>
          <w:tcPr>
            <w:tcW w:w="1070" w:type="dxa"/>
          </w:tcPr>
          <w:p>
            <w:pPr>
              <w:pStyle w:val="TableParagraph"/>
              <w:ind w:right="146"/>
              <w:jc w:val="right"/>
              <w:rPr>
                <w:sz w:val="24"/>
              </w:rPr>
            </w:pPr>
            <w:r>
              <w:rPr>
                <w:spacing w:val="-10"/>
                <w:sz w:val="24"/>
              </w:rPr>
              <w:t>2</w:t>
            </w:r>
          </w:p>
        </w:tc>
        <w:tc>
          <w:tcPr>
            <w:tcW w:w="916" w:type="dxa"/>
          </w:tcPr>
          <w:p>
            <w:pPr>
              <w:pStyle w:val="TableParagraph"/>
              <w:ind w:left="149"/>
              <w:jc w:val="left"/>
              <w:rPr>
                <w:sz w:val="24"/>
              </w:rPr>
            </w:pPr>
            <w:r>
              <w:rPr>
                <w:spacing w:val="-2"/>
                <w:sz w:val="24"/>
              </w:rPr>
              <w:t>510.29</w:t>
            </w:r>
          </w:p>
        </w:tc>
        <w:tc>
          <w:tcPr>
            <w:tcW w:w="996" w:type="dxa"/>
          </w:tcPr>
          <w:p>
            <w:pPr>
              <w:pStyle w:val="TableParagraph"/>
              <w:ind w:left="109"/>
              <w:jc w:val="left"/>
              <w:rPr>
                <w:sz w:val="24"/>
              </w:rPr>
            </w:pPr>
            <w:r>
              <w:rPr>
                <w:spacing w:val="-2"/>
                <w:sz w:val="24"/>
              </w:rPr>
              <w:t>2266.87</w:t>
            </w:r>
          </w:p>
        </w:tc>
        <w:tc>
          <w:tcPr>
            <w:tcW w:w="1115" w:type="dxa"/>
          </w:tcPr>
          <w:p>
            <w:pPr>
              <w:pStyle w:val="TableParagraph"/>
              <w:ind w:left="229"/>
              <w:jc w:val="left"/>
              <w:rPr>
                <w:sz w:val="24"/>
              </w:rPr>
            </w:pPr>
            <w:r>
              <w:rPr>
                <w:spacing w:val="-2"/>
                <w:sz w:val="24"/>
              </w:rPr>
              <w:t>3447.99</w:t>
            </w:r>
          </w:p>
        </w:tc>
        <w:tc>
          <w:tcPr>
            <w:tcW w:w="1116" w:type="dxa"/>
          </w:tcPr>
          <w:p>
            <w:pPr>
              <w:pStyle w:val="TableParagraph"/>
              <w:ind w:left="230"/>
              <w:jc w:val="left"/>
              <w:rPr>
                <w:sz w:val="24"/>
              </w:rPr>
            </w:pPr>
            <w:r>
              <w:rPr>
                <w:spacing w:val="-2"/>
                <w:sz w:val="24"/>
              </w:rPr>
              <w:t>7703.15</w:t>
            </w:r>
          </w:p>
        </w:tc>
        <w:tc>
          <w:tcPr>
            <w:tcW w:w="960" w:type="dxa"/>
          </w:tcPr>
          <w:p>
            <w:pPr>
              <w:pStyle w:val="TableParagraph"/>
              <w:ind w:right="100"/>
              <w:jc w:val="right"/>
              <w:rPr>
                <w:sz w:val="24"/>
              </w:rPr>
            </w:pPr>
            <w:r>
              <w:rPr>
                <w:spacing w:val="-2"/>
                <w:sz w:val="24"/>
              </w:rPr>
              <w:t>0.958</w:t>
            </w:r>
          </w:p>
        </w:tc>
      </w:tr>
      <w:tr>
        <w:trPr>
          <w:trHeight w:val="287" w:hRule="atLeast"/>
        </w:trPr>
        <w:tc>
          <w:tcPr>
            <w:tcW w:w="1070" w:type="dxa"/>
          </w:tcPr>
          <w:p>
            <w:pPr>
              <w:pStyle w:val="TableParagraph"/>
              <w:ind w:right="146"/>
              <w:jc w:val="right"/>
              <w:rPr>
                <w:sz w:val="24"/>
              </w:rPr>
            </w:pPr>
            <w:r>
              <w:rPr>
                <w:spacing w:val="-10"/>
                <w:sz w:val="24"/>
              </w:rPr>
              <w:t>3</w:t>
            </w:r>
          </w:p>
        </w:tc>
        <w:tc>
          <w:tcPr>
            <w:tcW w:w="916" w:type="dxa"/>
          </w:tcPr>
          <w:p>
            <w:pPr>
              <w:pStyle w:val="TableParagraph"/>
              <w:ind w:left="149"/>
              <w:jc w:val="left"/>
              <w:rPr>
                <w:sz w:val="24"/>
              </w:rPr>
            </w:pPr>
            <w:r>
              <w:rPr>
                <w:spacing w:val="-2"/>
                <w:sz w:val="24"/>
              </w:rPr>
              <w:t>202.66</w:t>
            </w:r>
          </w:p>
        </w:tc>
        <w:tc>
          <w:tcPr>
            <w:tcW w:w="996" w:type="dxa"/>
          </w:tcPr>
          <w:p>
            <w:pPr>
              <w:pStyle w:val="TableParagraph"/>
              <w:ind w:left="109"/>
              <w:jc w:val="left"/>
              <w:rPr>
                <w:sz w:val="24"/>
              </w:rPr>
            </w:pPr>
            <w:r>
              <w:rPr>
                <w:spacing w:val="-2"/>
                <w:sz w:val="24"/>
              </w:rPr>
              <w:t>1098.27</w:t>
            </w:r>
          </w:p>
        </w:tc>
        <w:tc>
          <w:tcPr>
            <w:tcW w:w="1115" w:type="dxa"/>
          </w:tcPr>
          <w:p>
            <w:pPr>
              <w:pStyle w:val="TableParagraph"/>
              <w:ind w:left="229"/>
              <w:jc w:val="left"/>
              <w:rPr>
                <w:sz w:val="24"/>
              </w:rPr>
            </w:pPr>
            <w:r>
              <w:rPr>
                <w:spacing w:val="-2"/>
                <w:sz w:val="24"/>
              </w:rPr>
              <w:t>1766.58</w:t>
            </w:r>
          </w:p>
        </w:tc>
        <w:tc>
          <w:tcPr>
            <w:tcW w:w="1116" w:type="dxa"/>
          </w:tcPr>
          <w:p>
            <w:pPr>
              <w:pStyle w:val="TableParagraph"/>
              <w:ind w:left="230"/>
              <w:jc w:val="left"/>
              <w:rPr>
                <w:sz w:val="24"/>
              </w:rPr>
            </w:pPr>
            <w:r>
              <w:rPr>
                <w:spacing w:val="-2"/>
                <w:sz w:val="24"/>
              </w:rPr>
              <w:t>4393.14</w:t>
            </w:r>
          </w:p>
        </w:tc>
        <w:tc>
          <w:tcPr>
            <w:tcW w:w="960" w:type="dxa"/>
          </w:tcPr>
          <w:p>
            <w:pPr>
              <w:pStyle w:val="TableParagraph"/>
              <w:ind w:right="100"/>
              <w:jc w:val="right"/>
              <w:rPr>
                <w:sz w:val="24"/>
              </w:rPr>
            </w:pPr>
            <w:r>
              <w:rPr>
                <w:spacing w:val="-2"/>
                <w:sz w:val="24"/>
              </w:rPr>
              <w:t>0.978</w:t>
            </w:r>
          </w:p>
        </w:tc>
      </w:tr>
      <w:tr>
        <w:trPr>
          <w:trHeight w:val="288" w:hRule="atLeast"/>
        </w:trPr>
        <w:tc>
          <w:tcPr>
            <w:tcW w:w="1070" w:type="dxa"/>
          </w:tcPr>
          <w:p>
            <w:pPr>
              <w:pStyle w:val="TableParagraph"/>
              <w:ind w:right="146"/>
              <w:jc w:val="right"/>
              <w:rPr>
                <w:sz w:val="24"/>
              </w:rPr>
            </w:pPr>
            <w:r>
              <w:rPr>
                <w:spacing w:val="-10"/>
                <w:sz w:val="24"/>
              </w:rPr>
              <w:t>4</w:t>
            </w:r>
          </w:p>
        </w:tc>
        <w:tc>
          <w:tcPr>
            <w:tcW w:w="916" w:type="dxa"/>
          </w:tcPr>
          <w:p>
            <w:pPr>
              <w:pStyle w:val="TableParagraph"/>
              <w:ind w:left="149"/>
              <w:jc w:val="left"/>
              <w:rPr>
                <w:sz w:val="24"/>
              </w:rPr>
            </w:pPr>
            <w:r>
              <w:rPr>
                <w:spacing w:val="-2"/>
                <w:sz w:val="24"/>
              </w:rPr>
              <w:t>310.62</w:t>
            </w:r>
          </w:p>
        </w:tc>
        <w:tc>
          <w:tcPr>
            <w:tcW w:w="996" w:type="dxa"/>
          </w:tcPr>
          <w:p>
            <w:pPr>
              <w:pStyle w:val="TableParagraph"/>
              <w:ind w:left="109"/>
              <w:jc w:val="left"/>
              <w:rPr>
                <w:sz w:val="24"/>
              </w:rPr>
            </w:pPr>
            <w:r>
              <w:rPr>
                <w:spacing w:val="-2"/>
                <w:sz w:val="24"/>
              </w:rPr>
              <w:t>1661.97</w:t>
            </w:r>
          </w:p>
        </w:tc>
        <w:tc>
          <w:tcPr>
            <w:tcW w:w="1115" w:type="dxa"/>
          </w:tcPr>
          <w:p>
            <w:pPr>
              <w:pStyle w:val="TableParagraph"/>
              <w:ind w:left="229"/>
              <w:jc w:val="left"/>
              <w:rPr>
                <w:sz w:val="24"/>
              </w:rPr>
            </w:pPr>
            <w:r>
              <w:rPr>
                <w:spacing w:val="-2"/>
                <w:sz w:val="24"/>
              </w:rPr>
              <w:t>2663.68</w:t>
            </w:r>
          </w:p>
        </w:tc>
        <w:tc>
          <w:tcPr>
            <w:tcW w:w="1116" w:type="dxa"/>
          </w:tcPr>
          <w:p>
            <w:pPr>
              <w:pStyle w:val="TableParagraph"/>
              <w:ind w:left="230"/>
              <w:jc w:val="left"/>
              <w:rPr>
                <w:sz w:val="24"/>
              </w:rPr>
            </w:pPr>
            <w:r>
              <w:rPr>
                <w:spacing w:val="-2"/>
                <w:sz w:val="24"/>
              </w:rPr>
              <w:t>6578.55</w:t>
            </w:r>
          </w:p>
        </w:tc>
        <w:tc>
          <w:tcPr>
            <w:tcW w:w="960" w:type="dxa"/>
          </w:tcPr>
          <w:p>
            <w:pPr>
              <w:pStyle w:val="TableParagraph"/>
              <w:ind w:right="100"/>
              <w:jc w:val="right"/>
              <w:rPr>
                <w:sz w:val="24"/>
              </w:rPr>
            </w:pPr>
            <w:r>
              <w:rPr>
                <w:spacing w:val="-2"/>
                <w:sz w:val="24"/>
              </w:rPr>
              <w:t>0.992</w:t>
            </w:r>
          </w:p>
        </w:tc>
      </w:tr>
      <w:tr>
        <w:trPr>
          <w:trHeight w:val="287" w:hRule="atLeast"/>
        </w:trPr>
        <w:tc>
          <w:tcPr>
            <w:tcW w:w="1070" w:type="dxa"/>
          </w:tcPr>
          <w:p>
            <w:pPr>
              <w:pStyle w:val="TableParagraph"/>
              <w:ind w:right="146"/>
              <w:jc w:val="right"/>
              <w:rPr>
                <w:sz w:val="24"/>
              </w:rPr>
            </w:pPr>
            <w:r>
              <w:rPr>
                <w:spacing w:val="-10"/>
                <w:sz w:val="24"/>
              </w:rPr>
              <w:t>5</w:t>
            </w:r>
          </w:p>
        </w:tc>
        <w:tc>
          <w:tcPr>
            <w:tcW w:w="916" w:type="dxa"/>
          </w:tcPr>
          <w:p>
            <w:pPr>
              <w:pStyle w:val="TableParagraph"/>
              <w:ind w:left="149"/>
              <w:jc w:val="left"/>
              <w:rPr>
                <w:sz w:val="24"/>
              </w:rPr>
            </w:pPr>
            <w:r>
              <w:rPr>
                <w:spacing w:val="-2"/>
                <w:sz w:val="24"/>
              </w:rPr>
              <w:t>365.30</w:t>
            </w:r>
          </w:p>
        </w:tc>
        <w:tc>
          <w:tcPr>
            <w:tcW w:w="996" w:type="dxa"/>
          </w:tcPr>
          <w:p>
            <w:pPr>
              <w:pStyle w:val="TableParagraph"/>
              <w:ind w:left="109"/>
              <w:jc w:val="left"/>
              <w:rPr>
                <w:sz w:val="24"/>
              </w:rPr>
            </w:pPr>
            <w:r>
              <w:rPr>
                <w:spacing w:val="-2"/>
                <w:sz w:val="24"/>
              </w:rPr>
              <w:t>2310.74</w:t>
            </w:r>
          </w:p>
        </w:tc>
        <w:tc>
          <w:tcPr>
            <w:tcW w:w="1115" w:type="dxa"/>
          </w:tcPr>
          <w:p>
            <w:pPr>
              <w:pStyle w:val="TableParagraph"/>
              <w:ind w:left="229"/>
              <w:jc w:val="left"/>
              <w:rPr>
                <w:sz w:val="24"/>
              </w:rPr>
            </w:pPr>
            <w:r>
              <w:rPr>
                <w:spacing w:val="-2"/>
                <w:sz w:val="24"/>
              </w:rPr>
              <w:t>3882.04</w:t>
            </w:r>
          </w:p>
        </w:tc>
        <w:tc>
          <w:tcPr>
            <w:tcW w:w="1116" w:type="dxa"/>
          </w:tcPr>
          <w:p>
            <w:pPr>
              <w:pStyle w:val="TableParagraph"/>
              <w:ind w:left="110"/>
              <w:jc w:val="left"/>
              <w:rPr>
                <w:sz w:val="24"/>
              </w:rPr>
            </w:pPr>
            <w:r>
              <w:rPr>
                <w:spacing w:val="-2"/>
                <w:sz w:val="24"/>
              </w:rPr>
              <w:t>10493.10</w:t>
            </w:r>
          </w:p>
        </w:tc>
        <w:tc>
          <w:tcPr>
            <w:tcW w:w="960" w:type="dxa"/>
          </w:tcPr>
          <w:p>
            <w:pPr>
              <w:pStyle w:val="TableParagraph"/>
              <w:ind w:right="100"/>
              <w:jc w:val="right"/>
              <w:rPr>
                <w:sz w:val="24"/>
              </w:rPr>
            </w:pPr>
            <w:r>
              <w:rPr>
                <w:spacing w:val="-2"/>
                <w:sz w:val="24"/>
              </w:rPr>
              <w:t>0.999</w:t>
            </w:r>
          </w:p>
        </w:tc>
      </w:tr>
      <w:tr>
        <w:trPr>
          <w:trHeight w:val="288" w:hRule="atLeast"/>
        </w:trPr>
        <w:tc>
          <w:tcPr>
            <w:tcW w:w="1070" w:type="dxa"/>
          </w:tcPr>
          <w:p>
            <w:pPr>
              <w:pStyle w:val="TableParagraph"/>
              <w:ind w:right="146"/>
              <w:jc w:val="right"/>
              <w:rPr>
                <w:sz w:val="24"/>
              </w:rPr>
            </w:pPr>
            <w:r>
              <w:rPr>
                <w:spacing w:val="-10"/>
                <w:sz w:val="24"/>
              </w:rPr>
              <w:t>6</w:t>
            </w:r>
          </w:p>
        </w:tc>
        <w:tc>
          <w:tcPr>
            <w:tcW w:w="916" w:type="dxa"/>
          </w:tcPr>
          <w:p>
            <w:pPr>
              <w:pStyle w:val="TableParagraph"/>
              <w:ind w:left="149"/>
              <w:jc w:val="left"/>
              <w:rPr>
                <w:sz w:val="24"/>
              </w:rPr>
            </w:pPr>
            <w:r>
              <w:rPr>
                <w:spacing w:val="-2"/>
                <w:sz w:val="24"/>
              </w:rPr>
              <w:t>160.69</w:t>
            </w:r>
          </w:p>
        </w:tc>
        <w:tc>
          <w:tcPr>
            <w:tcW w:w="996" w:type="dxa"/>
          </w:tcPr>
          <w:p>
            <w:pPr>
              <w:pStyle w:val="TableParagraph"/>
              <w:ind w:left="109"/>
              <w:jc w:val="left"/>
              <w:rPr>
                <w:sz w:val="24"/>
              </w:rPr>
            </w:pPr>
            <w:r>
              <w:rPr>
                <w:spacing w:val="-2"/>
                <w:sz w:val="24"/>
              </w:rPr>
              <w:t>1484.98</w:t>
            </w:r>
          </w:p>
        </w:tc>
        <w:tc>
          <w:tcPr>
            <w:tcW w:w="1115" w:type="dxa"/>
          </w:tcPr>
          <w:p>
            <w:pPr>
              <w:pStyle w:val="TableParagraph"/>
              <w:ind w:left="229"/>
              <w:jc w:val="left"/>
              <w:rPr>
                <w:sz w:val="24"/>
              </w:rPr>
            </w:pPr>
            <w:r>
              <w:rPr>
                <w:spacing w:val="-2"/>
                <w:sz w:val="24"/>
              </w:rPr>
              <w:t>2775.48</w:t>
            </w:r>
          </w:p>
        </w:tc>
        <w:tc>
          <w:tcPr>
            <w:tcW w:w="1116" w:type="dxa"/>
          </w:tcPr>
          <w:p>
            <w:pPr>
              <w:pStyle w:val="TableParagraph"/>
              <w:ind w:left="230"/>
              <w:jc w:val="left"/>
              <w:rPr>
                <w:sz w:val="24"/>
              </w:rPr>
            </w:pPr>
            <w:r>
              <w:rPr>
                <w:spacing w:val="-2"/>
                <w:sz w:val="24"/>
              </w:rPr>
              <w:t>9203.13</w:t>
            </w:r>
          </w:p>
        </w:tc>
        <w:tc>
          <w:tcPr>
            <w:tcW w:w="960" w:type="dxa"/>
          </w:tcPr>
          <w:p>
            <w:pPr>
              <w:pStyle w:val="TableParagraph"/>
              <w:ind w:right="100"/>
              <w:jc w:val="right"/>
              <w:rPr>
                <w:sz w:val="24"/>
              </w:rPr>
            </w:pPr>
            <w:r>
              <w:rPr>
                <w:spacing w:val="-2"/>
                <w:sz w:val="24"/>
              </w:rPr>
              <w:t>0.972</w:t>
            </w:r>
          </w:p>
        </w:tc>
      </w:tr>
      <w:tr>
        <w:trPr>
          <w:trHeight w:val="288" w:hRule="atLeast"/>
        </w:trPr>
        <w:tc>
          <w:tcPr>
            <w:tcW w:w="1070" w:type="dxa"/>
          </w:tcPr>
          <w:p>
            <w:pPr>
              <w:pStyle w:val="TableParagraph"/>
              <w:ind w:right="146"/>
              <w:jc w:val="right"/>
              <w:rPr>
                <w:sz w:val="24"/>
              </w:rPr>
            </w:pPr>
            <w:r>
              <w:rPr>
                <w:spacing w:val="-10"/>
                <w:sz w:val="24"/>
              </w:rPr>
              <w:t>7</w:t>
            </w:r>
          </w:p>
        </w:tc>
        <w:tc>
          <w:tcPr>
            <w:tcW w:w="916" w:type="dxa"/>
          </w:tcPr>
          <w:p>
            <w:pPr>
              <w:pStyle w:val="TableParagraph"/>
              <w:ind w:left="149"/>
              <w:jc w:val="left"/>
              <w:rPr>
                <w:sz w:val="24"/>
              </w:rPr>
            </w:pPr>
            <w:r>
              <w:rPr>
                <w:spacing w:val="-2"/>
                <w:sz w:val="24"/>
              </w:rPr>
              <w:t>335.42</w:t>
            </w:r>
          </w:p>
        </w:tc>
        <w:tc>
          <w:tcPr>
            <w:tcW w:w="996" w:type="dxa"/>
          </w:tcPr>
          <w:p>
            <w:pPr>
              <w:pStyle w:val="TableParagraph"/>
              <w:ind w:left="109"/>
              <w:jc w:val="left"/>
              <w:rPr>
                <w:sz w:val="24"/>
              </w:rPr>
            </w:pPr>
            <w:r>
              <w:rPr>
                <w:spacing w:val="-2"/>
                <w:sz w:val="24"/>
              </w:rPr>
              <w:t>6270.72</w:t>
            </w:r>
          </w:p>
        </w:tc>
        <w:tc>
          <w:tcPr>
            <w:tcW w:w="1115" w:type="dxa"/>
          </w:tcPr>
          <w:p>
            <w:pPr>
              <w:pStyle w:val="TableParagraph"/>
              <w:ind w:left="109"/>
              <w:jc w:val="left"/>
              <w:rPr>
                <w:sz w:val="24"/>
              </w:rPr>
            </w:pPr>
            <w:r>
              <w:rPr>
                <w:spacing w:val="-2"/>
                <w:sz w:val="24"/>
              </w:rPr>
              <w:t>14288.69</w:t>
            </w:r>
          </w:p>
        </w:tc>
        <w:tc>
          <w:tcPr>
            <w:tcW w:w="1116" w:type="dxa"/>
          </w:tcPr>
          <w:p>
            <w:pPr>
              <w:pStyle w:val="TableParagraph"/>
              <w:ind w:left="110"/>
              <w:jc w:val="left"/>
              <w:rPr>
                <w:sz w:val="24"/>
              </w:rPr>
            </w:pPr>
            <w:r>
              <w:rPr>
                <w:spacing w:val="-2"/>
                <w:sz w:val="24"/>
              </w:rPr>
              <w:t>69268.62</w:t>
            </w:r>
          </w:p>
        </w:tc>
        <w:tc>
          <w:tcPr>
            <w:tcW w:w="960" w:type="dxa"/>
          </w:tcPr>
          <w:p>
            <w:pPr>
              <w:pStyle w:val="TableParagraph"/>
              <w:ind w:right="100"/>
              <w:jc w:val="right"/>
              <w:rPr>
                <w:sz w:val="24"/>
              </w:rPr>
            </w:pPr>
            <w:r>
              <w:rPr>
                <w:spacing w:val="-2"/>
                <w:sz w:val="24"/>
              </w:rPr>
              <w:t>0.815</w:t>
            </w:r>
          </w:p>
        </w:tc>
      </w:tr>
      <w:tr>
        <w:trPr>
          <w:trHeight w:val="288" w:hRule="atLeast"/>
        </w:trPr>
        <w:tc>
          <w:tcPr>
            <w:tcW w:w="1070" w:type="dxa"/>
          </w:tcPr>
          <w:p>
            <w:pPr>
              <w:pStyle w:val="TableParagraph"/>
              <w:ind w:right="146"/>
              <w:jc w:val="right"/>
              <w:rPr>
                <w:sz w:val="24"/>
              </w:rPr>
            </w:pPr>
            <w:r>
              <w:rPr>
                <w:spacing w:val="-10"/>
                <w:sz w:val="24"/>
              </w:rPr>
              <w:t>8</w:t>
            </w:r>
          </w:p>
        </w:tc>
        <w:tc>
          <w:tcPr>
            <w:tcW w:w="916" w:type="dxa"/>
          </w:tcPr>
          <w:p>
            <w:pPr>
              <w:pStyle w:val="TableParagraph"/>
              <w:ind w:left="149"/>
              <w:jc w:val="left"/>
              <w:rPr>
                <w:sz w:val="24"/>
              </w:rPr>
            </w:pPr>
            <w:r>
              <w:rPr>
                <w:spacing w:val="-2"/>
                <w:sz w:val="24"/>
              </w:rPr>
              <w:t>502.67</w:t>
            </w:r>
          </w:p>
        </w:tc>
        <w:tc>
          <w:tcPr>
            <w:tcW w:w="996" w:type="dxa"/>
          </w:tcPr>
          <w:p>
            <w:pPr>
              <w:pStyle w:val="TableParagraph"/>
              <w:ind w:left="109"/>
              <w:jc w:val="left"/>
              <w:rPr>
                <w:sz w:val="24"/>
              </w:rPr>
            </w:pPr>
            <w:r>
              <w:rPr>
                <w:spacing w:val="-2"/>
                <w:sz w:val="24"/>
              </w:rPr>
              <w:t>2672.71</w:t>
            </w:r>
          </w:p>
        </w:tc>
        <w:tc>
          <w:tcPr>
            <w:tcW w:w="1115" w:type="dxa"/>
          </w:tcPr>
          <w:p>
            <w:pPr>
              <w:pStyle w:val="TableParagraph"/>
              <w:ind w:left="229"/>
              <w:jc w:val="left"/>
              <w:rPr>
                <w:sz w:val="24"/>
              </w:rPr>
            </w:pPr>
            <w:r>
              <w:rPr>
                <w:spacing w:val="-2"/>
                <w:sz w:val="24"/>
              </w:rPr>
              <w:t>4276.07</w:t>
            </w:r>
          </w:p>
        </w:tc>
        <w:tc>
          <w:tcPr>
            <w:tcW w:w="1116" w:type="dxa"/>
          </w:tcPr>
          <w:p>
            <w:pPr>
              <w:pStyle w:val="TableParagraph"/>
              <w:ind w:left="110"/>
              <w:jc w:val="left"/>
              <w:rPr>
                <w:sz w:val="24"/>
              </w:rPr>
            </w:pPr>
            <w:r>
              <w:rPr>
                <w:spacing w:val="-2"/>
                <w:sz w:val="24"/>
              </w:rPr>
              <w:t>10525.03</w:t>
            </w:r>
          </w:p>
        </w:tc>
        <w:tc>
          <w:tcPr>
            <w:tcW w:w="960" w:type="dxa"/>
          </w:tcPr>
          <w:p>
            <w:pPr>
              <w:pStyle w:val="TableParagraph"/>
              <w:ind w:right="100"/>
              <w:jc w:val="right"/>
              <w:rPr>
                <w:sz w:val="24"/>
              </w:rPr>
            </w:pPr>
            <w:r>
              <w:rPr>
                <w:spacing w:val="-2"/>
                <w:sz w:val="24"/>
              </w:rPr>
              <w:t>0.803</w:t>
            </w:r>
          </w:p>
        </w:tc>
      </w:tr>
      <w:tr>
        <w:trPr>
          <w:trHeight w:val="288" w:hRule="atLeast"/>
        </w:trPr>
        <w:tc>
          <w:tcPr>
            <w:tcW w:w="1070" w:type="dxa"/>
          </w:tcPr>
          <w:p>
            <w:pPr>
              <w:pStyle w:val="TableParagraph"/>
              <w:ind w:right="146"/>
              <w:jc w:val="right"/>
              <w:rPr>
                <w:sz w:val="24"/>
              </w:rPr>
            </w:pPr>
            <w:r>
              <w:rPr>
                <w:spacing w:val="-10"/>
                <w:sz w:val="24"/>
              </w:rPr>
              <w:t>9</w:t>
            </w:r>
          </w:p>
        </w:tc>
        <w:tc>
          <w:tcPr>
            <w:tcW w:w="916" w:type="dxa"/>
          </w:tcPr>
          <w:p>
            <w:pPr>
              <w:pStyle w:val="TableParagraph"/>
              <w:ind w:left="149"/>
              <w:jc w:val="left"/>
              <w:rPr>
                <w:sz w:val="24"/>
              </w:rPr>
            </w:pPr>
            <w:r>
              <w:rPr>
                <w:spacing w:val="-2"/>
                <w:sz w:val="24"/>
              </w:rPr>
              <w:t>392.44</w:t>
            </w:r>
          </w:p>
        </w:tc>
        <w:tc>
          <w:tcPr>
            <w:tcW w:w="996" w:type="dxa"/>
          </w:tcPr>
          <w:p>
            <w:pPr>
              <w:pStyle w:val="TableParagraph"/>
              <w:ind w:left="109"/>
              <w:jc w:val="left"/>
              <w:rPr>
                <w:sz w:val="24"/>
              </w:rPr>
            </w:pPr>
            <w:r>
              <w:rPr>
                <w:spacing w:val="-2"/>
                <w:sz w:val="24"/>
              </w:rPr>
              <w:t>2560.87</w:t>
            </w:r>
          </w:p>
        </w:tc>
        <w:tc>
          <w:tcPr>
            <w:tcW w:w="1115" w:type="dxa"/>
          </w:tcPr>
          <w:p>
            <w:pPr>
              <w:pStyle w:val="TableParagraph"/>
              <w:ind w:left="229"/>
              <w:jc w:val="left"/>
              <w:rPr>
                <w:sz w:val="24"/>
              </w:rPr>
            </w:pPr>
            <w:r>
              <w:rPr>
                <w:spacing w:val="-2"/>
                <w:sz w:val="24"/>
              </w:rPr>
              <w:t>4340.08</w:t>
            </w:r>
          </w:p>
        </w:tc>
        <w:tc>
          <w:tcPr>
            <w:tcW w:w="1116" w:type="dxa"/>
          </w:tcPr>
          <w:p>
            <w:pPr>
              <w:pStyle w:val="TableParagraph"/>
              <w:ind w:left="110"/>
              <w:jc w:val="left"/>
              <w:rPr>
                <w:sz w:val="24"/>
              </w:rPr>
            </w:pPr>
            <w:r>
              <w:rPr>
                <w:spacing w:val="-2"/>
                <w:sz w:val="24"/>
              </w:rPr>
              <w:t>11929.56</w:t>
            </w:r>
          </w:p>
        </w:tc>
        <w:tc>
          <w:tcPr>
            <w:tcW w:w="960" w:type="dxa"/>
          </w:tcPr>
          <w:p>
            <w:pPr>
              <w:pStyle w:val="TableParagraph"/>
              <w:ind w:right="100"/>
              <w:jc w:val="right"/>
              <w:rPr>
                <w:sz w:val="24"/>
              </w:rPr>
            </w:pPr>
            <w:r>
              <w:rPr>
                <w:spacing w:val="-2"/>
                <w:sz w:val="24"/>
              </w:rPr>
              <w:t>0.980</w:t>
            </w:r>
          </w:p>
        </w:tc>
      </w:tr>
      <w:tr>
        <w:trPr>
          <w:trHeight w:val="287" w:hRule="atLeast"/>
        </w:trPr>
        <w:tc>
          <w:tcPr>
            <w:tcW w:w="1070" w:type="dxa"/>
          </w:tcPr>
          <w:p>
            <w:pPr>
              <w:pStyle w:val="TableParagraph"/>
              <w:ind w:left="681"/>
              <w:jc w:val="left"/>
              <w:rPr>
                <w:sz w:val="24"/>
              </w:rPr>
            </w:pPr>
            <w:r>
              <w:rPr>
                <w:spacing w:val="-5"/>
                <w:sz w:val="24"/>
              </w:rPr>
              <w:t>10</w:t>
            </w:r>
          </w:p>
        </w:tc>
        <w:tc>
          <w:tcPr>
            <w:tcW w:w="916" w:type="dxa"/>
          </w:tcPr>
          <w:p>
            <w:pPr>
              <w:pStyle w:val="TableParagraph"/>
              <w:ind w:left="149"/>
              <w:jc w:val="left"/>
              <w:rPr>
                <w:sz w:val="24"/>
              </w:rPr>
            </w:pPr>
            <w:r>
              <w:rPr>
                <w:spacing w:val="-2"/>
                <w:sz w:val="24"/>
              </w:rPr>
              <w:t>520.93</w:t>
            </w:r>
          </w:p>
        </w:tc>
        <w:tc>
          <w:tcPr>
            <w:tcW w:w="996" w:type="dxa"/>
          </w:tcPr>
          <w:p>
            <w:pPr>
              <w:pStyle w:val="TableParagraph"/>
              <w:ind w:left="109"/>
              <w:jc w:val="left"/>
              <w:rPr>
                <w:sz w:val="24"/>
              </w:rPr>
            </w:pPr>
            <w:r>
              <w:rPr>
                <w:spacing w:val="-2"/>
                <w:sz w:val="24"/>
              </w:rPr>
              <w:t>3372.72</w:t>
            </w:r>
          </w:p>
        </w:tc>
        <w:tc>
          <w:tcPr>
            <w:tcW w:w="1115" w:type="dxa"/>
          </w:tcPr>
          <w:p>
            <w:pPr>
              <w:pStyle w:val="TableParagraph"/>
              <w:ind w:left="229"/>
              <w:jc w:val="left"/>
              <w:rPr>
                <w:sz w:val="24"/>
              </w:rPr>
            </w:pPr>
            <w:r>
              <w:rPr>
                <w:spacing w:val="-2"/>
                <w:sz w:val="24"/>
              </w:rPr>
              <w:t>5703.37</w:t>
            </w:r>
          </w:p>
        </w:tc>
        <w:tc>
          <w:tcPr>
            <w:tcW w:w="1116" w:type="dxa"/>
          </w:tcPr>
          <w:p>
            <w:pPr>
              <w:pStyle w:val="TableParagraph"/>
              <w:ind w:left="110"/>
              <w:jc w:val="left"/>
              <w:rPr>
                <w:sz w:val="24"/>
              </w:rPr>
            </w:pPr>
            <w:r>
              <w:rPr>
                <w:spacing w:val="-2"/>
                <w:sz w:val="24"/>
              </w:rPr>
              <w:t>15610.67</w:t>
            </w:r>
          </w:p>
        </w:tc>
        <w:tc>
          <w:tcPr>
            <w:tcW w:w="960" w:type="dxa"/>
          </w:tcPr>
          <w:p>
            <w:pPr>
              <w:pStyle w:val="TableParagraph"/>
              <w:ind w:right="100"/>
              <w:jc w:val="right"/>
              <w:rPr>
                <w:sz w:val="24"/>
              </w:rPr>
            </w:pPr>
            <w:r>
              <w:rPr>
                <w:spacing w:val="-2"/>
                <w:sz w:val="24"/>
              </w:rPr>
              <w:t>0.999</w:t>
            </w:r>
          </w:p>
        </w:tc>
      </w:tr>
      <w:tr>
        <w:trPr>
          <w:trHeight w:val="287" w:hRule="atLeast"/>
        </w:trPr>
        <w:tc>
          <w:tcPr>
            <w:tcW w:w="1070" w:type="dxa"/>
          </w:tcPr>
          <w:p>
            <w:pPr>
              <w:pStyle w:val="TableParagraph"/>
              <w:ind w:left="681"/>
              <w:jc w:val="left"/>
              <w:rPr>
                <w:sz w:val="24"/>
              </w:rPr>
            </w:pPr>
            <w:r>
              <w:rPr>
                <w:spacing w:val="-5"/>
                <w:sz w:val="24"/>
              </w:rPr>
              <w:t>11</w:t>
            </w:r>
          </w:p>
        </w:tc>
        <w:tc>
          <w:tcPr>
            <w:tcW w:w="916" w:type="dxa"/>
          </w:tcPr>
          <w:p>
            <w:pPr>
              <w:pStyle w:val="TableParagraph"/>
              <w:ind w:left="149"/>
              <w:jc w:val="left"/>
              <w:rPr>
                <w:sz w:val="24"/>
              </w:rPr>
            </w:pPr>
            <w:r>
              <w:rPr>
                <w:spacing w:val="-2"/>
                <w:sz w:val="24"/>
              </w:rPr>
              <w:t>459.77</w:t>
            </w:r>
          </w:p>
        </w:tc>
        <w:tc>
          <w:tcPr>
            <w:tcW w:w="996" w:type="dxa"/>
          </w:tcPr>
          <w:p>
            <w:pPr>
              <w:pStyle w:val="TableParagraph"/>
              <w:ind w:left="109"/>
              <w:jc w:val="left"/>
              <w:rPr>
                <w:sz w:val="24"/>
              </w:rPr>
            </w:pPr>
            <w:r>
              <w:rPr>
                <w:spacing w:val="-2"/>
                <w:sz w:val="24"/>
              </w:rPr>
              <w:t>3567.95</w:t>
            </w:r>
          </w:p>
        </w:tc>
        <w:tc>
          <w:tcPr>
            <w:tcW w:w="1115" w:type="dxa"/>
          </w:tcPr>
          <w:p>
            <w:pPr>
              <w:pStyle w:val="TableParagraph"/>
              <w:ind w:left="229"/>
              <w:jc w:val="left"/>
              <w:rPr>
                <w:sz w:val="24"/>
              </w:rPr>
            </w:pPr>
            <w:r>
              <w:rPr>
                <w:spacing w:val="-2"/>
                <w:sz w:val="24"/>
              </w:rPr>
              <w:t>6348.88</w:t>
            </w:r>
          </w:p>
        </w:tc>
        <w:tc>
          <w:tcPr>
            <w:tcW w:w="1116" w:type="dxa"/>
          </w:tcPr>
          <w:p>
            <w:pPr>
              <w:pStyle w:val="TableParagraph"/>
              <w:ind w:left="110"/>
              <w:jc w:val="left"/>
              <w:rPr>
                <w:sz w:val="24"/>
              </w:rPr>
            </w:pPr>
            <w:r>
              <w:rPr>
                <w:spacing w:val="-2"/>
                <w:sz w:val="24"/>
              </w:rPr>
              <w:t>19160.07</w:t>
            </w:r>
          </w:p>
        </w:tc>
        <w:tc>
          <w:tcPr>
            <w:tcW w:w="960" w:type="dxa"/>
          </w:tcPr>
          <w:p>
            <w:pPr>
              <w:pStyle w:val="TableParagraph"/>
              <w:ind w:right="100"/>
              <w:jc w:val="right"/>
              <w:rPr>
                <w:sz w:val="24"/>
              </w:rPr>
            </w:pPr>
            <w:r>
              <w:rPr>
                <w:spacing w:val="-2"/>
                <w:sz w:val="24"/>
              </w:rPr>
              <w:t>0.974</w:t>
            </w:r>
          </w:p>
        </w:tc>
      </w:tr>
      <w:tr>
        <w:trPr>
          <w:trHeight w:val="288" w:hRule="atLeast"/>
        </w:trPr>
        <w:tc>
          <w:tcPr>
            <w:tcW w:w="1070" w:type="dxa"/>
          </w:tcPr>
          <w:p>
            <w:pPr>
              <w:pStyle w:val="TableParagraph"/>
              <w:ind w:left="681"/>
              <w:jc w:val="left"/>
              <w:rPr>
                <w:sz w:val="24"/>
              </w:rPr>
            </w:pPr>
            <w:r>
              <w:rPr>
                <w:spacing w:val="-5"/>
                <w:sz w:val="24"/>
              </w:rPr>
              <w:t>12</w:t>
            </w:r>
          </w:p>
        </w:tc>
        <w:tc>
          <w:tcPr>
            <w:tcW w:w="916" w:type="dxa"/>
          </w:tcPr>
          <w:p>
            <w:pPr>
              <w:pStyle w:val="TableParagraph"/>
              <w:ind w:left="149"/>
              <w:jc w:val="left"/>
              <w:rPr>
                <w:sz w:val="24"/>
              </w:rPr>
            </w:pPr>
            <w:r>
              <w:rPr>
                <w:spacing w:val="-2"/>
                <w:sz w:val="24"/>
              </w:rPr>
              <w:t>425.62</w:t>
            </w:r>
          </w:p>
        </w:tc>
        <w:tc>
          <w:tcPr>
            <w:tcW w:w="996" w:type="dxa"/>
          </w:tcPr>
          <w:p>
            <w:pPr>
              <w:pStyle w:val="TableParagraph"/>
              <w:ind w:left="109"/>
              <w:jc w:val="left"/>
              <w:rPr>
                <w:sz w:val="24"/>
              </w:rPr>
            </w:pPr>
            <w:r>
              <w:rPr>
                <w:spacing w:val="-2"/>
                <w:sz w:val="24"/>
              </w:rPr>
              <w:t>3868.47</w:t>
            </w:r>
          </w:p>
        </w:tc>
        <w:tc>
          <w:tcPr>
            <w:tcW w:w="1115" w:type="dxa"/>
          </w:tcPr>
          <w:p>
            <w:pPr>
              <w:pStyle w:val="TableParagraph"/>
              <w:ind w:left="229"/>
              <w:jc w:val="left"/>
              <w:rPr>
                <w:sz w:val="24"/>
              </w:rPr>
            </w:pPr>
            <w:r>
              <w:rPr>
                <w:spacing w:val="-2"/>
                <w:sz w:val="24"/>
              </w:rPr>
              <w:t>7196.50</w:t>
            </w:r>
          </w:p>
        </w:tc>
        <w:tc>
          <w:tcPr>
            <w:tcW w:w="1116" w:type="dxa"/>
          </w:tcPr>
          <w:p>
            <w:pPr>
              <w:pStyle w:val="TableParagraph"/>
              <w:ind w:left="110"/>
              <w:jc w:val="left"/>
              <w:rPr>
                <w:sz w:val="24"/>
              </w:rPr>
            </w:pPr>
            <w:r>
              <w:rPr>
                <w:spacing w:val="-2"/>
                <w:sz w:val="24"/>
              </w:rPr>
              <w:t>23649.42</w:t>
            </w:r>
          </w:p>
        </w:tc>
        <w:tc>
          <w:tcPr>
            <w:tcW w:w="960" w:type="dxa"/>
          </w:tcPr>
          <w:p>
            <w:pPr>
              <w:pStyle w:val="TableParagraph"/>
              <w:ind w:right="100"/>
              <w:jc w:val="right"/>
              <w:rPr>
                <w:sz w:val="24"/>
              </w:rPr>
            </w:pPr>
            <w:r>
              <w:rPr>
                <w:spacing w:val="-2"/>
                <w:sz w:val="24"/>
              </w:rPr>
              <w:t>0.953</w:t>
            </w:r>
          </w:p>
        </w:tc>
      </w:tr>
      <w:tr>
        <w:trPr>
          <w:trHeight w:val="287" w:hRule="atLeast"/>
        </w:trPr>
        <w:tc>
          <w:tcPr>
            <w:tcW w:w="1070" w:type="dxa"/>
          </w:tcPr>
          <w:p>
            <w:pPr>
              <w:pStyle w:val="TableParagraph"/>
              <w:ind w:left="681"/>
              <w:jc w:val="left"/>
              <w:rPr>
                <w:sz w:val="24"/>
              </w:rPr>
            </w:pPr>
            <w:r>
              <w:rPr>
                <w:spacing w:val="-5"/>
                <w:sz w:val="24"/>
              </w:rPr>
              <w:t>13</w:t>
            </w:r>
          </w:p>
        </w:tc>
        <w:tc>
          <w:tcPr>
            <w:tcW w:w="916" w:type="dxa"/>
          </w:tcPr>
          <w:p>
            <w:pPr>
              <w:pStyle w:val="TableParagraph"/>
              <w:ind w:left="149"/>
              <w:jc w:val="left"/>
              <w:rPr>
                <w:sz w:val="24"/>
              </w:rPr>
            </w:pPr>
            <w:r>
              <w:rPr>
                <w:spacing w:val="-2"/>
                <w:sz w:val="24"/>
              </w:rPr>
              <w:t>154.45</w:t>
            </w:r>
          </w:p>
        </w:tc>
        <w:tc>
          <w:tcPr>
            <w:tcW w:w="996" w:type="dxa"/>
          </w:tcPr>
          <w:p>
            <w:pPr>
              <w:pStyle w:val="TableParagraph"/>
              <w:ind w:left="229"/>
              <w:jc w:val="left"/>
              <w:rPr>
                <w:sz w:val="24"/>
              </w:rPr>
            </w:pPr>
            <w:r>
              <w:rPr>
                <w:spacing w:val="-2"/>
                <w:sz w:val="24"/>
              </w:rPr>
              <w:t>694.83</w:t>
            </w:r>
          </w:p>
        </w:tc>
        <w:tc>
          <w:tcPr>
            <w:tcW w:w="1115" w:type="dxa"/>
          </w:tcPr>
          <w:p>
            <w:pPr>
              <w:pStyle w:val="TableParagraph"/>
              <w:ind w:left="229"/>
              <w:jc w:val="left"/>
              <w:rPr>
                <w:sz w:val="24"/>
              </w:rPr>
            </w:pPr>
            <w:r>
              <w:rPr>
                <w:spacing w:val="-2"/>
                <w:sz w:val="24"/>
              </w:rPr>
              <w:t>1060.63</w:t>
            </w:r>
          </w:p>
        </w:tc>
        <w:tc>
          <w:tcPr>
            <w:tcW w:w="1116" w:type="dxa"/>
          </w:tcPr>
          <w:p>
            <w:pPr>
              <w:pStyle w:val="TableParagraph"/>
              <w:ind w:left="230"/>
              <w:jc w:val="left"/>
              <w:rPr>
                <w:sz w:val="24"/>
              </w:rPr>
            </w:pPr>
            <w:r>
              <w:rPr>
                <w:spacing w:val="-2"/>
                <w:sz w:val="24"/>
              </w:rPr>
              <w:t>2385.73</w:t>
            </w:r>
          </w:p>
        </w:tc>
        <w:tc>
          <w:tcPr>
            <w:tcW w:w="960" w:type="dxa"/>
          </w:tcPr>
          <w:p>
            <w:pPr>
              <w:pStyle w:val="TableParagraph"/>
              <w:ind w:right="100"/>
              <w:jc w:val="right"/>
              <w:rPr>
                <w:sz w:val="24"/>
              </w:rPr>
            </w:pPr>
            <w:r>
              <w:rPr>
                <w:spacing w:val="-2"/>
                <w:sz w:val="24"/>
              </w:rPr>
              <w:t>0.999</w:t>
            </w:r>
          </w:p>
        </w:tc>
      </w:tr>
      <w:tr>
        <w:trPr>
          <w:trHeight w:val="288" w:hRule="atLeast"/>
        </w:trPr>
        <w:tc>
          <w:tcPr>
            <w:tcW w:w="1070" w:type="dxa"/>
          </w:tcPr>
          <w:p>
            <w:pPr>
              <w:pStyle w:val="TableParagraph"/>
              <w:ind w:left="681"/>
              <w:jc w:val="left"/>
              <w:rPr>
                <w:sz w:val="24"/>
              </w:rPr>
            </w:pPr>
            <w:r>
              <w:rPr>
                <w:spacing w:val="-5"/>
                <w:sz w:val="24"/>
              </w:rPr>
              <w:t>14</w:t>
            </w:r>
          </w:p>
        </w:tc>
        <w:tc>
          <w:tcPr>
            <w:tcW w:w="916" w:type="dxa"/>
          </w:tcPr>
          <w:p>
            <w:pPr>
              <w:pStyle w:val="TableParagraph"/>
              <w:ind w:left="149"/>
              <w:jc w:val="left"/>
              <w:rPr>
                <w:sz w:val="24"/>
              </w:rPr>
            </w:pPr>
            <w:r>
              <w:rPr>
                <w:spacing w:val="-2"/>
                <w:sz w:val="24"/>
              </w:rPr>
              <w:t>272.38</w:t>
            </w:r>
          </w:p>
        </w:tc>
        <w:tc>
          <w:tcPr>
            <w:tcW w:w="996" w:type="dxa"/>
          </w:tcPr>
          <w:p>
            <w:pPr>
              <w:pStyle w:val="TableParagraph"/>
              <w:ind w:left="229"/>
              <w:jc w:val="left"/>
              <w:rPr>
                <w:sz w:val="24"/>
              </w:rPr>
            </w:pPr>
            <w:r>
              <w:rPr>
                <w:spacing w:val="-2"/>
                <w:sz w:val="24"/>
              </w:rPr>
              <w:t>883.53</w:t>
            </w:r>
          </w:p>
        </w:tc>
        <w:tc>
          <w:tcPr>
            <w:tcW w:w="1115" w:type="dxa"/>
          </w:tcPr>
          <w:p>
            <w:pPr>
              <w:pStyle w:val="TableParagraph"/>
              <w:ind w:left="229"/>
              <w:jc w:val="left"/>
              <w:rPr>
                <w:sz w:val="24"/>
              </w:rPr>
            </w:pPr>
            <w:r>
              <w:rPr>
                <w:spacing w:val="-2"/>
                <w:sz w:val="24"/>
              </w:rPr>
              <w:t>1230.13</w:t>
            </w:r>
          </w:p>
        </w:tc>
        <w:tc>
          <w:tcPr>
            <w:tcW w:w="1116" w:type="dxa"/>
          </w:tcPr>
          <w:p>
            <w:pPr>
              <w:pStyle w:val="TableParagraph"/>
              <w:ind w:left="230"/>
              <w:jc w:val="left"/>
              <w:rPr>
                <w:sz w:val="24"/>
              </w:rPr>
            </w:pPr>
            <w:r>
              <w:rPr>
                <w:spacing w:val="-2"/>
                <w:sz w:val="24"/>
              </w:rPr>
              <w:t>2319.71</w:t>
            </w:r>
          </w:p>
        </w:tc>
        <w:tc>
          <w:tcPr>
            <w:tcW w:w="960" w:type="dxa"/>
          </w:tcPr>
          <w:p>
            <w:pPr>
              <w:pStyle w:val="TableParagraph"/>
              <w:ind w:right="100"/>
              <w:jc w:val="right"/>
              <w:rPr>
                <w:sz w:val="24"/>
              </w:rPr>
            </w:pPr>
            <w:r>
              <w:rPr>
                <w:spacing w:val="-2"/>
                <w:sz w:val="24"/>
              </w:rPr>
              <w:t>0.994</w:t>
            </w:r>
          </w:p>
        </w:tc>
      </w:tr>
      <w:tr>
        <w:trPr>
          <w:trHeight w:val="287" w:hRule="atLeast"/>
        </w:trPr>
        <w:tc>
          <w:tcPr>
            <w:tcW w:w="1070" w:type="dxa"/>
          </w:tcPr>
          <w:p>
            <w:pPr>
              <w:pStyle w:val="TableParagraph"/>
              <w:ind w:left="681"/>
              <w:jc w:val="left"/>
              <w:rPr>
                <w:sz w:val="24"/>
              </w:rPr>
            </w:pPr>
            <w:r>
              <w:rPr>
                <w:spacing w:val="-5"/>
                <w:sz w:val="24"/>
              </w:rPr>
              <w:t>15</w:t>
            </w:r>
          </w:p>
        </w:tc>
        <w:tc>
          <w:tcPr>
            <w:tcW w:w="916" w:type="dxa"/>
          </w:tcPr>
          <w:p>
            <w:pPr>
              <w:pStyle w:val="TableParagraph"/>
              <w:ind w:left="149"/>
              <w:jc w:val="left"/>
              <w:rPr>
                <w:sz w:val="24"/>
              </w:rPr>
            </w:pPr>
            <w:r>
              <w:rPr>
                <w:spacing w:val="-2"/>
                <w:sz w:val="24"/>
              </w:rPr>
              <w:t>105.53</w:t>
            </w:r>
          </w:p>
        </w:tc>
        <w:tc>
          <w:tcPr>
            <w:tcW w:w="996" w:type="dxa"/>
          </w:tcPr>
          <w:p>
            <w:pPr>
              <w:pStyle w:val="TableParagraph"/>
              <w:ind w:left="229"/>
              <w:jc w:val="left"/>
              <w:rPr>
                <w:sz w:val="24"/>
              </w:rPr>
            </w:pPr>
            <w:r>
              <w:rPr>
                <w:spacing w:val="-2"/>
                <w:sz w:val="24"/>
              </w:rPr>
              <w:t>754.61</w:t>
            </w:r>
          </w:p>
        </w:tc>
        <w:tc>
          <w:tcPr>
            <w:tcW w:w="1115" w:type="dxa"/>
          </w:tcPr>
          <w:p>
            <w:pPr>
              <w:pStyle w:val="TableParagraph"/>
              <w:ind w:left="229"/>
              <w:jc w:val="left"/>
              <w:rPr>
                <w:sz w:val="24"/>
              </w:rPr>
            </w:pPr>
            <w:r>
              <w:rPr>
                <w:spacing w:val="-2"/>
                <w:sz w:val="24"/>
              </w:rPr>
              <w:t>1312.22</w:t>
            </w:r>
          </w:p>
        </w:tc>
        <w:tc>
          <w:tcPr>
            <w:tcW w:w="1116" w:type="dxa"/>
          </w:tcPr>
          <w:p>
            <w:pPr>
              <w:pStyle w:val="TableParagraph"/>
              <w:ind w:left="230"/>
              <w:jc w:val="left"/>
              <w:rPr>
                <w:sz w:val="24"/>
              </w:rPr>
            </w:pPr>
            <w:r>
              <w:rPr>
                <w:spacing w:val="-2"/>
                <w:sz w:val="24"/>
              </w:rPr>
              <w:t>3789.32</w:t>
            </w:r>
          </w:p>
        </w:tc>
        <w:tc>
          <w:tcPr>
            <w:tcW w:w="960" w:type="dxa"/>
          </w:tcPr>
          <w:p>
            <w:pPr>
              <w:pStyle w:val="TableParagraph"/>
              <w:ind w:right="100"/>
              <w:jc w:val="right"/>
              <w:rPr>
                <w:sz w:val="24"/>
              </w:rPr>
            </w:pPr>
            <w:r>
              <w:rPr>
                <w:spacing w:val="-2"/>
                <w:sz w:val="24"/>
              </w:rPr>
              <w:t>0.988</w:t>
            </w:r>
          </w:p>
        </w:tc>
      </w:tr>
      <w:tr>
        <w:trPr>
          <w:trHeight w:val="287" w:hRule="atLeast"/>
        </w:trPr>
        <w:tc>
          <w:tcPr>
            <w:tcW w:w="1070" w:type="dxa"/>
          </w:tcPr>
          <w:p>
            <w:pPr>
              <w:pStyle w:val="TableParagraph"/>
              <w:ind w:left="681"/>
              <w:jc w:val="left"/>
              <w:rPr>
                <w:sz w:val="24"/>
              </w:rPr>
            </w:pPr>
            <w:r>
              <w:rPr>
                <w:spacing w:val="-5"/>
                <w:sz w:val="24"/>
              </w:rPr>
              <w:t>16</w:t>
            </w:r>
          </w:p>
        </w:tc>
        <w:tc>
          <w:tcPr>
            <w:tcW w:w="916" w:type="dxa"/>
          </w:tcPr>
          <w:p>
            <w:pPr>
              <w:pStyle w:val="TableParagraph"/>
              <w:ind w:left="149"/>
              <w:jc w:val="left"/>
              <w:rPr>
                <w:sz w:val="24"/>
              </w:rPr>
            </w:pPr>
            <w:r>
              <w:rPr>
                <w:spacing w:val="-2"/>
                <w:sz w:val="24"/>
              </w:rPr>
              <w:t>288.08</w:t>
            </w:r>
          </w:p>
        </w:tc>
        <w:tc>
          <w:tcPr>
            <w:tcW w:w="996" w:type="dxa"/>
          </w:tcPr>
          <w:p>
            <w:pPr>
              <w:pStyle w:val="TableParagraph"/>
              <w:ind w:left="229"/>
              <w:jc w:val="left"/>
              <w:rPr>
                <w:sz w:val="24"/>
              </w:rPr>
            </w:pPr>
            <w:r>
              <w:rPr>
                <w:spacing w:val="-2"/>
                <w:sz w:val="24"/>
              </w:rPr>
              <w:t>907.78</w:t>
            </w:r>
          </w:p>
        </w:tc>
        <w:tc>
          <w:tcPr>
            <w:tcW w:w="1115" w:type="dxa"/>
          </w:tcPr>
          <w:p>
            <w:pPr>
              <w:pStyle w:val="TableParagraph"/>
              <w:ind w:left="229"/>
              <w:jc w:val="left"/>
              <w:rPr>
                <w:sz w:val="24"/>
              </w:rPr>
            </w:pPr>
            <w:r>
              <w:rPr>
                <w:spacing w:val="-2"/>
                <w:sz w:val="24"/>
              </w:rPr>
              <w:t>1253.64</w:t>
            </w:r>
          </w:p>
        </w:tc>
        <w:tc>
          <w:tcPr>
            <w:tcW w:w="1116" w:type="dxa"/>
          </w:tcPr>
          <w:p>
            <w:pPr>
              <w:pStyle w:val="TableParagraph"/>
              <w:ind w:left="230"/>
              <w:jc w:val="left"/>
              <w:rPr>
                <w:sz w:val="24"/>
              </w:rPr>
            </w:pPr>
            <w:r>
              <w:rPr>
                <w:spacing w:val="-2"/>
                <w:sz w:val="24"/>
              </w:rPr>
              <w:t>2327.42</w:t>
            </w:r>
          </w:p>
        </w:tc>
        <w:tc>
          <w:tcPr>
            <w:tcW w:w="960" w:type="dxa"/>
          </w:tcPr>
          <w:p>
            <w:pPr>
              <w:pStyle w:val="TableParagraph"/>
              <w:ind w:right="100"/>
              <w:jc w:val="right"/>
              <w:rPr>
                <w:sz w:val="24"/>
              </w:rPr>
            </w:pPr>
            <w:r>
              <w:rPr>
                <w:spacing w:val="-2"/>
                <w:sz w:val="24"/>
              </w:rPr>
              <w:t>0.996</w:t>
            </w:r>
          </w:p>
        </w:tc>
      </w:tr>
      <w:tr>
        <w:trPr>
          <w:trHeight w:val="288" w:hRule="atLeast"/>
        </w:trPr>
        <w:tc>
          <w:tcPr>
            <w:tcW w:w="1070" w:type="dxa"/>
          </w:tcPr>
          <w:p>
            <w:pPr>
              <w:pStyle w:val="TableParagraph"/>
              <w:ind w:left="681"/>
              <w:jc w:val="left"/>
              <w:rPr>
                <w:sz w:val="24"/>
              </w:rPr>
            </w:pPr>
            <w:r>
              <w:rPr>
                <w:spacing w:val="-5"/>
                <w:sz w:val="24"/>
              </w:rPr>
              <w:t>17</w:t>
            </w:r>
          </w:p>
        </w:tc>
        <w:tc>
          <w:tcPr>
            <w:tcW w:w="916" w:type="dxa"/>
          </w:tcPr>
          <w:p>
            <w:pPr>
              <w:pStyle w:val="TableParagraph"/>
              <w:ind w:left="149"/>
              <w:jc w:val="left"/>
              <w:rPr>
                <w:sz w:val="24"/>
              </w:rPr>
            </w:pPr>
            <w:r>
              <w:rPr>
                <w:spacing w:val="-2"/>
                <w:sz w:val="24"/>
              </w:rPr>
              <w:t>230.97</w:t>
            </w:r>
          </w:p>
        </w:tc>
        <w:tc>
          <w:tcPr>
            <w:tcW w:w="996" w:type="dxa"/>
          </w:tcPr>
          <w:p>
            <w:pPr>
              <w:pStyle w:val="TableParagraph"/>
              <w:ind w:left="109"/>
              <w:jc w:val="left"/>
              <w:rPr>
                <w:sz w:val="24"/>
              </w:rPr>
            </w:pPr>
            <w:r>
              <w:rPr>
                <w:spacing w:val="-2"/>
                <w:sz w:val="24"/>
              </w:rPr>
              <w:t>1969.08</w:t>
            </w:r>
          </w:p>
        </w:tc>
        <w:tc>
          <w:tcPr>
            <w:tcW w:w="1115" w:type="dxa"/>
          </w:tcPr>
          <w:p>
            <w:pPr>
              <w:pStyle w:val="TableParagraph"/>
              <w:ind w:left="229"/>
              <w:jc w:val="left"/>
              <w:rPr>
                <w:sz w:val="24"/>
              </w:rPr>
            </w:pPr>
            <w:r>
              <w:rPr>
                <w:spacing w:val="-2"/>
                <w:sz w:val="24"/>
              </w:rPr>
              <w:t>3597.69</w:t>
            </w:r>
          </w:p>
        </w:tc>
        <w:tc>
          <w:tcPr>
            <w:tcW w:w="1116" w:type="dxa"/>
          </w:tcPr>
          <w:p>
            <w:pPr>
              <w:pStyle w:val="TableParagraph"/>
              <w:ind w:left="110"/>
              <w:jc w:val="left"/>
              <w:rPr>
                <w:sz w:val="24"/>
              </w:rPr>
            </w:pPr>
            <w:r>
              <w:rPr>
                <w:spacing w:val="-2"/>
                <w:sz w:val="24"/>
              </w:rPr>
              <w:t>11421.76</w:t>
            </w:r>
          </w:p>
        </w:tc>
        <w:tc>
          <w:tcPr>
            <w:tcW w:w="960" w:type="dxa"/>
          </w:tcPr>
          <w:p>
            <w:pPr>
              <w:pStyle w:val="TableParagraph"/>
              <w:ind w:right="100"/>
              <w:jc w:val="right"/>
              <w:rPr>
                <w:sz w:val="24"/>
              </w:rPr>
            </w:pPr>
            <w:r>
              <w:rPr>
                <w:spacing w:val="-2"/>
                <w:sz w:val="24"/>
              </w:rPr>
              <w:t>0.978</w:t>
            </w:r>
          </w:p>
        </w:tc>
      </w:tr>
      <w:tr>
        <w:trPr>
          <w:trHeight w:val="287" w:hRule="atLeast"/>
        </w:trPr>
        <w:tc>
          <w:tcPr>
            <w:tcW w:w="1070" w:type="dxa"/>
          </w:tcPr>
          <w:p>
            <w:pPr>
              <w:pStyle w:val="TableParagraph"/>
              <w:ind w:left="681"/>
              <w:jc w:val="left"/>
              <w:rPr>
                <w:sz w:val="24"/>
              </w:rPr>
            </w:pPr>
            <w:r>
              <w:rPr>
                <w:spacing w:val="-5"/>
                <w:sz w:val="24"/>
              </w:rPr>
              <w:t>18</w:t>
            </w:r>
          </w:p>
        </w:tc>
        <w:tc>
          <w:tcPr>
            <w:tcW w:w="916" w:type="dxa"/>
          </w:tcPr>
          <w:p>
            <w:pPr>
              <w:pStyle w:val="TableParagraph"/>
              <w:ind w:left="149"/>
              <w:jc w:val="left"/>
              <w:rPr>
                <w:sz w:val="24"/>
              </w:rPr>
            </w:pPr>
            <w:r>
              <w:rPr>
                <w:spacing w:val="-2"/>
                <w:sz w:val="24"/>
              </w:rPr>
              <w:t>232.08</w:t>
            </w:r>
          </w:p>
        </w:tc>
        <w:tc>
          <w:tcPr>
            <w:tcW w:w="996" w:type="dxa"/>
          </w:tcPr>
          <w:p>
            <w:pPr>
              <w:pStyle w:val="TableParagraph"/>
              <w:ind w:left="229"/>
              <w:jc w:val="left"/>
              <w:rPr>
                <w:sz w:val="24"/>
              </w:rPr>
            </w:pPr>
            <w:r>
              <w:rPr>
                <w:spacing w:val="-2"/>
                <w:sz w:val="24"/>
              </w:rPr>
              <w:t>870.73</w:t>
            </w:r>
          </w:p>
        </w:tc>
        <w:tc>
          <w:tcPr>
            <w:tcW w:w="1115" w:type="dxa"/>
          </w:tcPr>
          <w:p>
            <w:pPr>
              <w:pStyle w:val="TableParagraph"/>
              <w:ind w:left="229"/>
              <w:jc w:val="left"/>
              <w:rPr>
                <w:sz w:val="24"/>
              </w:rPr>
            </w:pPr>
            <w:r>
              <w:rPr>
                <w:spacing w:val="-2"/>
                <w:sz w:val="24"/>
              </w:rPr>
              <w:t>1262.96</w:t>
            </w:r>
          </w:p>
        </w:tc>
        <w:tc>
          <w:tcPr>
            <w:tcW w:w="1116" w:type="dxa"/>
          </w:tcPr>
          <w:p>
            <w:pPr>
              <w:pStyle w:val="TableParagraph"/>
              <w:ind w:left="230"/>
              <w:jc w:val="left"/>
              <w:rPr>
                <w:sz w:val="24"/>
              </w:rPr>
            </w:pPr>
            <w:r>
              <w:rPr>
                <w:spacing w:val="-2"/>
                <w:sz w:val="24"/>
              </w:rPr>
              <w:t>2576.00</w:t>
            </w:r>
          </w:p>
        </w:tc>
        <w:tc>
          <w:tcPr>
            <w:tcW w:w="960" w:type="dxa"/>
          </w:tcPr>
          <w:p>
            <w:pPr>
              <w:pStyle w:val="TableParagraph"/>
              <w:ind w:right="100"/>
              <w:jc w:val="right"/>
              <w:rPr>
                <w:sz w:val="24"/>
              </w:rPr>
            </w:pPr>
            <w:r>
              <w:rPr>
                <w:spacing w:val="-2"/>
                <w:sz w:val="24"/>
              </w:rPr>
              <w:t>0.993</w:t>
            </w:r>
          </w:p>
        </w:tc>
      </w:tr>
      <w:tr>
        <w:trPr>
          <w:trHeight w:val="288" w:hRule="atLeast"/>
        </w:trPr>
        <w:tc>
          <w:tcPr>
            <w:tcW w:w="1070" w:type="dxa"/>
          </w:tcPr>
          <w:p>
            <w:pPr>
              <w:pStyle w:val="TableParagraph"/>
              <w:ind w:left="681"/>
              <w:jc w:val="left"/>
              <w:rPr>
                <w:sz w:val="24"/>
              </w:rPr>
            </w:pPr>
            <w:r>
              <w:rPr>
                <w:spacing w:val="-5"/>
                <w:sz w:val="24"/>
              </w:rPr>
              <w:t>19</w:t>
            </w:r>
          </w:p>
        </w:tc>
        <w:tc>
          <w:tcPr>
            <w:tcW w:w="916" w:type="dxa"/>
          </w:tcPr>
          <w:p>
            <w:pPr>
              <w:pStyle w:val="TableParagraph"/>
              <w:ind w:left="149"/>
              <w:jc w:val="left"/>
              <w:rPr>
                <w:sz w:val="24"/>
              </w:rPr>
            </w:pPr>
            <w:r>
              <w:rPr>
                <w:spacing w:val="-2"/>
                <w:sz w:val="24"/>
              </w:rPr>
              <w:t>494.57</w:t>
            </w:r>
          </w:p>
        </w:tc>
        <w:tc>
          <w:tcPr>
            <w:tcW w:w="996" w:type="dxa"/>
          </w:tcPr>
          <w:p>
            <w:pPr>
              <w:pStyle w:val="TableParagraph"/>
              <w:ind w:left="109"/>
              <w:jc w:val="left"/>
              <w:rPr>
                <w:sz w:val="24"/>
              </w:rPr>
            </w:pPr>
            <w:r>
              <w:rPr>
                <w:spacing w:val="-2"/>
                <w:sz w:val="24"/>
              </w:rPr>
              <w:t>1556.15</w:t>
            </w:r>
          </w:p>
        </w:tc>
        <w:tc>
          <w:tcPr>
            <w:tcW w:w="1115" w:type="dxa"/>
          </w:tcPr>
          <w:p>
            <w:pPr>
              <w:pStyle w:val="TableParagraph"/>
              <w:ind w:left="229"/>
              <w:jc w:val="left"/>
              <w:rPr>
                <w:sz w:val="24"/>
              </w:rPr>
            </w:pPr>
            <w:r>
              <w:rPr>
                <w:spacing w:val="-2"/>
                <w:sz w:val="24"/>
              </w:rPr>
              <w:t>2148.14</w:t>
            </w:r>
          </w:p>
        </w:tc>
        <w:tc>
          <w:tcPr>
            <w:tcW w:w="1116" w:type="dxa"/>
          </w:tcPr>
          <w:p>
            <w:pPr>
              <w:pStyle w:val="TableParagraph"/>
              <w:ind w:left="230"/>
              <w:jc w:val="left"/>
              <w:rPr>
                <w:sz w:val="24"/>
              </w:rPr>
            </w:pPr>
            <w:r>
              <w:rPr>
                <w:spacing w:val="-2"/>
                <w:sz w:val="24"/>
              </w:rPr>
              <w:t>3984.92</w:t>
            </w:r>
          </w:p>
        </w:tc>
        <w:tc>
          <w:tcPr>
            <w:tcW w:w="960" w:type="dxa"/>
          </w:tcPr>
          <w:p>
            <w:pPr>
              <w:pStyle w:val="TableParagraph"/>
              <w:ind w:right="100"/>
              <w:jc w:val="right"/>
              <w:rPr>
                <w:sz w:val="24"/>
              </w:rPr>
            </w:pPr>
            <w:r>
              <w:rPr>
                <w:spacing w:val="-2"/>
                <w:sz w:val="24"/>
              </w:rPr>
              <w:t>0.993</w:t>
            </w:r>
          </w:p>
        </w:tc>
      </w:tr>
      <w:tr>
        <w:trPr>
          <w:trHeight w:val="288" w:hRule="atLeast"/>
        </w:trPr>
        <w:tc>
          <w:tcPr>
            <w:tcW w:w="1070" w:type="dxa"/>
          </w:tcPr>
          <w:p>
            <w:pPr>
              <w:pStyle w:val="TableParagraph"/>
              <w:ind w:left="681"/>
              <w:jc w:val="left"/>
              <w:rPr>
                <w:sz w:val="24"/>
              </w:rPr>
            </w:pPr>
            <w:r>
              <w:rPr>
                <w:spacing w:val="-5"/>
                <w:sz w:val="24"/>
              </w:rPr>
              <w:t>20</w:t>
            </w:r>
          </w:p>
        </w:tc>
        <w:tc>
          <w:tcPr>
            <w:tcW w:w="916" w:type="dxa"/>
          </w:tcPr>
          <w:p>
            <w:pPr>
              <w:pStyle w:val="TableParagraph"/>
              <w:ind w:left="149"/>
              <w:jc w:val="left"/>
              <w:rPr>
                <w:sz w:val="24"/>
              </w:rPr>
            </w:pPr>
            <w:r>
              <w:rPr>
                <w:spacing w:val="-2"/>
                <w:sz w:val="24"/>
              </w:rPr>
              <w:t>159.61</w:t>
            </w:r>
          </w:p>
        </w:tc>
        <w:tc>
          <w:tcPr>
            <w:tcW w:w="996" w:type="dxa"/>
          </w:tcPr>
          <w:p>
            <w:pPr>
              <w:pStyle w:val="TableParagraph"/>
              <w:ind w:left="229"/>
              <w:jc w:val="left"/>
              <w:rPr>
                <w:sz w:val="24"/>
              </w:rPr>
            </w:pPr>
            <w:r>
              <w:rPr>
                <w:spacing w:val="-2"/>
                <w:sz w:val="24"/>
              </w:rPr>
              <w:t>928.04</w:t>
            </w:r>
          </w:p>
        </w:tc>
        <w:tc>
          <w:tcPr>
            <w:tcW w:w="1115" w:type="dxa"/>
          </w:tcPr>
          <w:p>
            <w:pPr>
              <w:pStyle w:val="TableParagraph"/>
              <w:ind w:left="229"/>
              <w:jc w:val="left"/>
              <w:rPr>
                <w:sz w:val="24"/>
              </w:rPr>
            </w:pPr>
            <w:r>
              <w:rPr>
                <w:spacing w:val="-2"/>
                <w:sz w:val="24"/>
              </w:rPr>
              <w:t>1522.59</w:t>
            </w:r>
          </w:p>
        </w:tc>
        <w:tc>
          <w:tcPr>
            <w:tcW w:w="1116" w:type="dxa"/>
          </w:tcPr>
          <w:p>
            <w:pPr>
              <w:pStyle w:val="TableParagraph"/>
              <w:ind w:left="230"/>
              <w:jc w:val="left"/>
              <w:rPr>
                <w:sz w:val="24"/>
              </w:rPr>
            </w:pPr>
            <w:r>
              <w:rPr>
                <w:spacing w:val="-2"/>
                <w:sz w:val="24"/>
              </w:rPr>
              <w:t>3932.75</w:t>
            </w:r>
          </w:p>
        </w:tc>
        <w:tc>
          <w:tcPr>
            <w:tcW w:w="960" w:type="dxa"/>
          </w:tcPr>
          <w:p>
            <w:pPr>
              <w:pStyle w:val="TableParagraph"/>
              <w:ind w:right="100"/>
              <w:jc w:val="right"/>
              <w:rPr>
                <w:sz w:val="24"/>
              </w:rPr>
            </w:pPr>
            <w:r>
              <w:rPr>
                <w:spacing w:val="-2"/>
                <w:sz w:val="24"/>
              </w:rPr>
              <w:t>0.800</w:t>
            </w:r>
          </w:p>
        </w:tc>
      </w:tr>
      <w:tr>
        <w:trPr>
          <w:trHeight w:val="276" w:hRule="atLeast"/>
        </w:trPr>
        <w:tc>
          <w:tcPr>
            <w:tcW w:w="1070" w:type="dxa"/>
          </w:tcPr>
          <w:p>
            <w:pPr>
              <w:pStyle w:val="TableParagraph"/>
              <w:tabs>
                <w:tab w:pos="1219" w:val="left" w:leader="none"/>
              </w:tabs>
              <w:spacing w:line="256" w:lineRule="exact"/>
              <w:ind w:left="-15" w:right="-159"/>
              <w:jc w:val="left"/>
              <w:rPr>
                <w:sz w:val="24"/>
              </w:rPr>
            </w:pPr>
            <w:r>
              <w:rPr>
                <w:spacing w:val="60"/>
                <w:sz w:val="24"/>
                <w:u w:val="single"/>
              </w:rPr>
              <w:t> </w:t>
            </w:r>
            <w:r>
              <w:rPr>
                <w:spacing w:val="-2"/>
                <w:sz w:val="24"/>
                <w:u w:val="single"/>
              </w:rPr>
              <w:t>Average</w:t>
            </w:r>
            <w:r>
              <w:rPr>
                <w:sz w:val="24"/>
                <w:u w:val="single"/>
              </w:rPr>
              <w:tab/>
            </w:r>
          </w:p>
        </w:tc>
        <w:tc>
          <w:tcPr>
            <w:tcW w:w="916" w:type="dxa"/>
          </w:tcPr>
          <w:p>
            <w:pPr>
              <w:pStyle w:val="TableParagraph"/>
              <w:tabs>
                <w:tab w:pos="1025" w:val="left" w:leader="none"/>
              </w:tabs>
              <w:spacing w:line="256" w:lineRule="exact"/>
              <w:ind w:left="149" w:right="-116"/>
              <w:jc w:val="left"/>
              <w:rPr>
                <w:sz w:val="24"/>
              </w:rPr>
            </w:pPr>
            <w:r>
              <w:rPr>
                <w:spacing w:val="-2"/>
                <w:sz w:val="24"/>
                <w:u w:val="single"/>
              </w:rPr>
              <w:t>328.77</w:t>
            </w:r>
            <w:r>
              <w:rPr>
                <w:sz w:val="24"/>
                <w:u w:val="single"/>
              </w:rPr>
              <w:tab/>
            </w:r>
          </w:p>
        </w:tc>
        <w:tc>
          <w:tcPr>
            <w:tcW w:w="996" w:type="dxa"/>
          </w:tcPr>
          <w:p>
            <w:pPr>
              <w:pStyle w:val="TableParagraph"/>
              <w:tabs>
                <w:tab w:pos="1225" w:val="left" w:leader="none"/>
              </w:tabs>
              <w:spacing w:line="256" w:lineRule="exact"/>
              <w:ind w:left="109" w:right="-231"/>
              <w:jc w:val="left"/>
              <w:rPr>
                <w:sz w:val="24"/>
              </w:rPr>
            </w:pPr>
            <w:r>
              <w:rPr>
                <w:spacing w:val="-2"/>
                <w:sz w:val="24"/>
                <w:u w:val="single"/>
              </w:rPr>
              <w:t>2098.83</w:t>
            </w:r>
            <w:r>
              <w:rPr>
                <w:sz w:val="24"/>
                <w:u w:val="single"/>
              </w:rPr>
              <w:tab/>
            </w:r>
          </w:p>
        </w:tc>
        <w:tc>
          <w:tcPr>
            <w:tcW w:w="1115" w:type="dxa"/>
          </w:tcPr>
          <w:p>
            <w:pPr>
              <w:pStyle w:val="TableParagraph"/>
              <w:tabs>
                <w:tab w:pos="1225" w:val="left" w:leader="none"/>
              </w:tabs>
              <w:spacing w:line="256" w:lineRule="exact"/>
              <w:ind w:left="229" w:right="-116"/>
              <w:jc w:val="left"/>
              <w:rPr>
                <w:sz w:val="24"/>
              </w:rPr>
            </w:pPr>
            <w:r>
              <w:rPr>
                <w:spacing w:val="-2"/>
                <w:sz w:val="24"/>
                <w:u w:val="single"/>
              </w:rPr>
              <w:t>3685.11</w:t>
            </w:r>
            <w:r>
              <w:rPr>
                <w:sz w:val="24"/>
                <w:u w:val="single"/>
              </w:rPr>
              <w:tab/>
            </w:r>
          </w:p>
        </w:tc>
        <w:tc>
          <w:tcPr>
            <w:tcW w:w="1116" w:type="dxa"/>
          </w:tcPr>
          <w:p>
            <w:pPr>
              <w:pStyle w:val="TableParagraph"/>
              <w:tabs>
                <w:tab w:pos="2081" w:val="left" w:leader="none"/>
              </w:tabs>
              <w:spacing w:line="256" w:lineRule="exact"/>
              <w:ind w:left="110" w:right="-980"/>
              <w:jc w:val="left"/>
              <w:rPr>
                <w:sz w:val="24"/>
              </w:rPr>
            </w:pPr>
            <w:r>
              <w:rPr>
                <w:spacing w:val="-2"/>
                <w:sz w:val="24"/>
                <w:u w:val="single"/>
              </w:rPr>
              <w:t>11506.44</w:t>
            </w:r>
            <w:r>
              <w:rPr>
                <w:sz w:val="24"/>
                <w:u w:val="single"/>
              </w:rPr>
              <w:tab/>
            </w:r>
          </w:p>
        </w:tc>
        <w:tc>
          <w:tcPr>
            <w:tcW w:w="960" w:type="dxa"/>
          </w:tcPr>
          <w:p>
            <w:pPr>
              <w:pStyle w:val="TableParagraph"/>
              <w:spacing w:line="240" w:lineRule="auto" w:before="0"/>
              <w:jc w:val="left"/>
              <w:rPr>
                <w:sz w:val="20"/>
              </w:rPr>
            </w:pPr>
          </w:p>
        </w:tc>
      </w:tr>
    </w:tbl>
    <w:p>
      <w:pPr>
        <w:spacing w:after="0" w:line="240" w:lineRule="auto"/>
        <w:jc w:val="left"/>
        <w:rPr>
          <w:sz w:val="20"/>
        </w:rPr>
        <w:sectPr>
          <w:pgSz w:w="11910" w:h="16840"/>
          <w:pgMar w:header="0" w:footer="1254" w:top="1360" w:bottom="1440" w:left="1180" w:right="580"/>
        </w:sectPr>
      </w:pPr>
    </w:p>
    <w:p>
      <w:pPr>
        <w:spacing w:before="61"/>
        <w:ind w:left="260" w:right="0" w:firstLine="0"/>
        <w:jc w:val="left"/>
        <w:rPr>
          <w:b/>
          <w:sz w:val="24"/>
        </w:rPr>
      </w:pPr>
      <w:r>
        <w:rPr>
          <w:b/>
          <w:sz w:val="24"/>
        </w:rPr>
        <w:t>Table</w:t>
      </w:r>
      <w:r>
        <w:rPr>
          <w:b/>
          <w:spacing w:val="-2"/>
          <w:sz w:val="24"/>
        </w:rPr>
        <w:t> </w:t>
      </w:r>
      <w:r>
        <w:rPr>
          <w:b/>
          <w:sz w:val="24"/>
        </w:rPr>
        <w:t>4.8:</w:t>
      </w:r>
      <w:r>
        <w:rPr>
          <w:b/>
          <w:spacing w:val="-4"/>
          <w:sz w:val="24"/>
        </w:rPr>
        <w:t> </w:t>
      </w:r>
      <w:r>
        <w:rPr>
          <w:b/>
          <w:sz w:val="24"/>
        </w:rPr>
        <w:t>Inhibitory</w:t>
      </w:r>
      <w:r>
        <w:rPr>
          <w:b/>
          <w:spacing w:val="-1"/>
          <w:sz w:val="24"/>
        </w:rPr>
        <w:t> </w:t>
      </w:r>
      <w:r>
        <w:rPr>
          <w:b/>
          <w:sz w:val="24"/>
        </w:rPr>
        <w:t>concentrations</w:t>
      </w:r>
      <w:r>
        <w:rPr>
          <w:b/>
          <w:spacing w:val="-2"/>
          <w:sz w:val="24"/>
        </w:rPr>
        <w:t> </w:t>
      </w:r>
      <w:r>
        <w:rPr>
          <w:b/>
          <w:sz w:val="24"/>
        </w:rPr>
        <w:t>(nM)</w:t>
      </w:r>
      <w:r>
        <w:rPr>
          <w:b/>
          <w:spacing w:val="-3"/>
          <w:sz w:val="24"/>
        </w:rPr>
        <w:t> </w:t>
      </w:r>
      <w:r>
        <w:rPr>
          <w:b/>
          <w:sz w:val="24"/>
        </w:rPr>
        <w:t>of</w:t>
      </w:r>
      <w:r>
        <w:rPr>
          <w:b/>
          <w:spacing w:val="-1"/>
          <w:sz w:val="24"/>
        </w:rPr>
        <w:t> </w:t>
      </w:r>
      <w:r>
        <w:rPr>
          <w:b/>
          <w:sz w:val="24"/>
        </w:rPr>
        <w:t>Amodiaquine</w:t>
      </w:r>
      <w:r>
        <w:rPr>
          <w:b/>
          <w:spacing w:val="-2"/>
          <w:sz w:val="24"/>
        </w:rPr>
        <w:t> </w:t>
      </w:r>
      <w:r>
        <w:rPr>
          <w:b/>
          <w:sz w:val="24"/>
        </w:rPr>
        <w:t>against</w:t>
      </w:r>
      <w:r>
        <w:rPr>
          <w:b/>
          <w:spacing w:val="-2"/>
          <w:sz w:val="24"/>
        </w:rPr>
        <w:t> </w:t>
      </w:r>
      <w:r>
        <w:rPr>
          <w:b/>
          <w:sz w:val="24"/>
        </w:rPr>
        <w:t>schizont</w:t>
      </w:r>
      <w:r>
        <w:rPr>
          <w:b/>
          <w:spacing w:val="-1"/>
          <w:sz w:val="24"/>
        </w:rPr>
        <w:t> </w:t>
      </w:r>
      <w:r>
        <w:rPr>
          <w:b/>
          <w:spacing w:val="-2"/>
          <w:sz w:val="24"/>
        </w:rPr>
        <w:t>maturation</w:t>
      </w:r>
    </w:p>
    <w:p>
      <w:pPr>
        <w:pStyle w:val="BodyText"/>
        <w:spacing w:before="13"/>
        <w:rPr>
          <w:b/>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7"/>
        <w:gridCol w:w="893"/>
        <w:gridCol w:w="960"/>
        <w:gridCol w:w="959"/>
        <w:gridCol w:w="1051"/>
        <w:gridCol w:w="959"/>
      </w:tblGrid>
      <w:tr>
        <w:trPr>
          <w:trHeight w:val="324" w:hRule="atLeast"/>
        </w:trPr>
        <w:tc>
          <w:tcPr>
            <w:tcW w:w="1027" w:type="dxa"/>
            <w:tcBorders>
              <w:top w:val="single" w:sz="4" w:space="0" w:color="000000"/>
              <w:bottom w:val="single" w:sz="4" w:space="0" w:color="000000"/>
            </w:tcBorders>
          </w:tcPr>
          <w:p>
            <w:pPr>
              <w:pStyle w:val="TableParagraph"/>
              <w:spacing w:line="240" w:lineRule="auto" w:before="0"/>
              <w:jc w:val="left"/>
              <w:rPr>
                <w:sz w:val="22"/>
              </w:rPr>
            </w:pPr>
          </w:p>
        </w:tc>
        <w:tc>
          <w:tcPr>
            <w:tcW w:w="893" w:type="dxa"/>
            <w:tcBorders>
              <w:top w:val="single" w:sz="4" w:space="0" w:color="000000"/>
              <w:bottom w:val="single" w:sz="4" w:space="0" w:color="000000"/>
            </w:tcBorders>
          </w:tcPr>
          <w:p>
            <w:pPr>
              <w:pStyle w:val="TableParagraph"/>
              <w:spacing w:line="264" w:lineRule="exact" w:before="39"/>
              <w:ind w:left="40"/>
              <w:jc w:val="left"/>
              <w:rPr>
                <w:sz w:val="24"/>
              </w:rPr>
            </w:pPr>
            <w:r>
              <w:rPr>
                <w:spacing w:val="-4"/>
                <w:sz w:val="24"/>
              </w:rPr>
              <w:t>LC</w:t>
            </w:r>
            <w:r>
              <w:rPr>
                <w:spacing w:val="-4"/>
                <w:sz w:val="24"/>
                <w:vertAlign w:val="subscript"/>
              </w:rPr>
              <w:t>50</w:t>
            </w:r>
          </w:p>
        </w:tc>
        <w:tc>
          <w:tcPr>
            <w:tcW w:w="960" w:type="dxa"/>
            <w:tcBorders>
              <w:top w:val="single" w:sz="4" w:space="0" w:color="000000"/>
              <w:bottom w:val="single" w:sz="4" w:space="0" w:color="000000"/>
            </w:tcBorders>
          </w:tcPr>
          <w:p>
            <w:pPr>
              <w:pStyle w:val="TableParagraph"/>
              <w:spacing w:line="264" w:lineRule="exact" w:before="39"/>
              <w:ind w:left="107"/>
              <w:jc w:val="left"/>
              <w:rPr>
                <w:sz w:val="24"/>
              </w:rPr>
            </w:pPr>
            <w:r>
              <w:rPr>
                <w:spacing w:val="-4"/>
                <w:sz w:val="24"/>
              </w:rPr>
              <w:t>LC</w:t>
            </w:r>
            <w:r>
              <w:rPr>
                <w:spacing w:val="-4"/>
                <w:sz w:val="24"/>
                <w:vertAlign w:val="subscript"/>
              </w:rPr>
              <w:t>90</w:t>
            </w:r>
          </w:p>
        </w:tc>
        <w:tc>
          <w:tcPr>
            <w:tcW w:w="959" w:type="dxa"/>
            <w:tcBorders>
              <w:top w:val="single" w:sz="4" w:space="0" w:color="000000"/>
              <w:bottom w:val="single" w:sz="4" w:space="0" w:color="000000"/>
            </w:tcBorders>
          </w:tcPr>
          <w:p>
            <w:pPr>
              <w:pStyle w:val="TableParagraph"/>
              <w:spacing w:line="264" w:lineRule="exact" w:before="39"/>
              <w:ind w:left="108"/>
              <w:jc w:val="left"/>
              <w:rPr>
                <w:sz w:val="24"/>
              </w:rPr>
            </w:pPr>
            <w:r>
              <w:rPr>
                <w:spacing w:val="-4"/>
                <w:sz w:val="24"/>
              </w:rPr>
              <w:t>LC</w:t>
            </w:r>
            <w:r>
              <w:rPr>
                <w:spacing w:val="-4"/>
                <w:sz w:val="24"/>
                <w:vertAlign w:val="subscript"/>
              </w:rPr>
              <w:t>95</w:t>
            </w:r>
          </w:p>
        </w:tc>
        <w:tc>
          <w:tcPr>
            <w:tcW w:w="1051" w:type="dxa"/>
            <w:tcBorders>
              <w:top w:val="single" w:sz="4" w:space="0" w:color="000000"/>
              <w:bottom w:val="single" w:sz="4" w:space="0" w:color="000000"/>
            </w:tcBorders>
          </w:tcPr>
          <w:p>
            <w:pPr>
              <w:pStyle w:val="TableParagraph"/>
              <w:spacing w:line="264" w:lineRule="exact" w:before="39"/>
              <w:ind w:left="109"/>
              <w:jc w:val="left"/>
              <w:rPr>
                <w:sz w:val="24"/>
              </w:rPr>
            </w:pPr>
            <w:r>
              <w:rPr>
                <w:spacing w:val="-4"/>
                <w:sz w:val="24"/>
              </w:rPr>
              <w:t>LC</w:t>
            </w:r>
            <w:r>
              <w:rPr>
                <w:spacing w:val="-4"/>
                <w:sz w:val="24"/>
                <w:vertAlign w:val="subscript"/>
              </w:rPr>
              <w:t>99</w:t>
            </w:r>
          </w:p>
        </w:tc>
        <w:tc>
          <w:tcPr>
            <w:tcW w:w="959" w:type="dxa"/>
            <w:tcBorders>
              <w:top w:val="single" w:sz="4" w:space="0" w:color="000000"/>
              <w:bottom w:val="single" w:sz="4" w:space="0" w:color="000000"/>
            </w:tcBorders>
          </w:tcPr>
          <w:p>
            <w:pPr>
              <w:pStyle w:val="TableParagraph"/>
              <w:spacing w:line="158" w:lineRule="auto" w:before="41"/>
              <w:ind w:left="110"/>
              <w:jc w:val="left"/>
              <w:rPr>
                <w:sz w:val="16"/>
              </w:rPr>
            </w:pPr>
            <w:r>
              <w:rPr>
                <w:spacing w:val="-5"/>
                <w:position w:val="-10"/>
                <w:sz w:val="24"/>
              </w:rPr>
              <w:t>R</w:t>
            </w:r>
            <w:r>
              <w:rPr>
                <w:spacing w:val="-5"/>
                <w:sz w:val="16"/>
              </w:rPr>
              <w:t>2</w:t>
            </w:r>
          </w:p>
        </w:tc>
      </w:tr>
      <w:tr>
        <w:trPr>
          <w:trHeight w:val="313" w:hRule="atLeast"/>
        </w:trPr>
        <w:tc>
          <w:tcPr>
            <w:tcW w:w="1027" w:type="dxa"/>
            <w:tcBorders>
              <w:top w:val="single" w:sz="4" w:space="0" w:color="000000"/>
            </w:tcBorders>
          </w:tcPr>
          <w:p>
            <w:pPr>
              <w:pStyle w:val="TableParagraph"/>
              <w:spacing w:line="240" w:lineRule="auto" w:before="16"/>
              <w:ind w:right="171"/>
              <w:jc w:val="right"/>
              <w:rPr>
                <w:rFonts w:ascii="Calibri"/>
                <w:sz w:val="22"/>
              </w:rPr>
            </w:pPr>
            <w:r>
              <w:rPr>
                <w:rFonts w:ascii="Calibri"/>
                <w:spacing w:val="-10"/>
                <w:sz w:val="22"/>
              </w:rPr>
              <w:t>1</w:t>
            </w:r>
          </w:p>
        </w:tc>
        <w:tc>
          <w:tcPr>
            <w:tcW w:w="893" w:type="dxa"/>
            <w:tcBorders>
              <w:top w:val="single" w:sz="4" w:space="0" w:color="000000"/>
            </w:tcBorders>
          </w:tcPr>
          <w:p>
            <w:pPr>
              <w:pStyle w:val="TableParagraph"/>
              <w:spacing w:line="240" w:lineRule="auto" w:before="16"/>
              <w:ind w:left="172"/>
              <w:jc w:val="left"/>
              <w:rPr>
                <w:rFonts w:ascii="Calibri"/>
                <w:sz w:val="22"/>
              </w:rPr>
            </w:pPr>
            <w:r>
              <w:rPr>
                <w:rFonts w:ascii="Calibri"/>
                <w:spacing w:val="-2"/>
                <w:sz w:val="22"/>
              </w:rPr>
              <w:t>113.21</w:t>
            </w:r>
          </w:p>
        </w:tc>
        <w:tc>
          <w:tcPr>
            <w:tcW w:w="960" w:type="dxa"/>
            <w:tcBorders>
              <w:top w:val="single" w:sz="4" w:space="0" w:color="000000"/>
            </w:tcBorders>
          </w:tcPr>
          <w:p>
            <w:pPr>
              <w:pStyle w:val="TableParagraph"/>
              <w:spacing w:line="240" w:lineRule="auto" w:before="16"/>
              <w:ind w:left="240"/>
              <w:jc w:val="left"/>
              <w:rPr>
                <w:rFonts w:ascii="Calibri"/>
                <w:sz w:val="22"/>
              </w:rPr>
            </w:pPr>
            <w:r>
              <w:rPr>
                <w:rFonts w:ascii="Calibri"/>
                <w:spacing w:val="-2"/>
                <w:sz w:val="22"/>
              </w:rPr>
              <w:t>590.74</w:t>
            </w:r>
          </w:p>
        </w:tc>
        <w:tc>
          <w:tcPr>
            <w:tcW w:w="959" w:type="dxa"/>
            <w:tcBorders>
              <w:top w:val="single" w:sz="4" w:space="0" w:color="000000"/>
            </w:tcBorders>
          </w:tcPr>
          <w:p>
            <w:pPr>
              <w:pStyle w:val="TableParagraph"/>
              <w:spacing w:line="240" w:lineRule="auto" w:before="16"/>
              <w:ind w:left="240"/>
              <w:jc w:val="left"/>
              <w:rPr>
                <w:rFonts w:ascii="Calibri"/>
                <w:sz w:val="22"/>
              </w:rPr>
            </w:pPr>
            <w:r>
              <w:rPr>
                <w:rFonts w:ascii="Calibri"/>
                <w:spacing w:val="-2"/>
                <w:sz w:val="22"/>
              </w:rPr>
              <w:t>940.17</w:t>
            </w:r>
          </w:p>
        </w:tc>
        <w:tc>
          <w:tcPr>
            <w:tcW w:w="1051" w:type="dxa"/>
            <w:tcBorders>
              <w:top w:val="single" w:sz="4" w:space="0" w:color="000000"/>
            </w:tcBorders>
          </w:tcPr>
          <w:p>
            <w:pPr>
              <w:pStyle w:val="TableParagraph"/>
              <w:spacing w:line="240" w:lineRule="auto" w:before="16"/>
              <w:ind w:left="222"/>
              <w:jc w:val="left"/>
              <w:rPr>
                <w:rFonts w:ascii="Calibri"/>
                <w:sz w:val="22"/>
              </w:rPr>
            </w:pPr>
            <w:r>
              <w:rPr>
                <w:rFonts w:ascii="Calibri"/>
                <w:spacing w:val="-2"/>
                <w:sz w:val="22"/>
              </w:rPr>
              <w:t>2290.86</w:t>
            </w:r>
          </w:p>
        </w:tc>
        <w:tc>
          <w:tcPr>
            <w:tcW w:w="959" w:type="dxa"/>
            <w:tcBorders>
              <w:top w:val="single" w:sz="4" w:space="0" w:color="000000"/>
            </w:tcBorders>
          </w:tcPr>
          <w:p>
            <w:pPr>
              <w:pStyle w:val="TableParagraph"/>
              <w:spacing w:line="240" w:lineRule="auto" w:before="16"/>
              <w:ind w:right="101"/>
              <w:jc w:val="right"/>
              <w:rPr>
                <w:rFonts w:ascii="Calibri"/>
                <w:sz w:val="22"/>
              </w:rPr>
            </w:pPr>
            <w:r>
              <w:rPr>
                <w:rFonts w:ascii="Calibri"/>
                <w:spacing w:val="-2"/>
                <w:sz w:val="22"/>
              </w:rPr>
              <w:t>0.982</w:t>
            </w:r>
          </w:p>
        </w:tc>
      </w:tr>
      <w:tr>
        <w:trPr>
          <w:trHeight w:val="287" w:hRule="atLeast"/>
        </w:trPr>
        <w:tc>
          <w:tcPr>
            <w:tcW w:w="1027" w:type="dxa"/>
          </w:tcPr>
          <w:p>
            <w:pPr>
              <w:pStyle w:val="TableParagraph"/>
              <w:spacing w:line="258" w:lineRule="exact" w:before="0"/>
              <w:ind w:right="171"/>
              <w:jc w:val="right"/>
              <w:rPr>
                <w:rFonts w:ascii="Calibri"/>
                <w:sz w:val="22"/>
              </w:rPr>
            </w:pPr>
            <w:r>
              <w:rPr>
                <w:rFonts w:ascii="Calibri"/>
                <w:spacing w:val="-10"/>
                <w:sz w:val="22"/>
              </w:rPr>
              <w:t>2</w:t>
            </w:r>
          </w:p>
        </w:tc>
        <w:tc>
          <w:tcPr>
            <w:tcW w:w="893" w:type="dxa"/>
          </w:tcPr>
          <w:p>
            <w:pPr>
              <w:pStyle w:val="TableParagraph"/>
              <w:spacing w:line="258" w:lineRule="exact" w:before="0"/>
              <w:ind w:left="172"/>
              <w:jc w:val="left"/>
              <w:rPr>
                <w:rFonts w:ascii="Calibri"/>
                <w:sz w:val="22"/>
              </w:rPr>
            </w:pPr>
            <w:r>
              <w:rPr>
                <w:rFonts w:ascii="Calibri"/>
                <w:spacing w:val="-2"/>
                <w:sz w:val="22"/>
              </w:rPr>
              <w:t>102.56</w:t>
            </w:r>
          </w:p>
        </w:tc>
        <w:tc>
          <w:tcPr>
            <w:tcW w:w="960" w:type="dxa"/>
          </w:tcPr>
          <w:p>
            <w:pPr>
              <w:pStyle w:val="TableParagraph"/>
              <w:spacing w:line="258" w:lineRule="exact" w:before="0"/>
              <w:ind w:left="240"/>
              <w:jc w:val="left"/>
              <w:rPr>
                <w:rFonts w:ascii="Calibri"/>
                <w:sz w:val="22"/>
              </w:rPr>
            </w:pPr>
            <w:r>
              <w:rPr>
                <w:rFonts w:ascii="Calibri"/>
                <w:spacing w:val="-2"/>
                <w:sz w:val="22"/>
              </w:rPr>
              <w:t>413.85</w:t>
            </w:r>
          </w:p>
        </w:tc>
        <w:tc>
          <w:tcPr>
            <w:tcW w:w="959" w:type="dxa"/>
          </w:tcPr>
          <w:p>
            <w:pPr>
              <w:pStyle w:val="TableParagraph"/>
              <w:spacing w:line="258" w:lineRule="exact" w:before="0"/>
              <w:ind w:left="240"/>
              <w:jc w:val="left"/>
              <w:rPr>
                <w:rFonts w:ascii="Calibri"/>
                <w:sz w:val="22"/>
              </w:rPr>
            </w:pPr>
            <w:r>
              <w:rPr>
                <w:rFonts w:ascii="Calibri"/>
                <w:spacing w:val="-2"/>
                <w:sz w:val="22"/>
              </w:rPr>
              <w:t>612.69</w:t>
            </w:r>
          </w:p>
        </w:tc>
        <w:tc>
          <w:tcPr>
            <w:tcW w:w="1051" w:type="dxa"/>
          </w:tcPr>
          <w:p>
            <w:pPr>
              <w:pStyle w:val="TableParagraph"/>
              <w:spacing w:line="258" w:lineRule="exact" w:before="0"/>
              <w:ind w:left="222"/>
              <w:jc w:val="left"/>
              <w:rPr>
                <w:rFonts w:ascii="Calibri"/>
                <w:sz w:val="22"/>
              </w:rPr>
            </w:pPr>
            <w:r>
              <w:rPr>
                <w:rFonts w:ascii="Calibri"/>
                <w:spacing w:val="-2"/>
                <w:sz w:val="22"/>
              </w:rPr>
              <w:t>1299.68</w:t>
            </w:r>
          </w:p>
        </w:tc>
        <w:tc>
          <w:tcPr>
            <w:tcW w:w="959" w:type="dxa"/>
          </w:tcPr>
          <w:p>
            <w:pPr>
              <w:pStyle w:val="TableParagraph"/>
              <w:spacing w:line="258" w:lineRule="exact" w:before="0"/>
              <w:ind w:right="101"/>
              <w:jc w:val="right"/>
              <w:rPr>
                <w:rFonts w:ascii="Calibri"/>
                <w:sz w:val="22"/>
              </w:rPr>
            </w:pPr>
            <w:r>
              <w:rPr>
                <w:rFonts w:ascii="Calibri"/>
                <w:spacing w:val="-2"/>
                <w:sz w:val="22"/>
              </w:rPr>
              <w:t>0.990</w:t>
            </w:r>
          </w:p>
        </w:tc>
      </w:tr>
      <w:tr>
        <w:trPr>
          <w:trHeight w:val="288" w:hRule="atLeast"/>
        </w:trPr>
        <w:tc>
          <w:tcPr>
            <w:tcW w:w="1027" w:type="dxa"/>
          </w:tcPr>
          <w:p>
            <w:pPr>
              <w:pStyle w:val="TableParagraph"/>
              <w:spacing w:line="258" w:lineRule="exact" w:before="0"/>
              <w:ind w:right="171"/>
              <w:jc w:val="right"/>
              <w:rPr>
                <w:rFonts w:ascii="Calibri"/>
                <w:sz w:val="22"/>
              </w:rPr>
            </w:pPr>
            <w:r>
              <w:rPr>
                <w:rFonts w:ascii="Calibri"/>
                <w:spacing w:val="-10"/>
                <w:sz w:val="22"/>
              </w:rPr>
              <w:t>3</w:t>
            </w:r>
          </w:p>
        </w:tc>
        <w:tc>
          <w:tcPr>
            <w:tcW w:w="893" w:type="dxa"/>
          </w:tcPr>
          <w:p>
            <w:pPr>
              <w:pStyle w:val="TableParagraph"/>
              <w:spacing w:line="258" w:lineRule="exact" w:before="0"/>
              <w:ind w:left="283"/>
              <w:jc w:val="left"/>
              <w:rPr>
                <w:rFonts w:ascii="Calibri"/>
                <w:sz w:val="22"/>
              </w:rPr>
            </w:pPr>
            <w:r>
              <w:rPr>
                <w:rFonts w:ascii="Calibri"/>
                <w:spacing w:val="-2"/>
                <w:sz w:val="22"/>
              </w:rPr>
              <w:t>58.34</w:t>
            </w:r>
          </w:p>
        </w:tc>
        <w:tc>
          <w:tcPr>
            <w:tcW w:w="960" w:type="dxa"/>
          </w:tcPr>
          <w:p>
            <w:pPr>
              <w:pStyle w:val="TableParagraph"/>
              <w:spacing w:line="258" w:lineRule="exact" w:before="0"/>
              <w:ind w:left="240"/>
              <w:jc w:val="left"/>
              <w:rPr>
                <w:rFonts w:ascii="Calibri"/>
                <w:sz w:val="22"/>
              </w:rPr>
            </w:pPr>
            <w:r>
              <w:rPr>
                <w:rFonts w:ascii="Calibri"/>
                <w:spacing w:val="-2"/>
                <w:sz w:val="22"/>
              </w:rPr>
              <w:t>396.41</w:t>
            </w:r>
          </w:p>
        </w:tc>
        <w:tc>
          <w:tcPr>
            <w:tcW w:w="959" w:type="dxa"/>
          </w:tcPr>
          <w:p>
            <w:pPr>
              <w:pStyle w:val="TableParagraph"/>
              <w:spacing w:line="258" w:lineRule="exact" w:before="0"/>
              <w:ind w:left="240"/>
              <w:jc w:val="left"/>
              <w:rPr>
                <w:rFonts w:ascii="Calibri"/>
                <w:sz w:val="22"/>
              </w:rPr>
            </w:pPr>
            <w:r>
              <w:rPr>
                <w:rFonts w:ascii="Calibri"/>
                <w:spacing w:val="-2"/>
                <w:sz w:val="22"/>
              </w:rPr>
              <w:t>679.51</w:t>
            </w:r>
          </w:p>
        </w:tc>
        <w:tc>
          <w:tcPr>
            <w:tcW w:w="1051" w:type="dxa"/>
          </w:tcPr>
          <w:p>
            <w:pPr>
              <w:pStyle w:val="TableParagraph"/>
              <w:spacing w:line="258" w:lineRule="exact" w:before="0"/>
              <w:ind w:left="222"/>
              <w:jc w:val="left"/>
              <w:rPr>
                <w:rFonts w:ascii="Calibri"/>
                <w:sz w:val="22"/>
              </w:rPr>
            </w:pPr>
            <w:r>
              <w:rPr>
                <w:rFonts w:ascii="Calibri"/>
                <w:spacing w:val="-2"/>
                <w:sz w:val="22"/>
              </w:rPr>
              <w:t>1908.98</w:t>
            </w:r>
          </w:p>
        </w:tc>
        <w:tc>
          <w:tcPr>
            <w:tcW w:w="959" w:type="dxa"/>
          </w:tcPr>
          <w:p>
            <w:pPr>
              <w:pStyle w:val="TableParagraph"/>
              <w:spacing w:line="258" w:lineRule="exact" w:before="0"/>
              <w:ind w:right="101"/>
              <w:jc w:val="right"/>
              <w:rPr>
                <w:rFonts w:ascii="Calibri"/>
                <w:sz w:val="22"/>
              </w:rPr>
            </w:pPr>
            <w:r>
              <w:rPr>
                <w:rFonts w:ascii="Calibri"/>
                <w:spacing w:val="-2"/>
                <w:sz w:val="22"/>
              </w:rPr>
              <w:t>0.983</w:t>
            </w:r>
          </w:p>
        </w:tc>
      </w:tr>
      <w:tr>
        <w:trPr>
          <w:trHeight w:val="287" w:hRule="atLeast"/>
        </w:trPr>
        <w:tc>
          <w:tcPr>
            <w:tcW w:w="1027" w:type="dxa"/>
          </w:tcPr>
          <w:p>
            <w:pPr>
              <w:pStyle w:val="TableParagraph"/>
              <w:spacing w:line="258" w:lineRule="exact" w:before="0"/>
              <w:ind w:right="171"/>
              <w:jc w:val="right"/>
              <w:rPr>
                <w:rFonts w:ascii="Calibri"/>
                <w:sz w:val="22"/>
              </w:rPr>
            </w:pPr>
            <w:r>
              <w:rPr>
                <w:rFonts w:ascii="Calibri"/>
                <w:spacing w:val="-10"/>
                <w:sz w:val="22"/>
              </w:rPr>
              <w:t>4</w:t>
            </w:r>
          </w:p>
        </w:tc>
        <w:tc>
          <w:tcPr>
            <w:tcW w:w="893" w:type="dxa"/>
          </w:tcPr>
          <w:p>
            <w:pPr>
              <w:pStyle w:val="TableParagraph"/>
              <w:spacing w:line="258" w:lineRule="exact" w:before="0"/>
              <w:ind w:left="172"/>
              <w:jc w:val="left"/>
              <w:rPr>
                <w:rFonts w:ascii="Calibri"/>
                <w:sz w:val="22"/>
              </w:rPr>
            </w:pPr>
            <w:r>
              <w:rPr>
                <w:rFonts w:ascii="Calibri"/>
                <w:spacing w:val="-2"/>
                <w:sz w:val="22"/>
              </w:rPr>
              <w:t>123.46</w:t>
            </w:r>
          </w:p>
        </w:tc>
        <w:tc>
          <w:tcPr>
            <w:tcW w:w="960" w:type="dxa"/>
          </w:tcPr>
          <w:p>
            <w:pPr>
              <w:pStyle w:val="TableParagraph"/>
              <w:spacing w:line="258" w:lineRule="exact" w:before="0"/>
              <w:ind w:left="240"/>
              <w:jc w:val="left"/>
              <w:rPr>
                <w:rFonts w:ascii="Calibri"/>
                <w:sz w:val="22"/>
              </w:rPr>
            </w:pPr>
            <w:r>
              <w:rPr>
                <w:rFonts w:ascii="Calibri"/>
                <w:spacing w:val="-2"/>
                <w:sz w:val="22"/>
              </w:rPr>
              <w:t>590.36</w:t>
            </w:r>
          </w:p>
        </w:tc>
        <w:tc>
          <w:tcPr>
            <w:tcW w:w="959" w:type="dxa"/>
          </w:tcPr>
          <w:p>
            <w:pPr>
              <w:pStyle w:val="TableParagraph"/>
              <w:spacing w:line="258" w:lineRule="exact" w:before="0"/>
              <w:ind w:left="240"/>
              <w:jc w:val="left"/>
              <w:rPr>
                <w:rFonts w:ascii="Calibri"/>
                <w:sz w:val="22"/>
              </w:rPr>
            </w:pPr>
            <w:r>
              <w:rPr>
                <w:rFonts w:ascii="Calibri"/>
                <w:spacing w:val="-2"/>
                <w:sz w:val="22"/>
              </w:rPr>
              <w:t>916.75</w:t>
            </w:r>
          </w:p>
        </w:tc>
        <w:tc>
          <w:tcPr>
            <w:tcW w:w="1051" w:type="dxa"/>
          </w:tcPr>
          <w:p>
            <w:pPr>
              <w:pStyle w:val="TableParagraph"/>
              <w:spacing w:line="258" w:lineRule="exact" w:before="0"/>
              <w:ind w:left="222"/>
              <w:jc w:val="left"/>
              <w:rPr>
                <w:rFonts w:ascii="Calibri"/>
                <w:sz w:val="22"/>
              </w:rPr>
            </w:pPr>
            <w:r>
              <w:rPr>
                <w:rFonts w:ascii="Calibri"/>
                <w:spacing w:val="-2"/>
                <w:sz w:val="22"/>
              </w:rPr>
              <w:t>2131.03</w:t>
            </w:r>
          </w:p>
        </w:tc>
        <w:tc>
          <w:tcPr>
            <w:tcW w:w="959" w:type="dxa"/>
          </w:tcPr>
          <w:p>
            <w:pPr>
              <w:pStyle w:val="TableParagraph"/>
              <w:spacing w:line="258" w:lineRule="exact" w:before="0"/>
              <w:ind w:right="101"/>
              <w:jc w:val="right"/>
              <w:rPr>
                <w:rFonts w:ascii="Calibri"/>
                <w:sz w:val="22"/>
              </w:rPr>
            </w:pPr>
            <w:r>
              <w:rPr>
                <w:rFonts w:ascii="Calibri"/>
                <w:spacing w:val="-2"/>
                <w:sz w:val="22"/>
              </w:rPr>
              <w:t>0.995</w:t>
            </w:r>
          </w:p>
        </w:tc>
      </w:tr>
      <w:tr>
        <w:trPr>
          <w:trHeight w:val="288" w:hRule="atLeast"/>
        </w:trPr>
        <w:tc>
          <w:tcPr>
            <w:tcW w:w="1027" w:type="dxa"/>
          </w:tcPr>
          <w:p>
            <w:pPr>
              <w:pStyle w:val="TableParagraph"/>
              <w:spacing w:line="258" w:lineRule="exact" w:before="0"/>
              <w:ind w:right="171"/>
              <w:jc w:val="right"/>
              <w:rPr>
                <w:rFonts w:ascii="Calibri"/>
                <w:sz w:val="22"/>
              </w:rPr>
            </w:pPr>
            <w:r>
              <w:rPr>
                <w:rFonts w:ascii="Calibri"/>
                <w:spacing w:val="-10"/>
                <w:sz w:val="22"/>
              </w:rPr>
              <w:t>5</w:t>
            </w:r>
          </w:p>
        </w:tc>
        <w:tc>
          <w:tcPr>
            <w:tcW w:w="893" w:type="dxa"/>
          </w:tcPr>
          <w:p>
            <w:pPr>
              <w:pStyle w:val="TableParagraph"/>
              <w:spacing w:line="258" w:lineRule="exact" w:before="0"/>
              <w:ind w:left="283"/>
              <w:jc w:val="left"/>
              <w:rPr>
                <w:rFonts w:ascii="Calibri"/>
                <w:sz w:val="22"/>
              </w:rPr>
            </w:pPr>
            <w:r>
              <w:rPr>
                <w:rFonts w:ascii="Calibri"/>
                <w:spacing w:val="-2"/>
                <w:sz w:val="22"/>
              </w:rPr>
              <w:t>38.53</w:t>
            </w:r>
          </w:p>
        </w:tc>
        <w:tc>
          <w:tcPr>
            <w:tcW w:w="960" w:type="dxa"/>
          </w:tcPr>
          <w:p>
            <w:pPr>
              <w:pStyle w:val="TableParagraph"/>
              <w:spacing w:line="258" w:lineRule="exact" w:before="0"/>
              <w:ind w:left="240"/>
              <w:jc w:val="left"/>
              <w:rPr>
                <w:rFonts w:ascii="Calibri"/>
                <w:sz w:val="22"/>
              </w:rPr>
            </w:pPr>
            <w:r>
              <w:rPr>
                <w:rFonts w:ascii="Calibri"/>
                <w:spacing w:val="-2"/>
                <w:sz w:val="22"/>
              </w:rPr>
              <w:t>281.70</w:t>
            </w:r>
          </w:p>
        </w:tc>
        <w:tc>
          <w:tcPr>
            <w:tcW w:w="959" w:type="dxa"/>
          </w:tcPr>
          <w:p>
            <w:pPr>
              <w:pStyle w:val="TableParagraph"/>
              <w:spacing w:line="258" w:lineRule="exact" w:before="0"/>
              <w:ind w:left="240"/>
              <w:jc w:val="left"/>
              <w:rPr>
                <w:rFonts w:ascii="Calibri"/>
                <w:sz w:val="22"/>
              </w:rPr>
            </w:pPr>
            <w:r>
              <w:rPr>
                <w:rFonts w:ascii="Calibri"/>
                <w:spacing w:val="-2"/>
                <w:sz w:val="22"/>
              </w:rPr>
              <w:t>492.91</w:t>
            </w:r>
          </w:p>
        </w:tc>
        <w:tc>
          <w:tcPr>
            <w:tcW w:w="1051" w:type="dxa"/>
          </w:tcPr>
          <w:p>
            <w:pPr>
              <w:pStyle w:val="TableParagraph"/>
              <w:spacing w:line="258" w:lineRule="exact" w:before="0"/>
              <w:ind w:left="222"/>
              <w:jc w:val="left"/>
              <w:rPr>
                <w:rFonts w:ascii="Calibri"/>
                <w:sz w:val="22"/>
              </w:rPr>
            </w:pPr>
            <w:r>
              <w:rPr>
                <w:rFonts w:ascii="Calibri"/>
                <w:spacing w:val="-2"/>
                <w:sz w:val="22"/>
              </w:rPr>
              <w:t>1440.38</w:t>
            </w:r>
          </w:p>
        </w:tc>
        <w:tc>
          <w:tcPr>
            <w:tcW w:w="959" w:type="dxa"/>
          </w:tcPr>
          <w:p>
            <w:pPr>
              <w:pStyle w:val="TableParagraph"/>
              <w:spacing w:line="258" w:lineRule="exact" w:before="0"/>
              <w:ind w:right="101"/>
              <w:jc w:val="right"/>
              <w:rPr>
                <w:rFonts w:ascii="Calibri"/>
                <w:sz w:val="22"/>
              </w:rPr>
            </w:pPr>
            <w:r>
              <w:rPr>
                <w:rFonts w:ascii="Calibri"/>
                <w:spacing w:val="-2"/>
                <w:sz w:val="22"/>
              </w:rPr>
              <w:t>0.988</w:t>
            </w:r>
          </w:p>
        </w:tc>
      </w:tr>
      <w:tr>
        <w:trPr>
          <w:trHeight w:val="288" w:hRule="atLeast"/>
        </w:trPr>
        <w:tc>
          <w:tcPr>
            <w:tcW w:w="1027" w:type="dxa"/>
          </w:tcPr>
          <w:p>
            <w:pPr>
              <w:pStyle w:val="TableParagraph"/>
              <w:spacing w:line="258" w:lineRule="exact" w:before="0"/>
              <w:ind w:right="171"/>
              <w:jc w:val="right"/>
              <w:rPr>
                <w:rFonts w:ascii="Calibri"/>
                <w:sz w:val="22"/>
              </w:rPr>
            </w:pPr>
            <w:r>
              <w:rPr>
                <w:rFonts w:ascii="Calibri"/>
                <w:spacing w:val="-10"/>
                <w:sz w:val="22"/>
              </w:rPr>
              <w:t>6</w:t>
            </w:r>
          </w:p>
        </w:tc>
        <w:tc>
          <w:tcPr>
            <w:tcW w:w="893" w:type="dxa"/>
          </w:tcPr>
          <w:p>
            <w:pPr>
              <w:pStyle w:val="TableParagraph"/>
              <w:spacing w:line="258" w:lineRule="exact" w:before="0"/>
              <w:ind w:left="283"/>
              <w:jc w:val="left"/>
              <w:rPr>
                <w:rFonts w:ascii="Calibri"/>
                <w:sz w:val="22"/>
              </w:rPr>
            </w:pPr>
            <w:r>
              <w:rPr>
                <w:rFonts w:ascii="Calibri"/>
                <w:spacing w:val="-2"/>
                <w:sz w:val="22"/>
              </w:rPr>
              <w:t>66.48</w:t>
            </w:r>
          </w:p>
        </w:tc>
        <w:tc>
          <w:tcPr>
            <w:tcW w:w="960" w:type="dxa"/>
          </w:tcPr>
          <w:p>
            <w:pPr>
              <w:pStyle w:val="TableParagraph"/>
              <w:spacing w:line="258" w:lineRule="exact" w:before="0"/>
              <w:ind w:left="240"/>
              <w:jc w:val="left"/>
              <w:rPr>
                <w:rFonts w:ascii="Calibri"/>
                <w:sz w:val="22"/>
              </w:rPr>
            </w:pPr>
            <w:r>
              <w:rPr>
                <w:rFonts w:ascii="Calibri"/>
                <w:spacing w:val="-2"/>
                <w:sz w:val="22"/>
              </w:rPr>
              <w:t>417.29</w:t>
            </w:r>
          </w:p>
        </w:tc>
        <w:tc>
          <w:tcPr>
            <w:tcW w:w="959" w:type="dxa"/>
          </w:tcPr>
          <w:p>
            <w:pPr>
              <w:pStyle w:val="TableParagraph"/>
              <w:spacing w:line="258" w:lineRule="exact" w:before="0"/>
              <w:ind w:left="240"/>
              <w:jc w:val="left"/>
              <w:rPr>
                <w:rFonts w:ascii="Calibri"/>
                <w:sz w:val="22"/>
              </w:rPr>
            </w:pPr>
            <w:r>
              <w:rPr>
                <w:rFonts w:ascii="Calibri"/>
                <w:spacing w:val="-2"/>
                <w:sz w:val="22"/>
              </w:rPr>
              <w:t>699.54</w:t>
            </w:r>
          </w:p>
        </w:tc>
        <w:tc>
          <w:tcPr>
            <w:tcW w:w="1051" w:type="dxa"/>
          </w:tcPr>
          <w:p>
            <w:pPr>
              <w:pStyle w:val="TableParagraph"/>
              <w:spacing w:line="258" w:lineRule="exact" w:before="0"/>
              <w:ind w:left="222"/>
              <w:jc w:val="left"/>
              <w:rPr>
                <w:rFonts w:ascii="Calibri"/>
                <w:sz w:val="22"/>
              </w:rPr>
            </w:pPr>
            <w:r>
              <w:rPr>
                <w:rFonts w:ascii="Calibri"/>
                <w:spacing w:val="-2"/>
                <w:sz w:val="22"/>
              </w:rPr>
              <w:t>1883.01</w:t>
            </w:r>
          </w:p>
        </w:tc>
        <w:tc>
          <w:tcPr>
            <w:tcW w:w="959" w:type="dxa"/>
          </w:tcPr>
          <w:p>
            <w:pPr>
              <w:pStyle w:val="TableParagraph"/>
              <w:spacing w:line="258" w:lineRule="exact" w:before="0"/>
              <w:ind w:right="101"/>
              <w:jc w:val="right"/>
              <w:rPr>
                <w:rFonts w:ascii="Calibri"/>
                <w:sz w:val="22"/>
              </w:rPr>
            </w:pPr>
            <w:r>
              <w:rPr>
                <w:rFonts w:ascii="Calibri"/>
                <w:spacing w:val="-2"/>
                <w:sz w:val="22"/>
              </w:rPr>
              <w:t>0.974</w:t>
            </w:r>
          </w:p>
        </w:tc>
      </w:tr>
      <w:tr>
        <w:trPr>
          <w:trHeight w:val="287" w:hRule="atLeast"/>
        </w:trPr>
        <w:tc>
          <w:tcPr>
            <w:tcW w:w="1027" w:type="dxa"/>
          </w:tcPr>
          <w:p>
            <w:pPr>
              <w:pStyle w:val="TableParagraph"/>
              <w:spacing w:line="258" w:lineRule="exact" w:before="0"/>
              <w:ind w:right="171"/>
              <w:jc w:val="right"/>
              <w:rPr>
                <w:rFonts w:ascii="Calibri"/>
                <w:sz w:val="22"/>
              </w:rPr>
            </w:pPr>
            <w:r>
              <w:rPr>
                <w:rFonts w:ascii="Calibri"/>
                <w:spacing w:val="-10"/>
                <w:sz w:val="22"/>
              </w:rPr>
              <w:t>7</w:t>
            </w:r>
          </w:p>
        </w:tc>
        <w:tc>
          <w:tcPr>
            <w:tcW w:w="893" w:type="dxa"/>
          </w:tcPr>
          <w:p>
            <w:pPr>
              <w:pStyle w:val="TableParagraph"/>
              <w:spacing w:line="258" w:lineRule="exact" w:before="0"/>
              <w:ind w:left="283"/>
              <w:jc w:val="left"/>
              <w:rPr>
                <w:rFonts w:ascii="Calibri"/>
                <w:sz w:val="22"/>
              </w:rPr>
            </w:pPr>
            <w:r>
              <w:rPr>
                <w:rFonts w:ascii="Calibri"/>
                <w:spacing w:val="-2"/>
                <w:sz w:val="22"/>
              </w:rPr>
              <w:t>54.09</w:t>
            </w:r>
          </w:p>
        </w:tc>
        <w:tc>
          <w:tcPr>
            <w:tcW w:w="960" w:type="dxa"/>
          </w:tcPr>
          <w:p>
            <w:pPr>
              <w:pStyle w:val="TableParagraph"/>
              <w:spacing w:line="258" w:lineRule="exact" w:before="0"/>
              <w:ind w:left="240"/>
              <w:jc w:val="left"/>
              <w:rPr>
                <w:rFonts w:ascii="Calibri"/>
                <w:sz w:val="22"/>
              </w:rPr>
            </w:pPr>
            <w:r>
              <w:rPr>
                <w:rFonts w:ascii="Calibri"/>
                <w:spacing w:val="-2"/>
                <w:sz w:val="22"/>
              </w:rPr>
              <w:t>735.19</w:t>
            </w:r>
          </w:p>
        </w:tc>
        <w:tc>
          <w:tcPr>
            <w:tcW w:w="959" w:type="dxa"/>
          </w:tcPr>
          <w:p>
            <w:pPr>
              <w:pStyle w:val="TableParagraph"/>
              <w:spacing w:line="258" w:lineRule="exact" w:before="0"/>
              <w:ind w:left="127"/>
              <w:jc w:val="left"/>
              <w:rPr>
                <w:rFonts w:ascii="Calibri"/>
                <w:sz w:val="22"/>
              </w:rPr>
            </w:pPr>
            <w:r>
              <w:rPr>
                <w:rFonts w:ascii="Calibri"/>
                <w:spacing w:val="-2"/>
                <w:sz w:val="22"/>
              </w:rPr>
              <w:t>1531.53</w:t>
            </w:r>
          </w:p>
        </w:tc>
        <w:tc>
          <w:tcPr>
            <w:tcW w:w="1051" w:type="dxa"/>
          </w:tcPr>
          <w:p>
            <w:pPr>
              <w:pStyle w:val="TableParagraph"/>
              <w:spacing w:line="258" w:lineRule="exact" w:before="0"/>
              <w:ind w:left="222"/>
              <w:jc w:val="left"/>
              <w:rPr>
                <w:rFonts w:ascii="Calibri"/>
                <w:sz w:val="22"/>
              </w:rPr>
            </w:pPr>
            <w:r>
              <w:rPr>
                <w:rFonts w:ascii="Calibri"/>
                <w:spacing w:val="-2"/>
                <w:sz w:val="22"/>
              </w:rPr>
              <w:t>6251.96</w:t>
            </w:r>
          </w:p>
        </w:tc>
        <w:tc>
          <w:tcPr>
            <w:tcW w:w="959" w:type="dxa"/>
          </w:tcPr>
          <w:p>
            <w:pPr>
              <w:pStyle w:val="TableParagraph"/>
              <w:spacing w:line="258" w:lineRule="exact" w:before="0"/>
              <w:ind w:right="101"/>
              <w:jc w:val="right"/>
              <w:rPr>
                <w:rFonts w:ascii="Calibri"/>
                <w:sz w:val="22"/>
              </w:rPr>
            </w:pPr>
            <w:r>
              <w:rPr>
                <w:rFonts w:ascii="Calibri"/>
                <w:spacing w:val="-2"/>
                <w:sz w:val="22"/>
              </w:rPr>
              <w:t>0.992</w:t>
            </w:r>
          </w:p>
        </w:tc>
      </w:tr>
      <w:tr>
        <w:trPr>
          <w:trHeight w:val="288" w:hRule="atLeast"/>
        </w:trPr>
        <w:tc>
          <w:tcPr>
            <w:tcW w:w="1027" w:type="dxa"/>
          </w:tcPr>
          <w:p>
            <w:pPr>
              <w:pStyle w:val="TableParagraph"/>
              <w:spacing w:line="258" w:lineRule="exact" w:before="0"/>
              <w:ind w:right="171"/>
              <w:jc w:val="right"/>
              <w:rPr>
                <w:rFonts w:ascii="Calibri"/>
                <w:sz w:val="22"/>
              </w:rPr>
            </w:pPr>
            <w:r>
              <w:rPr>
                <w:rFonts w:ascii="Calibri"/>
                <w:spacing w:val="-10"/>
                <w:sz w:val="22"/>
              </w:rPr>
              <w:t>8</w:t>
            </w:r>
          </w:p>
        </w:tc>
        <w:tc>
          <w:tcPr>
            <w:tcW w:w="893" w:type="dxa"/>
          </w:tcPr>
          <w:p>
            <w:pPr>
              <w:pStyle w:val="TableParagraph"/>
              <w:spacing w:line="258" w:lineRule="exact" w:before="0"/>
              <w:ind w:left="283"/>
              <w:jc w:val="left"/>
              <w:rPr>
                <w:rFonts w:ascii="Calibri"/>
                <w:sz w:val="22"/>
              </w:rPr>
            </w:pPr>
            <w:r>
              <w:rPr>
                <w:rFonts w:ascii="Calibri"/>
                <w:spacing w:val="-2"/>
                <w:sz w:val="22"/>
              </w:rPr>
              <w:t>94.82</w:t>
            </w:r>
          </w:p>
        </w:tc>
        <w:tc>
          <w:tcPr>
            <w:tcW w:w="960" w:type="dxa"/>
          </w:tcPr>
          <w:p>
            <w:pPr>
              <w:pStyle w:val="TableParagraph"/>
              <w:spacing w:line="258" w:lineRule="exact" w:before="0"/>
              <w:ind w:left="240"/>
              <w:jc w:val="left"/>
              <w:rPr>
                <w:rFonts w:ascii="Calibri"/>
                <w:sz w:val="22"/>
              </w:rPr>
            </w:pPr>
            <w:r>
              <w:rPr>
                <w:rFonts w:ascii="Calibri"/>
                <w:spacing w:val="-2"/>
                <w:sz w:val="22"/>
              </w:rPr>
              <w:t>628.72</w:t>
            </w:r>
          </w:p>
        </w:tc>
        <w:tc>
          <w:tcPr>
            <w:tcW w:w="959" w:type="dxa"/>
          </w:tcPr>
          <w:p>
            <w:pPr>
              <w:pStyle w:val="TableParagraph"/>
              <w:spacing w:line="258" w:lineRule="exact" w:before="0"/>
              <w:ind w:left="127"/>
              <w:jc w:val="left"/>
              <w:rPr>
                <w:rFonts w:ascii="Calibri"/>
                <w:sz w:val="22"/>
              </w:rPr>
            </w:pPr>
            <w:r>
              <w:rPr>
                <w:rFonts w:ascii="Calibri"/>
                <w:spacing w:val="-2"/>
                <w:sz w:val="22"/>
              </w:rPr>
              <w:t>1070.35</w:t>
            </w:r>
          </w:p>
        </w:tc>
        <w:tc>
          <w:tcPr>
            <w:tcW w:w="1051" w:type="dxa"/>
          </w:tcPr>
          <w:p>
            <w:pPr>
              <w:pStyle w:val="TableParagraph"/>
              <w:spacing w:line="258" w:lineRule="exact" w:before="0"/>
              <w:ind w:left="222"/>
              <w:jc w:val="left"/>
              <w:rPr>
                <w:rFonts w:ascii="Calibri"/>
                <w:sz w:val="22"/>
              </w:rPr>
            </w:pPr>
            <w:r>
              <w:rPr>
                <w:rFonts w:ascii="Calibri"/>
                <w:spacing w:val="-2"/>
                <w:sz w:val="22"/>
              </w:rPr>
              <w:t>2967.57</w:t>
            </w:r>
          </w:p>
        </w:tc>
        <w:tc>
          <w:tcPr>
            <w:tcW w:w="959" w:type="dxa"/>
          </w:tcPr>
          <w:p>
            <w:pPr>
              <w:pStyle w:val="TableParagraph"/>
              <w:spacing w:line="258" w:lineRule="exact" w:before="0"/>
              <w:ind w:right="101"/>
              <w:jc w:val="right"/>
              <w:rPr>
                <w:rFonts w:ascii="Calibri"/>
                <w:sz w:val="22"/>
              </w:rPr>
            </w:pPr>
            <w:r>
              <w:rPr>
                <w:rFonts w:ascii="Calibri"/>
                <w:spacing w:val="-2"/>
                <w:sz w:val="22"/>
              </w:rPr>
              <w:t>0.983</w:t>
            </w:r>
          </w:p>
        </w:tc>
      </w:tr>
      <w:tr>
        <w:trPr>
          <w:trHeight w:val="288" w:hRule="atLeast"/>
        </w:trPr>
        <w:tc>
          <w:tcPr>
            <w:tcW w:w="1027" w:type="dxa"/>
          </w:tcPr>
          <w:p>
            <w:pPr>
              <w:pStyle w:val="TableParagraph"/>
              <w:spacing w:line="259" w:lineRule="exact" w:before="0"/>
              <w:ind w:right="171"/>
              <w:jc w:val="right"/>
              <w:rPr>
                <w:rFonts w:ascii="Calibri"/>
                <w:sz w:val="22"/>
              </w:rPr>
            </w:pPr>
            <w:r>
              <w:rPr>
                <w:rFonts w:ascii="Calibri"/>
                <w:spacing w:val="-10"/>
                <w:sz w:val="22"/>
              </w:rPr>
              <w:t>9</w:t>
            </w:r>
          </w:p>
        </w:tc>
        <w:tc>
          <w:tcPr>
            <w:tcW w:w="893" w:type="dxa"/>
          </w:tcPr>
          <w:p>
            <w:pPr>
              <w:pStyle w:val="TableParagraph"/>
              <w:spacing w:line="259" w:lineRule="exact" w:before="0"/>
              <w:ind w:left="172"/>
              <w:jc w:val="left"/>
              <w:rPr>
                <w:rFonts w:ascii="Calibri"/>
                <w:sz w:val="22"/>
              </w:rPr>
            </w:pPr>
            <w:r>
              <w:rPr>
                <w:rFonts w:ascii="Calibri"/>
                <w:spacing w:val="-2"/>
                <w:sz w:val="22"/>
              </w:rPr>
              <w:t>128.61</w:t>
            </w:r>
          </w:p>
        </w:tc>
        <w:tc>
          <w:tcPr>
            <w:tcW w:w="960" w:type="dxa"/>
          </w:tcPr>
          <w:p>
            <w:pPr>
              <w:pStyle w:val="TableParagraph"/>
              <w:spacing w:line="259" w:lineRule="exact" w:before="0"/>
              <w:ind w:left="127"/>
              <w:jc w:val="left"/>
              <w:rPr>
                <w:rFonts w:ascii="Calibri"/>
                <w:sz w:val="22"/>
              </w:rPr>
            </w:pPr>
            <w:r>
              <w:rPr>
                <w:rFonts w:ascii="Calibri"/>
                <w:spacing w:val="-2"/>
                <w:sz w:val="22"/>
              </w:rPr>
              <w:t>1634.18</w:t>
            </w:r>
          </w:p>
        </w:tc>
        <w:tc>
          <w:tcPr>
            <w:tcW w:w="959" w:type="dxa"/>
          </w:tcPr>
          <w:p>
            <w:pPr>
              <w:pStyle w:val="TableParagraph"/>
              <w:spacing w:line="259" w:lineRule="exact" w:before="0"/>
              <w:ind w:left="127"/>
              <w:jc w:val="left"/>
              <w:rPr>
                <w:rFonts w:ascii="Calibri"/>
                <w:sz w:val="22"/>
              </w:rPr>
            </w:pPr>
            <w:r>
              <w:rPr>
                <w:rFonts w:ascii="Calibri"/>
                <w:spacing w:val="-2"/>
                <w:sz w:val="22"/>
              </w:rPr>
              <w:t>3340.45</w:t>
            </w:r>
          </w:p>
        </w:tc>
        <w:tc>
          <w:tcPr>
            <w:tcW w:w="1051" w:type="dxa"/>
          </w:tcPr>
          <w:p>
            <w:pPr>
              <w:pStyle w:val="TableParagraph"/>
              <w:spacing w:line="259" w:lineRule="exact" w:before="0"/>
              <w:ind w:left="111"/>
              <w:jc w:val="left"/>
              <w:rPr>
                <w:rFonts w:ascii="Calibri"/>
                <w:sz w:val="22"/>
              </w:rPr>
            </w:pPr>
            <w:r>
              <w:rPr>
                <w:rFonts w:ascii="Calibri"/>
                <w:spacing w:val="-2"/>
                <w:sz w:val="22"/>
              </w:rPr>
              <w:t>13150.46</w:t>
            </w:r>
          </w:p>
        </w:tc>
        <w:tc>
          <w:tcPr>
            <w:tcW w:w="959" w:type="dxa"/>
          </w:tcPr>
          <w:p>
            <w:pPr>
              <w:pStyle w:val="TableParagraph"/>
              <w:spacing w:line="259" w:lineRule="exact" w:before="0"/>
              <w:ind w:right="101"/>
              <w:jc w:val="right"/>
              <w:rPr>
                <w:rFonts w:ascii="Calibri"/>
                <w:sz w:val="22"/>
              </w:rPr>
            </w:pPr>
            <w:r>
              <w:rPr>
                <w:rFonts w:ascii="Calibri"/>
                <w:spacing w:val="-2"/>
                <w:sz w:val="22"/>
              </w:rPr>
              <w:t>0.979</w:t>
            </w:r>
          </w:p>
        </w:tc>
      </w:tr>
      <w:tr>
        <w:trPr>
          <w:trHeight w:val="287" w:hRule="atLeast"/>
        </w:trPr>
        <w:tc>
          <w:tcPr>
            <w:tcW w:w="1027" w:type="dxa"/>
          </w:tcPr>
          <w:p>
            <w:pPr>
              <w:pStyle w:val="TableParagraph"/>
              <w:spacing w:line="258" w:lineRule="exact" w:before="0"/>
              <w:ind w:left="628"/>
              <w:jc w:val="left"/>
              <w:rPr>
                <w:rFonts w:ascii="Calibri"/>
                <w:sz w:val="22"/>
              </w:rPr>
            </w:pPr>
            <w:r>
              <w:rPr>
                <w:rFonts w:ascii="Calibri"/>
                <w:spacing w:val="-5"/>
                <w:sz w:val="22"/>
              </w:rPr>
              <w:t>10</w:t>
            </w:r>
          </w:p>
        </w:tc>
        <w:tc>
          <w:tcPr>
            <w:tcW w:w="893" w:type="dxa"/>
          </w:tcPr>
          <w:p>
            <w:pPr>
              <w:pStyle w:val="TableParagraph"/>
              <w:spacing w:line="258" w:lineRule="exact" w:before="0"/>
              <w:ind w:left="172"/>
              <w:jc w:val="left"/>
              <w:rPr>
                <w:rFonts w:ascii="Calibri"/>
                <w:sz w:val="22"/>
              </w:rPr>
            </w:pPr>
            <w:r>
              <w:rPr>
                <w:rFonts w:ascii="Calibri"/>
                <w:spacing w:val="-2"/>
                <w:sz w:val="22"/>
              </w:rPr>
              <w:t>102.54</w:t>
            </w:r>
          </w:p>
        </w:tc>
        <w:tc>
          <w:tcPr>
            <w:tcW w:w="960" w:type="dxa"/>
          </w:tcPr>
          <w:p>
            <w:pPr>
              <w:pStyle w:val="TableParagraph"/>
              <w:spacing w:line="258" w:lineRule="exact" w:before="0"/>
              <w:ind w:left="240"/>
              <w:jc w:val="left"/>
              <w:rPr>
                <w:rFonts w:ascii="Calibri"/>
                <w:sz w:val="22"/>
              </w:rPr>
            </w:pPr>
            <w:r>
              <w:rPr>
                <w:rFonts w:ascii="Calibri"/>
                <w:spacing w:val="-2"/>
                <w:sz w:val="22"/>
              </w:rPr>
              <w:t>531.83</w:t>
            </w:r>
          </w:p>
        </w:tc>
        <w:tc>
          <w:tcPr>
            <w:tcW w:w="959" w:type="dxa"/>
          </w:tcPr>
          <w:p>
            <w:pPr>
              <w:pStyle w:val="TableParagraph"/>
              <w:spacing w:line="258" w:lineRule="exact" w:before="0"/>
              <w:ind w:left="240"/>
              <w:jc w:val="left"/>
              <w:rPr>
                <w:rFonts w:ascii="Calibri"/>
                <w:sz w:val="22"/>
              </w:rPr>
            </w:pPr>
            <w:r>
              <w:rPr>
                <w:rFonts w:ascii="Calibri"/>
                <w:spacing w:val="-2"/>
                <w:sz w:val="22"/>
              </w:rPr>
              <w:t>844.96</w:t>
            </w:r>
          </w:p>
        </w:tc>
        <w:tc>
          <w:tcPr>
            <w:tcW w:w="1051" w:type="dxa"/>
          </w:tcPr>
          <w:p>
            <w:pPr>
              <w:pStyle w:val="TableParagraph"/>
              <w:spacing w:line="258" w:lineRule="exact" w:before="0"/>
              <w:ind w:left="222"/>
              <w:jc w:val="left"/>
              <w:rPr>
                <w:rFonts w:ascii="Calibri"/>
                <w:sz w:val="22"/>
              </w:rPr>
            </w:pPr>
            <w:r>
              <w:rPr>
                <w:rFonts w:ascii="Calibri"/>
                <w:spacing w:val="-2"/>
                <w:sz w:val="22"/>
              </w:rPr>
              <w:t>2052.12</w:t>
            </w:r>
          </w:p>
        </w:tc>
        <w:tc>
          <w:tcPr>
            <w:tcW w:w="959" w:type="dxa"/>
          </w:tcPr>
          <w:p>
            <w:pPr>
              <w:pStyle w:val="TableParagraph"/>
              <w:spacing w:line="258" w:lineRule="exact" w:before="0"/>
              <w:ind w:right="101"/>
              <w:jc w:val="right"/>
              <w:rPr>
                <w:rFonts w:ascii="Calibri"/>
                <w:sz w:val="22"/>
              </w:rPr>
            </w:pPr>
            <w:r>
              <w:rPr>
                <w:rFonts w:ascii="Calibri"/>
                <w:spacing w:val="-2"/>
                <w:sz w:val="22"/>
              </w:rPr>
              <w:t>0.983</w:t>
            </w:r>
          </w:p>
        </w:tc>
      </w:tr>
      <w:tr>
        <w:trPr>
          <w:trHeight w:val="288" w:hRule="atLeast"/>
        </w:trPr>
        <w:tc>
          <w:tcPr>
            <w:tcW w:w="1027" w:type="dxa"/>
          </w:tcPr>
          <w:p>
            <w:pPr>
              <w:pStyle w:val="TableParagraph"/>
              <w:spacing w:line="258" w:lineRule="exact" w:before="0"/>
              <w:ind w:left="628"/>
              <w:jc w:val="left"/>
              <w:rPr>
                <w:rFonts w:ascii="Calibri"/>
                <w:sz w:val="22"/>
              </w:rPr>
            </w:pPr>
            <w:r>
              <w:rPr>
                <w:rFonts w:ascii="Calibri"/>
                <w:spacing w:val="-5"/>
                <w:sz w:val="22"/>
              </w:rPr>
              <w:t>11</w:t>
            </w:r>
          </w:p>
        </w:tc>
        <w:tc>
          <w:tcPr>
            <w:tcW w:w="893" w:type="dxa"/>
          </w:tcPr>
          <w:p>
            <w:pPr>
              <w:pStyle w:val="TableParagraph"/>
              <w:spacing w:line="258" w:lineRule="exact" w:before="0"/>
              <w:ind w:left="283"/>
              <w:jc w:val="left"/>
              <w:rPr>
                <w:rFonts w:ascii="Calibri"/>
                <w:sz w:val="22"/>
              </w:rPr>
            </w:pPr>
            <w:r>
              <w:rPr>
                <w:rFonts w:ascii="Calibri"/>
                <w:spacing w:val="-2"/>
                <w:sz w:val="22"/>
              </w:rPr>
              <w:t>75.10</w:t>
            </w:r>
          </w:p>
        </w:tc>
        <w:tc>
          <w:tcPr>
            <w:tcW w:w="960" w:type="dxa"/>
          </w:tcPr>
          <w:p>
            <w:pPr>
              <w:pStyle w:val="TableParagraph"/>
              <w:spacing w:line="258" w:lineRule="exact" w:before="0"/>
              <w:ind w:left="240"/>
              <w:jc w:val="left"/>
              <w:rPr>
                <w:rFonts w:ascii="Calibri"/>
                <w:sz w:val="22"/>
              </w:rPr>
            </w:pPr>
            <w:r>
              <w:rPr>
                <w:rFonts w:ascii="Calibri"/>
                <w:spacing w:val="-2"/>
                <w:sz w:val="22"/>
              </w:rPr>
              <w:t>379.12</w:t>
            </w:r>
          </w:p>
        </w:tc>
        <w:tc>
          <w:tcPr>
            <w:tcW w:w="959" w:type="dxa"/>
          </w:tcPr>
          <w:p>
            <w:pPr>
              <w:pStyle w:val="TableParagraph"/>
              <w:spacing w:line="258" w:lineRule="exact" w:before="0"/>
              <w:ind w:left="240"/>
              <w:jc w:val="left"/>
              <w:rPr>
                <w:rFonts w:ascii="Calibri"/>
                <w:sz w:val="22"/>
              </w:rPr>
            </w:pPr>
            <w:r>
              <w:rPr>
                <w:rFonts w:ascii="Calibri"/>
                <w:spacing w:val="-2"/>
                <w:sz w:val="22"/>
              </w:rPr>
              <w:t>597.77</w:t>
            </w:r>
          </w:p>
        </w:tc>
        <w:tc>
          <w:tcPr>
            <w:tcW w:w="1051" w:type="dxa"/>
          </w:tcPr>
          <w:p>
            <w:pPr>
              <w:pStyle w:val="TableParagraph"/>
              <w:spacing w:line="258" w:lineRule="exact" w:before="0"/>
              <w:ind w:left="222"/>
              <w:jc w:val="left"/>
              <w:rPr>
                <w:rFonts w:ascii="Calibri"/>
                <w:sz w:val="22"/>
              </w:rPr>
            </w:pPr>
            <w:r>
              <w:rPr>
                <w:rFonts w:ascii="Calibri"/>
                <w:spacing w:val="-2"/>
                <w:sz w:val="22"/>
              </w:rPr>
              <w:t>1430.77</w:t>
            </w:r>
          </w:p>
        </w:tc>
        <w:tc>
          <w:tcPr>
            <w:tcW w:w="959" w:type="dxa"/>
          </w:tcPr>
          <w:p>
            <w:pPr>
              <w:pStyle w:val="TableParagraph"/>
              <w:spacing w:line="258" w:lineRule="exact" w:before="0"/>
              <w:ind w:right="101"/>
              <w:jc w:val="right"/>
              <w:rPr>
                <w:rFonts w:ascii="Calibri"/>
                <w:sz w:val="22"/>
              </w:rPr>
            </w:pPr>
            <w:r>
              <w:rPr>
                <w:rFonts w:ascii="Calibri"/>
                <w:spacing w:val="-2"/>
                <w:sz w:val="22"/>
              </w:rPr>
              <w:t>0.987</w:t>
            </w:r>
          </w:p>
        </w:tc>
      </w:tr>
      <w:tr>
        <w:trPr>
          <w:trHeight w:val="287" w:hRule="atLeast"/>
        </w:trPr>
        <w:tc>
          <w:tcPr>
            <w:tcW w:w="1027" w:type="dxa"/>
          </w:tcPr>
          <w:p>
            <w:pPr>
              <w:pStyle w:val="TableParagraph"/>
              <w:spacing w:line="258" w:lineRule="exact" w:before="0"/>
              <w:ind w:left="628"/>
              <w:jc w:val="left"/>
              <w:rPr>
                <w:rFonts w:ascii="Calibri"/>
                <w:sz w:val="22"/>
              </w:rPr>
            </w:pPr>
            <w:r>
              <w:rPr>
                <w:rFonts w:ascii="Calibri"/>
                <w:spacing w:val="-5"/>
                <w:sz w:val="22"/>
              </w:rPr>
              <w:t>12</w:t>
            </w:r>
          </w:p>
        </w:tc>
        <w:tc>
          <w:tcPr>
            <w:tcW w:w="893" w:type="dxa"/>
          </w:tcPr>
          <w:p>
            <w:pPr>
              <w:pStyle w:val="TableParagraph"/>
              <w:spacing w:line="258" w:lineRule="exact" w:before="0"/>
              <w:ind w:left="283"/>
              <w:jc w:val="left"/>
              <w:rPr>
                <w:rFonts w:ascii="Calibri"/>
                <w:sz w:val="22"/>
              </w:rPr>
            </w:pPr>
            <w:r>
              <w:rPr>
                <w:rFonts w:ascii="Calibri"/>
                <w:spacing w:val="-2"/>
                <w:sz w:val="22"/>
              </w:rPr>
              <w:t>91.78</w:t>
            </w:r>
          </w:p>
        </w:tc>
        <w:tc>
          <w:tcPr>
            <w:tcW w:w="960" w:type="dxa"/>
          </w:tcPr>
          <w:p>
            <w:pPr>
              <w:pStyle w:val="TableParagraph"/>
              <w:spacing w:line="258" w:lineRule="exact" w:before="0"/>
              <w:ind w:left="240"/>
              <w:jc w:val="left"/>
              <w:rPr>
                <w:rFonts w:ascii="Calibri"/>
                <w:sz w:val="22"/>
              </w:rPr>
            </w:pPr>
            <w:r>
              <w:rPr>
                <w:rFonts w:ascii="Calibri"/>
                <w:spacing w:val="-2"/>
                <w:sz w:val="22"/>
              </w:rPr>
              <w:t>803.22</w:t>
            </w:r>
          </w:p>
        </w:tc>
        <w:tc>
          <w:tcPr>
            <w:tcW w:w="959" w:type="dxa"/>
          </w:tcPr>
          <w:p>
            <w:pPr>
              <w:pStyle w:val="TableParagraph"/>
              <w:spacing w:line="258" w:lineRule="exact" w:before="0"/>
              <w:ind w:left="127"/>
              <w:jc w:val="left"/>
              <w:rPr>
                <w:rFonts w:ascii="Calibri"/>
                <w:sz w:val="22"/>
              </w:rPr>
            </w:pPr>
            <w:r>
              <w:rPr>
                <w:rFonts w:ascii="Calibri"/>
                <w:spacing w:val="-2"/>
                <w:sz w:val="22"/>
              </w:rPr>
              <w:t>1478.41</w:t>
            </w:r>
          </w:p>
        </w:tc>
        <w:tc>
          <w:tcPr>
            <w:tcW w:w="1051" w:type="dxa"/>
          </w:tcPr>
          <w:p>
            <w:pPr>
              <w:pStyle w:val="TableParagraph"/>
              <w:spacing w:line="258" w:lineRule="exact" w:before="0"/>
              <w:ind w:left="222"/>
              <w:jc w:val="left"/>
              <w:rPr>
                <w:rFonts w:ascii="Calibri"/>
                <w:sz w:val="22"/>
              </w:rPr>
            </w:pPr>
            <w:r>
              <w:rPr>
                <w:rFonts w:ascii="Calibri"/>
                <w:spacing w:val="-2"/>
                <w:sz w:val="22"/>
              </w:rPr>
              <w:t>4760.29</w:t>
            </w:r>
          </w:p>
        </w:tc>
        <w:tc>
          <w:tcPr>
            <w:tcW w:w="959" w:type="dxa"/>
          </w:tcPr>
          <w:p>
            <w:pPr>
              <w:pStyle w:val="TableParagraph"/>
              <w:spacing w:line="258" w:lineRule="exact" w:before="0"/>
              <w:ind w:right="101"/>
              <w:jc w:val="right"/>
              <w:rPr>
                <w:rFonts w:ascii="Calibri"/>
                <w:sz w:val="22"/>
              </w:rPr>
            </w:pPr>
            <w:r>
              <w:rPr>
                <w:rFonts w:ascii="Calibri"/>
                <w:spacing w:val="-2"/>
                <w:sz w:val="22"/>
              </w:rPr>
              <w:t>0.954</w:t>
            </w:r>
          </w:p>
        </w:tc>
      </w:tr>
      <w:tr>
        <w:trPr>
          <w:trHeight w:val="288" w:hRule="atLeast"/>
        </w:trPr>
        <w:tc>
          <w:tcPr>
            <w:tcW w:w="1027" w:type="dxa"/>
          </w:tcPr>
          <w:p>
            <w:pPr>
              <w:pStyle w:val="TableParagraph"/>
              <w:spacing w:line="258" w:lineRule="exact" w:before="0"/>
              <w:ind w:left="628"/>
              <w:jc w:val="left"/>
              <w:rPr>
                <w:rFonts w:ascii="Calibri"/>
                <w:sz w:val="22"/>
              </w:rPr>
            </w:pPr>
            <w:r>
              <w:rPr>
                <w:rFonts w:ascii="Calibri"/>
                <w:spacing w:val="-5"/>
                <w:sz w:val="22"/>
              </w:rPr>
              <w:t>13</w:t>
            </w:r>
          </w:p>
        </w:tc>
        <w:tc>
          <w:tcPr>
            <w:tcW w:w="893" w:type="dxa"/>
          </w:tcPr>
          <w:p>
            <w:pPr>
              <w:pStyle w:val="TableParagraph"/>
              <w:spacing w:line="258" w:lineRule="exact" w:before="0"/>
              <w:ind w:left="283"/>
              <w:jc w:val="left"/>
              <w:rPr>
                <w:rFonts w:ascii="Calibri"/>
                <w:sz w:val="22"/>
              </w:rPr>
            </w:pPr>
            <w:r>
              <w:rPr>
                <w:rFonts w:ascii="Calibri"/>
                <w:spacing w:val="-2"/>
                <w:sz w:val="22"/>
              </w:rPr>
              <w:t>34.27</w:t>
            </w:r>
          </w:p>
        </w:tc>
        <w:tc>
          <w:tcPr>
            <w:tcW w:w="960" w:type="dxa"/>
          </w:tcPr>
          <w:p>
            <w:pPr>
              <w:pStyle w:val="TableParagraph"/>
              <w:spacing w:line="258" w:lineRule="exact" w:before="0"/>
              <w:ind w:left="240"/>
              <w:jc w:val="left"/>
              <w:rPr>
                <w:rFonts w:ascii="Calibri"/>
                <w:sz w:val="22"/>
              </w:rPr>
            </w:pPr>
            <w:r>
              <w:rPr>
                <w:rFonts w:ascii="Calibri"/>
                <w:spacing w:val="-2"/>
                <w:sz w:val="22"/>
              </w:rPr>
              <w:t>130.12</w:t>
            </w:r>
          </w:p>
        </w:tc>
        <w:tc>
          <w:tcPr>
            <w:tcW w:w="959" w:type="dxa"/>
          </w:tcPr>
          <w:p>
            <w:pPr>
              <w:pStyle w:val="TableParagraph"/>
              <w:spacing w:line="258" w:lineRule="exact" w:before="0"/>
              <w:ind w:left="240"/>
              <w:jc w:val="left"/>
              <w:rPr>
                <w:rFonts w:ascii="Calibri"/>
                <w:sz w:val="22"/>
              </w:rPr>
            </w:pPr>
            <w:r>
              <w:rPr>
                <w:rFonts w:ascii="Calibri"/>
                <w:spacing w:val="-2"/>
                <w:sz w:val="22"/>
              </w:rPr>
              <w:t>189.37</w:t>
            </w:r>
          </w:p>
        </w:tc>
        <w:tc>
          <w:tcPr>
            <w:tcW w:w="1051" w:type="dxa"/>
          </w:tcPr>
          <w:p>
            <w:pPr>
              <w:pStyle w:val="TableParagraph"/>
              <w:spacing w:line="258" w:lineRule="exact" w:before="0"/>
              <w:ind w:left="335"/>
              <w:jc w:val="left"/>
              <w:rPr>
                <w:rFonts w:ascii="Calibri"/>
                <w:sz w:val="22"/>
              </w:rPr>
            </w:pPr>
            <w:r>
              <w:rPr>
                <w:rFonts w:ascii="Calibri"/>
                <w:spacing w:val="-2"/>
                <w:sz w:val="22"/>
              </w:rPr>
              <w:t>388.73</w:t>
            </w:r>
          </w:p>
        </w:tc>
        <w:tc>
          <w:tcPr>
            <w:tcW w:w="959" w:type="dxa"/>
          </w:tcPr>
          <w:p>
            <w:pPr>
              <w:pStyle w:val="TableParagraph"/>
              <w:spacing w:line="258" w:lineRule="exact" w:before="0"/>
              <w:ind w:right="101"/>
              <w:jc w:val="right"/>
              <w:rPr>
                <w:rFonts w:ascii="Calibri"/>
                <w:sz w:val="22"/>
              </w:rPr>
            </w:pPr>
            <w:r>
              <w:rPr>
                <w:rFonts w:ascii="Calibri"/>
                <w:spacing w:val="-2"/>
                <w:sz w:val="22"/>
              </w:rPr>
              <w:t>0.997</w:t>
            </w:r>
          </w:p>
        </w:tc>
      </w:tr>
      <w:tr>
        <w:trPr>
          <w:trHeight w:val="288" w:hRule="atLeast"/>
        </w:trPr>
        <w:tc>
          <w:tcPr>
            <w:tcW w:w="1027" w:type="dxa"/>
          </w:tcPr>
          <w:p>
            <w:pPr>
              <w:pStyle w:val="TableParagraph"/>
              <w:spacing w:line="258" w:lineRule="exact" w:before="0"/>
              <w:ind w:left="628"/>
              <w:jc w:val="left"/>
              <w:rPr>
                <w:rFonts w:ascii="Calibri"/>
                <w:sz w:val="22"/>
              </w:rPr>
            </w:pPr>
            <w:r>
              <w:rPr>
                <w:rFonts w:ascii="Calibri"/>
                <w:spacing w:val="-5"/>
                <w:sz w:val="22"/>
              </w:rPr>
              <w:t>14</w:t>
            </w:r>
          </w:p>
        </w:tc>
        <w:tc>
          <w:tcPr>
            <w:tcW w:w="893" w:type="dxa"/>
          </w:tcPr>
          <w:p>
            <w:pPr>
              <w:pStyle w:val="TableParagraph"/>
              <w:spacing w:line="258" w:lineRule="exact" w:before="0"/>
              <w:ind w:left="283"/>
              <w:jc w:val="left"/>
              <w:rPr>
                <w:rFonts w:ascii="Calibri"/>
                <w:sz w:val="22"/>
              </w:rPr>
            </w:pPr>
            <w:r>
              <w:rPr>
                <w:rFonts w:ascii="Calibri"/>
                <w:spacing w:val="-2"/>
                <w:sz w:val="22"/>
              </w:rPr>
              <w:t>57.69</w:t>
            </w:r>
          </w:p>
        </w:tc>
        <w:tc>
          <w:tcPr>
            <w:tcW w:w="960" w:type="dxa"/>
          </w:tcPr>
          <w:p>
            <w:pPr>
              <w:pStyle w:val="TableParagraph"/>
              <w:spacing w:line="258" w:lineRule="exact" w:before="0"/>
              <w:ind w:left="240"/>
              <w:jc w:val="left"/>
              <w:rPr>
                <w:rFonts w:ascii="Calibri"/>
                <w:sz w:val="22"/>
              </w:rPr>
            </w:pPr>
            <w:r>
              <w:rPr>
                <w:rFonts w:ascii="Calibri"/>
                <w:spacing w:val="-2"/>
                <w:sz w:val="22"/>
              </w:rPr>
              <w:t>182.07</w:t>
            </w:r>
          </w:p>
        </w:tc>
        <w:tc>
          <w:tcPr>
            <w:tcW w:w="959" w:type="dxa"/>
          </w:tcPr>
          <w:p>
            <w:pPr>
              <w:pStyle w:val="TableParagraph"/>
              <w:spacing w:line="258" w:lineRule="exact" w:before="0"/>
              <w:ind w:left="240"/>
              <w:jc w:val="left"/>
              <w:rPr>
                <w:rFonts w:ascii="Calibri"/>
                <w:sz w:val="22"/>
              </w:rPr>
            </w:pPr>
            <w:r>
              <w:rPr>
                <w:rFonts w:ascii="Calibri"/>
                <w:spacing w:val="-2"/>
                <w:sz w:val="22"/>
              </w:rPr>
              <w:t>251.55</w:t>
            </w:r>
          </w:p>
        </w:tc>
        <w:tc>
          <w:tcPr>
            <w:tcW w:w="1051" w:type="dxa"/>
          </w:tcPr>
          <w:p>
            <w:pPr>
              <w:pStyle w:val="TableParagraph"/>
              <w:spacing w:line="258" w:lineRule="exact" w:before="0"/>
              <w:ind w:left="335"/>
              <w:jc w:val="left"/>
              <w:rPr>
                <w:rFonts w:ascii="Calibri"/>
                <w:sz w:val="22"/>
              </w:rPr>
            </w:pPr>
            <w:r>
              <w:rPr>
                <w:rFonts w:ascii="Calibri"/>
                <w:spacing w:val="-2"/>
                <w:sz w:val="22"/>
              </w:rPr>
              <w:t>467.39</w:t>
            </w:r>
          </w:p>
        </w:tc>
        <w:tc>
          <w:tcPr>
            <w:tcW w:w="959" w:type="dxa"/>
          </w:tcPr>
          <w:p>
            <w:pPr>
              <w:pStyle w:val="TableParagraph"/>
              <w:spacing w:line="258" w:lineRule="exact" w:before="0"/>
              <w:ind w:right="101"/>
              <w:jc w:val="right"/>
              <w:rPr>
                <w:rFonts w:ascii="Calibri"/>
                <w:sz w:val="22"/>
              </w:rPr>
            </w:pPr>
            <w:r>
              <w:rPr>
                <w:rFonts w:ascii="Calibri"/>
                <w:spacing w:val="-2"/>
                <w:sz w:val="22"/>
              </w:rPr>
              <w:t>0.982</w:t>
            </w:r>
          </w:p>
        </w:tc>
      </w:tr>
      <w:tr>
        <w:trPr>
          <w:trHeight w:val="287" w:hRule="atLeast"/>
        </w:trPr>
        <w:tc>
          <w:tcPr>
            <w:tcW w:w="1027" w:type="dxa"/>
          </w:tcPr>
          <w:p>
            <w:pPr>
              <w:pStyle w:val="TableParagraph"/>
              <w:spacing w:line="258" w:lineRule="exact" w:before="0"/>
              <w:ind w:left="628"/>
              <w:jc w:val="left"/>
              <w:rPr>
                <w:rFonts w:ascii="Calibri"/>
                <w:sz w:val="22"/>
              </w:rPr>
            </w:pPr>
            <w:r>
              <w:rPr>
                <w:rFonts w:ascii="Calibri"/>
                <w:spacing w:val="-5"/>
                <w:sz w:val="22"/>
              </w:rPr>
              <w:t>15</w:t>
            </w:r>
          </w:p>
        </w:tc>
        <w:tc>
          <w:tcPr>
            <w:tcW w:w="893" w:type="dxa"/>
          </w:tcPr>
          <w:p>
            <w:pPr>
              <w:pStyle w:val="TableParagraph"/>
              <w:spacing w:line="258" w:lineRule="exact" w:before="0"/>
              <w:ind w:left="283"/>
              <w:jc w:val="left"/>
              <w:rPr>
                <w:rFonts w:ascii="Calibri"/>
                <w:sz w:val="22"/>
              </w:rPr>
            </w:pPr>
            <w:r>
              <w:rPr>
                <w:rFonts w:ascii="Calibri"/>
                <w:spacing w:val="-2"/>
                <w:sz w:val="22"/>
              </w:rPr>
              <w:t>22.00</w:t>
            </w:r>
          </w:p>
        </w:tc>
        <w:tc>
          <w:tcPr>
            <w:tcW w:w="960" w:type="dxa"/>
          </w:tcPr>
          <w:p>
            <w:pPr>
              <w:pStyle w:val="TableParagraph"/>
              <w:spacing w:line="258" w:lineRule="exact" w:before="0"/>
              <w:ind w:left="240"/>
              <w:jc w:val="left"/>
              <w:rPr>
                <w:rFonts w:ascii="Calibri"/>
                <w:sz w:val="22"/>
              </w:rPr>
            </w:pPr>
            <w:r>
              <w:rPr>
                <w:rFonts w:ascii="Calibri"/>
                <w:spacing w:val="-2"/>
                <w:sz w:val="22"/>
              </w:rPr>
              <w:t>125.27</w:t>
            </w:r>
          </w:p>
        </w:tc>
        <w:tc>
          <w:tcPr>
            <w:tcW w:w="959" w:type="dxa"/>
          </w:tcPr>
          <w:p>
            <w:pPr>
              <w:pStyle w:val="TableParagraph"/>
              <w:spacing w:line="258" w:lineRule="exact" w:before="0"/>
              <w:ind w:left="240"/>
              <w:jc w:val="left"/>
              <w:rPr>
                <w:rFonts w:ascii="Calibri"/>
                <w:sz w:val="22"/>
              </w:rPr>
            </w:pPr>
            <w:r>
              <w:rPr>
                <w:rFonts w:ascii="Calibri"/>
                <w:spacing w:val="-2"/>
                <w:sz w:val="22"/>
              </w:rPr>
              <w:t>204.34</w:t>
            </w:r>
          </w:p>
        </w:tc>
        <w:tc>
          <w:tcPr>
            <w:tcW w:w="1051" w:type="dxa"/>
          </w:tcPr>
          <w:p>
            <w:pPr>
              <w:pStyle w:val="TableParagraph"/>
              <w:spacing w:line="258" w:lineRule="exact" w:before="0"/>
              <w:ind w:left="335"/>
              <w:jc w:val="left"/>
              <w:rPr>
                <w:rFonts w:ascii="Calibri"/>
                <w:sz w:val="22"/>
              </w:rPr>
            </w:pPr>
            <w:r>
              <w:rPr>
                <w:rFonts w:ascii="Calibri"/>
                <w:spacing w:val="-2"/>
                <w:sz w:val="22"/>
              </w:rPr>
              <w:t>521.95</w:t>
            </w:r>
          </w:p>
        </w:tc>
        <w:tc>
          <w:tcPr>
            <w:tcW w:w="959" w:type="dxa"/>
          </w:tcPr>
          <w:p>
            <w:pPr>
              <w:pStyle w:val="TableParagraph"/>
              <w:spacing w:line="258" w:lineRule="exact" w:before="0"/>
              <w:ind w:right="101"/>
              <w:jc w:val="right"/>
              <w:rPr>
                <w:rFonts w:ascii="Calibri"/>
                <w:sz w:val="22"/>
              </w:rPr>
            </w:pPr>
            <w:r>
              <w:rPr>
                <w:rFonts w:ascii="Calibri"/>
                <w:spacing w:val="-2"/>
                <w:sz w:val="22"/>
              </w:rPr>
              <w:t>0.990</w:t>
            </w:r>
          </w:p>
        </w:tc>
      </w:tr>
      <w:tr>
        <w:trPr>
          <w:trHeight w:val="287" w:hRule="atLeast"/>
        </w:trPr>
        <w:tc>
          <w:tcPr>
            <w:tcW w:w="1027" w:type="dxa"/>
          </w:tcPr>
          <w:p>
            <w:pPr>
              <w:pStyle w:val="TableParagraph"/>
              <w:spacing w:line="258" w:lineRule="exact" w:before="0"/>
              <w:ind w:left="628"/>
              <w:jc w:val="left"/>
              <w:rPr>
                <w:rFonts w:ascii="Calibri"/>
                <w:sz w:val="22"/>
              </w:rPr>
            </w:pPr>
            <w:r>
              <w:rPr>
                <w:rFonts w:ascii="Calibri"/>
                <w:spacing w:val="-5"/>
                <w:sz w:val="22"/>
              </w:rPr>
              <w:t>16</w:t>
            </w:r>
          </w:p>
        </w:tc>
        <w:tc>
          <w:tcPr>
            <w:tcW w:w="893" w:type="dxa"/>
          </w:tcPr>
          <w:p>
            <w:pPr>
              <w:pStyle w:val="TableParagraph"/>
              <w:spacing w:line="258" w:lineRule="exact" w:before="0"/>
              <w:ind w:left="283"/>
              <w:jc w:val="left"/>
              <w:rPr>
                <w:rFonts w:ascii="Calibri"/>
                <w:sz w:val="22"/>
              </w:rPr>
            </w:pPr>
            <w:r>
              <w:rPr>
                <w:rFonts w:ascii="Calibri"/>
                <w:spacing w:val="-2"/>
                <w:sz w:val="22"/>
              </w:rPr>
              <w:t>56.62</w:t>
            </w:r>
          </w:p>
        </w:tc>
        <w:tc>
          <w:tcPr>
            <w:tcW w:w="960" w:type="dxa"/>
          </w:tcPr>
          <w:p>
            <w:pPr>
              <w:pStyle w:val="TableParagraph"/>
              <w:spacing w:line="258" w:lineRule="exact" w:before="0"/>
              <w:ind w:left="240"/>
              <w:jc w:val="left"/>
              <w:rPr>
                <w:rFonts w:ascii="Calibri"/>
                <w:sz w:val="22"/>
              </w:rPr>
            </w:pPr>
            <w:r>
              <w:rPr>
                <w:rFonts w:ascii="Calibri"/>
                <w:spacing w:val="-2"/>
                <w:sz w:val="22"/>
              </w:rPr>
              <w:t>170.23</w:t>
            </w:r>
          </w:p>
        </w:tc>
        <w:tc>
          <w:tcPr>
            <w:tcW w:w="959" w:type="dxa"/>
          </w:tcPr>
          <w:p>
            <w:pPr>
              <w:pStyle w:val="TableParagraph"/>
              <w:spacing w:line="258" w:lineRule="exact" w:before="0"/>
              <w:ind w:left="240"/>
              <w:jc w:val="left"/>
              <w:rPr>
                <w:rFonts w:ascii="Calibri"/>
                <w:sz w:val="22"/>
              </w:rPr>
            </w:pPr>
            <w:r>
              <w:rPr>
                <w:rFonts w:ascii="Calibri"/>
                <w:spacing w:val="-2"/>
                <w:sz w:val="22"/>
              </w:rPr>
              <w:t>232.00</w:t>
            </w:r>
          </w:p>
        </w:tc>
        <w:tc>
          <w:tcPr>
            <w:tcW w:w="1051" w:type="dxa"/>
          </w:tcPr>
          <w:p>
            <w:pPr>
              <w:pStyle w:val="TableParagraph"/>
              <w:spacing w:line="258" w:lineRule="exact" w:before="0"/>
              <w:ind w:left="335"/>
              <w:jc w:val="left"/>
              <w:rPr>
                <w:rFonts w:ascii="Calibri"/>
                <w:sz w:val="22"/>
              </w:rPr>
            </w:pPr>
            <w:r>
              <w:rPr>
                <w:rFonts w:ascii="Calibri"/>
                <w:spacing w:val="-2"/>
                <w:sz w:val="22"/>
              </w:rPr>
              <w:t>419.95</w:t>
            </w:r>
          </w:p>
        </w:tc>
        <w:tc>
          <w:tcPr>
            <w:tcW w:w="959" w:type="dxa"/>
          </w:tcPr>
          <w:p>
            <w:pPr>
              <w:pStyle w:val="TableParagraph"/>
              <w:spacing w:line="258" w:lineRule="exact" w:before="0"/>
              <w:ind w:right="101"/>
              <w:jc w:val="right"/>
              <w:rPr>
                <w:rFonts w:ascii="Calibri"/>
                <w:sz w:val="22"/>
              </w:rPr>
            </w:pPr>
            <w:r>
              <w:rPr>
                <w:rFonts w:ascii="Calibri"/>
                <w:spacing w:val="-2"/>
                <w:sz w:val="22"/>
              </w:rPr>
              <w:t>0.978</w:t>
            </w:r>
          </w:p>
        </w:tc>
      </w:tr>
      <w:tr>
        <w:trPr>
          <w:trHeight w:val="288" w:hRule="atLeast"/>
        </w:trPr>
        <w:tc>
          <w:tcPr>
            <w:tcW w:w="1027" w:type="dxa"/>
          </w:tcPr>
          <w:p>
            <w:pPr>
              <w:pStyle w:val="TableParagraph"/>
              <w:spacing w:line="258" w:lineRule="exact" w:before="0"/>
              <w:ind w:left="628"/>
              <w:jc w:val="left"/>
              <w:rPr>
                <w:rFonts w:ascii="Calibri"/>
                <w:sz w:val="22"/>
              </w:rPr>
            </w:pPr>
            <w:r>
              <w:rPr>
                <w:rFonts w:ascii="Calibri"/>
                <w:spacing w:val="-5"/>
                <w:sz w:val="22"/>
              </w:rPr>
              <w:t>17</w:t>
            </w:r>
          </w:p>
        </w:tc>
        <w:tc>
          <w:tcPr>
            <w:tcW w:w="893" w:type="dxa"/>
          </w:tcPr>
          <w:p>
            <w:pPr>
              <w:pStyle w:val="TableParagraph"/>
              <w:spacing w:line="258" w:lineRule="exact" w:before="0"/>
              <w:ind w:left="283"/>
              <w:jc w:val="left"/>
              <w:rPr>
                <w:rFonts w:ascii="Calibri"/>
                <w:sz w:val="22"/>
              </w:rPr>
            </w:pPr>
            <w:r>
              <w:rPr>
                <w:rFonts w:ascii="Calibri"/>
                <w:spacing w:val="-2"/>
                <w:sz w:val="22"/>
              </w:rPr>
              <w:t>53.14</w:t>
            </w:r>
          </w:p>
        </w:tc>
        <w:tc>
          <w:tcPr>
            <w:tcW w:w="960" w:type="dxa"/>
          </w:tcPr>
          <w:p>
            <w:pPr>
              <w:pStyle w:val="TableParagraph"/>
              <w:spacing w:line="258" w:lineRule="exact" w:before="0"/>
              <w:ind w:left="240"/>
              <w:jc w:val="left"/>
              <w:rPr>
                <w:rFonts w:ascii="Calibri"/>
                <w:sz w:val="22"/>
              </w:rPr>
            </w:pPr>
            <w:r>
              <w:rPr>
                <w:rFonts w:ascii="Calibri"/>
                <w:spacing w:val="-2"/>
                <w:sz w:val="22"/>
              </w:rPr>
              <w:t>251.34</w:t>
            </w:r>
          </w:p>
        </w:tc>
        <w:tc>
          <w:tcPr>
            <w:tcW w:w="959" w:type="dxa"/>
          </w:tcPr>
          <w:p>
            <w:pPr>
              <w:pStyle w:val="TableParagraph"/>
              <w:spacing w:line="258" w:lineRule="exact" w:before="0"/>
              <w:ind w:left="240"/>
              <w:jc w:val="left"/>
              <w:rPr>
                <w:rFonts w:ascii="Calibri"/>
                <w:sz w:val="22"/>
              </w:rPr>
            </w:pPr>
            <w:r>
              <w:rPr>
                <w:rFonts w:ascii="Calibri"/>
                <w:spacing w:val="-2"/>
                <w:sz w:val="22"/>
              </w:rPr>
              <w:t>389.09</w:t>
            </w:r>
          </w:p>
        </w:tc>
        <w:tc>
          <w:tcPr>
            <w:tcW w:w="1051" w:type="dxa"/>
          </w:tcPr>
          <w:p>
            <w:pPr>
              <w:pStyle w:val="TableParagraph"/>
              <w:spacing w:line="258" w:lineRule="exact" w:before="0"/>
              <w:ind w:left="335"/>
              <w:jc w:val="left"/>
              <w:rPr>
                <w:rFonts w:ascii="Calibri"/>
                <w:sz w:val="22"/>
              </w:rPr>
            </w:pPr>
            <w:r>
              <w:rPr>
                <w:rFonts w:ascii="Calibri"/>
                <w:spacing w:val="-2"/>
                <w:sz w:val="22"/>
              </w:rPr>
              <w:t>899.12</w:t>
            </w:r>
          </w:p>
        </w:tc>
        <w:tc>
          <w:tcPr>
            <w:tcW w:w="959" w:type="dxa"/>
          </w:tcPr>
          <w:p>
            <w:pPr>
              <w:pStyle w:val="TableParagraph"/>
              <w:spacing w:line="258" w:lineRule="exact" w:before="0"/>
              <w:ind w:right="101"/>
              <w:jc w:val="right"/>
              <w:rPr>
                <w:rFonts w:ascii="Calibri"/>
                <w:sz w:val="22"/>
              </w:rPr>
            </w:pPr>
            <w:r>
              <w:rPr>
                <w:rFonts w:ascii="Calibri"/>
                <w:spacing w:val="-2"/>
                <w:sz w:val="22"/>
              </w:rPr>
              <w:t>0.966</w:t>
            </w:r>
          </w:p>
        </w:tc>
      </w:tr>
      <w:tr>
        <w:trPr>
          <w:trHeight w:val="287" w:hRule="atLeast"/>
        </w:trPr>
        <w:tc>
          <w:tcPr>
            <w:tcW w:w="1027" w:type="dxa"/>
          </w:tcPr>
          <w:p>
            <w:pPr>
              <w:pStyle w:val="TableParagraph"/>
              <w:spacing w:line="258" w:lineRule="exact" w:before="0"/>
              <w:ind w:left="628"/>
              <w:jc w:val="left"/>
              <w:rPr>
                <w:rFonts w:ascii="Calibri"/>
                <w:sz w:val="22"/>
              </w:rPr>
            </w:pPr>
            <w:r>
              <w:rPr>
                <w:rFonts w:ascii="Calibri"/>
                <w:spacing w:val="-5"/>
                <w:sz w:val="22"/>
              </w:rPr>
              <w:t>18</w:t>
            </w:r>
          </w:p>
        </w:tc>
        <w:tc>
          <w:tcPr>
            <w:tcW w:w="893" w:type="dxa"/>
          </w:tcPr>
          <w:p>
            <w:pPr>
              <w:pStyle w:val="TableParagraph"/>
              <w:spacing w:line="258" w:lineRule="exact" w:before="0"/>
              <w:ind w:left="283"/>
              <w:jc w:val="left"/>
              <w:rPr>
                <w:rFonts w:ascii="Calibri"/>
                <w:sz w:val="22"/>
              </w:rPr>
            </w:pPr>
            <w:r>
              <w:rPr>
                <w:rFonts w:ascii="Calibri"/>
                <w:spacing w:val="-2"/>
                <w:sz w:val="22"/>
              </w:rPr>
              <w:t>48.03</w:t>
            </w:r>
          </w:p>
        </w:tc>
        <w:tc>
          <w:tcPr>
            <w:tcW w:w="960" w:type="dxa"/>
          </w:tcPr>
          <w:p>
            <w:pPr>
              <w:pStyle w:val="TableParagraph"/>
              <w:spacing w:line="258" w:lineRule="exact" w:before="0"/>
              <w:ind w:left="240"/>
              <w:jc w:val="left"/>
              <w:rPr>
                <w:rFonts w:ascii="Calibri"/>
                <w:sz w:val="22"/>
              </w:rPr>
            </w:pPr>
            <w:r>
              <w:rPr>
                <w:rFonts w:ascii="Calibri"/>
                <w:spacing w:val="-2"/>
                <w:sz w:val="22"/>
              </w:rPr>
              <w:t>198.63</w:t>
            </w:r>
          </w:p>
        </w:tc>
        <w:tc>
          <w:tcPr>
            <w:tcW w:w="959" w:type="dxa"/>
          </w:tcPr>
          <w:p>
            <w:pPr>
              <w:pStyle w:val="TableParagraph"/>
              <w:spacing w:line="258" w:lineRule="exact" w:before="0"/>
              <w:ind w:left="240"/>
              <w:jc w:val="left"/>
              <w:rPr>
                <w:rFonts w:ascii="Calibri"/>
                <w:sz w:val="22"/>
              </w:rPr>
            </w:pPr>
            <w:r>
              <w:rPr>
                <w:rFonts w:ascii="Calibri"/>
                <w:spacing w:val="-2"/>
                <w:sz w:val="22"/>
              </w:rPr>
              <w:t>296.10</w:t>
            </w:r>
          </w:p>
        </w:tc>
        <w:tc>
          <w:tcPr>
            <w:tcW w:w="1051" w:type="dxa"/>
          </w:tcPr>
          <w:p>
            <w:pPr>
              <w:pStyle w:val="TableParagraph"/>
              <w:spacing w:line="258" w:lineRule="exact" w:before="0"/>
              <w:ind w:left="335"/>
              <w:jc w:val="left"/>
              <w:rPr>
                <w:rFonts w:ascii="Calibri"/>
                <w:sz w:val="22"/>
              </w:rPr>
            </w:pPr>
            <w:r>
              <w:rPr>
                <w:rFonts w:ascii="Calibri"/>
                <w:spacing w:val="-2"/>
                <w:sz w:val="22"/>
              </w:rPr>
              <w:t>636.47</w:t>
            </w:r>
          </w:p>
        </w:tc>
        <w:tc>
          <w:tcPr>
            <w:tcW w:w="959" w:type="dxa"/>
          </w:tcPr>
          <w:p>
            <w:pPr>
              <w:pStyle w:val="TableParagraph"/>
              <w:spacing w:line="258" w:lineRule="exact" w:before="0"/>
              <w:ind w:right="101"/>
              <w:jc w:val="right"/>
              <w:rPr>
                <w:rFonts w:ascii="Calibri"/>
                <w:sz w:val="22"/>
              </w:rPr>
            </w:pPr>
            <w:r>
              <w:rPr>
                <w:rFonts w:ascii="Calibri"/>
                <w:spacing w:val="-2"/>
                <w:sz w:val="22"/>
              </w:rPr>
              <w:t>0.998</w:t>
            </w:r>
          </w:p>
        </w:tc>
      </w:tr>
      <w:tr>
        <w:trPr>
          <w:trHeight w:val="288" w:hRule="atLeast"/>
        </w:trPr>
        <w:tc>
          <w:tcPr>
            <w:tcW w:w="1027" w:type="dxa"/>
          </w:tcPr>
          <w:p>
            <w:pPr>
              <w:pStyle w:val="TableParagraph"/>
              <w:spacing w:line="258" w:lineRule="exact" w:before="0"/>
              <w:ind w:left="628"/>
              <w:jc w:val="left"/>
              <w:rPr>
                <w:rFonts w:ascii="Calibri"/>
                <w:sz w:val="22"/>
              </w:rPr>
            </w:pPr>
            <w:r>
              <w:rPr>
                <w:rFonts w:ascii="Calibri"/>
                <w:spacing w:val="-5"/>
                <w:sz w:val="22"/>
              </w:rPr>
              <w:t>19</w:t>
            </w:r>
          </w:p>
        </w:tc>
        <w:tc>
          <w:tcPr>
            <w:tcW w:w="893" w:type="dxa"/>
          </w:tcPr>
          <w:p>
            <w:pPr>
              <w:pStyle w:val="TableParagraph"/>
              <w:spacing w:line="258" w:lineRule="exact" w:before="0"/>
              <w:ind w:left="283"/>
              <w:jc w:val="left"/>
              <w:rPr>
                <w:rFonts w:ascii="Calibri"/>
                <w:sz w:val="22"/>
              </w:rPr>
            </w:pPr>
            <w:r>
              <w:rPr>
                <w:rFonts w:ascii="Calibri"/>
                <w:spacing w:val="-2"/>
                <w:sz w:val="22"/>
              </w:rPr>
              <w:t>64.93</w:t>
            </w:r>
          </w:p>
        </w:tc>
        <w:tc>
          <w:tcPr>
            <w:tcW w:w="960" w:type="dxa"/>
          </w:tcPr>
          <w:p>
            <w:pPr>
              <w:pStyle w:val="TableParagraph"/>
              <w:spacing w:line="258" w:lineRule="exact" w:before="0"/>
              <w:ind w:left="240"/>
              <w:jc w:val="left"/>
              <w:rPr>
                <w:rFonts w:ascii="Calibri"/>
                <w:sz w:val="22"/>
              </w:rPr>
            </w:pPr>
            <w:r>
              <w:rPr>
                <w:rFonts w:ascii="Calibri"/>
                <w:spacing w:val="-2"/>
                <w:sz w:val="22"/>
              </w:rPr>
              <w:t>189.83</w:t>
            </w:r>
          </w:p>
        </w:tc>
        <w:tc>
          <w:tcPr>
            <w:tcW w:w="959" w:type="dxa"/>
          </w:tcPr>
          <w:p>
            <w:pPr>
              <w:pStyle w:val="TableParagraph"/>
              <w:spacing w:line="258" w:lineRule="exact" w:before="0"/>
              <w:ind w:left="240"/>
              <w:jc w:val="left"/>
              <w:rPr>
                <w:rFonts w:ascii="Calibri"/>
                <w:sz w:val="22"/>
              </w:rPr>
            </w:pPr>
            <w:r>
              <w:rPr>
                <w:rFonts w:ascii="Calibri"/>
                <w:spacing w:val="-2"/>
                <w:sz w:val="22"/>
              </w:rPr>
              <w:t>256.68</w:t>
            </w:r>
          </w:p>
        </w:tc>
        <w:tc>
          <w:tcPr>
            <w:tcW w:w="1051" w:type="dxa"/>
          </w:tcPr>
          <w:p>
            <w:pPr>
              <w:pStyle w:val="TableParagraph"/>
              <w:spacing w:line="258" w:lineRule="exact" w:before="0"/>
              <w:ind w:left="335"/>
              <w:jc w:val="left"/>
              <w:rPr>
                <w:rFonts w:ascii="Calibri"/>
                <w:sz w:val="22"/>
              </w:rPr>
            </w:pPr>
            <w:r>
              <w:rPr>
                <w:rFonts w:ascii="Calibri"/>
                <w:spacing w:val="-2"/>
                <w:sz w:val="22"/>
              </w:rPr>
              <w:t>457.68</w:t>
            </w:r>
          </w:p>
        </w:tc>
        <w:tc>
          <w:tcPr>
            <w:tcW w:w="959" w:type="dxa"/>
          </w:tcPr>
          <w:p>
            <w:pPr>
              <w:pStyle w:val="TableParagraph"/>
              <w:spacing w:line="258" w:lineRule="exact" w:before="0"/>
              <w:ind w:right="101"/>
              <w:jc w:val="right"/>
              <w:rPr>
                <w:rFonts w:ascii="Calibri"/>
                <w:sz w:val="22"/>
              </w:rPr>
            </w:pPr>
            <w:r>
              <w:rPr>
                <w:rFonts w:ascii="Calibri"/>
                <w:spacing w:val="-2"/>
                <w:sz w:val="22"/>
              </w:rPr>
              <w:t>0.984</w:t>
            </w:r>
          </w:p>
        </w:tc>
      </w:tr>
      <w:tr>
        <w:trPr>
          <w:trHeight w:val="288" w:hRule="atLeast"/>
        </w:trPr>
        <w:tc>
          <w:tcPr>
            <w:tcW w:w="1027" w:type="dxa"/>
          </w:tcPr>
          <w:p>
            <w:pPr>
              <w:pStyle w:val="TableParagraph"/>
              <w:spacing w:line="258" w:lineRule="exact" w:before="0"/>
              <w:ind w:left="628"/>
              <w:jc w:val="left"/>
              <w:rPr>
                <w:rFonts w:ascii="Calibri"/>
                <w:sz w:val="22"/>
              </w:rPr>
            </w:pPr>
            <w:r>
              <w:rPr>
                <w:rFonts w:ascii="Calibri"/>
                <w:spacing w:val="-5"/>
                <w:sz w:val="22"/>
              </w:rPr>
              <w:t>20</w:t>
            </w:r>
          </w:p>
        </w:tc>
        <w:tc>
          <w:tcPr>
            <w:tcW w:w="893" w:type="dxa"/>
          </w:tcPr>
          <w:p>
            <w:pPr>
              <w:pStyle w:val="TableParagraph"/>
              <w:spacing w:line="258" w:lineRule="exact" w:before="0"/>
              <w:ind w:left="283"/>
              <w:jc w:val="left"/>
              <w:rPr>
                <w:rFonts w:ascii="Calibri"/>
                <w:sz w:val="22"/>
              </w:rPr>
            </w:pPr>
            <w:r>
              <w:rPr>
                <w:rFonts w:ascii="Calibri"/>
                <w:spacing w:val="-2"/>
                <w:sz w:val="22"/>
              </w:rPr>
              <w:t>42.66</w:t>
            </w:r>
          </w:p>
        </w:tc>
        <w:tc>
          <w:tcPr>
            <w:tcW w:w="960" w:type="dxa"/>
          </w:tcPr>
          <w:p>
            <w:pPr>
              <w:pStyle w:val="TableParagraph"/>
              <w:spacing w:line="258" w:lineRule="exact" w:before="0"/>
              <w:ind w:left="240"/>
              <w:jc w:val="left"/>
              <w:rPr>
                <w:rFonts w:ascii="Calibri"/>
                <w:sz w:val="22"/>
              </w:rPr>
            </w:pPr>
            <w:r>
              <w:rPr>
                <w:rFonts w:ascii="Calibri"/>
                <w:spacing w:val="-2"/>
                <w:sz w:val="22"/>
              </w:rPr>
              <w:t>112.50</w:t>
            </w:r>
          </w:p>
        </w:tc>
        <w:tc>
          <w:tcPr>
            <w:tcW w:w="959" w:type="dxa"/>
          </w:tcPr>
          <w:p>
            <w:pPr>
              <w:pStyle w:val="TableParagraph"/>
              <w:spacing w:line="258" w:lineRule="exact" w:before="0"/>
              <w:ind w:left="240"/>
              <w:jc w:val="left"/>
              <w:rPr>
                <w:rFonts w:ascii="Calibri"/>
                <w:sz w:val="22"/>
              </w:rPr>
            </w:pPr>
            <w:r>
              <w:rPr>
                <w:rFonts w:ascii="Calibri"/>
                <w:spacing w:val="-2"/>
                <w:sz w:val="22"/>
              </w:rPr>
              <w:t>147.77</w:t>
            </w:r>
          </w:p>
        </w:tc>
        <w:tc>
          <w:tcPr>
            <w:tcW w:w="1051" w:type="dxa"/>
          </w:tcPr>
          <w:p>
            <w:pPr>
              <w:pStyle w:val="TableParagraph"/>
              <w:spacing w:line="258" w:lineRule="exact" w:before="0"/>
              <w:ind w:left="335"/>
              <w:jc w:val="left"/>
              <w:rPr>
                <w:rFonts w:ascii="Calibri"/>
                <w:sz w:val="22"/>
              </w:rPr>
            </w:pPr>
            <w:r>
              <w:rPr>
                <w:rFonts w:ascii="Calibri"/>
                <w:spacing w:val="-2"/>
                <w:sz w:val="22"/>
              </w:rPr>
              <w:t>249.23</w:t>
            </w:r>
          </w:p>
        </w:tc>
        <w:tc>
          <w:tcPr>
            <w:tcW w:w="959" w:type="dxa"/>
          </w:tcPr>
          <w:p>
            <w:pPr>
              <w:pStyle w:val="TableParagraph"/>
              <w:spacing w:line="258" w:lineRule="exact" w:before="0"/>
              <w:ind w:right="101"/>
              <w:jc w:val="right"/>
              <w:rPr>
                <w:rFonts w:ascii="Calibri"/>
                <w:sz w:val="22"/>
              </w:rPr>
            </w:pPr>
            <w:r>
              <w:rPr>
                <w:rFonts w:ascii="Calibri"/>
                <w:spacing w:val="-2"/>
                <w:sz w:val="22"/>
              </w:rPr>
              <w:t>0.962</w:t>
            </w:r>
          </w:p>
        </w:tc>
      </w:tr>
      <w:tr>
        <w:trPr>
          <w:trHeight w:val="254" w:hRule="atLeast"/>
        </w:trPr>
        <w:tc>
          <w:tcPr>
            <w:tcW w:w="1027" w:type="dxa"/>
          </w:tcPr>
          <w:p>
            <w:pPr>
              <w:pStyle w:val="TableParagraph"/>
              <w:tabs>
                <w:tab w:pos="1310" w:val="left" w:leader="none"/>
              </w:tabs>
              <w:spacing w:line="234" w:lineRule="exact" w:before="0"/>
              <w:ind w:left="-15" w:right="-288"/>
              <w:jc w:val="left"/>
              <w:rPr>
                <w:rFonts w:ascii="Calibri"/>
                <w:sz w:val="22"/>
              </w:rPr>
            </w:pPr>
            <w:r>
              <w:rPr>
                <w:rFonts w:ascii="Calibri"/>
                <w:spacing w:val="71"/>
                <w:sz w:val="22"/>
                <w:u w:val="single"/>
              </w:rPr>
              <w:t> </w:t>
            </w:r>
            <w:r>
              <w:rPr>
                <w:rFonts w:ascii="Calibri"/>
                <w:spacing w:val="-2"/>
                <w:sz w:val="22"/>
                <w:u w:val="single"/>
              </w:rPr>
              <w:t>Average</w:t>
            </w:r>
            <w:r>
              <w:rPr>
                <w:rFonts w:ascii="Calibri"/>
                <w:sz w:val="22"/>
                <w:u w:val="single"/>
              </w:rPr>
              <w:tab/>
            </w:r>
          </w:p>
        </w:tc>
        <w:tc>
          <w:tcPr>
            <w:tcW w:w="893" w:type="dxa"/>
          </w:tcPr>
          <w:p>
            <w:pPr>
              <w:pStyle w:val="TableParagraph"/>
              <w:tabs>
                <w:tab w:pos="1133" w:val="left" w:leader="none"/>
              </w:tabs>
              <w:spacing w:line="234" w:lineRule="exact" w:before="0"/>
              <w:ind w:left="283" w:right="-245"/>
              <w:jc w:val="left"/>
              <w:rPr>
                <w:rFonts w:ascii="Calibri"/>
                <w:sz w:val="22"/>
              </w:rPr>
            </w:pPr>
            <w:r>
              <w:rPr>
                <w:rFonts w:ascii="Calibri"/>
                <w:spacing w:val="-2"/>
                <w:sz w:val="22"/>
                <w:u w:val="single"/>
              </w:rPr>
              <w:t>71.44</w:t>
            </w:r>
            <w:r>
              <w:rPr>
                <w:rFonts w:ascii="Calibri"/>
                <w:sz w:val="22"/>
                <w:u w:val="single"/>
              </w:rPr>
              <w:tab/>
            </w:r>
          </w:p>
        </w:tc>
        <w:tc>
          <w:tcPr>
            <w:tcW w:w="960" w:type="dxa"/>
          </w:tcPr>
          <w:p>
            <w:pPr>
              <w:pStyle w:val="TableParagraph"/>
              <w:tabs>
                <w:tab w:pos="1200" w:val="left" w:leader="none"/>
              </w:tabs>
              <w:spacing w:line="234" w:lineRule="exact" w:before="0"/>
              <w:ind w:left="240" w:right="-245"/>
              <w:jc w:val="left"/>
              <w:rPr>
                <w:rFonts w:ascii="Calibri"/>
                <w:sz w:val="22"/>
              </w:rPr>
            </w:pPr>
            <w:r>
              <w:rPr>
                <w:rFonts w:ascii="Calibri"/>
                <w:spacing w:val="-2"/>
                <w:sz w:val="22"/>
                <w:u w:val="single"/>
              </w:rPr>
              <w:t>438.13</w:t>
            </w:r>
            <w:r>
              <w:rPr>
                <w:rFonts w:ascii="Calibri"/>
                <w:sz w:val="22"/>
                <w:u w:val="single"/>
              </w:rPr>
              <w:tab/>
            </w:r>
          </w:p>
        </w:tc>
        <w:tc>
          <w:tcPr>
            <w:tcW w:w="959" w:type="dxa"/>
          </w:tcPr>
          <w:p>
            <w:pPr>
              <w:pStyle w:val="TableParagraph"/>
              <w:tabs>
                <w:tab w:pos="1181" w:val="left" w:leader="none"/>
              </w:tabs>
              <w:spacing w:line="234" w:lineRule="exact" w:before="0"/>
              <w:ind w:left="240" w:right="-231"/>
              <w:jc w:val="left"/>
              <w:rPr>
                <w:rFonts w:ascii="Calibri"/>
                <w:sz w:val="22"/>
              </w:rPr>
            </w:pPr>
            <w:r>
              <w:rPr>
                <w:rFonts w:ascii="Calibri"/>
                <w:spacing w:val="-2"/>
                <w:sz w:val="22"/>
                <w:u w:val="single"/>
              </w:rPr>
              <w:t>758.60</w:t>
            </w:r>
            <w:r>
              <w:rPr>
                <w:rFonts w:ascii="Calibri"/>
                <w:sz w:val="22"/>
                <w:u w:val="single"/>
              </w:rPr>
              <w:tab/>
            </w:r>
          </w:p>
        </w:tc>
        <w:tc>
          <w:tcPr>
            <w:tcW w:w="1051" w:type="dxa"/>
          </w:tcPr>
          <w:p>
            <w:pPr>
              <w:pStyle w:val="TableParagraph"/>
              <w:tabs>
                <w:tab w:pos="2015" w:val="left" w:leader="none"/>
              </w:tabs>
              <w:spacing w:line="234" w:lineRule="exact" w:before="0"/>
              <w:ind w:left="222" w:right="-965"/>
              <w:jc w:val="left"/>
              <w:rPr>
                <w:rFonts w:ascii="Calibri"/>
                <w:sz w:val="22"/>
              </w:rPr>
            </w:pPr>
            <w:r>
              <w:rPr>
                <w:rFonts w:ascii="Calibri"/>
                <w:spacing w:val="-2"/>
                <w:sz w:val="22"/>
                <w:u w:val="single"/>
              </w:rPr>
              <w:t>2280.38</w:t>
            </w:r>
            <w:r>
              <w:rPr>
                <w:rFonts w:ascii="Calibri"/>
                <w:sz w:val="22"/>
                <w:u w:val="single"/>
              </w:rPr>
              <w:tab/>
            </w:r>
          </w:p>
        </w:tc>
        <w:tc>
          <w:tcPr>
            <w:tcW w:w="959" w:type="dxa"/>
          </w:tcPr>
          <w:p>
            <w:pPr>
              <w:pStyle w:val="TableParagraph"/>
              <w:spacing w:line="240" w:lineRule="auto" w:before="0"/>
              <w:jc w:val="left"/>
              <w:rPr>
                <w:sz w:val="18"/>
              </w:rPr>
            </w:pPr>
          </w:p>
        </w:tc>
      </w:tr>
    </w:tbl>
    <w:p>
      <w:pPr>
        <w:spacing w:after="0" w:line="240" w:lineRule="auto"/>
        <w:jc w:val="left"/>
        <w:rPr>
          <w:sz w:val="18"/>
        </w:rPr>
        <w:sectPr>
          <w:pgSz w:w="11910" w:h="16840"/>
          <w:pgMar w:header="0" w:footer="1254" w:top="1360" w:bottom="1440" w:left="1180" w:right="580"/>
        </w:sectPr>
      </w:pPr>
    </w:p>
    <w:p>
      <w:pPr>
        <w:spacing w:before="61"/>
        <w:ind w:left="260" w:right="0" w:firstLine="0"/>
        <w:jc w:val="left"/>
        <w:rPr>
          <w:b/>
          <w:sz w:val="24"/>
        </w:rPr>
      </w:pPr>
      <w:r>
        <w:rPr>
          <w:b/>
          <w:sz w:val="24"/>
        </w:rPr>
        <w:t>Table</w:t>
      </w:r>
      <w:r>
        <w:rPr>
          <w:b/>
          <w:spacing w:val="-2"/>
          <w:sz w:val="24"/>
        </w:rPr>
        <w:t> </w:t>
      </w:r>
      <w:r>
        <w:rPr>
          <w:b/>
          <w:sz w:val="24"/>
        </w:rPr>
        <w:t>4.9:</w:t>
      </w:r>
      <w:r>
        <w:rPr>
          <w:b/>
          <w:spacing w:val="-4"/>
          <w:sz w:val="24"/>
        </w:rPr>
        <w:t> </w:t>
      </w:r>
      <w:r>
        <w:rPr>
          <w:b/>
          <w:sz w:val="24"/>
        </w:rPr>
        <w:t>Inhibitory</w:t>
      </w:r>
      <w:r>
        <w:rPr>
          <w:b/>
          <w:spacing w:val="-1"/>
          <w:sz w:val="24"/>
        </w:rPr>
        <w:t> </w:t>
      </w:r>
      <w:r>
        <w:rPr>
          <w:b/>
          <w:sz w:val="24"/>
        </w:rPr>
        <w:t>concentrations</w:t>
      </w:r>
      <w:r>
        <w:rPr>
          <w:b/>
          <w:spacing w:val="-2"/>
          <w:sz w:val="24"/>
        </w:rPr>
        <w:t> </w:t>
      </w:r>
      <w:r>
        <w:rPr>
          <w:b/>
          <w:sz w:val="24"/>
        </w:rPr>
        <w:t>(nM)</w:t>
      </w:r>
      <w:r>
        <w:rPr>
          <w:b/>
          <w:spacing w:val="-3"/>
          <w:sz w:val="24"/>
        </w:rPr>
        <w:t> </w:t>
      </w:r>
      <w:r>
        <w:rPr>
          <w:b/>
          <w:sz w:val="24"/>
        </w:rPr>
        <w:t>of</w:t>
      </w:r>
      <w:r>
        <w:rPr>
          <w:b/>
          <w:spacing w:val="-1"/>
          <w:sz w:val="24"/>
        </w:rPr>
        <w:t> </w:t>
      </w:r>
      <w:r>
        <w:rPr>
          <w:b/>
          <w:sz w:val="24"/>
        </w:rPr>
        <w:t>Artesunate</w:t>
      </w:r>
      <w:r>
        <w:rPr>
          <w:b/>
          <w:spacing w:val="-2"/>
          <w:sz w:val="24"/>
        </w:rPr>
        <w:t> </w:t>
      </w:r>
      <w:r>
        <w:rPr>
          <w:b/>
          <w:sz w:val="24"/>
        </w:rPr>
        <w:t>against</w:t>
      </w:r>
      <w:r>
        <w:rPr>
          <w:b/>
          <w:spacing w:val="-2"/>
          <w:sz w:val="24"/>
        </w:rPr>
        <w:t> </w:t>
      </w:r>
      <w:r>
        <w:rPr>
          <w:b/>
          <w:sz w:val="24"/>
        </w:rPr>
        <w:t>schizont</w:t>
      </w:r>
      <w:r>
        <w:rPr>
          <w:b/>
          <w:spacing w:val="-1"/>
          <w:sz w:val="24"/>
        </w:rPr>
        <w:t> </w:t>
      </w:r>
      <w:r>
        <w:rPr>
          <w:b/>
          <w:spacing w:val="-2"/>
          <w:sz w:val="24"/>
        </w:rPr>
        <w:t>maturation</w:t>
      </w:r>
    </w:p>
    <w:p>
      <w:pPr>
        <w:pStyle w:val="BodyText"/>
        <w:spacing w:before="13"/>
        <w:rPr>
          <w:b/>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8"/>
        <w:gridCol w:w="783"/>
        <w:gridCol w:w="961"/>
        <w:gridCol w:w="960"/>
        <w:gridCol w:w="960"/>
        <w:gridCol w:w="959"/>
      </w:tblGrid>
      <w:tr>
        <w:trPr>
          <w:trHeight w:val="324" w:hRule="atLeast"/>
        </w:trPr>
        <w:tc>
          <w:tcPr>
            <w:tcW w:w="1921" w:type="dxa"/>
            <w:gridSpan w:val="2"/>
            <w:tcBorders>
              <w:top w:val="single" w:sz="4" w:space="0" w:color="000000"/>
              <w:bottom w:val="single" w:sz="4" w:space="0" w:color="000000"/>
            </w:tcBorders>
          </w:tcPr>
          <w:p>
            <w:pPr>
              <w:pStyle w:val="TableParagraph"/>
              <w:spacing w:line="264" w:lineRule="exact" w:before="39"/>
              <w:ind w:left="1067"/>
              <w:jc w:val="left"/>
              <w:rPr>
                <w:sz w:val="24"/>
              </w:rPr>
            </w:pPr>
            <w:r>
              <w:rPr>
                <w:spacing w:val="-4"/>
                <w:sz w:val="24"/>
              </w:rPr>
              <w:t>LC</w:t>
            </w:r>
            <w:r>
              <w:rPr>
                <w:spacing w:val="-4"/>
                <w:sz w:val="24"/>
                <w:vertAlign w:val="subscript"/>
              </w:rPr>
              <w:t>50</w:t>
            </w:r>
          </w:p>
        </w:tc>
        <w:tc>
          <w:tcPr>
            <w:tcW w:w="961" w:type="dxa"/>
            <w:tcBorders>
              <w:top w:val="single" w:sz="4" w:space="0" w:color="000000"/>
              <w:bottom w:val="single" w:sz="4" w:space="0" w:color="000000"/>
            </w:tcBorders>
          </w:tcPr>
          <w:p>
            <w:pPr>
              <w:pStyle w:val="TableParagraph"/>
              <w:spacing w:line="264" w:lineRule="exact" w:before="39"/>
              <w:ind w:left="106"/>
              <w:jc w:val="left"/>
              <w:rPr>
                <w:sz w:val="24"/>
              </w:rPr>
            </w:pPr>
            <w:r>
              <w:rPr>
                <w:spacing w:val="-4"/>
                <w:sz w:val="24"/>
              </w:rPr>
              <w:t>LC</w:t>
            </w:r>
            <w:r>
              <w:rPr>
                <w:spacing w:val="-4"/>
                <w:sz w:val="24"/>
                <w:vertAlign w:val="subscript"/>
              </w:rPr>
              <w:t>90</w:t>
            </w:r>
          </w:p>
        </w:tc>
        <w:tc>
          <w:tcPr>
            <w:tcW w:w="960" w:type="dxa"/>
            <w:tcBorders>
              <w:top w:val="single" w:sz="4" w:space="0" w:color="000000"/>
              <w:bottom w:val="single" w:sz="4" w:space="0" w:color="000000"/>
            </w:tcBorders>
          </w:tcPr>
          <w:p>
            <w:pPr>
              <w:pStyle w:val="TableParagraph"/>
              <w:spacing w:line="264" w:lineRule="exact" w:before="39"/>
              <w:ind w:left="106"/>
              <w:jc w:val="left"/>
              <w:rPr>
                <w:sz w:val="24"/>
              </w:rPr>
            </w:pPr>
            <w:r>
              <w:rPr>
                <w:spacing w:val="-4"/>
                <w:sz w:val="24"/>
              </w:rPr>
              <w:t>LC</w:t>
            </w:r>
            <w:r>
              <w:rPr>
                <w:spacing w:val="-4"/>
                <w:sz w:val="24"/>
                <w:vertAlign w:val="subscript"/>
              </w:rPr>
              <w:t>95</w:t>
            </w:r>
          </w:p>
        </w:tc>
        <w:tc>
          <w:tcPr>
            <w:tcW w:w="960" w:type="dxa"/>
            <w:tcBorders>
              <w:top w:val="single" w:sz="4" w:space="0" w:color="000000"/>
              <w:bottom w:val="single" w:sz="4" w:space="0" w:color="000000"/>
            </w:tcBorders>
          </w:tcPr>
          <w:p>
            <w:pPr>
              <w:pStyle w:val="TableParagraph"/>
              <w:spacing w:line="264" w:lineRule="exact" w:before="39"/>
              <w:ind w:left="106"/>
              <w:jc w:val="left"/>
              <w:rPr>
                <w:sz w:val="24"/>
              </w:rPr>
            </w:pPr>
            <w:r>
              <w:rPr>
                <w:spacing w:val="-4"/>
                <w:sz w:val="24"/>
              </w:rPr>
              <w:t>LC</w:t>
            </w:r>
            <w:r>
              <w:rPr>
                <w:spacing w:val="-4"/>
                <w:sz w:val="24"/>
                <w:vertAlign w:val="subscript"/>
              </w:rPr>
              <w:t>99</w:t>
            </w:r>
          </w:p>
        </w:tc>
        <w:tc>
          <w:tcPr>
            <w:tcW w:w="959" w:type="dxa"/>
            <w:tcBorders>
              <w:top w:val="single" w:sz="4" w:space="0" w:color="000000"/>
              <w:bottom w:val="single" w:sz="4" w:space="0" w:color="000000"/>
            </w:tcBorders>
          </w:tcPr>
          <w:p>
            <w:pPr>
              <w:pStyle w:val="TableParagraph"/>
              <w:spacing w:line="158" w:lineRule="auto" w:before="41"/>
              <w:ind w:left="106"/>
              <w:jc w:val="left"/>
              <w:rPr>
                <w:sz w:val="16"/>
              </w:rPr>
            </w:pPr>
            <w:r>
              <w:rPr>
                <w:spacing w:val="-5"/>
                <w:position w:val="-10"/>
                <w:sz w:val="24"/>
              </w:rPr>
              <w:t>R</w:t>
            </w:r>
            <w:r>
              <w:rPr>
                <w:spacing w:val="-5"/>
                <w:sz w:val="16"/>
              </w:rPr>
              <w:t>2</w:t>
            </w:r>
          </w:p>
        </w:tc>
      </w:tr>
      <w:tr>
        <w:trPr>
          <w:trHeight w:val="313" w:hRule="atLeast"/>
        </w:trPr>
        <w:tc>
          <w:tcPr>
            <w:tcW w:w="1138" w:type="dxa"/>
            <w:tcBorders>
              <w:top w:val="single" w:sz="4" w:space="0" w:color="000000"/>
            </w:tcBorders>
          </w:tcPr>
          <w:p>
            <w:pPr>
              <w:pStyle w:val="TableParagraph"/>
              <w:spacing w:line="240" w:lineRule="auto" w:before="16"/>
              <w:ind w:left="456"/>
              <w:rPr>
                <w:rFonts w:ascii="Calibri"/>
                <w:sz w:val="22"/>
              </w:rPr>
            </w:pPr>
            <w:r>
              <w:rPr>
                <w:rFonts w:ascii="Calibri"/>
                <w:spacing w:val="-10"/>
                <w:sz w:val="22"/>
              </w:rPr>
              <w:t>1</w:t>
            </w:r>
          </w:p>
        </w:tc>
        <w:tc>
          <w:tcPr>
            <w:tcW w:w="783" w:type="dxa"/>
            <w:tcBorders>
              <w:top w:val="single" w:sz="4" w:space="0" w:color="000000"/>
            </w:tcBorders>
          </w:tcPr>
          <w:p>
            <w:pPr>
              <w:pStyle w:val="TableParagraph"/>
              <w:spacing w:line="240" w:lineRule="auto" w:before="16"/>
              <w:ind w:left="282"/>
              <w:jc w:val="left"/>
              <w:rPr>
                <w:rFonts w:ascii="Calibri"/>
                <w:sz w:val="22"/>
              </w:rPr>
            </w:pPr>
            <w:r>
              <w:rPr>
                <w:rFonts w:ascii="Calibri"/>
                <w:spacing w:val="-4"/>
                <w:sz w:val="22"/>
              </w:rPr>
              <w:t>8.26</w:t>
            </w:r>
          </w:p>
        </w:tc>
        <w:tc>
          <w:tcPr>
            <w:tcW w:w="961" w:type="dxa"/>
            <w:tcBorders>
              <w:top w:val="single" w:sz="4" w:space="0" w:color="000000"/>
            </w:tcBorders>
          </w:tcPr>
          <w:p>
            <w:pPr>
              <w:pStyle w:val="TableParagraph"/>
              <w:spacing w:line="240" w:lineRule="auto" w:before="16"/>
              <w:ind w:left="349"/>
              <w:jc w:val="left"/>
              <w:rPr>
                <w:rFonts w:ascii="Calibri"/>
                <w:sz w:val="22"/>
              </w:rPr>
            </w:pPr>
            <w:r>
              <w:rPr>
                <w:rFonts w:ascii="Calibri"/>
                <w:spacing w:val="-2"/>
                <w:sz w:val="22"/>
              </w:rPr>
              <w:t>35.98</w:t>
            </w:r>
          </w:p>
        </w:tc>
        <w:tc>
          <w:tcPr>
            <w:tcW w:w="960" w:type="dxa"/>
            <w:tcBorders>
              <w:top w:val="single" w:sz="4" w:space="0" w:color="000000"/>
            </w:tcBorders>
          </w:tcPr>
          <w:p>
            <w:pPr>
              <w:pStyle w:val="TableParagraph"/>
              <w:spacing w:line="240" w:lineRule="auto" w:before="16"/>
              <w:ind w:left="348"/>
              <w:jc w:val="left"/>
              <w:rPr>
                <w:rFonts w:ascii="Calibri"/>
                <w:sz w:val="22"/>
              </w:rPr>
            </w:pPr>
            <w:r>
              <w:rPr>
                <w:rFonts w:ascii="Calibri"/>
                <w:spacing w:val="-2"/>
                <w:sz w:val="22"/>
              </w:rPr>
              <w:t>54.42</w:t>
            </w:r>
          </w:p>
        </w:tc>
        <w:tc>
          <w:tcPr>
            <w:tcW w:w="960" w:type="dxa"/>
            <w:tcBorders>
              <w:top w:val="single" w:sz="4" w:space="0" w:color="000000"/>
            </w:tcBorders>
          </w:tcPr>
          <w:p>
            <w:pPr>
              <w:pStyle w:val="TableParagraph"/>
              <w:spacing w:line="240" w:lineRule="auto" w:before="16"/>
              <w:ind w:left="238"/>
              <w:jc w:val="left"/>
              <w:rPr>
                <w:rFonts w:ascii="Calibri"/>
                <w:sz w:val="22"/>
              </w:rPr>
            </w:pPr>
            <w:r>
              <w:rPr>
                <w:rFonts w:ascii="Calibri"/>
                <w:spacing w:val="-2"/>
                <w:sz w:val="22"/>
              </w:rPr>
              <w:t>120.29</w:t>
            </w:r>
          </w:p>
        </w:tc>
        <w:tc>
          <w:tcPr>
            <w:tcW w:w="959" w:type="dxa"/>
            <w:tcBorders>
              <w:top w:val="single" w:sz="4" w:space="0" w:color="000000"/>
            </w:tcBorders>
          </w:tcPr>
          <w:p>
            <w:pPr>
              <w:pStyle w:val="TableParagraph"/>
              <w:spacing w:line="240" w:lineRule="auto" w:before="16"/>
              <w:ind w:right="104"/>
              <w:jc w:val="right"/>
              <w:rPr>
                <w:rFonts w:ascii="Calibri"/>
                <w:sz w:val="22"/>
              </w:rPr>
            </w:pPr>
            <w:r>
              <w:rPr>
                <w:rFonts w:ascii="Calibri"/>
                <w:spacing w:val="-2"/>
                <w:sz w:val="22"/>
              </w:rPr>
              <w:t>0.999</w:t>
            </w:r>
          </w:p>
        </w:tc>
      </w:tr>
      <w:tr>
        <w:trPr>
          <w:trHeight w:val="287" w:hRule="atLeast"/>
        </w:trPr>
        <w:tc>
          <w:tcPr>
            <w:tcW w:w="1138" w:type="dxa"/>
          </w:tcPr>
          <w:p>
            <w:pPr>
              <w:pStyle w:val="TableParagraph"/>
              <w:spacing w:line="258" w:lineRule="exact" w:before="0"/>
              <w:ind w:left="456"/>
              <w:rPr>
                <w:rFonts w:ascii="Calibri"/>
                <w:sz w:val="22"/>
              </w:rPr>
            </w:pPr>
            <w:r>
              <w:rPr>
                <w:rFonts w:ascii="Calibri"/>
                <w:spacing w:val="-10"/>
                <w:sz w:val="22"/>
              </w:rPr>
              <w:t>2</w:t>
            </w:r>
          </w:p>
        </w:tc>
        <w:tc>
          <w:tcPr>
            <w:tcW w:w="783" w:type="dxa"/>
          </w:tcPr>
          <w:p>
            <w:pPr>
              <w:pStyle w:val="TableParagraph"/>
              <w:spacing w:line="258" w:lineRule="exact" w:before="0"/>
              <w:ind w:left="282"/>
              <w:jc w:val="left"/>
              <w:rPr>
                <w:rFonts w:ascii="Calibri"/>
                <w:sz w:val="22"/>
              </w:rPr>
            </w:pPr>
            <w:r>
              <w:rPr>
                <w:rFonts w:ascii="Calibri"/>
                <w:spacing w:val="-4"/>
                <w:sz w:val="22"/>
              </w:rPr>
              <w:t>6.93</w:t>
            </w:r>
          </w:p>
        </w:tc>
        <w:tc>
          <w:tcPr>
            <w:tcW w:w="961" w:type="dxa"/>
          </w:tcPr>
          <w:p>
            <w:pPr>
              <w:pStyle w:val="TableParagraph"/>
              <w:spacing w:line="258" w:lineRule="exact" w:before="0"/>
              <w:ind w:left="349"/>
              <w:jc w:val="left"/>
              <w:rPr>
                <w:rFonts w:ascii="Calibri"/>
                <w:sz w:val="22"/>
              </w:rPr>
            </w:pPr>
            <w:r>
              <w:rPr>
                <w:rFonts w:ascii="Calibri"/>
                <w:spacing w:val="-2"/>
                <w:sz w:val="22"/>
              </w:rPr>
              <w:t>35.06</w:t>
            </w:r>
          </w:p>
        </w:tc>
        <w:tc>
          <w:tcPr>
            <w:tcW w:w="960" w:type="dxa"/>
          </w:tcPr>
          <w:p>
            <w:pPr>
              <w:pStyle w:val="TableParagraph"/>
              <w:spacing w:line="258" w:lineRule="exact" w:before="0"/>
              <w:ind w:left="348"/>
              <w:jc w:val="left"/>
              <w:rPr>
                <w:rFonts w:ascii="Calibri"/>
                <w:sz w:val="22"/>
              </w:rPr>
            </w:pPr>
            <w:r>
              <w:rPr>
                <w:rFonts w:ascii="Calibri"/>
                <w:spacing w:val="-2"/>
                <w:sz w:val="22"/>
              </w:rPr>
              <w:t>55.31</w:t>
            </w:r>
          </w:p>
        </w:tc>
        <w:tc>
          <w:tcPr>
            <w:tcW w:w="960" w:type="dxa"/>
          </w:tcPr>
          <w:p>
            <w:pPr>
              <w:pStyle w:val="TableParagraph"/>
              <w:spacing w:line="258" w:lineRule="exact" w:before="0"/>
              <w:ind w:left="238"/>
              <w:jc w:val="left"/>
              <w:rPr>
                <w:rFonts w:ascii="Calibri"/>
                <w:sz w:val="22"/>
              </w:rPr>
            </w:pPr>
            <w:r>
              <w:rPr>
                <w:rFonts w:ascii="Calibri"/>
                <w:spacing w:val="-2"/>
                <w:sz w:val="22"/>
              </w:rPr>
              <w:t>132.51</w:t>
            </w:r>
          </w:p>
        </w:tc>
        <w:tc>
          <w:tcPr>
            <w:tcW w:w="959" w:type="dxa"/>
          </w:tcPr>
          <w:p>
            <w:pPr>
              <w:pStyle w:val="TableParagraph"/>
              <w:spacing w:line="258" w:lineRule="exact" w:before="0"/>
              <w:ind w:right="104"/>
              <w:jc w:val="right"/>
              <w:rPr>
                <w:rFonts w:ascii="Calibri"/>
                <w:sz w:val="22"/>
              </w:rPr>
            </w:pPr>
            <w:r>
              <w:rPr>
                <w:rFonts w:ascii="Calibri"/>
                <w:spacing w:val="-2"/>
                <w:sz w:val="22"/>
              </w:rPr>
              <w:t>0.969</w:t>
            </w:r>
          </w:p>
        </w:tc>
      </w:tr>
      <w:tr>
        <w:trPr>
          <w:trHeight w:val="288" w:hRule="atLeast"/>
        </w:trPr>
        <w:tc>
          <w:tcPr>
            <w:tcW w:w="1138" w:type="dxa"/>
          </w:tcPr>
          <w:p>
            <w:pPr>
              <w:pStyle w:val="TableParagraph"/>
              <w:spacing w:line="258" w:lineRule="exact" w:before="0"/>
              <w:ind w:left="456"/>
              <w:rPr>
                <w:rFonts w:ascii="Calibri"/>
                <w:sz w:val="22"/>
              </w:rPr>
            </w:pPr>
            <w:r>
              <w:rPr>
                <w:rFonts w:ascii="Calibri"/>
                <w:spacing w:val="-10"/>
                <w:sz w:val="22"/>
              </w:rPr>
              <w:t>3</w:t>
            </w:r>
          </w:p>
        </w:tc>
        <w:tc>
          <w:tcPr>
            <w:tcW w:w="783" w:type="dxa"/>
          </w:tcPr>
          <w:p>
            <w:pPr>
              <w:pStyle w:val="TableParagraph"/>
              <w:spacing w:line="258" w:lineRule="exact" w:before="0"/>
              <w:ind w:left="282"/>
              <w:jc w:val="left"/>
              <w:rPr>
                <w:rFonts w:ascii="Calibri"/>
                <w:sz w:val="22"/>
              </w:rPr>
            </w:pPr>
            <w:r>
              <w:rPr>
                <w:rFonts w:ascii="Calibri"/>
                <w:spacing w:val="-4"/>
                <w:sz w:val="22"/>
              </w:rPr>
              <w:t>4.98</w:t>
            </w:r>
          </w:p>
        </w:tc>
        <w:tc>
          <w:tcPr>
            <w:tcW w:w="961" w:type="dxa"/>
          </w:tcPr>
          <w:p>
            <w:pPr>
              <w:pStyle w:val="TableParagraph"/>
              <w:spacing w:line="258" w:lineRule="exact" w:before="0"/>
              <w:ind w:left="349"/>
              <w:jc w:val="left"/>
              <w:rPr>
                <w:rFonts w:ascii="Calibri"/>
                <w:sz w:val="22"/>
              </w:rPr>
            </w:pPr>
            <w:r>
              <w:rPr>
                <w:rFonts w:ascii="Calibri"/>
                <w:spacing w:val="-2"/>
                <w:sz w:val="22"/>
              </w:rPr>
              <w:t>27.62</w:t>
            </w:r>
          </w:p>
        </w:tc>
        <w:tc>
          <w:tcPr>
            <w:tcW w:w="960" w:type="dxa"/>
          </w:tcPr>
          <w:p>
            <w:pPr>
              <w:pStyle w:val="TableParagraph"/>
              <w:spacing w:line="258" w:lineRule="exact" w:before="0"/>
              <w:ind w:left="348"/>
              <w:jc w:val="left"/>
              <w:rPr>
                <w:rFonts w:ascii="Calibri"/>
                <w:sz w:val="22"/>
              </w:rPr>
            </w:pPr>
            <w:r>
              <w:rPr>
                <w:rFonts w:ascii="Calibri"/>
                <w:spacing w:val="-2"/>
                <w:sz w:val="22"/>
              </w:rPr>
              <w:t>44.72</w:t>
            </w:r>
          </w:p>
        </w:tc>
        <w:tc>
          <w:tcPr>
            <w:tcW w:w="960" w:type="dxa"/>
          </w:tcPr>
          <w:p>
            <w:pPr>
              <w:pStyle w:val="TableParagraph"/>
              <w:spacing w:line="258" w:lineRule="exact" w:before="0"/>
              <w:ind w:left="238"/>
              <w:jc w:val="left"/>
              <w:rPr>
                <w:rFonts w:ascii="Calibri"/>
                <w:sz w:val="22"/>
              </w:rPr>
            </w:pPr>
            <w:r>
              <w:rPr>
                <w:rFonts w:ascii="Calibri"/>
                <w:spacing w:val="-2"/>
                <w:sz w:val="22"/>
              </w:rPr>
              <w:t>112.57</w:t>
            </w:r>
          </w:p>
        </w:tc>
        <w:tc>
          <w:tcPr>
            <w:tcW w:w="959" w:type="dxa"/>
          </w:tcPr>
          <w:p>
            <w:pPr>
              <w:pStyle w:val="TableParagraph"/>
              <w:spacing w:line="258" w:lineRule="exact" w:before="0"/>
              <w:ind w:right="104"/>
              <w:jc w:val="right"/>
              <w:rPr>
                <w:rFonts w:ascii="Calibri"/>
                <w:sz w:val="22"/>
              </w:rPr>
            </w:pPr>
            <w:r>
              <w:rPr>
                <w:rFonts w:ascii="Calibri"/>
                <w:spacing w:val="-2"/>
                <w:sz w:val="22"/>
              </w:rPr>
              <w:t>0.994</w:t>
            </w:r>
          </w:p>
        </w:tc>
      </w:tr>
      <w:tr>
        <w:trPr>
          <w:trHeight w:val="287" w:hRule="atLeast"/>
        </w:trPr>
        <w:tc>
          <w:tcPr>
            <w:tcW w:w="1138" w:type="dxa"/>
          </w:tcPr>
          <w:p>
            <w:pPr>
              <w:pStyle w:val="TableParagraph"/>
              <w:spacing w:line="258" w:lineRule="exact" w:before="0"/>
              <w:ind w:left="456"/>
              <w:rPr>
                <w:rFonts w:ascii="Calibri"/>
                <w:sz w:val="22"/>
              </w:rPr>
            </w:pPr>
            <w:r>
              <w:rPr>
                <w:rFonts w:ascii="Calibri"/>
                <w:spacing w:val="-10"/>
                <w:sz w:val="22"/>
              </w:rPr>
              <w:t>4</w:t>
            </w:r>
          </w:p>
        </w:tc>
        <w:tc>
          <w:tcPr>
            <w:tcW w:w="783" w:type="dxa"/>
          </w:tcPr>
          <w:p>
            <w:pPr>
              <w:pStyle w:val="TableParagraph"/>
              <w:spacing w:line="258" w:lineRule="exact" w:before="0"/>
              <w:ind w:left="282"/>
              <w:jc w:val="left"/>
              <w:rPr>
                <w:rFonts w:ascii="Calibri"/>
                <w:sz w:val="22"/>
              </w:rPr>
            </w:pPr>
            <w:r>
              <w:rPr>
                <w:rFonts w:ascii="Calibri"/>
                <w:spacing w:val="-4"/>
                <w:sz w:val="22"/>
              </w:rPr>
              <w:t>3.70</w:t>
            </w:r>
          </w:p>
        </w:tc>
        <w:tc>
          <w:tcPr>
            <w:tcW w:w="961" w:type="dxa"/>
          </w:tcPr>
          <w:p>
            <w:pPr>
              <w:pStyle w:val="TableParagraph"/>
              <w:spacing w:line="258" w:lineRule="exact" w:before="0"/>
              <w:ind w:left="349"/>
              <w:jc w:val="left"/>
              <w:rPr>
                <w:rFonts w:ascii="Calibri"/>
                <w:sz w:val="22"/>
              </w:rPr>
            </w:pPr>
            <w:r>
              <w:rPr>
                <w:rFonts w:ascii="Calibri"/>
                <w:spacing w:val="-2"/>
                <w:sz w:val="22"/>
              </w:rPr>
              <w:t>16.96</w:t>
            </w:r>
          </w:p>
        </w:tc>
        <w:tc>
          <w:tcPr>
            <w:tcW w:w="960" w:type="dxa"/>
          </w:tcPr>
          <w:p>
            <w:pPr>
              <w:pStyle w:val="TableParagraph"/>
              <w:spacing w:line="258" w:lineRule="exact" w:before="0"/>
              <w:ind w:left="348"/>
              <w:jc w:val="left"/>
              <w:rPr>
                <w:rFonts w:ascii="Calibri"/>
                <w:sz w:val="22"/>
              </w:rPr>
            </w:pPr>
            <w:r>
              <w:rPr>
                <w:rFonts w:ascii="Calibri"/>
                <w:spacing w:val="-2"/>
                <w:sz w:val="22"/>
              </w:rPr>
              <w:t>26.02</w:t>
            </w:r>
          </w:p>
        </w:tc>
        <w:tc>
          <w:tcPr>
            <w:tcW w:w="960" w:type="dxa"/>
          </w:tcPr>
          <w:p>
            <w:pPr>
              <w:pStyle w:val="TableParagraph"/>
              <w:spacing w:line="258" w:lineRule="exact" w:before="0"/>
              <w:ind w:left="348"/>
              <w:jc w:val="left"/>
              <w:rPr>
                <w:rFonts w:ascii="Calibri"/>
                <w:sz w:val="22"/>
              </w:rPr>
            </w:pPr>
            <w:r>
              <w:rPr>
                <w:rFonts w:ascii="Calibri"/>
                <w:spacing w:val="-2"/>
                <w:sz w:val="22"/>
              </w:rPr>
              <w:t>59.10</w:t>
            </w:r>
          </w:p>
        </w:tc>
        <w:tc>
          <w:tcPr>
            <w:tcW w:w="959" w:type="dxa"/>
          </w:tcPr>
          <w:p>
            <w:pPr>
              <w:pStyle w:val="TableParagraph"/>
              <w:spacing w:line="258" w:lineRule="exact" w:before="0"/>
              <w:ind w:right="104"/>
              <w:jc w:val="right"/>
              <w:rPr>
                <w:rFonts w:ascii="Calibri"/>
                <w:sz w:val="22"/>
              </w:rPr>
            </w:pPr>
            <w:r>
              <w:rPr>
                <w:rFonts w:ascii="Calibri"/>
                <w:spacing w:val="-2"/>
                <w:sz w:val="22"/>
              </w:rPr>
              <w:t>1.000</w:t>
            </w:r>
          </w:p>
        </w:tc>
      </w:tr>
      <w:tr>
        <w:trPr>
          <w:trHeight w:val="288" w:hRule="atLeast"/>
        </w:trPr>
        <w:tc>
          <w:tcPr>
            <w:tcW w:w="1138" w:type="dxa"/>
          </w:tcPr>
          <w:p>
            <w:pPr>
              <w:pStyle w:val="TableParagraph"/>
              <w:spacing w:line="258" w:lineRule="exact" w:before="0"/>
              <w:ind w:left="456"/>
              <w:rPr>
                <w:rFonts w:ascii="Calibri"/>
                <w:sz w:val="22"/>
              </w:rPr>
            </w:pPr>
            <w:r>
              <w:rPr>
                <w:rFonts w:ascii="Calibri"/>
                <w:spacing w:val="-10"/>
                <w:sz w:val="22"/>
              </w:rPr>
              <w:t>5</w:t>
            </w:r>
          </w:p>
        </w:tc>
        <w:tc>
          <w:tcPr>
            <w:tcW w:w="783" w:type="dxa"/>
          </w:tcPr>
          <w:p>
            <w:pPr>
              <w:pStyle w:val="TableParagraph"/>
              <w:spacing w:line="258" w:lineRule="exact" w:before="0"/>
              <w:ind w:left="282"/>
              <w:jc w:val="left"/>
              <w:rPr>
                <w:rFonts w:ascii="Calibri"/>
                <w:sz w:val="22"/>
              </w:rPr>
            </w:pPr>
            <w:r>
              <w:rPr>
                <w:rFonts w:ascii="Calibri"/>
                <w:spacing w:val="-4"/>
                <w:sz w:val="22"/>
              </w:rPr>
              <w:t>5.48</w:t>
            </w:r>
          </w:p>
        </w:tc>
        <w:tc>
          <w:tcPr>
            <w:tcW w:w="961" w:type="dxa"/>
          </w:tcPr>
          <w:p>
            <w:pPr>
              <w:pStyle w:val="TableParagraph"/>
              <w:spacing w:line="258" w:lineRule="exact" w:before="0"/>
              <w:ind w:left="349"/>
              <w:jc w:val="left"/>
              <w:rPr>
                <w:rFonts w:ascii="Calibri"/>
                <w:sz w:val="22"/>
              </w:rPr>
            </w:pPr>
            <w:r>
              <w:rPr>
                <w:rFonts w:ascii="Calibri"/>
                <w:spacing w:val="-2"/>
                <w:sz w:val="22"/>
              </w:rPr>
              <w:t>30.89</w:t>
            </w:r>
          </w:p>
        </w:tc>
        <w:tc>
          <w:tcPr>
            <w:tcW w:w="960" w:type="dxa"/>
          </w:tcPr>
          <w:p>
            <w:pPr>
              <w:pStyle w:val="TableParagraph"/>
              <w:spacing w:line="258" w:lineRule="exact" w:before="0"/>
              <w:ind w:left="348"/>
              <w:jc w:val="left"/>
              <w:rPr>
                <w:rFonts w:ascii="Calibri"/>
                <w:sz w:val="22"/>
              </w:rPr>
            </w:pPr>
            <w:r>
              <w:rPr>
                <w:rFonts w:ascii="Calibri"/>
                <w:spacing w:val="-2"/>
                <w:sz w:val="22"/>
              </w:rPr>
              <w:t>50.25</w:t>
            </w:r>
          </w:p>
        </w:tc>
        <w:tc>
          <w:tcPr>
            <w:tcW w:w="960" w:type="dxa"/>
          </w:tcPr>
          <w:p>
            <w:pPr>
              <w:pStyle w:val="TableParagraph"/>
              <w:spacing w:line="258" w:lineRule="exact" w:before="0"/>
              <w:ind w:left="238"/>
              <w:jc w:val="left"/>
              <w:rPr>
                <w:rFonts w:ascii="Calibri"/>
                <w:sz w:val="22"/>
              </w:rPr>
            </w:pPr>
            <w:r>
              <w:rPr>
                <w:rFonts w:ascii="Calibri"/>
                <w:spacing w:val="-2"/>
                <w:sz w:val="22"/>
              </w:rPr>
              <w:t>127.66</w:t>
            </w:r>
          </w:p>
        </w:tc>
        <w:tc>
          <w:tcPr>
            <w:tcW w:w="959" w:type="dxa"/>
          </w:tcPr>
          <w:p>
            <w:pPr>
              <w:pStyle w:val="TableParagraph"/>
              <w:spacing w:line="258" w:lineRule="exact" w:before="0"/>
              <w:ind w:right="104"/>
              <w:jc w:val="right"/>
              <w:rPr>
                <w:rFonts w:ascii="Calibri"/>
                <w:sz w:val="22"/>
              </w:rPr>
            </w:pPr>
            <w:r>
              <w:rPr>
                <w:rFonts w:ascii="Calibri"/>
                <w:spacing w:val="-2"/>
                <w:sz w:val="22"/>
              </w:rPr>
              <w:t>0.995</w:t>
            </w:r>
          </w:p>
        </w:tc>
      </w:tr>
      <w:tr>
        <w:trPr>
          <w:trHeight w:val="288" w:hRule="atLeast"/>
        </w:trPr>
        <w:tc>
          <w:tcPr>
            <w:tcW w:w="1138" w:type="dxa"/>
          </w:tcPr>
          <w:p>
            <w:pPr>
              <w:pStyle w:val="TableParagraph"/>
              <w:spacing w:line="258" w:lineRule="exact" w:before="0"/>
              <w:ind w:left="456"/>
              <w:rPr>
                <w:rFonts w:ascii="Calibri"/>
                <w:sz w:val="22"/>
              </w:rPr>
            </w:pPr>
            <w:r>
              <w:rPr>
                <w:rFonts w:ascii="Calibri"/>
                <w:spacing w:val="-10"/>
                <w:sz w:val="22"/>
              </w:rPr>
              <w:t>6</w:t>
            </w:r>
          </w:p>
        </w:tc>
        <w:tc>
          <w:tcPr>
            <w:tcW w:w="783" w:type="dxa"/>
          </w:tcPr>
          <w:p>
            <w:pPr>
              <w:pStyle w:val="TableParagraph"/>
              <w:spacing w:line="258" w:lineRule="exact" w:before="0"/>
              <w:ind w:left="282"/>
              <w:jc w:val="left"/>
              <w:rPr>
                <w:rFonts w:ascii="Calibri"/>
                <w:sz w:val="22"/>
              </w:rPr>
            </w:pPr>
            <w:r>
              <w:rPr>
                <w:rFonts w:ascii="Calibri"/>
                <w:spacing w:val="-4"/>
                <w:sz w:val="22"/>
              </w:rPr>
              <w:t>5.27</w:t>
            </w:r>
          </w:p>
        </w:tc>
        <w:tc>
          <w:tcPr>
            <w:tcW w:w="961" w:type="dxa"/>
          </w:tcPr>
          <w:p>
            <w:pPr>
              <w:pStyle w:val="TableParagraph"/>
              <w:spacing w:line="258" w:lineRule="exact" w:before="0"/>
              <w:ind w:left="349"/>
              <w:jc w:val="left"/>
              <w:rPr>
                <w:rFonts w:ascii="Calibri"/>
                <w:sz w:val="22"/>
              </w:rPr>
            </w:pPr>
            <w:r>
              <w:rPr>
                <w:rFonts w:ascii="Calibri"/>
                <w:spacing w:val="-2"/>
                <w:sz w:val="22"/>
              </w:rPr>
              <w:t>32.78</w:t>
            </w:r>
          </w:p>
        </w:tc>
        <w:tc>
          <w:tcPr>
            <w:tcW w:w="960" w:type="dxa"/>
          </w:tcPr>
          <w:p>
            <w:pPr>
              <w:pStyle w:val="TableParagraph"/>
              <w:spacing w:line="258" w:lineRule="exact" w:before="0"/>
              <w:ind w:left="348"/>
              <w:jc w:val="left"/>
              <w:rPr>
                <w:rFonts w:ascii="Calibri"/>
                <w:sz w:val="22"/>
              </w:rPr>
            </w:pPr>
            <w:r>
              <w:rPr>
                <w:rFonts w:ascii="Calibri"/>
                <w:spacing w:val="-2"/>
                <w:sz w:val="22"/>
              </w:rPr>
              <w:t>54.81</w:t>
            </w:r>
          </w:p>
        </w:tc>
        <w:tc>
          <w:tcPr>
            <w:tcW w:w="960" w:type="dxa"/>
          </w:tcPr>
          <w:p>
            <w:pPr>
              <w:pStyle w:val="TableParagraph"/>
              <w:spacing w:line="258" w:lineRule="exact" w:before="0"/>
              <w:ind w:left="238"/>
              <w:jc w:val="left"/>
              <w:rPr>
                <w:rFonts w:ascii="Calibri"/>
                <w:sz w:val="22"/>
              </w:rPr>
            </w:pPr>
            <w:r>
              <w:rPr>
                <w:rFonts w:ascii="Calibri"/>
                <w:spacing w:val="-2"/>
                <w:sz w:val="22"/>
              </w:rPr>
              <w:t>146.81</w:t>
            </w:r>
          </w:p>
        </w:tc>
        <w:tc>
          <w:tcPr>
            <w:tcW w:w="959" w:type="dxa"/>
          </w:tcPr>
          <w:p>
            <w:pPr>
              <w:pStyle w:val="TableParagraph"/>
              <w:spacing w:line="258" w:lineRule="exact" w:before="0"/>
              <w:ind w:right="104"/>
              <w:jc w:val="right"/>
              <w:rPr>
                <w:rFonts w:ascii="Calibri"/>
                <w:sz w:val="22"/>
              </w:rPr>
            </w:pPr>
            <w:r>
              <w:rPr>
                <w:rFonts w:ascii="Calibri"/>
                <w:spacing w:val="-2"/>
                <w:sz w:val="22"/>
              </w:rPr>
              <w:t>0.983</w:t>
            </w:r>
          </w:p>
        </w:tc>
      </w:tr>
      <w:tr>
        <w:trPr>
          <w:trHeight w:val="287" w:hRule="atLeast"/>
        </w:trPr>
        <w:tc>
          <w:tcPr>
            <w:tcW w:w="1138" w:type="dxa"/>
          </w:tcPr>
          <w:p>
            <w:pPr>
              <w:pStyle w:val="TableParagraph"/>
              <w:spacing w:line="258" w:lineRule="exact" w:before="0"/>
              <w:ind w:left="456"/>
              <w:rPr>
                <w:rFonts w:ascii="Calibri"/>
                <w:sz w:val="22"/>
              </w:rPr>
            </w:pPr>
            <w:r>
              <w:rPr>
                <w:rFonts w:ascii="Calibri"/>
                <w:spacing w:val="-10"/>
                <w:sz w:val="22"/>
              </w:rPr>
              <w:t>7</w:t>
            </w:r>
          </w:p>
        </w:tc>
        <w:tc>
          <w:tcPr>
            <w:tcW w:w="783" w:type="dxa"/>
          </w:tcPr>
          <w:p>
            <w:pPr>
              <w:pStyle w:val="TableParagraph"/>
              <w:spacing w:line="258" w:lineRule="exact" w:before="0"/>
              <w:ind w:left="282"/>
              <w:jc w:val="left"/>
              <w:rPr>
                <w:rFonts w:ascii="Calibri"/>
                <w:sz w:val="22"/>
              </w:rPr>
            </w:pPr>
            <w:r>
              <w:rPr>
                <w:rFonts w:ascii="Calibri"/>
                <w:spacing w:val="-4"/>
                <w:sz w:val="22"/>
              </w:rPr>
              <w:t>5.27</w:t>
            </w:r>
          </w:p>
        </w:tc>
        <w:tc>
          <w:tcPr>
            <w:tcW w:w="961" w:type="dxa"/>
          </w:tcPr>
          <w:p>
            <w:pPr>
              <w:pStyle w:val="TableParagraph"/>
              <w:spacing w:line="258" w:lineRule="exact" w:before="0"/>
              <w:ind w:left="349"/>
              <w:jc w:val="left"/>
              <w:rPr>
                <w:rFonts w:ascii="Calibri"/>
                <w:sz w:val="22"/>
              </w:rPr>
            </w:pPr>
            <w:r>
              <w:rPr>
                <w:rFonts w:ascii="Calibri"/>
                <w:spacing w:val="-2"/>
                <w:sz w:val="22"/>
              </w:rPr>
              <w:t>60.01</w:t>
            </w:r>
          </w:p>
        </w:tc>
        <w:tc>
          <w:tcPr>
            <w:tcW w:w="960" w:type="dxa"/>
          </w:tcPr>
          <w:p>
            <w:pPr>
              <w:pStyle w:val="TableParagraph"/>
              <w:spacing w:line="258" w:lineRule="exact" w:before="0"/>
              <w:ind w:left="238"/>
              <w:jc w:val="left"/>
              <w:rPr>
                <w:rFonts w:ascii="Calibri"/>
                <w:sz w:val="22"/>
              </w:rPr>
            </w:pPr>
            <w:r>
              <w:rPr>
                <w:rFonts w:ascii="Calibri"/>
                <w:spacing w:val="-2"/>
                <w:sz w:val="22"/>
              </w:rPr>
              <w:t>118.92</w:t>
            </w:r>
          </w:p>
        </w:tc>
        <w:tc>
          <w:tcPr>
            <w:tcW w:w="960" w:type="dxa"/>
          </w:tcPr>
          <w:p>
            <w:pPr>
              <w:pStyle w:val="TableParagraph"/>
              <w:spacing w:line="258" w:lineRule="exact" w:before="0"/>
              <w:ind w:left="238"/>
              <w:jc w:val="left"/>
              <w:rPr>
                <w:rFonts w:ascii="Calibri"/>
                <w:sz w:val="22"/>
              </w:rPr>
            </w:pPr>
            <w:r>
              <w:rPr>
                <w:rFonts w:ascii="Calibri"/>
                <w:spacing w:val="-2"/>
                <w:sz w:val="22"/>
              </w:rPr>
              <w:t>441.12</w:t>
            </w:r>
          </w:p>
        </w:tc>
        <w:tc>
          <w:tcPr>
            <w:tcW w:w="959" w:type="dxa"/>
          </w:tcPr>
          <w:p>
            <w:pPr>
              <w:pStyle w:val="TableParagraph"/>
              <w:spacing w:line="258" w:lineRule="exact" w:before="0"/>
              <w:ind w:right="104"/>
              <w:jc w:val="right"/>
              <w:rPr>
                <w:rFonts w:ascii="Calibri"/>
                <w:sz w:val="22"/>
              </w:rPr>
            </w:pPr>
            <w:r>
              <w:rPr>
                <w:rFonts w:ascii="Calibri"/>
                <w:spacing w:val="-2"/>
                <w:sz w:val="22"/>
              </w:rPr>
              <w:t>0.975</w:t>
            </w:r>
          </w:p>
        </w:tc>
      </w:tr>
      <w:tr>
        <w:trPr>
          <w:trHeight w:val="288" w:hRule="atLeast"/>
        </w:trPr>
        <w:tc>
          <w:tcPr>
            <w:tcW w:w="1138" w:type="dxa"/>
          </w:tcPr>
          <w:p>
            <w:pPr>
              <w:pStyle w:val="TableParagraph"/>
              <w:spacing w:line="258" w:lineRule="exact" w:before="0"/>
              <w:ind w:left="456"/>
              <w:rPr>
                <w:rFonts w:ascii="Calibri"/>
                <w:sz w:val="22"/>
              </w:rPr>
            </w:pPr>
            <w:r>
              <w:rPr>
                <w:rFonts w:ascii="Calibri"/>
                <w:spacing w:val="-10"/>
                <w:sz w:val="22"/>
              </w:rPr>
              <w:t>8</w:t>
            </w:r>
          </w:p>
        </w:tc>
        <w:tc>
          <w:tcPr>
            <w:tcW w:w="783" w:type="dxa"/>
          </w:tcPr>
          <w:p>
            <w:pPr>
              <w:pStyle w:val="TableParagraph"/>
              <w:spacing w:line="258" w:lineRule="exact" w:before="0"/>
              <w:ind w:left="282"/>
              <w:jc w:val="left"/>
              <w:rPr>
                <w:rFonts w:ascii="Calibri"/>
                <w:sz w:val="22"/>
              </w:rPr>
            </w:pPr>
            <w:r>
              <w:rPr>
                <w:rFonts w:ascii="Calibri"/>
                <w:spacing w:val="-4"/>
                <w:sz w:val="22"/>
              </w:rPr>
              <w:t>7.50</w:t>
            </w:r>
          </w:p>
        </w:tc>
        <w:tc>
          <w:tcPr>
            <w:tcW w:w="961" w:type="dxa"/>
          </w:tcPr>
          <w:p>
            <w:pPr>
              <w:pStyle w:val="TableParagraph"/>
              <w:spacing w:line="258" w:lineRule="exact" w:before="0"/>
              <w:ind w:left="349"/>
              <w:jc w:val="left"/>
              <w:rPr>
                <w:rFonts w:ascii="Calibri"/>
                <w:sz w:val="22"/>
              </w:rPr>
            </w:pPr>
            <w:r>
              <w:rPr>
                <w:rFonts w:ascii="Calibri"/>
                <w:spacing w:val="-2"/>
                <w:sz w:val="22"/>
              </w:rPr>
              <w:t>77.62</w:t>
            </w:r>
          </w:p>
        </w:tc>
        <w:tc>
          <w:tcPr>
            <w:tcW w:w="960" w:type="dxa"/>
          </w:tcPr>
          <w:p>
            <w:pPr>
              <w:pStyle w:val="TableParagraph"/>
              <w:spacing w:line="258" w:lineRule="exact" w:before="0"/>
              <w:ind w:left="238"/>
              <w:jc w:val="left"/>
              <w:rPr>
                <w:rFonts w:ascii="Calibri"/>
                <w:sz w:val="22"/>
              </w:rPr>
            </w:pPr>
            <w:r>
              <w:rPr>
                <w:rFonts w:ascii="Calibri"/>
                <w:spacing w:val="-2"/>
                <w:sz w:val="22"/>
              </w:rPr>
              <w:t>149.75</w:t>
            </w:r>
          </w:p>
        </w:tc>
        <w:tc>
          <w:tcPr>
            <w:tcW w:w="960" w:type="dxa"/>
          </w:tcPr>
          <w:p>
            <w:pPr>
              <w:pStyle w:val="TableParagraph"/>
              <w:spacing w:line="258" w:lineRule="exact" w:before="0"/>
              <w:ind w:left="238"/>
              <w:jc w:val="left"/>
              <w:rPr>
                <w:rFonts w:ascii="Calibri"/>
                <w:sz w:val="22"/>
              </w:rPr>
            </w:pPr>
            <w:r>
              <w:rPr>
                <w:rFonts w:ascii="Calibri"/>
                <w:spacing w:val="-2"/>
                <w:sz w:val="22"/>
              </w:rPr>
              <w:t>527.68</w:t>
            </w:r>
          </w:p>
        </w:tc>
        <w:tc>
          <w:tcPr>
            <w:tcW w:w="959" w:type="dxa"/>
          </w:tcPr>
          <w:p>
            <w:pPr>
              <w:pStyle w:val="TableParagraph"/>
              <w:spacing w:line="258" w:lineRule="exact" w:before="0"/>
              <w:ind w:right="104"/>
              <w:jc w:val="right"/>
              <w:rPr>
                <w:rFonts w:ascii="Calibri"/>
                <w:sz w:val="22"/>
              </w:rPr>
            </w:pPr>
            <w:r>
              <w:rPr>
                <w:rFonts w:ascii="Calibri"/>
                <w:spacing w:val="-2"/>
                <w:sz w:val="22"/>
              </w:rPr>
              <w:t>0.988</w:t>
            </w:r>
          </w:p>
        </w:tc>
      </w:tr>
      <w:tr>
        <w:trPr>
          <w:trHeight w:val="288" w:hRule="atLeast"/>
        </w:trPr>
        <w:tc>
          <w:tcPr>
            <w:tcW w:w="1138" w:type="dxa"/>
          </w:tcPr>
          <w:p>
            <w:pPr>
              <w:pStyle w:val="TableParagraph"/>
              <w:spacing w:line="259" w:lineRule="exact" w:before="0"/>
              <w:ind w:left="456"/>
              <w:rPr>
                <w:rFonts w:ascii="Calibri"/>
                <w:sz w:val="22"/>
              </w:rPr>
            </w:pPr>
            <w:r>
              <w:rPr>
                <w:rFonts w:ascii="Calibri"/>
                <w:spacing w:val="-10"/>
                <w:sz w:val="22"/>
              </w:rPr>
              <w:t>9</w:t>
            </w:r>
          </w:p>
        </w:tc>
        <w:tc>
          <w:tcPr>
            <w:tcW w:w="783" w:type="dxa"/>
          </w:tcPr>
          <w:p>
            <w:pPr>
              <w:pStyle w:val="TableParagraph"/>
              <w:spacing w:line="259" w:lineRule="exact" w:before="0"/>
              <w:ind w:left="282"/>
              <w:jc w:val="left"/>
              <w:rPr>
                <w:rFonts w:ascii="Calibri"/>
                <w:sz w:val="22"/>
              </w:rPr>
            </w:pPr>
            <w:r>
              <w:rPr>
                <w:rFonts w:ascii="Calibri"/>
                <w:spacing w:val="-4"/>
                <w:sz w:val="22"/>
              </w:rPr>
              <w:t>4.65</w:t>
            </w:r>
          </w:p>
        </w:tc>
        <w:tc>
          <w:tcPr>
            <w:tcW w:w="961" w:type="dxa"/>
          </w:tcPr>
          <w:p>
            <w:pPr>
              <w:pStyle w:val="TableParagraph"/>
              <w:spacing w:line="259" w:lineRule="exact" w:before="0"/>
              <w:ind w:left="349"/>
              <w:jc w:val="left"/>
              <w:rPr>
                <w:rFonts w:ascii="Calibri"/>
                <w:sz w:val="22"/>
              </w:rPr>
            </w:pPr>
            <w:r>
              <w:rPr>
                <w:rFonts w:ascii="Calibri"/>
                <w:spacing w:val="-2"/>
                <w:sz w:val="22"/>
              </w:rPr>
              <w:t>28.95</w:t>
            </w:r>
          </w:p>
        </w:tc>
        <w:tc>
          <w:tcPr>
            <w:tcW w:w="960" w:type="dxa"/>
          </w:tcPr>
          <w:p>
            <w:pPr>
              <w:pStyle w:val="TableParagraph"/>
              <w:spacing w:line="259" w:lineRule="exact" w:before="0"/>
              <w:ind w:left="348"/>
              <w:jc w:val="left"/>
              <w:rPr>
                <w:rFonts w:ascii="Calibri"/>
                <w:sz w:val="22"/>
              </w:rPr>
            </w:pPr>
            <w:r>
              <w:rPr>
                <w:rFonts w:ascii="Calibri"/>
                <w:spacing w:val="-2"/>
                <w:sz w:val="22"/>
              </w:rPr>
              <w:t>48.43</w:t>
            </w:r>
          </w:p>
        </w:tc>
        <w:tc>
          <w:tcPr>
            <w:tcW w:w="960" w:type="dxa"/>
          </w:tcPr>
          <w:p>
            <w:pPr>
              <w:pStyle w:val="TableParagraph"/>
              <w:spacing w:line="259" w:lineRule="exact" w:before="0"/>
              <w:ind w:left="238"/>
              <w:jc w:val="left"/>
              <w:rPr>
                <w:rFonts w:ascii="Calibri"/>
                <w:sz w:val="22"/>
              </w:rPr>
            </w:pPr>
            <w:r>
              <w:rPr>
                <w:rFonts w:ascii="Calibri"/>
                <w:spacing w:val="-2"/>
                <w:sz w:val="22"/>
              </w:rPr>
              <w:t>129.84</w:t>
            </w:r>
          </w:p>
        </w:tc>
        <w:tc>
          <w:tcPr>
            <w:tcW w:w="959" w:type="dxa"/>
          </w:tcPr>
          <w:p>
            <w:pPr>
              <w:pStyle w:val="TableParagraph"/>
              <w:spacing w:line="259" w:lineRule="exact" w:before="0"/>
              <w:ind w:right="104"/>
              <w:jc w:val="right"/>
              <w:rPr>
                <w:rFonts w:ascii="Calibri"/>
                <w:sz w:val="22"/>
              </w:rPr>
            </w:pPr>
            <w:r>
              <w:rPr>
                <w:rFonts w:ascii="Calibri"/>
                <w:spacing w:val="-2"/>
                <w:sz w:val="22"/>
              </w:rPr>
              <w:t>0.957</w:t>
            </w:r>
          </w:p>
        </w:tc>
      </w:tr>
      <w:tr>
        <w:trPr>
          <w:trHeight w:val="287" w:hRule="atLeast"/>
        </w:trPr>
        <w:tc>
          <w:tcPr>
            <w:tcW w:w="1138" w:type="dxa"/>
          </w:tcPr>
          <w:p>
            <w:pPr>
              <w:pStyle w:val="TableParagraph"/>
              <w:spacing w:line="258" w:lineRule="exact" w:before="0"/>
              <w:ind w:left="345"/>
              <w:rPr>
                <w:rFonts w:ascii="Calibri"/>
                <w:sz w:val="22"/>
              </w:rPr>
            </w:pPr>
            <w:r>
              <w:rPr>
                <w:rFonts w:ascii="Calibri"/>
                <w:spacing w:val="-5"/>
                <w:sz w:val="22"/>
              </w:rPr>
              <w:t>10</w:t>
            </w:r>
          </w:p>
        </w:tc>
        <w:tc>
          <w:tcPr>
            <w:tcW w:w="783" w:type="dxa"/>
          </w:tcPr>
          <w:p>
            <w:pPr>
              <w:pStyle w:val="TableParagraph"/>
              <w:spacing w:line="258" w:lineRule="exact" w:before="0"/>
              <w:ind w:left="282"/>
              <w:jc w:val="left"/>
              <w:rPr>
                <w:rFonts w:ascii="Calibri"/>
                <w:sz w:val="22"/>
              </w:rPr>
            </w:pPr>
            <w:r>
              <w:rPr>
                <w:rFonts w:ascii="Calibri"/>
                <w:spacing w:val="-4"/>
                <w:sz w:val="22"/>
              </w:rPr>
              <w:t>7.34</w:t>
            </w:r>
          </w:p>
        </w:tc>
        <w:tc>
          <w:tcPr>
            <w:tcW w:w="961" w:type="dxa"/>
          </w:tcPr>
          <w:p>
            <w:pPr>
              <w:pStyle w:val="TableParagraph"/>
              <w:spacing w:line="258" w:lineRule="exact" w:before="0"/>
              <w:ind w:left="349"/>
              <w:jc w:val="left"/>
              <w:rPr>
                <w:rFonts w:ascii="Calibri"/>
                <w:sz w:val="22"/>
              </w:rPr>
            </w:pPr>
            <w:r>
              <w:rPr>
                <w:rFonts w:ascii="Calibri"/>
                <w:spacing w:val="-2"/>
                <w:sz w:val="22"/>
              </w:rPr>
              <w:t>39.65</w:t>
            </w:r>
          </w:p>
        </w:tc>
        <w:tc>
          <w:tcPr>
            <w:tcW w:w="960" w:type="dxa"/>
          </w:tcPr>
          <w:p>
            <w:pPr>
              <w:pStyle w:val="TableParagraph"/>
              <w:spacing w:line="258" w:lineRule="exact" w:before="0"/>
              <w:ind w:left="348"/>
              <w:jc w:val="left"/>
              <w:rPr>
                <w:rFonts w:ascii="Calibri"/>
                <w:sz w:val="22"/>
              </w:rPr>
            </w:pPr>
            <w:r>
              <w:rPr>
                <w:rFonts w:ascii="Calibri"/>
                <w:spacing w:val="-2"/>
                <w:sz w:val="22"/>
              </w:rPr>
              <w:t>63.72</w:t>
            </w:r>
          </w:p>
        </w:tc>
        <w:tc>
          <w:tcPr>
            <w:tcW w:w="960" w:type="dxa"/>
          </w:tcPr>
          <w:p>
            <w:pPr>
              <w:pStyle w:val="TableParagraph"/>
              <w:spacing w:line="258" w:lineRule="exact" w:before="0"/>
              <w:ind w:left="238"/>
              <w:jc w:val="left"/>
              <w:rPr>
                <w:rFonts w:ascii="Calibri"/>
                <w:sz w:val="22"/>
              </w:rPr>
            </w:pPr>
            <w:r>
              <w:rPr>
                <w:rFonts w:ascii="Calibri"/>
                <w:spacing w:val="-2"/>
                <w:sz w:val="22"/>
              </w:rPr>
              <w:t>158.18</w:t>
            </w:r>
          </w:p>
        </w:tc>
        <w:tc>
          <w:tcPr>
            <w:tcW w:w="959" w:type="dxa"/>
          </w:tcPr>
          <w:p>
            <w:pPr>
              <w:pStyle w:val="TableParagraph"/>
              <w:spacing w:line="258" w:lineRule="exact" w:before="0"/>
              <w:ind w:right="104"/>
              <w:jc w:val="right"/>
              <w:rPr>
                <w:rFonts w:ascii="Calibri"/>
                <w:sz w:val="22"/>
              </w:rPr>
            </w:pPr>
            <w:r>
              <w:rPr>
                <w:rFonts w:ascii="Calibri"/>
                <w:spacing w:val="-2"/>
                <w:sz w:val="22"/>
              </w:rPr>
              <w:t>0.997</w:t>
            </w:r>
          </w:p>
        </w:tc>
      </w:tr>
      <w:tr>
        <w:trPr>
          <w:trHeight w:val="288" w:hRule="atLeast"/>
        </w:trPr>
        <w:tc>
          <w:tcPr>
            <w:tcW w:w="1138" w:type="dxa"/>
          </w:tcPr>
          <w:p>
            <w:pPr>
              <w:pStyle w:val="TableParagraph"/>
              <w:spacing w:line="258" w:lineRule="exact" w:before="0"/>
              <w:ind w:left="345"/>
              <w:rPr>
                <w:rFonts w:ascii="Calibri"/>
                <w:sz w:val="22"/>
              </w:rPr>
            </w:pPr>
            <w:r>
              <w:rPr>
                <w:rFonts w:ascii="Calibri"/>
                <w:spacing w:val="-5"/>
                <w:sz w:val="22"/>
              </w:rPr>
              <w:t>11</w:t>
            </w:r>
          </w:p>
        </w:tc>
        <w:tc>
          <w:tcPr>
            <w:tcW w:w="783" w:type="dxa"/>
          </w:tcPr>
          <w:p>
            <w:pPr>
              <w:pStyle w:val="TableParagraph"/>
              <w:spacing w:line="258" w:lineRule="exact" w:before="0"/>
              <w:ind w:left="282"/>
              <w:jc w:val="left"/>
              <w:rPr>
                <w:rFonts w:ascii="Calibri"/>
                <w:sz w:val="22"/>
              </w:rPr>
            </w:pPr>
            <w:r>
              <w:rPr>
                <w:rFonts w:ascii="Calibri"/>
                <w:spacing w:val="-4"/>
                <w:sz w:val="22"/>
              </w:rPr>
              <w:t>4.60</w:t>
            </w:r>
          </w:p>
        </w:tc>
        <w:tc>
          <w:tcPr>
            <w:tcW w:w="961" w:type="dxa"/>
          </w:tcPr>
          <w:p>
            <w:pPr>
              <w:pStyle w:val="TableParagraph"/>
              <w:spacing w:line="258" w:lineRule="exact" w:before="0"/>
              <w:ind w:left="349"/>
              <w:jc w:val="left"/>
              <w:rPr>
                <w:rFonts w:ascii="Calibri"/>
                <w:sz w:val="22"/>
              </w:rPr>
            </w:pPr>
            <w:r>
              <w:rPr>
                <w:rFonts w:ascii="Calibri"/>
                <w:spacing w:val="-2"/>
                <w:sz w:val="22"/>
              </w:rPr>
              <w:t>28.78</w:t>
            </w:r>
          </w:p>
        </w:tc>
        <w:tc>
          <w:tcPr>
            <w:tcW w:w="960" w:type="dxa"/>
          </w:tcPr>
          <w:p>
            <w:pPr>
              <w:pStyle w:val="TableParagraph"/>
              <w:spacing w:line="258" w:lineRule="exact" w:before="0"/>
              <w:ind w:left="348"/>
              <w:jc w:val="left"/>
              <w:rPr>
                <w:rFonts w:ascii="Calibri"/>
                <w:sz w:val="22"/>
              </w:rPr>
            </w:pPr>
            <w:r>
              <w:rPr>
                <w:rFonts w:ascii="Calibri"/>
                <w:spacing w:val="-2"/>
                <w:sz w:val="22"/>
              </w:rPr>
              <w:t>48.20</w:t>
            </w:r>
          </w:p>
        </w:tc>
        <w:tc>
          <w:tcPr>
            <w:tcW w:w="960" w:type="dxa"/>
          </w:tcPr>
          <w:p>
            <w:pPr>
              <w:pStyle w:val="TableParagraph"/>
              <w:spacing w:line="258" w:lineRule="exact" w:before="0"/>
              <w:ind w:left="238"/>
              <w:jc w:val="left"/>
              <w:rPr>
                <w:rFonts w:ascii="Calibri"/>
                <w:sz w:val="22"/>
              </w:rPr>
            </w:pPr>
            <w:r>
              <w:rPr>
                <w:rFonts w:ascii="Calibri"/>
                <w:spacing w:val="-2"/>
                <w:sz w:val="22"/>
              </w:rPr>
              <w:t>129.48</w:t>
            </w:r>
          </w:p>
        </w:tc>
        <w:tc>
          <w:tcPr>
            <w:tcW w:w="959" w:type="dxa"/>
          </w:tcPr>
          <w:p>
            <w:pPr>
              <w:pStyle w:val="TableParagraph"/>
              <w:spacing w:line="258" w:lineRule="exact" w:before="0"/>
              <w:ind w:right="104"/>
              <w:jc w:val="right"/>
              <w:rPr>
                <w:rFonts w:ascii="Calibri"/>
                <w:sz w:val="22"/>
              </w:rPr>
            </w:pPr>
            <w:r>
              <w:rPr>
                <w:rFonts w:ascii="Calibri"/>
                <w:spacing w:val="-2"/>
                <w:sz w:val="22"/>
              </w:rPr>
              <w:t>0.975</w:t>
            </w:r>
          </w:p>
        </w:tc>
      </w:tr>
      <w:tr>
        <w:trPr>
          <w:trHeight w:val="287" w:hRule="atLeast"/>
        </w:trPr>
        <w:tc>
          <w:tcPr>
            <w:tcW w:w="1138" w:type="dxa"/>
          </w:tcPr>
          <w:p>
            <w:pPr>
              <w:pStyle w:val="TableParagraph"/>
              <w:spacing w:line="258" w:lineRule="exact" w:before="0"/>
              <w:ind w:left="345"/>
              <w:rPr>
                <w:rFonts w:ascii="Calibri"/>
                <w:sz w:val="22"/>
              </w:rPr>
            </w:pPr>
            <w:r>
              <w:rPr>
                <w:rFonts w:ascii="Calibri"/>
                <w:spacing w:val="-5"/>
                <w:sz w:val="22"/>
              </w:rPr>
              <w:t>12</w:t>
            </w:r>
          </w:p>
        </w:tc>
        <w:tc>
          <w:tcPr>
            <w:tcW w:w="783" w:type="dxa"/>
          </w:tcPr>
          <w:p>
            <w:pPr>
              <w:pStyle w:val="TableParagraph"/>
              <w:spacing w:line="258" w:lineRule="exact" w:before="0"/>
              <w:ind w:left="282"/>
              <w:jc w:val="left"/>
              <w:rPr>
                <w:rFonts w:ascii="Calibri"/>
                <w:sz w:val="22"/>
              </w:rPr>
            </w:pPr>
            <w:r>
              <w:rPr>
                <w:rFonts w:ascii="Calibri"/>
                <w:spacing w:val="-4"/>
                <w:sz w:val="22"/>
              </w:rPr>
              <w:t>3.98</w:t>
            </w:r>
          </w:p>
        </w:tc>
        <w:tc>
          <w:tcPr>
            <w:tcW w:w="961" w:type="dxa"/>
          </w:tcPr>
          <w:p>
            <w:pPr>
              <w:pStyle w:val="TableParagraph"/>
              <w:spacing w:line="258" w:lineRule="exact" w:before="0"/>
              <w:ind w:left="349"/>
              <w:jc w:val="left"/>
              <w:rPr>
                <w:rFonts w:ascii="Calibri"/>
                <w:sz w:val="22"/>
              </w:rPr>
            </w:pPr>
            <w:r>
              <w:rPr>
                <w:rFonts w:ascii="Calibri"/>
                <w:spacing w:val="-2"/>
                <w:sz w:val="22"/>
              </w:rPr>
              <w:t>28.47</w:t>
            </w:r>
          </w:p>
        </w:tc>
        <w:tc>
          <w:tcPr>
            <w:tcW w:w="960" w:type="dxa"/>
          </w:tcPr>
          <w:p>
            <w:pPr>
              <w:pStyle w:val="TableParagraph"/>
              <w:spacing w:line="258" w:lineRule="exact" w:before="0"/>
              <w:ind w:left="348"/>
              <w:jc w:val="left"/>
              <w:rPr>
                <w:rFonts w:ascii="Calibri"/>
                <w:sz w:val="22"/>
              </w:rPr>
            </w:pPr>
            <w:r>
              <w:rPr>
                <w:rFonts w:ascii="Calibri"/>
                <w:spacing w:val="-2"/>
                <w:sz w:val="22"/>
              </w:rPr>
              <w:t>49.51</w:t>
            </w:r>
          </w:p>
        </w:tc>
        <w:tc>
          <w:tcPr>
            <w:tcW w:w="960" w:type="dxa"/>
          </w:tcPr>
          <w:p>
            <w:pPr>
              <w:pStyle w:val="TableParagraph"/>
              <w:spacing w:line="258" w:lineRule="exact" w:before="0"/>
              <w:ind w:left="238"/>
              <w:jc w:val="left"/>
              <w:rPr>
                <w:rFonts w:ascii="Calibri"/>
                <w:sz w:val="22"/>
              </w:rPr>
            </w:pPr>
            <w:r>
              <w:rPr>
                <w:rFonts w:ascii="Calibri"/>
                <w:spacing w:val="-2"/>
                <w:sz w:val="22"/>
              </w:rPr>
              <w:t>142.97</w:t>
            </w:r>
          </w:p>
        </w:tc>
        <w:tc>
          <w:tcPr>
            <w:tcW w:w="959" w:type="dxa"/>
          </w:tcPr>
          <w:p>
            <w:pPr>
              <w:pStyle w:val="TableParagraph"/>
              <w:spacing w:line="258" w:lineRule="exact" w:before="0"/>
              <w:ind w:right="104"/>
              <w:jc w:val="right"/>
              <w:rPr>
                <w:rFonts w:ascii="Calibri"/>
                <w:sz w:val="22"/>
              </w:rPr>
            </w:pPr>
            <w:r>
              <w:rPr>
                <w:rFonts w:ascii="Calibri"/>
                <w:spacing w:val="-2"/>
                <w:sz w:val="22"/>
              </w:rPr>
              <w:t>0.965</w:t>
            </w:r>
          </w:p>
        </w:tc>
      </w:tr>
      <w:tr>
        <w:trPr>
          <w:trHeight w:val="288" w:hRule="atLeast"/>
        </w:trPr>
        <w:tc>
          <w:tcPr>
            <w:tcW w:w="1138" w:type="dxa"/>
          </w:tcPr>
          <w:p>
            <w:pPr>
              <w:pStyle w:val="TableParagraph"/>
              <w:spacing w:line="258" w:lineRule="exact" w:before="0"/>
              <w:ind w:left="345"/>
              <w:rPr>
                <w:rFonts w:ascii="Calibri"/>
                <w:sz w:val="22"/>
              </w:rPr>
            </w:pPr>
            <w:r>
              <w:rPr>
                <w:rFonts w:ascii="Calibri"/>
                <w:spacing w:val="-5"/>
                <w:sz w:val="22"/>
              </w:rPr>
              <w:t>13</w:t>
            </w:r>
          </w:p>
        </w:tc>
        <w:tc>
          <w:tcPr>
            <w:tcW w:w="783" w:type="dxa"/>
          </w:tcPr>
          <w:p>
            <w:pPr>
              <w:pStyle w:val="TableParagraph"/>
              <w:spacing w:line="258" w:lineRule="exact" w:before="0"/>
              <w:ind w:left="282"/>
              <w:jc w:val="left"/>
              <w:rPr>
                <w:rFonts w:ascii="Calibri"/>
                <w:sz w:val="22"/>
              </w:rPr>
            </w:pPr>
            <w:r>
              <w:rPr>
                <w:rFonts w:ascii="Calibri"/>
                <w:spacing w:val="-4"/>
                <w:sz w:val="22"/>
              </w:rPr>
              <w:t>1.44</w:t>
            </w:r>
          </w:p>
        </w:tc>
        <w:tc>
          <w:tcPr>
            <w:tcW w:w="961" w:type="dxa"/>
          </w:tcPr>
          <w:p>
            <w:pPr>
              <w:pStyle w:val="TableParagraph"/>
              <w:spacing w:line="258" w:lineRule="exact" w:before="0"/>
              <w:ind w:left="460"/>
              <w:jc w:val="left"/>
              <w:rPr>
                <w:rFonts w:ascii="Calibri"/>
                <w:sz w:val="22"/>
              </w:rPr>
            </w:pPr>
            <w:r>
              <w:rPr>
                <w:rFonts w:ascii="Calibri"/>
                <w:spacing w:val="-4"/>
                <w:sz w:val="22"/>
              </w:rPr>
              <w:t>8.13</w:t>
            </w:r>
          </w:p>
        </w:tc>
        <w:tc>
          <w:tcPr>
            <w:tcW w:w="960" w:type="dxa"/>
          </w:tcPr>
          <w:p>
            <w:pPr>
              <w:pStyle w:val="TableParagraph"/>
              <w:spacing w:line="258" w:lineRule="exact" w:before="0"/>
              <w:ind w:left="348"/>
              <w:jc w:val="left"/>
              <w:rPr>
                <w:rFonts w:ascii="Calibri"/>
                <w:sz w:val="22"/>
              </w:rPr>
            </w:pPr>
            <w:r>
              <w:rPr>
                <w:rFonts w:ascii="Calibri"/>
                <w:spacing w:val="-2"/>
                <w:sz w:val="22"/>
              </w:rPr>
              <w:t>13.22</w:t>
            </w:r>
          </w:p>
        </w:tc>
        <w:tc>
          <w:tcPr>
            <w:tcW w:w="960" w:type="dxa"/>
          </w:tcPr>
          <w:p>
            <w:pPr>
              <w:pStyle w:val="TableParagraph"/>
              <w:spacing w:line="258" w:lineRule="exact" w:before="0"/>
              <w:ind w:left="348"/>
              <w:jc w:val="left"/>
              <w:rPr>
                <w:rFonts w:ascii="Calibri"/>
                <w:sz w:val="22"/>
              </w:rPr>
            </w:pPr>
            <w:r>
              <w:rPr>
                <w:rFonts w:ascii="Calibri"/>
                <w:spacing w:val="-2"/>
                <w:sz w:val="22"/>
              </w:rPr>
              <w:t>33.57</w:t>
            </w:r>
          </w:p>
        </w:tc>
        <w:tc>
          <w:tcPr>
            <w:tcW w:w="959" w:type="dxa"/>
          </w:tcPr>
          <w:p>
            <w:pPr>
              <w:pStyle w:val="TableParagraph"/>
              <w:spacing w:line="258" w:lineRule="exact" w:before="0"/>
              <w:ind w:right="104"/>
              <w:jc w:val="right"/>
              <w:rPr>
                <w:rFonts w:ascii="Calibri"/>
                <w:sz w:val="22"/>
              </w:rPr>
            </w:pPr>
            <w:r>
              <w:rPr>
                <w:rFonts w:ascii="Calibri"/>
                <w:spacing w:val="-2"/>
                <w:sz w:val="22"/>
              </w:rPr>
              <w:t>0.976</w:t>
            </w:r>
          </w:p>
        </w:tc>
      </w:tr>
      <w:tr>
        <w:trPr>
          <w:trHeight w:val="288" w:hRule="atLeast"/>
        </w:trPr>
        <w:tc>
          <w:tcPr>
            <w:tcW w:w="1138" w:type="dxa"/>
          </w:tcPr>
          <w:p>
            <w:pPr>
              <w:pStyle w:val="TableParagraph"/>
              <w:spacing w:line="258" w:lineRule="exact" w:before="0"/>
              <w:ind w:left="345"/>
              <w:rPr>
                <w:rFonts w:ascii="Calibri"/>
                <w:sz w:val="22"/>
              </w:rPr>
            </w:pPr>
            <w:r>
              <w:rPr>
                <w:rFonts w:ascii="Calibri"/>
                <w:spacing w:val="-5"/>
                <w:sz w:val="22"/>
              </w:rPr>
              <w:t>14</w:t>
            </w:r>
          </w:p>
        </w:tc>
        <w:tc>
          <w:tcPr>
            <w:tcW w:w="783" w:type="dxa"/>
          </w:tcPr>
          <w:p>
            <w:pPr>
              <w:pStyle w:val="TableParagraph"/>
              <w:spacing w:line="258" w:lineRule="exact" w:before="0"/>
              <w:ind w:left="282"/>
              <w:jc w:val="left"/>
              <w:rPr>
                <w:rFonts w:ascii="Calibri"/>
                <w:sz w:val="22"/>
              </w:rPr>
            </w:pPr>
            <w:r>
              <w:rPr>
                <w:rFonts w:ascii="Calibri"/>
                <w:spacing w:val="-4"/>
                <w:sz w:val="22"/>
              </w:rPr>
              <w:t>2.83</w:t>
            </w:r>
          </w:p>
        </w:tc>
        <w:tc>
          <w:tcPr>
            <w:tcW w:w="961" w:type="dxa"/>
          </w:tcPr>
          <w:p>
            <w:pPr>
              <w:pStyle w:val="TableParagraph"/>
              <w:spacing w:line="258" w:lineRule="exact" w:before="0"/>
              <w:ind w:left="349"/>
              <w:jc w:val="left"/>
              <w:rPr>
                <w:rFonts w:ascii="Calibri"/>
                <w:sz w:val="22"/>
              </w:rPr>
            </w:pPr>
            <w:r>
              <w:rPr>
                <w:rFonts w:ascii="Calibri"/>
                <w:spacing w:val="-2"/>
                <w:sz w:val="22"/>
              </w:rPr>
              <w:t>11.45</w:t>
            </w:r>
          </w:p>
        </w:tc>
        <w:tc>
          <w:tcPr>
            <w:tcW w:w="960" w:type="dxa"/>
          </w:tcPr>
          <w:p>
            <w:pPr>
              <w:pStyle w:val="TableParagraph"/>
              <w:spacing w:line="258" w:lineRule="exact" w:before="0"/>
              <w:ind w:left="348"/>
              <w:jc w:val="left"/>
              <w:rPr>
                <w:rFonts w:ascii="Calibri"/>
                <w:sz w:val="22"/>
              </w:rPr>
            </w:pPr>
            <w:r>
              <w:rPr>
                <w:rFonts w:ascii="Calibri"/>
                <w:spacing w:val="-2"/>
                <w:sz w:val="22"/>
              </w:rPr>
              <w:t>16.98</w:t>
            </w:r>
          </w:p>
        </w:tc>
        <w:tc>
          <w:tcPr>
            <w:tcW w:w="960" w:type="dxa"/>
          </w:tcPr>
          <w:p>
            <w:pPr>
              <w:pStyle w:val="TableParagraph"/>
              <w:spacing w:line="258" w:lineRule="exact" w:before="0"/>
              <w:ind w:left="348"/>
              <w:jc w:val="left"/>
              <w:rPr>
                <w:rFonts w:ascii="Calibri"/>
                <w:sz w:val="22"/>
              </w:rPr>
            </w:pPr>
            <w:r>
              <w:rPr>
                <w:rFonts w:ascii="Calibri"/>
                <w:spacing w:val="-2"/>
                <w:sz w:val="22"/>
              </w:rPr>
              <w:t>36.10</w:t>
            </w:r>
          </w:p>
        </w:tc>
        <w:tc>
          <w:tcPr>
            <w:tcW w:w="959" w:type="dxa"/>
          </w:tcPr>
          <w:p>
            <w:pPr>
              <w:pStyle w:val="TableParagraph"/>
              <w:spacing w:line="258" w:lineRule="exact" w:before="0"/>
              <w:ind w:right="104"/>
              <w:jc w:val="right"/>
              <w:rPr>
                <w:rFonts w:ascii="Calibri"/>
                <w:sz w:val="22"/>
              </w:rPr>
            </w:pPr>
            <w:r>
              <w:rPr>
                <w:rFonts w:ascii="Calibri"/>
                <w:spacing w:val="-2"/>
                <w:sz w:val="22"/>
              </w:rPr>
              <w:t>0.989</w:t>
            </w:r>
          </w:p>
        </w:tc>
      </w:tr>
      <w:tr>
        <w:trPr>
          <w:trHeight w:val="287" w:hRule="atLeast"/>
        </w:trPr>
        <w:tc>
          <w:tcPr>
            <w:tcW w:w="1138" w:type="dxa"/>
          </w:tcPr>
          <w:p>
            <w:pPr>
              <w:pStyle w:val="TableParagraph"/>
              <w:spacing w:line="258" w:lineRule="exact" w:before="0"/>
              <w:ind w:left="345"/>
              <w:rPr>
                <w:rFonts w:ascii="Calibri"/>
                <w:sz w:val="22"/>
              </w:rPr>
            </w:pPr>
            <w:r>
              <w:rPr>
                <w:rFonts w:ascii="Calibri"/>
                <w:spacing w:val="-5"/>
                <w:sz w:val="22"/>
              </w:rPr>
              <w:t>15</w:t>
            </w:r>
          </w:p>
        </w:tc>
        <w:tc>
          <w:tcPr>
            <w:tcW w:w="783" w:type="dxa"/>
          </w:tcPr>
          <w:p>
            <w:pPr>
              <w:pStyle w:val="TableParagraph"/>
              <w:spacing w:line="258" w:lineRule="exact" w:before="0"/>
              <w:ind w:left="282"/>
              <w:jc w:val="left"/>
              <w:rPr>
                <w:rFonts w:ascii="Calibri"/>
                <w:sz w:val="22"/>
              </w:rPr>
            </w:pPr>
            <w:r>
              <w:rPr>
                <w:rFonts w:ascii="Calibri"/>
                <w:spacing w:val="-4"/>
                <w:sz w:val="22"/>
              </w:rPr>
              <w:t>1.68</w:t>
            </w:r>
          </w:p>
        </w:tc>
        <w:tc>
          <w:tcPr>
            <w:tcW w:w="961" w:type="dxa"/>
          </w:tcPr>
          <w:p>
            <w:pPr>
              <w:pStyle w:val="TableParagraph"/>
              <w:spacing w:line="258" w:lineRule="exact" w:before="0"/>
              <w:ind w:left="460"/>
              <w:jc w:val="left"/>
              <w:rPr>
                <w:rFonts w:ascii="Calibri"/>
                <w:sz w:val="22"/>
              </w:rPr>
            </w:pPr>
            <w:r>
              <w:rPr>
                <w:rFonts w:ascii="Calibri"/>
                <w:spacing w:val="-4"/>
                <w:sz w:val="22"/>
              </w:rPr>
              <w:t>6.23</w:t>
            </w:r>
          </w:p>
        </w:tc>
        <w:tc>
          <w:tcPr>
            <w:tcW w:w="960" w:type="dxa"/>
          </w:tcPr>
          <w:p>
            <w:pPr>
              <w:pStyle w:val="TableParagraph"/>
              <w:spacing w:line="258" w:lineRule="exact" w:before="0"/>
              <w:ind w:left="459"/>
              <w:jc w:val="left"/>
              <w:rPr>
                <w:rFonts w:ascii="Calibri"/>
                <w:sz w:val="22"/>
              </w:rPr>
            </w:pPr>
            <w:r>
              <w:rPr>
                <w:rFonts w:ascii="Calibri"/>
                <w:spacing w:val="-4"/>
                <w:sz w:val="22"/>
              </w:rPr>
              <w:t>9.01</w:t>
            </w:r>
          </w:p>
        </w:tc>
        <w:tc>
          <w:tcPr>
            <w:tcW w:w="960" w:type="dxa"/>
          </w:tcPr>
          <w:p>
            <w:pPr>
              <w:pStyle w:val="TableParagraph"/>
              <w:spacing w:line="258" w:lineRule="exact" w:before="0"/>
              <w:ind w:left="348"/>
              <w:jc w:val="left"/>
              <w:rPr>
                <w:rFonts w:ascii="Calibri"/>
                <w:sz w:val="22"/>
              </w:rPr>
            </w:pPr>
            <w:r>
              <w:rPr>
                <w:rFonts w:ascii="Calibri"/>
                <w:spacing w:val="-2"/>
                <w:sz w:val="22"/>
              </w:rPr>
              <w:t>18.23</w:t>
            </w:r>
          </w:p>
        </w:tc>
        <w:tc>
          <w:tcPr>
            <w:tcW w:w="959" w:type="dxa"/>
          </w:tcPr>
          <w:p>
            <w:pPr>
              <w:pStyle w:val="TableParagraph"/>
              <w:spacing w:line="258" w:lineRule="exact" w:before="0"/>
              <w:ind w:right="104"/>
              <w:jc w:val="right"/>
              <w:rPr>
                <w:rFonts w:ascii="Calibri"/>
                <w:sz w:val="22"/>
              </w:rPr>
            </w:pPr>
            <w:r>
              <w:rPr>
                <w:rFonts w:ascii="Calibri"/>
                <w:spacing w:val="-2"/>
                <w:sz w:val="22"/>
              </w:rPr>
              <w:t>0.986</w:t>
            </w:r>
          </w:p>
        </w:tc>
      </w:tr>
      <w:tr>
        <w:trPr>
          <w:trHeight w:val="287" w:hRule="atLeast"/>
        </w:trPr>
        <w:tc>
          <w:tcPr>
            <w:tcW w:w="1138" w:type="dxa"/>
          </w:tcPr>
          <w:p>
            <w:pPr>
              <w:pStyle w:val="TableParagraph"/>
              <w:spacing w:line="258" w:lineRule="exact" w:before="0"/>
              <w:ind w:left="345"/>
              <w:rPr>
                <w:rFonts w:ascii="Calibri"/>
                <w:sz w:val="22"/>
              </w:rPr>
            </w:pPr>
            <w:r>
              <w:rPr>
                <w:rFonts w:ascii="Calibri"/>
                <w:spacing w:val="-5"/>
                <w:sz w:val="22"/>
              </w:rPr>
              <w:t>16</w:t>
            </w:r>
          </w:p>
        </w:tc>
        <w:tc>
          <w:tcPr>
            <w:tcW w:w="783" w:type="dxa"/>
          </w:tcPr>
          <w:p>
            <w:pPr>
              <w:pStyle w:val="TableParagraph"/>
              <w:spacing w:line="258" w:lineRule="exact" w:before="0"/>
              <w:ind w:left="282"/>
              <w:jc w:val="left"/>
              <w:rPr>
                <w:rFonts w:ascii="Calibri"/>
                <w:sz w:val="22"/>
              </w:rPr>
            </w:pPr>
            <w:r>
              <w:rPr>
                <w:rFonts w:ascii="Calibri"/>
                <w:spacing w:val="-4"/>
                <w:sz w:val="22"/>
              </w:rPr>
              <w:t>2.88</w:t>
            </w:r>
          </w:p>
        </w:tc>
        <w:tc>
          <w:tcPr>
            <w:tcW w:w="961" w:type="dxa"/>
          </w:tcPr>
          <w:p>
            <w:pPr>
              <w:pStyle w:val="TableParagraph"/>
              <w:spacing w:line="258" w:lineRule="exact" w:before="0"/>
              <w:ind w:left="349"/>
              <w:jc w:val="left"/>
              <w:rPr>
                <w:rFonts w:ascii="Calibri"/>
                <w:sz w:val="22"/>
              </w:rPr>
            </w:pPr>
            <w:r>
              <w:rPr>
                <w:rFonts w:ascii="Calibri"/>
                <w:spacing w:val="-2"/>
                <w:sz w:val="22"/>
              </w:rPr>
              <w:t>10.62</w:t>
            </w:r>
          </w:p>
        </w:tc>
        <w:tc>
          <w:tcPr>
            <w:tcW w:w="960" w:type="dxa"/>
          </w:tcPr>
          <w:p>
            <w:pPr>
              <w:pStyle w:val="TableParagraph"/>
              <w:spacing w:line="258" w:lineRule="exact" w:before="0"/>
              <w:ind w:left="348"/>
              <w:jc w:val="left"/>
              <w:rPr>
                <w:rFonts w:ascii="Calibri"/>
                <w:sz w:val="22"/>
              </w:rPr>
            </w:pPr>
            <w:r>
              <w:rPr>
                <w:rFonts w:ascii="Calibri"/>
                <w:spacing w:val="-2"/>
                <w:sz w:val="22"/>
              </w:rPr>
              <w:t>15.34</w:t>
            </w:r>
          </w:p>
        </w:tc>
        <w:tc>
          <w:tcPr>
            <w:tcW w:w="960" w:type="dxa"/>
          </w:tcPr>
          <w:p>
            <w:pPr>
              <w:pStyle w:val="TableParagraph"/>
              <w:spacing w:line="258" w:lineRule="exact" w:before="0"/>
              <w:ind w:left="348"/>
              <w:jc w:val="left"/>
              <w:rPr>
                <w:rFonts w:ascii="Calibri"/>
                <w:sz w:val="22"/>
              </w:rPr>
            </w:pPr>
            <w:r>
              <w:rPr>
                <w:rFonts w:ascii="Calibri"/>
                <w:spacing w:val="-2"/>
                <w:sz w:val="22"/>
              </w:rPr>
              <w:t>31.03</w:t>
            </w:r>
          </w:p>
        </w:tc>
        <w:tc>
          <w:tcPr>
            <w:tcW w:w="959" w:type="dxa"/>
          </w:tcPr>
          <w:p>
            <w:pPr>
              <w:pStyle w:val="TableParagraph"/>
              <w:spacing w:line="258" w:lineRule="exact" w:before="0"/>
              <w:ind w:right="104"/>
              <w:jc w:val="right"/>
              <w:rPr>
                <w:rFonts w:ascii="Calibri"/>
                <w:sz w:val="22"/>
              </w:rPr>
            </w:pPr>
            <w:r>
              <w:rPr>
                <w:rFonts w:ascii="Calibri"/>
                <w:spacing w:val="-2"/>
                <w:sz w:val="22"/>
              </w:rPr>
              <w:t>0.974</w:t>
            </w:r>
          </w:p>
        </w:tc>
      </w:tr>
      <w:tr>
        <w:trPr>
          <w:trHeight w:val="288" w:hRule="atLeast"/>
        </w:trPr>
        <w:tc>
          <w:tcPr>
            <w:tcW w:w="1138" w:type="dxa"/>
          </w:tcPr>
          <w:p>
            <w:pPr>
              <w:pStyle w:val="TableParagraph"/>
              <w:spacing w:line="258" w:lineRule="exact" w:before="0"/>
              <w:ind w:left="345"/>
              <w:rPr>
                <w:rFonts w:ascii="Calibri"/>
                <w:sz w:val="22"/>
              </w:rPr>
            </w:pPr>
            <w:r>
              <w:rPr>
                <w:rFonts w:ascii="Calibri"/>
                <w:spacing w:val="-5"/>
                <w:sz w:val="22"/>
              </w:rPr>
              <w:t>17</w:t>
            </w:r>
          </w:p>
        </w:tc>
        <w:tc>
          <w:tcPr>
            <w:tcW w:w="783" w:type="dxa"/>
          </w:tcPr>
          <w:p>
            <w:pPr>
              <w:pStyle w:val="TableParagraph"/>
              <w:spacing w:line="258" w:lineRule="exact" w:before="0"/>
              <w:ind w:left="282"/>
              <w:jc w:val="left"/>
              <w:rPr>
                <w:rFonts w:ascii="Calibri"/>
                <w:sz w:val="22"/>
              </w:rPr>
            </w:pPr>
            <w:r>
              <w:rPr>
                <w:rFonts w:ascii="Calibri"/>
                <w:spacing w:val="-4"/>
                <w:sz w:val="22"/>
              </w:rPr>
              <w:t>2.20</w:t>
            </w:r>
          </w:p>
        </w:tc>
        <w:tc>
          <w:tcPr>
            <w:tcW w:w="961" w:type="dxa"/>
          </w:tcPr>
          <w:p>
            <w:pPr>
              <w:pStyle w:val="TableParagraph"/>
              <w:spacing w:line="258" w:lineRule="exact" w:before="0"/>
              <w:ind w:left="349"/>
              <w:jc w:val="left"/>
              <w:rPr>
                <w:rFonts w:ascii="Calibri"/>
                <w:sz w:val="22"/>
              </w:rPr>
            </w:pPr>
            <w:r>
              <w:rPr>
                <w:rFonts w:ascii="Calibri"/>
                <w:spacing w:val="-2"/>
                <w:sz w:val="22"/>
              </w:rPr>
              <w:t>17.03</w:t>
            </w:r>
          </w:p>
        </w:tc>
        <w:tc>
          <w:tcPr>
            <w:tcW w:w="960" w:type="dxa"/>
          </w:tcPr>
          <w:p>
            <w:pPr>
              <w:pStyle w:val="TableParagraph"/>
              <w:spacing w:line="258" w:lineRule="exact" w:before="0"/>
              <w:ind w:left="348"/>
              <w:jc w:val="left"/>
              <w:rPr>
                <w:rFonts w:ascii="Calibri"/>
                <w:sz w:val="22"/>
              </w:rPr>
            </w:pPr>
            <w:r>
              <w:rPr>
                <w:rFonts w:ascii="Calibri"/>
                <w:spacing w:val="-2"/>
                <w:sz w:val="22"/>
              </w:rPr>
              <w:t>30.26</w:t>
            </w:r>
          </w:p>
        </w:tc>
        <w:tc>
          <w:tcPr>
            <w:tcW w:w="960" w:type="dxa"/>
          </w:tcPr>
          <w:p>
            <w:pPr>
              <w:pStyle w:val="TableParagraph"/>
              <w:spacing w:line="258" w:lineRule="exact" w:before="0"/>
              <w:ind w:left="348"/>
              <w:jc w:val="left"/>
              <w:rPr>
                <w:rFonts w:ascii="Calibri"/>
                <w:sz w:val="22"/>
              </w:rPr>
            </w:pPr>
            <w:r>
              <w:rPr>
                <w:rFonts w:ascii="Calibri"/>
                <w:spacing w:val="-2"/>
                <w:sz w:val="22"/>
              </w:rPr>
              <w:t>91.08</w:t>
            </w:r>
          </w:p>
        </w:tc>
        <w:tc>
          <w:tcPr>
            <w:tcW w:w="959" w:type="dxa"/>
          </w:tcPr>
          <w:p>
            <w:pPr>
              <w:pStyle w:val="TableParagraph"/>
              <w:spacing w:line="258" w:lineRule="exact" w:before="0"/>
              <w:ind w:right="104"/>
              <w:jc w:val="right"/>
              <w:rPr>
                <w:rFonts w:ascii="Calibri"/>
                <w:sz w:val="22"/>
              </w:rPr>
            </w:pPr>
            <w:r>
              <w:rPr>
                <w:rFonts w:ascii="Calibri"/>
                <w:spacing w:val="-2"/>
                <w:sz w:val="22"/>
              </w:rPr>
              <w:t>0.976</w:t>
            </w:r>
          </w:p>
        </w:tc>
      </w:tr>
      <w:tr>
        <w:trPr>
          <w:trHeight w:val="287" w:hRule="atLeast"/>
        </w:trPr>
        <w:tc>
          <w:tcPr>
            <w:tcW w:w="1138" w:type="dxa"/>
          </w:tcPr>
          <w:p>
            <w:pPr>
              <w:pStyle w:val="TableParagraph"/>
              <w:spacing w:line="258" w:lineRule="exact" w:before="0"/>
              <w:ind w:left="345"/>
              <w:rPr>
                <w:rFonts w:ascii="Calibri"/>
                <w:sz w:val="22"/>
              </w:rPr>
            </w:pPr>
            <w:r>
              <w:rPr>
                <w:rFonts w:ascii="Calibri"/>
                <w:spacing w:val="-5"/>
                <w:sz w:val="22"/>
              </w:rPr>
              <w:t>18</w:t>
            </w:r>
          </w:p>
        </w:tc>
        <w:tc>
          <w:tcPr>
            <w:tcW w:w="783" w:type="dxa"/>
          </w:tcPr>
          <w:p>
            <w:pPr>
              <w:pStyle w:val="TableParagraph"/>
              <w:spacing w:line="258" w:lineRule="exact" w:before="0"/>
              <w:ind w:left="282"/>
              <w:jc w:val="left"/>
              <w:rPr>
                <w:rFonts w:ascii="Calibri"/>
                <w:sz w:val="22"/>
              </w:rPr>
            </w:pPr>
            <w:r>
              <w:rPr>
                <w:rFonts w:ascii="Calibri"/>
                <w:spacing w:val="-4"/>
                <w:sz w:val="22"/>
              </w:rPr>
              <w:t>2.46</w:t>
            </w:r>
          </w:p>
        </w:tc>
        <w:tc>
          <w:tcPr>
            <w:tcW w:w="961" w:type="dxa"/>
          </w:tcPr>
          <w:p>
            <w:pPr>
              <w:pStyle w:val="TableParagraph"/>
              <w:spacing w:line="258" w:lineRule="exact" w:before="0"/>
              <w:ind w:left="460"/>
              <w:jc w:val="left"/>
              <w:rPr>
                <w:rFonts w:ascii="Calibri"/>
                <w:sz w:val="22"/>
              </w:rPr>
            </w:pPr>
            <w:r>
              <w:rPr>
                <w:rFonts w:ascii="Calibri"/>
                <w:spacing w:val="-4"/>
                <w:sz w:val="22"/>
              </w:rPr>
              <w:t>9.90</w:t>
            </w:r>
          </w:p>
        </w:tc>
        <w:tc>
          <w:tcPr>
            <w:tcW w:w="960" w:type="dxa"/>
          </w:tcPr>
          <w:p>
            <w:pPr>
              <w:pStyle w:val="TableParagraph"/>
              <w:spacing w:line="258" w:lineRule="exact" w:before="0"/>
              <w:ind w:left="348"/>
              <w:jc w:val="left"/>
              <w:rPr>
                <w:rFonts w:ascii="Calibri"/>
                <w:sz w:val="22"/>
              </w:rPr>
            </w:pPr>
            <w:r>
              <w:rPr>
                <w:rFonts w:ascii="Calibri"/>
                <w:spacing w:val="-2"/>
                <w:sz w:val="22"/>
              </w:rPr>
              <w:t>14.64</w:t>
            </w:r>
          </w:p>
        </w:tc>
        <w:tc>
          <w:tcPr>
            <w:tcW w:w="960" w:type="dxa"/>
          </w:tcPr>
          <w:p>
            <w:pPr>
              <w:pStyle w:val="TableParagraph"/>
              <w:spacing w:line="258" w:lineRule="exact" w:before="0"/>
              <w:ind w:left="348"/>
              <w:jc w:val="left"/>
              <w:rPr>
                <w:rFonts w:ascii="Calibri"/>
                <w:sz w:val="22"/>
              </w:rPr>
            </w:pPr>
            <w:r>
              <w:rPr>
                <w:rFonts w:ascii="Calibri"/>
                <w:spacing w:val="-2"/>
                <w:sz w:val="22"/>
              </w:rPr>
              <w:t>30.98</w:t>
            </w:r>
          </w:p>
        </w:tc>
        <w:tc>
          <w:tcPr>
            <w:tcW w:w="959" w:type="dxa"/>
          </w:tcPr>
          <w:p>
            <w:pPr>
              <w:pStyle w:val="TableParagraph"/>
              <w:spacing w:line="258" w:lineRule="exact" w:before="0"/>
              <w:ind w:right="104"/>
              <w:jc w:val="right"/>
              <w:rPr>
                <w:rFonts w:ascii="Calibri"/>
                <w:sz w:val="22"/>
              </w:rPr>
            </w:pPr>
            <w:r>
              <w:rPr>
                <w:rFonts w:ascii="Calibri"/>
                <w:spacing w:val="-2"/>
                <w:sz w:val="22"/>
              </w:rPr>
              <w:t>0.987</w:t>
            </w:r>
          </w:p>
        </w:tc>
      </w:tr>
      <w:tr>
        <w:trPr>
          <w:trHeight w:val="288" w:hRule="atLeast"/>
        </w:trPr>
        <w:tc>
          <w:tcPr>
            <w:tcW w:w="1138" w:type="dxa"/>
          </w:tcPr>
          <w:p>
            <w:pPr>
              <w:pStyle w:val="TableParagraph"/>
              <w:spacing w:line="258" w:lineRule="exact" w:before="0"/>
              <w:ind w:left="345"/>
              <w:rPr>
                <w:rFonts w:ascii="Calibri"/>
                <w:sz w:val="22"/>
              </w:rPr>
            </w:pPr>
            <w:r>
              <w:rPr>
                <w:rFonts w:ascii="Calibri"/>
                <w:spacing w:val="-5"/>
                <w:sz w:val="22"/>
              </w:rPr>
              <w:t>19</w:t>
            </w:r>
          </w:p>
        </w:tc>
        <w:tc>
          <w:tcPr>
            <w:tcW w:w="783" w:type="dxa"/>
          </w:tcPr>
          <w:p>
            <w:pPr>
              <w:pStyle w:val="TableParagraph"/>
              <w:spacing w:line="258" w:lineRule="exact" w:before="0"/>
              <w:ind w:left="282"/>
              <w:jc w:val="left"/>
              <w:rPr>
                <w:rFonts w:ascii="Calibri"/>
                <w:sz w:val="22"/>
              </w:rPr>
            </w:pPr>
            <w:r>
              <w:rPr>
                <w:rFonts w:ascii="Calibri"/>
                <w:spacing w:val="-4"/>
                <w:sz w:val="22"/>
              </w:rPr>
              <w:t>3.82</w:t>
            </w:r>
          </w:p>
        </w:tc>
        <w:tc>
          <w:tcPr>
            <w:tcW w:w="961" w:type="dxa"/>
          </w:tcPr>
          <w:p>
            <w:pPr>
              <w:pStyle w:val="TableParagraph"/>
              <w:spacing w:line="258" w:lineRule="exact" w:before="0"/>
              <w:ind w:left="349"/>
              <w:jc w:val="left"/>
              <w:rPr>
                <w:rFonts w:ascii="Calibri"/>
                <w:sz w:val="22"/>
              </w:rPr>
            </w:pPr>
            <w:r>
              <w:rPr>
                <w:rFonts w:ascii="Calibri"/>
                <w:spacing w:val="-2"/>
                <w:sz w:val="22"/>
              </w:rPr>
              <w:t>12.61</w:t>
            </w:r>
          </w:p>
        </w:tc>
        <w:tc>
          <w:tcPr>
            <w:tcW w:w="960" w:type="dxa"/>
          </w:tcPr>
          <w:p>
            <w:pPr>
              <w:pStyle w:val="TableParagraph"/>
              <w:spacing w:line="258" w:lineRule="exact" w:before="0"/>
              <w:ind w:left="348"/>
              <w:jc w:val="left"/>
              <w:rPr>
                <w:rFonts w:ascii="Calibri"/>
                <w:sz w:val="22"/>
              </w:rPr>
            </w:pPr>
            <w:r>
              <w:rPr>
                <w:rFonts w:ascii="Calibri"/>
                <w:spacing w:val="-2"/>
                <w:sz w:val="22"/>
              </w:rPr>
              <w:t>17.64</w:t>
            </w:r>
          </w:p>
        </w:tc>
        <w:tc>
          <w:tcPr>
            <w:tcW w:w="960" w:type="dxa"/>
          </w:tcPr>
          <w:p>
            <w:pPr>
              <w:pStyle w:val="TableParagraph"/>
              <w:spacing w:line="258" w:lineRule="exact" w:before="0"/>
              <w:ind w:left="348"/>
              <w:jc w:val="left"/>
              <w:rPr>
                <w:rFonts w:ascii="Calibri"/>
                <w:sz w:val="22"/>
              </w:rPr>
            </w:pPr>
            <w:r>
              <w:rPr>
                <w:rFonts w:ascii="Calibri"/>
                <w:spacing w:val="-2"/>
                <w:sz w:val="22"/>
              </w:rPr>
              <w:t>33.58</w:t>
            </w:r>
          </w:p>
        </w:tc>
        <w:tc>
          <w:tcPr>
            <w:tcW w:w="959" w:type="dxa"/>
          </w:tcPr>
          <w:p>
            <w:pPr>
              <w:pStyle w:val="TableParagraph"/>
              <w:spacing w:line="258" w:lineRule="exact" w:before="0"/>
              <w:ind w:right="104"/>
              <w:jc w:val="right"/>
              <w:rPr>
                <w:rFonts w:ascii="Calibri"/>
                <w:sz w:val="22"/>
              </w:rPr>
            </w:pPr>
            <w:r>
              <w:rPr>
                <w:rFonts w:ascii="Calibri"/>
                <w:spacing w:val="-2"/>
                <w:sz w:val="22"/>
              </w:rPr>
              <w:t>0.993</w:t>
            </w:r>
          </w:p>
        </w:tc>
      </w:tr>
      <w:tr>
        <w:trPr>
          <w:trHeight w:val="288" w:hRule="atLeast"/>
        </w:trPr>
        <w:tc>
          <w:tcPr>
            <w:tcW w:w="1138" w:type="dxa"/>
          </w:tcPr>
          <w:p>
            <w:pPr>
              <w:pStyle w:val="TableParagraph"/>
              <w:spacing w:line="258" w:lineRule="exact" w:before="0"/>
              <w:ind w:left="345"/>
              <w:rPr>
                <w:rFonts w:ascii="Calibri"/>
                <w:sz w:val="22"/>
              </w:rPr>
            </w:pPr>
            <w:r>
              <w:rPr>
                <w:rFonts w:ascii="Calibri"/>
                <w:spacing w:val="-5"/>
                <w:sz w:val="22"/>
              </w:rPr>
              <w:t>20</w:t>
            </w:r>
          </w:p>
        </w:tc>
        <w:tc>
          <w:tcPr>
            <w:tcW w:w="783" w:type="dxa"/>
          </w:tcPr>
          <w:p>
            <w:pPr>
              <w:pStyle w:val="TableParagraph"/>
              <w:spacing w:line="258" w:lineRule="exact" w:before="0"/>
              <w:ind w:left="282"/>
              <w:jc w:val="left"/>
              <w:rPr>
                <w:rFonts w:ascii="Calibri"/>
                <w:sz w:val="22"/>
              </w:rPr>
            </w:pPr>
            <w:r>
              <w:rPr>
                <w:rFonts w:ascii="Calibri"/>
                <w:spacing w:val="-4"/>
                <w:sz w:val="22"/>
              </w:rPr>
              <w:t>2.72</w:t>
            </w:r>
          </w:p>
        </w:tc>
        <w:tc>
          <w:tcPr>
            <w:tcW w:w="961" w:type="dxa"/>
          </w:tcPr>
          <w:p>
            <w:pPr>
              <w:pStyle w:val="TableParagraph"/>
              <w:spacing w:line="258" w:lineRule="exact" w:before="0"/>
              <w:ind w:left="349"/>
              <w:jc w:val="left"/>
              <w:rPr>
                <w:rFonts w:ascii="Calibri"/>
                <w:sz w:val="22"/>
              </w:rPr>
            </w:pPr>
            <w:r>
              <w:rPr>
                <w:rFonts w:ascii="Calibri"/>
                <w:spacing w:val="-2"/>
                <w:sz w:val="22"/>
              </w:rPr>
              <w:t>10.16</w:t>
            </w:r>
          </w:p>
        </w:tc>
        <w:tc>
          <w:tcPr>
            <w:tcW w:w="960" w:type="dxa"/>
          </w:tcPr>
          <w:p>
            <w:pPr>
              <w:pStyle w:val="TableParagraph"/>
              <w:spacing w:line="258" w:lineRule="exact" w:before="0"/>
              <w:ind w:left="348"/>
              <w:jc w:val="left"/>
              <w:rPr>
                <w:rFonts w:ascii="Calibri"/>
                <w:sz w:val="22"/>
              </w:rPr>
            </w:pPr>
            <w:r>
              <w:rPr>
                <w:rFonts w:ascii="Calibri"/>
                <w:spacing w:val="-2"/>
                <w:sz w:val="22"/>
              </w:rPr>
              <w:t>14.72</w:t>
            </w:r>
          </w:p>
        </w:tc>
        <w:tc>
          <w:tcPr>
            <w:tcW w:w="960" w:type="dxa"/>
          </w:tcPr>
          <w:p>
            <w:pPr>
              <w:pStyle w:val="TableParagraph"/>
              <w:spacing w:line="258" w:lineRule="exact" w:before="0"/>
              <w:ind w:left="348"/>
              <w:jc w:val="left"/>
              <w:rPr>
                <w:rFonts w:ascii="Calibri"/>
                <w:sz w:val="22"/>
              </w:rPr>
            </w:pPr>
            <w:r>
              <w:rPr>
                <w:rFonts w:ascii="Calibri"/>
                <w:spacing w:val="-2"/>
                <w:sz w:val="22"/>
              </w:rPr>
              <w:t>29.96</w:t>
            </w:r>
          </w:p>
        </w:tc>
        <w:tc>
          <w:tcPr>
            <w:tcW w:w="959" w:type="dxa"/>
          </w:tcPr>
          <w:p>
            <w:pPr>
              <w:pStyle w:val="TableParagraph"/>
              <w:spacing w:line="258" w:lineRule="exact" w:before="0"/>
              <w:ind w:right="104"/>
              <w:jc w:val="right"/>
              <w:rPr>
                <w:rFonts w:ascii="Calibri"/>
                <w:sz w:val="22"/>
              </w:rPr>
            </w:pPr>
            <w:r>
              <w:rPr>
                <w:rFonts w:ascii="Calibri"/>
                <w:spacing w:val="-2"/>
                <w:sz w:val="22"/>
              </w:rPr>
              <w:t>0.852</w:t>
            </w:r>
          </w:p>
        </w:tc>
      </w:tr>
      <w:tr>
        <w:trPr>
          <w:trHeight w:val="254" w:hRule="atLeast"/>
        </w:trPr>
        <w:tc>
          <w:tcPr>
            <w:tcW w:w="1138" w:type="dxa"/>
          </w:tcPr>
          <w:p>
            <w:pPr>
              <w:pStyle w:val="TableParagraph"/>
              <w:tabs>
                <w:tab w:pos="1420" w:val="left" w:leader="none"/>
              </w:tabs>
              <w:spacing w:line="234" w:lineRule="exact" w:before="0"/>
              <w:ind w:left="-15" w:right="-288"/>
              <w:rPr>
                <w:rFonts w:ascii="Calibri"/>
                <w:sz w:val="22"/>
              </w:rPr>
            </w:pPr>
            <w:r>
              <w:rPr>
                <w:rFonts w:ascii="Calibri"/>
                <w:spacing w:val="71"/>
                <w:sz w:val="22"/>
                <w:u w:val="single"/>
              </w:rPr>
              <w:t> </w:t>
            </w:r>
            <w:r>
              <w:rPr>
                <w:rFonts w:ascii="Calibri"/>
                <w:spacing w:val="-2"/>
                <w:sz w:val="22"/>
                <w:u w:val="single"/>
              </w:rPr>
              <w:t>Average</w:t>
            </w:r>
            <w:r>
              <w:rPr>
                <w:rFonts w:ascii="Calibri"/>
                <w:sz w:val="22"/>
                <w:u w:val="single"/>
              </w:rPr>
              <w:tab/>
            </w:r>
          </w:p>
        </w:tc>
        <w:tc>
          <w:tcPr>
            <w:tcW w:w="783" w:type="dxa"/>
          </w:tcPr>
          <w:p>
            <w:pPr>
              <w:pStyle w:val="TableParagraph"/>
              <w:tabs>
                <w:tab w:pos="1132" w:val="left" w:leader="none"/>
              </w:tabs>
              <w:spacing w:line="234" w:lineRule="exact" w:before="0"/>
              <w:ind w:left="282" w:right="-360"/>
              <w:jc w:val="left"/>
              <w:rPr>
                <w:rFonts w:ascii="Calibri"/>
                <w:sz w:val="22"/>
              </w:rPr>
            </w:pPr>
            <w:r>
              <w:rPr>
                <w:rFonts w:ascii="Calibri"/>
                <w:spacing w:val="-4"/>
                <w:sz w:val="22"/>
                <w:u w:val="single"/>
              </w:rPr>
              <w:t>4.40</w:t>
            </w:r>
            <w:r>
              <w:rPr>
                <w:rFonts w:ascii="Calibri"/>
                <w:sz w:val="22"/>
                <w:u w:val="single"/>
              </w:rPr>
              <w:tab/>
            </w:r>
          </w:p>
        </w:tc>
        <w:tc>
          <w:tcPr>
            <w:tcW w:w="961" w:type="dxa"/>
          </w:tcPr>
          <w:p>
            <w:pPr>
              <w:pStyle w:val="TableParagraph"/>
              <w:tabs>
                <w:tab w:pos="1309" w:val="left" w:leader="none"/>
              </w:tabs>
              <w:spacing w:line="234" w:lineRule="exact" w:before="0"/>
              <w:ind w:left="349" w:right="-360"/>
              <w:jc w:val="left"/>
              <w:rPr>
                <w:rFonts w:ascii="Calibri"/>
                <w:sz w:val="22"/>
              </w:rPr>
            </w:pPr>
            <w:r>
              <w:rPr>
                <w:rFonts w:ascii="Calibri"/>
                <w:spacing w:val="-2"/>
                <w:sz w:val="22"/>
                <w:u w:val="single"/>
              </w:rPr>
              <w:t>26.45</w:t>
            </w:r>
            <w:r>
              <w:rPr>
                <w:rFonts w:ascii="Calibri"/>
                <w:sz w:val="22"/>
                <w:u w:val="single"/>
              </w:rPr>
              <w:tab/>
            </w:r>
          </w:p>
        </w:tc>
        <w:tc>
          <w:tcPr>
            <w:tcW w:w="960" w:type="dxa"/>
          </w:tcPr>
          <w:p>
            <w:pPr>
              <w:pStyle w:val="TableParagraph"/>
              <w:tabs>
                <w:tab w:pos="1198" w:val="left" w:leader="none"/>
              </w:tabs>
              <w:spacing w:line="234" w:lineRule="exact" w:before="0"/>
              <w:ind w:left="348" w:right="-245"/>
              <w:jc w:val="left"/>
              <w:rPr>
                <w:rFonts w:ascii="Calibri"/>
                <w:sz w:val="22"/>
              </w:rPr>
            </w:pPr>
            <w:r>
              <w:rPr>
                <w:rFonts w:ascii="Calibri"/>
                <w:spacing w:val="-2"/>
                <w:sz w:val="22"/>
                <w:u w:val="single"/>
              </w:rPr>
              <w:t>44.79</w:t>
            </w:r>
            <w:r>
              <w:rPr>
                <w:rFonts w:ascii="Calibri"/>
                <w:sz w:val="22"/>
                <w:u w:val="single"/>
              </w:rPr>
              <w:tab/>
            </w:r>
          </w:p>
        </w:tc>
        <w:tc>
          <w:tcPr>
            <w:tcW w:w="960" w:type="dxa"/>
          </w:tcPr>
          <w:p>
            <w:pPr>
              <w:pStyle w:val="TableParagraph"/>
              <w:tabs>
                <w:tab w:pos="1918" w:val="left" w:leader="none"/>
              </w:tabs>
              <w:spacing w:line="234" w:lineRule="exact" w:before="0"/>
              <w:ind w:left="238" w:right="-965"/>
              <w:jc w:val="left"/>
              <w:rPr>
                <w:rFonts w:ascii="Calibri"/>
                <w:sz w:val="22"/>
              </w:rPr>
            </w:pPr>
            <w:r>
              <w:rPr>
                <w:rFonts w:ascii="Calibri"/>
                <w:spacing w:val="-2"/>
                <w:sz w:val="22"/>
                <w:u w:val="single"/>
              </w:rPr>
              <w:t>126.64</w:t>
            </w:r>
            <w:r>
              <w:rPr>
                <w:rFonts w:ascii="Calibri"/>
                <w:sz w:val="22"/>
                <w:u w:val="single"/>
              </w:rPr>
              <w:tab/>
            </w:r>
          </w:p>
        </w:tc>
        <w:tc>
          <w:tcPr>
            <w:tcW w:w="959" w:type="dxa"/>
          </w:tcPr>
          <w:p>
            <w:pPr>
              <w:pStyle w:val="TableParagraph"/>
              <w:spacing w:line="240" w:lineRule="auto" w:before="0"/>
              <w:jc w:val="left"/>
              <w:rPr>
                <w:sz w:val="18"/>
              </w:rPr>
            </w:pPr>
          </w:p>
        </w:tc>
      </w:tr>
    </w:tbl>
    <w:p>
      <w:pPr>
        <w:spacing w:after="0" w:line="240" w:lineRule="auto"/>
        <w:jc w:val="left"/>
        <w:rPr>
          <w:sz w:val="18"/>
        </w:rPr>
        <w:sectPr>
          <w:pgSz w:w="11910" w:h="16840"/>
          <w:pgMar w:header="0" w:footer="1254" w:top="1360" w:bottom="1440" w:left="1180" w:right="580"/>
        </w:sectPr>
      </w:pPr>
    </w:p>
    <w:p>
      <w:pPr>
        <w:spacing w:line="276" w:lineRule="auto" w:before="61"/>
        <w:ind w:left="260" w:right="0" w:firstLine="0"/>
        <w:jc w:val="left"/>
        <w:rPr>
          <w:b/>
          <w:sz w:val="24"/>
        </w:rPr>
      </w:pPr>
      <w:r>
        <w:rPr>
          <w:b/>
          <w:sz w:val="24"/>
        </w:rPr>
        <w:t>Table</w:t>
      </w:r>
      <w:r>
        <w:rPr>
          <w:b/>
          <w:spacing w:val="-4"/>
          <w:sz w:val="24"/>
        </w:rPr>
        <w:t> </w:t>
      </w:r>
      <w:r>
        <w:rPr>
          <w:b/>
          <w:sz w:val="24"/>
        </w:rPr>
        <w:t>4.10:</w:t>
      </w:r>
      <w:r>
        <w:rPr>
          <w:b/>
          <w:spacing w:val="-6"/>
          <w:sz w:val="24"/>
        </w:rPr>
        <w:t> </w:t>
      </w:r>
      <w:r>
        <w:rPr>
          <w:b/>
          <w:sz w:val="24"/>
        </w:rPr>
        <w:t>Inhibitory</w:t>
      </w:r>
      <w:r>
        <w:rPr>
          <w:b/>
          <w:spacing w:val="-4"/>
          <w:sz w:val="24"/>
        </w:rPr>
        <w:t> </w:t>
      </w:r>
      <w:r>
        <w:rPr>
          <w:b/>
          <w:sz w:val="24"/>
        </w:rPr>
        <w:t>concentrations</w:t>
      </w:r>
      <w:r>
        <w:rPr>
          <w:b/>
          <w:spacing w:val="-4"/>
          <w:sz w:val="24"/>
        </w:rPr>
        <w:t> </w:t>
      </w:r>
      <w:r>
        <w:rPr>
          <w:b/>
          <w:sz w:val="24"/>
        </w:rPr>
        <w:t>(nM)</w:t>
      </w:r>
      <w:r>
        <w:rPr>
          <w:b/>
          <w:spacing w:val="-6"/>
          <w:sz w:val="24"/>
        </w:rPr>
        <w:t> </w:t>
      </w:r>
      <w:r>
        <w:rPr>
          <w:b/>
          <w:sz w:val="24"/>
        </w:rPr>
        <w:t>of</w:t>
      </w:r>
      <w:r>
        <w:rPr>
          <w:b/>
          <w:spacing w:val="-3"/>
          <w:sz w:val="24"/>
        </w:rPr>
        <w:t> </w:t>
      </w:r>
      <w:r>
        <w:rPr>
          <w:b/>
          <w:sz w:val="24"/>
        </w:rPr>
        <w:t>Artesunate-Amodiaquine</w:t>
      </w:r>
      <w:r>
        <w:rPr>
          <w:b/>
          <w:spacing w:val="-5"/>
          <w:sz w:val="24"/>
        </w:rPr>
        <w:t> </w:t>
      </w:r>
      <w:r>
        <w:rPr>
          <w:b/>
          <w:sz w:val="24"/>
        </w:rPr>
        <w:t>against</w:t>
      </w:r>
      <w:r>
        <w:rPr>
          <w:b/>
          <w:spacing w:val="-4"/>
          <w:sz w:val="24"/>
        </w:rPr>
        <w:t> </w:t>
      </w:r>
      <w:r>
        <w:rPr>
          <w:b/>
          <w:sz w:val="24"/>
        </w:rPr>
        <w:t>schizont </w:t>
      </w:r>
      <w:r>
        <w:rPr>
          <w:b/>
          <w:spacing w:val="-2"/>
          <w:sz w:val="24"/>
        </w:rPr>
        <w:t>maturation</w:t>
      </w:r>
    </w:p>
    <w:p>
      <w:pPr>
        <w:pStyle w:val="BodyText"/>
        <w:spacing w:before="5" w:after="1"/>
        <w:rPr>
          <w:b/>
          <w:sz w:val="17"/>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5"/>
        <w:gridCol w:w="857"/>
        <w:gridCol w:w="961"/>
        <w:gridCol w:w="996"/>
        <w:gridCol w:w="1116"/>
        <w:gridCol w:w="962"/>
      </w:tblGrid>
      <w:tr>
        <w:trPr>
          <w:trHeight w:val="324" w:hRule="atLeast"/>
        </w:trPr>
        <w:tc>
          <w:tcPr>
            <w:tcW w:w="1145" w:type="dxa"/>
            <w:tcBorders>
              <w:top w:val="single" w:sz="4" w:space="0" w:color="000000"/>
              <w:bottom w:val="single" w:sz="4" w:space="0" w:color="000000"/>
            </w:tcBorders>
          </w:tcPr>
          <w:p>
            <w:pPr>
              <w:pStyle w:val="TableParagraph"/>
              <w:spacing w:line="240" w:lineRule="auto" w:before="0"/>
              <w:jc w:val="left"/>
              <w:rPr>
                <w:sz w:val="22"/>
              </w:rPr>
            </w:pPr>
          </w:p>
        </w:tc>
        <w:tc>
          <w:tcPr>
            <w:tcW w:w="857" w:type="dxa"/>
            <w:tcBorders>
              <w:top w:val="single" w:sz="4" w:space="0" w:color="000000"/>
              <w:bottom w:val="single" w:sz="4" w:space="0" w:color="000000"/>
            </w:tcBorders>
          </w:tcPr>
          <w:p>
            <w:pPr>
              <w:pStyle w:val="TableParagraph"/>
              <w:spacing w:line="264" w:lineRule="exact" w:before="39"/>
              <w:ind w:left="4"/>
              <w:jc w:val="left"/>
              <w:rPr>
                <w:sz w:val="24"/>
              </w:rPr>
            </w:pPr>
            <w:r>
              <w:rPr>
                <w:spacing w:val="-4"/>
                <w:sz w:val="24"/>
              </w:rPr>
              <w:t>LC</w:t>
            </w:r>
            <w:r>
              <w:rPr>
                <w:spacing w:val="-4"/>
                <w:sz w:val="24"/>
                <w:vertAlign w:val="subscript"/>
              </w:rPr>
              <w:t>50</w:t>
            </w:r>
          </w:p>
        </w:tc>
        <w:tc>
          <w:tcPr>
            <w:tcW w:w="961" w:type="dxa"/>
            <w:tcBorders>
              <w:top w:val="single" w:sz="4" w:space="0" w:color="000000"/>
              <w:bottom w:val="single" w:sz="4" w:space="0" w:color="000000"/>
            </w:tcBorders>
          </w:tcPr>
          <w:p>
            <w:pPr>
              <w:pStyle w:val="TableParagraph"/>
              <w:spacing w:line="264" w:lineRule="exact" w:before="39"/>
              <w:ind w:left="107"/>
              <w:jc w:val="left"/>
              <w:rPr>
                <w:sz w:val="24"/>
              </w:rPr>
            </w:pPr>
            <w:r>
              <w:rPr>
                <w:spacing w:val="-4"/>
                <w:sz w:val="24"/>
              </w:rPr>
              <w:t>LC</w:t>
            </w:r>
            <w:r>
              <w:rPr>
                <w:spacing w:val="-4"/>
                <w:sz w:val="24"/>
                <w:vertAlign w:val="subscript"/>
              </w:rPr>
              <w:t>90</w:t>
            </w:r>
          </w:p>
        </w:tc>
        <w:tc>
          <w:tcPr>
            <w:tcW w:w="996" w:type="dxa"/>
            <w:tcBorders>
              <w:top w:val="single" w:sz="4" w:space="0" w:color="000000"/>
              <w:bottom w:val="single" w:sz="4" w:space="0" w:color="000000"/>
            </w:tcBorders>
          </w:tcPr>
          <w:p>
            <w:pPr>
              <w:pStyle w:val="TableParagraph"/>
              <w:spacing w:line="264" w:lineRule="exact" w:before="39"/>
              <w:ind w:left="107"/>
              <w:jc w:val="left"/>
              <w:rPr>
                <w:sz w:val="24"/>
              </w:rPr>
            </w:pPr>
            <w:r>
              <w:rPr>
                <w:spacing w:val="-4"/>
                <w:sz w:val="24"/>
              </w:rPr>
              <w:t>LC</w:t>
            </w:r>
            <w:r>
              <w:rPr>
                <w:spacing w:val="-4"/>
                <w:sz w:val="24"/>
                <w:vertAlign w:val="subscript"/>
              </w:rPr>
              <w:t>95</w:t>
            </w:r>
          </w:p>
        </w:tc>
        <w:tc>
          <w:tcPr>
            <w:tcW w:w="1116" w:type="dxa"/>
            <w:tcBorders>
              <w:top w:val="single" w:sz="4" w:space="0" w:color="000000"/>
              <w:bottom w:val="single" w:sz="4" w:space="0" w:color="000000"/>
            </w:tcBorders>
          </w:tcPr>
          <w:p>
            <w:pPr>
              <w:pStyle w:val="TableParagraph"/>
              <w:spacing w:line="264" w:lineRule="exact" w:before="39"/>
              <w:ind w:left="107"/>
              <w:jc w:val="left"/>
              <w:rPr>
                <w:sz w:val="24"/>
              </w:rPr>
            </w:pPr>
            <w:r>
              <w:rPr>
                <w:spacing w:val="-4"/>
                <w:sz w:val="24"/>
              </w:rPr>
              <w:t>LC</w:t>
            </w:r>
            <w:r>
              <w:rPr>
                <w:spacing w:val="-4"/>
                <w:sz w:val="24"/>
                <w:vertAlign w:val="subscript"/>
              </w:rPr>
              <w:t>99</w:t>
            </w:r>
          </w:p>
        </w:tc>
        <w:tc>
          <w:tcPr>
            <w:tcW w:w="962" w:type="dxa"/>
            <w:tcBorders>
              <w:top w:val="single" w:sz="4" w:space="0" w:color="000000"/>
              <w:bottom w:val="single" w:sz="4" w:space="0" w:color="000000"/>
            </w:tcBorders>
          </w:tcPr>
          <w:p>
            <w:pPr>
              <w:pStyle w:val="TableParagraph"/>
              <w:spacing w:line="158" w:lineRule="auto" w:before="41"/>
              <w:ind w:left="107"/>
              <w:jc w:val="left"/>
              <w:rPr>
                <w:sz w:val="16"/>
              </w:rPr>
            </w:pPr>
            <w:r>
              <w:rPr>
                <w:spacing w:val="-5"/>
                <w:position w:val="-10"/>
                <w:sz w:val="24"/>
              </w:rPr>
              <w:t>R</w:t>
            </w:r>
            <w:r>
              <w:rPr>
                <w:spacing w:val="-5"/>
                <w:sz w:val="16"/>
              </w:rPr>
              <w:t>2</w:t>
            </w:r>
          </w:p>
        </w:tc>
      </w:tr>
      <w:tr>
        <w:trPr>
          <w:trHeight w:val="289" w:hRule="atLeast"/>
        </w:trPr>
        <w:tc>
          <w:tcPr>
            <w:tcW w:w="1145" w:type="dxa"/>
            <w:tcBorders>
              <w:top w:val="single" w:sz="4" w:space="0" w:color="000000"/>
            </w:tcBorders>
          </w:tcPr>
          <w:p>
            <w:pPr>
              <w:pStyle w:val="TableParagraph"/>
              <w:spacing w:before="3"/>
              <w:ind w:right="207"/>
              <w:jc w:val="right"/>
              <w:rPr>
                <w:sz w:val="24"/>
              </w:rPr>
            </w:pPr>
            <w:r>
              <w:rPr>
                <w:spacing w:val="-10"/>
                <w:sz w:val="24"/>
              </w:rPr>
              <w:t>1</w:t>
            </w:r>
          </w:p>
        </w:tc>
        <w:tc>
          <w:tcPr>
            <w:tcW w:w="857" w:type="dxa"/>
            <w:tcBorders>
              <w:top w:val="single" w:sz="4" w:space="0" w:color="000000"/>
            </w:tcBorders>
          </w:tcPr>
          <w:p>
            <w:pPr>
              <w:pStyle w:val="TableParagraph"/>
              <w:spacing w:before="3"/>
              <w:ind w:right="106"/>
              <w:jc w:val="right"/>
              <w:rPr>
                <w:sz w:val="24"/>
              </w:rPr>
            </w:pPr>
            <w:r>
              <w:rPr>
                <w:spacing w:val="-2"/>
                <w:sz w:val="24"/>
              </w:rPr>
              <w:t>70.83</w:t>
            </w:r>
          </w:p>
        </w:tc>
        <w:tc>
          <w:tcPr>
            <w:tcW w:w="961" w:type="dxa"/>
            <w:tcBorders>
              <w:top w:val="single" w:sz="4" w:space="0" w:color="000000"/>
            </w:tcBorders>
          </w:tcPr>
          <w:p>
            <w:pPr>
              <w:pStyle w:val="TableParagraph"/>
              <w:spacing w:before="3"/>
              <w:ind w:right="106"/>
              <w:jc w:val="right"/>
              <w:rPr>
                <w:sz w:val="24"/>
              </w:rPr>
            </w:pPr>
            <w:r>
              <w:rPr>
                <w:spacing w:val="-2"/>
                <w:sz w:val="24"/>
              </w:rPr>
              <w:t>282.08</w:t>
            </w:r>
          </w:p>
        </w:tc>
        <w:tc>
          <w:tcPr>
            <w:tcW w:w="996" w:type="dxa"/>
            <w:tcBorders>
              <w:top w:val="single" w:sz="4" w:space="0" w:color="000000"/>
            </w:tcBorders>
          </w:tcPr>
          <w:p>
            <w:pPr>
              <w:pStyle w:val="TableParagraph"/>
              <w:spacing w:before="3"/>
              <w:ind w:right="106"/>
              <w:jc w:val="right"/>
              <w:rPr>
                <w:sz w:val="24"/>
              </w:rPr>
            </w:pPr>
            <w:r>
              <w:rPr>
                <w:spacing w:val="-2"/>
                <w:sz w:val="24"/>
              </w:rPr>
              <w:t>416.07</w:t>
            </w:r>
          </w:p>
        </w:tc>
        <w:tc>
          <w:tcPr>
            <w:tcW w:w="1116" w:type="dxa"/>
            <w:tcBorders>
              <w:top w:val="single" w:sz="4" w:space="0" w:color="000000"/>
            </w:tcBorders>
          </w:tcPr>
          <w:p>
            <w:pPr>
              <w:pStyle w:val="TableParagraph"/>
              <w:spacing w:before="3"/>
              <w:ind w:right="106"/>
              <w:jc w:val="right"/>
              <w:rPr>
                <w:sz w:val="24"/>
              </w:rPr>
            </w:pPr>
            <w:r>
              <w:rPr>
                <w:spacing w:val="-2"/>
                <w:sz w:val="24"/>
              </w:rPr>
              <w:t>876.40</w:t>
            </w:r>
          </w:p>
        </w:tc>
        <w:tc>
          <w:tcPr>
            <w:tcW w:w="962" w:type="dxa"/>
            <w:tcBorders>
              <w:top w:val="single" w:sz="4" w:space="0" w:color="000000"/>
            </w:tcBorders>
          </w:tcPr>
          <w:p>
            <w:pPr>
              <w:pStyle w:val="TableParagraph"/>
              <w:spacing w:before="3"/>
              <w:ind w:right="108"/>
              <w:jc w:val="right"/>
              <w:rPr>
                <w:sz w:val="24"/>
              </w:rPr>
            </w:pPr>
            <w:r>
              <w:rPr>
                <w:spacing w:val="-2"/>
                <w:sz w:val="24"/>
              </w:rPr>
              <w:t>0.946</w:t>
            </w:r>
          </w:p>
        </w:tc>
      </w:tr>
      <w:tr>
        <w:trPr>
          <w:trHeight w:val="287" w:hRule="atLeast"/>
        </w:trPr>
        <w:tc>
          <w:tcPr>
            <w:tcW w:w="1145" w:type="dxa"/>
          </w:tcPr>
          <w:p>
            <w:pPr>
              <w:pStyle w:val="TableParagraph"/>
              <w:ind w:right="207"/>
              <w:jc w:val="right"/>
              <w:rPr>
                <w:sz w:val="24"/>
              </w:rPr>
            </w:pPr>
            <w:r>
              <w:rPr>
                <w:spacing w:val="-10"/>
                <w:sz w:val="24"/>
              </w:rPr>
              <w:t>2</w:t>
            </w:r>
          </w:p>
        </w:tc>
        <w:tc>
          <w:tcPr>
            <w:tcW w:w="857" w:type="dxa"/>
          </w:tcPr>
          <w:p>
            <w:pPr>
              <w:pStyle w:val="TableParagraph"/>
              <w:ind w:right="106"/>
              <w:jc w:val="right"/>
              <w:rPr>
                <w:sz w:val="24"/>
              </w:rPr>
            </w:pPr>
            <w:r>
              <w:rPr>
                <w:spacing w:val="-2"/>
                <w:sz w:val="24"/>
              </w:rPr>
              <w:t>39.06</w:t>
            </w:r>
          </w:p>
        </w:tc>
        <w:tc>
          <w:tcPr>
            <w:tcW w:w="961" w:type="dxa"/>
          </w:tcPr>
          <w:p>
            <w:pPr>
              <w:pStyle w:val="TableParagraph"/>
              <w:ind w:right="106"/>
              <w:jc w:val="right"/>
              <w:rPr>
                <w:sz w:val="24"/>
              </w:rPr>
            </w:pPr>
            <w:r>
              <w:rPr>
                <w:spacing w:val="-2"/>
                <w:sz w:val="24"/>
              </w:rPr>
              <w:t>174.82</w:t>
            </w:r>
          </w:p>
        </w:tc>
        <w:tc>
          <w:tcPr>
            <w:tcW w:w="996" w:type="dxa"/>
          </w:tcPr>
          <w:p>
            <w:pPr>
              <w:pStyle w:val="TableParagraph"/>
              <w:ind w:right="106"/>
              <w:jc w:val="right"/>
              <w:rPr>
                <w:sz w:val="24"/>
              </w:rPr>
            </w:pPr>
            <w:r>
              <w:rPr>
                <w:spacing w:val="-2"/>
                <w:sz w:val="24"/>
              </w:rPr>
              <w:t>266.48</w:t>
            </w:r>
          </w:p>
        </w:tc>
        <w:tc>
          <w:tcPr>
            <w:tcW w:w="1116" w:type="dxa"/>
          </w:tcPr>
          <w:p>
            <w:pPr>
              <w:pStyle w:val="TableParagraph"/>
              <w:ind w:right="106"/>
              <w:jc w:val="right"/>
              <w:rPr>
                <w:sz w:val="24"/>
              </w:rPr>
            </w:pPr>
            <w:r>
              <w:rPr>
                <w:spacing w:val="-2"/>
                <w:sz w:val="24"/>
              </w:rPr>
              <w:t>597.75</w:t>
            </w:r>
          </w:p>
        </w:tc>
        <w:tc>
          <w:tcPr>
            <w:tcW w:w="962" w:type="dxa"/>
          </w:tcPr>
          <w:p>
            <w:pPr>
              <w:pStyle w:val="TableParagraph"/>
              <w:ind w:right="108"/>
              <w:jc w:val="right"/>
              <w:rPr>
                <w:sz w:val="24"/>
              </w:rPr>
            </w:pPr>
            <w:r>
              <w:rPr>
                <w:spacing w:val="-2"/>
                <w:sz w:val="24"/>
              </w:rPr>
              <w:t>0.984</w:t>
            </w:r>
          </w:p>
        </w:tc>
      </w:tr>
      <w:tr>
        <w:trPr>
          <w:trHeight w:val="288" w:hRule="atLeast"/>
        </w:trPr>
        <w:tc>
          <w:tcPr>
            <w:tcW w:w="1145" w:type="dxa"/>
          </w:tcPr>
          <w:p>
            <w:pPr>
              <w:pStyle w:val="TableParagraph"/>
              <w:ind w:right="207"/>
              <w:jc w:val="right"/>
              <w:rPr>
                <w:sz w:val="24"/>
              </w:rPr>
            </w:pPr>
            <w:r>
              <w:rPr>
                <w:spacing w:val="-10"/>
                <w:sz w:val="24"/>
              </w:rPr>
              <w:t>3</w:t>
            </w:r>
          </w:p>
        </w:tc>
        <w:tc>
          <w:tcPr>
            <w:tcW w:w="857" w:type="dxa"/>
          </w:tcPr>
          <w:p>
            <w:pPr>
              <w:pStyle w:val="TableParagraph"/>
              <w:ind w:right="106"/>
              <w:jc w:val="right"/>
              <w:rPr>
                <w:sz w:val="24"/>
              </w:rPr>
            </w:pPr>
            <w:r>
              <w:rPr>
                <w:spacing w:val="-2"/>
                <w:sz w:val="24"/>
              </w:rPr>
              <w:t>42.38</w:t>
            </w:r>
          </w:p>
        </w:tc>
        <w:tc>
          <w:tcPr>
            <w:tcW w:w="961" w:type="dxa"/>
          </w:tcPr>
          <w:p>
            <w:pPr>
              <w:pStyle w:val="TableParagraph"/>
              <w:ind w:right="106"/>
              <w:jc w:val="right"/>
              <w:rPr>
                <w:sz w:val="24"/>
              </w:rPr>
            </w:pPr>
            <w:r>
              <w:rPr>
                <w:spacing w:val="-2"/>
                <w:sz w:val="24"/>
              </w:rPr>
              <w:t>218.48</w:t>
            </w:r>
          </w:p>
        </w:tc>
        <w:tc>
          <w:tcPr>
            <w:tcW w:w="996" w:type="dxa"/>
          </w:tcPr>
          <w:p>
            <w:pPr>
              <w:pStyle w:val="TableParagraph"/>
              <w:ind w:right="106"/>
              <w:jc w:val="right"/>
              <w:rPr>
                <w:sz w:val="24"/>
              </w:rPr>
            </w:pPr>
            <w:r>
              <w:rPr>
                <w:spacing w:val="-2"/>
                <w:sz w:val="24"/>
              </w:rPr>
              <w:t>346.52</w:t>
            </w:r>
          </w:p>
        </w:tc>
        <w:tc>
          <w:tcPr>
            <w:tcW w:w="1116" w:type="dxa"/>
          </w:tcPr>
          <w:p>
            <w:pPr>
              <w:pStyle w:val="TableParagraph"/>
              <w:ind w:right="106"/>
              <w:jc w:val="right"/>
              <w:rPr>
                <w:sz w:val="24"/>
              </w:rPr>
            </w:pPr>
            <w:r>
              <w:rPr>
                <w:spacing w:val="-2"/>
                <w:sz w:val="24"/>
              </w:rPr>
              <w:t>838.80</w:t>
            </w:r>
          </w:p>
        </w:tc>
        <w:tc>
          <w:tcPr>
            <w:tcW w:w="962" w:type="dxa"/>
          </w:tcPr>
          <w:p>
            <w:pPr>
              <w:pStyle w:val="TableParagraph"/>
              <w:ind w:right="108"/>
              <w:jc w:val="right"/>
              <w:rPr>
                <w:sz w:val="24"/>
              </w:rPr>
            </w:pPr>
            <w:r>
              <w:rPr>
                <w:spacing w:val="-2"/>
                <w:sz w:val="24"/>
              </w:rPr>
              <w:t>0.984</w:t>
            </w:r>
          </w:p>
        </w:tc>
      </w:tr>
      <w:tr>
        <w:trPr>
          <w:trHeight w:val="287" w:hRule="atLeast"/>
        </w:trPr>
        <w:tc>
          <w:tcPr>
            <w:tcW w:w="1145" w:type="dxa"/>
          </w:tcPr>
          <w:p>
            <w:pPr>
              <w:pStyle w:val="TableParagraph"/>
              <w:ind w:right="207"/>
              <w:jc w:val="right"/>
              <w:rPr>
                <w:sz w:val="24"/>
              </w:rPr>
            </w:pPr>
            <w:r>
              <w:rPr>
                <w:spacing w:val="-10"/>
                <w:sz w:val="24"/>
              </w:rPr>
              <w:t>4</w:t>
            </w:r>
          </w:p>
        </w:tc>
        <w:tc>
          <w:tcPr>
            <w:tcW w:w="857" w:type="dxa"/>
          </w:tcPr>
          <w:p>
            <w:pPr>
              <w:pStyle w:val="TableParagraph"/>
              <w:ind w:right="106"/>
              <w:jc w:val="right"/>
              <w:rPr>
                <w:sz w:val="24"/>
              </w:rPr>
            </w:pPr>
            <w:r>
              <w:rPr>
                <w:spacing w:val="-2"/>
                <w:sz w:val="24"/>
              </w:rPr>
              <w:t>55.25</w:t>
            </w:r>
          </w:p>
        </w:tc>
        <w:tc>
          <w:tcPr>
            <w:tcW w:w="961" w:type="dxa"/>
          </w:tcPr>
          <w:p>
            <w:pPr>
              <w:pStyle w:val="TableParagraph"/>
              <w:ind w:right="106"/>
              <w:jc w:val="right"/>
              <w:rPr>
                <w:sz w:val="24"/>
              </w:rPr>
            </w:pPr>
            <w:r>
              <w:rPr>
                <w:spacing w:val="-2"/>
                <w:sz w:val="24"/>
              </w:rPr>
              <w:t>224.92</w:t>
            </w:r>
          </w:p>
        </w:tc>
        <w:tc>
          <w:tcPr>
            <w:tcW w:w="996" w:type="dxa"/>
          </w:tcPr>
          <w:p>
            <w:pPr>
              <w:pStyle w:val="TableParagraph"/>
              <w:ind w:right="106"/>
              <w:jc w:val="right"/>
              <w:rPr>
                <w:sz w:val="24"/>
              </w:rPr>
            </w:pPr>
            <w:r>
              <w:rPr>
                <w:spacing w:val="-2"/>
                <w:sz w:val="24"/>
              </w:rPr>
              <w:t>333.81</w:t>
            </w:r>
          </w:p>
        </w:tc>
        <w:tc>
          <w:tcPr>
            <w:tcW w:w="1116" w:type="dxa"/>
          </w:tcPr>
          <w:p>
            <w:pPr>
              <w:pStyle w:val="TableParagraph"/>
              <w:ind w:right="106"/>
              <w:jc w:val="right"/>
              <w:rPr>
                <w:sz w:val="24"/>
              </w:rPr>
            </w:pPr>
            <w:r>
              <w:rPr>
                <w:spacing w:val="-2"/>
                <w:sz w:val="24"/>
              </w:rPr>
              <w:t>711.47</w:t>
            </w:r>
          </w:p>
        </w:tc>
        <w:tc>
          <w:tcPr>
            <w:tcW w:w="962" w:type="dxa"/>
          </w:tcPr>
          <w:p>
            <w:pPr>
              <w:pStyle w:val="TableParagraph"/>
              <w:ind w:right="108"/>
              <w:jc w:val="right"/>
              <w:rPr>
                <w:sz w:val="24"/>
              </w:rPr>
            </w:pPr>
            <w:r>
              <w:rPr>
                <w:spacing w:val="-2"/>
                <w:sz w:val="24"/>
              </w:rPr>
              <w:t>0.989</w:t>
            </w:r>
          </w:p>
        </w:tc>
      </w:tr>
      <w:tr>
        <w:trPr>
          <w:trHeight w:val="288" w:hRule="atLeast"/>
        </w:trPr>
        <w:tc>
          <w:tcPr>
            <w:tcW w:w="1145" w:type="dxa"/>
          </w:tcPr>
          <w:p>
            <w:pPr>
              <w:pStyle w:val="TableParagraph"/>
              <w:ind w:right="207"/>
              <w:jc w:val="right"/>
              <w:rPr>
                <w:sz w:val="24"/>
              </w:rPr>
            </w:pPr>
            <w:r>
              <w:rPr>
                <w:spacing w:val="-10"/>
                <w:sz w:val="24"/>
              </w:rPr>
              <w:t>5</w:t>
            </w:r>
          </w:p>
        </w:tc>
        <w:tc>
          <w:tcPr>
            <w:tcW w:w="857" w:type="dxa"/>
          </w:tcPr>
          <w:p>
            <w:pPr>
              <w:pStyle w:val="TableParagraph"/>
              <w:ind w:right="106"/>
              <w:jc w:val="right"/>
              <w:rPr>
                <w:sz w:val="24"/>
              </w:rPr>
            </w:pPr>
            <w:r>
              <w:rPr>
                <w:spacing w:val="-2"/>
                <w:sz w:val="24"/>
              </w:rPr>
              <w:t>34.37</w:t>
            </w:r>
          </w:p>
        </w:tc>
        <w:tc>
          <w:tcPr>
            <w:tcW w:w="961" w:type="dxa"/>
          </w:tcPr>
          <w:p>
            <w:pPr>
              <w:pStyle w:val="TableParagraph"/>
              <w:ind w:right="106"/>
              <w:jc w:val="right"/>
              <w:rPr>
                <w:sz w:val="24"/>
              </w:rPr>
            </w:pPr>
            <w:r>
              <w:rPr>
                <w:spacing w:val="-2"/>
                <w:sz w:val="24"/>
              </w:rPr>
              <w:t>176.12</w:t>
            </w:r>
          </w:p>
        </w:tc>
        <w:tc>
          <w:tcPr>
            <w:tcW w:w="996" w:type="dxa"/>
          </w:tcPr>
          <w:p>
            <w:pPr>
              <w:pStyle w:val="TableParagraph"/>
              <w:ind w:right="106"/>
              <w:jc w:val="right"/>
              <w:rPr>
                <w:sz w:val="24"/>
              </w:rPr>
            </w:pPr>
            <w:r>
              <w:rPr>
                <w:spacing w:val="-2"/>
                <w:sz w:val="24"/>
              </w:rPr>
              <w:t>278.86</w:t>
            </w:r>
          </w:p>
        </w:tc>
        <w:tc>
          <w:tcPr>
            <w:tcW w:w="1116" w:type="dxa"/>
          </w:tcPr>
          <w:p>
            <w:pPr>
              <w:pStyle w:val="TableParagraph"/>
              <w:ind w:right="106"/>
              <w:jc w:val="right"/>
              <w:rPr>
                <w:sz w:val="24"/>
              </w:rPr>
            </w:pPr>
            <w:r>
              <w:rPr>
                <w:spacing w:val="-2"/>
                <w:sz w:val="24"/>
              </w:rPr>
              <w:t>672.85</w:t>
            </w:r>
          </w:p>
        </w:tc>
        <w:tc>
          <w:tcPr>
            <w:tcW w:w="962" w:type="dxa"/>
          </w:tcPr>
          <w:p>
            <w:pPr>
              <w:pStyle w:val="TableParagraph"/>
              <w:ind w:right="108"/>
              <w:jc w:val="right"/>
              <w:rPr>
                <w:sz w:val="24"/>
              </w:rPr>
            </w:pPr>
            <w:r>
              <w:rPr>
                <w:spacing w:val="-2"/>
                <w:sz w:val="24"/>
              </w:rPr>
              <w:t>0.996</w:t>
            </w:r>
          </w:p>
        </w:tc>
      </w:tr>
      <w:tr>
        <w:trPr>
          <w:trHeight w:val="287" w:hRule="atLeast"/>
        </w:trPr>
        <w:tc>
          <w:tcPr>
            <w:tcW w:w="1145" w:type="dxa"/>
          </w:tcPr>
          <w:p>
            <w:pPr>
              <w:pStyle w:val="TableParagraph"/>
              <w:ind w:right="207"/>
              <w:jc w:val="right"/>
              <w:rPr>
                <w:sz w:val="24"/>
              </w:rPr>
            </w:pPr>
            <w:r>
              <w:rPr>
                <w:spacing w:val="-10"/>
                <w:sz w:val="24"/>
              </w:rPr>
              <w:t>6</w:t>
            </w:r>
          </w:p>
        </w:tc>
        <w:tc>
          <w:tcPr>
            <w:tcW w:w="857" w:type="dxa"/>
          </w:tcPr>
          <w:p>
            <w:pPr>
              <w:pStyle w:val="TableParagraph"/>
              <w:ind w:right="106"/>
              <w:jc w:val="right"/>
              <w:rPr>
                <w:sz w:val="24"/>
              </w:rPr>
            </w:pPr>
            <w:r>
              <w:rPr>
                <w:spacing w:val="-2"/>
                <w:sz w:val="24"/>
              </w:rPr>
              <w:t>11.04</w:t>
            </w:r>
          </w:p>
        </w:tc>
        <w:tc>
          <w:tcPr>
            <w:tcW w:w="961" w:type="dxa"/>
          </w:tcPr>
          <w:p>
            <w:pPr>
              <w:pStyle w:val="TableParagraph"/>
              <w:ind w:right="106"/>
              <w:jc w:val="right"/>
              <w:rPr>
                <w:sz w:val="24"/>
              </w:rPr>
            </w:pPr>
            <w:r>
              <w:rPr>
                <w:spacing w:val="-2"/>
                <w:sz w:val="24"/>
              </w:rPr>
              <w:t>481.50</w:t>
            </w:r>
          </w:p>
        </w:tc>
        <w:tc>
          <w:tcPr>
            <w:tcW w:w="996" w:type="dxa"/>
          </w:tcPr>
          <w:p>
            <w:pPr>
              <w:pStyle w:val="TableParagraph"/>
              <w:ind w:left="107"/>
              <w:jc w:val="left"/>
              <w:rPr>
                <w:sz w:val="24"/>
              </w:rPr>
            </w:pPr>
            <w:r>
              <w:rPr>
                <w:spacing w:val="-2"/>
                <w:sz w:val="24"/>
              </w:rPr>
              <w:t>1392.25</w:t>
            </w:r>
          </w:p>
        </w:tc>
        <w:tc>
          <w:tcPr>
            <w:tcW w:w="1116" w:type="dxa"/>
          </w:tcPr>
          <w:p>
            <w:pPr>
              <w:pStyle w:val="TableParagraph"/>
              <w:ind w:left="107"/>
              <w:jc w:val="left"/>
              <w:rPr>
                <w:sz w:val="24"/>
              </w:rPr>
            </w:pPr>
            <w:r>
              <w:rPr>
                <w:spacing w:val="-2"/>
                <w:sz w:val="24"/>
              </w:rPr>
              <w:t>10654.65</w:t>
            </w:r>
          </w:p>
        </w:tc>
        <w:tc>
          <w:tcPr>
            <w:tcW w:w="962" w:type="dxa"/>
          </w:tcPr>
          <w:p>
            <w:pPr>
              <w:pStyle w:val="TableParagraph"/>
              <w:ind w:right="108"/>
              <w:jc w:val="right"/>
              <w:rPr>
                <w:sz w:val="24"/>
              </w:rPr>
            </w:pPr>
            <w:r>
              <w:rPr>
                <w:spacing w:val="-2"/>
                <w:sz w:val="24"/>
              </w:rPr>
              <w:t>0.469</w:t>
            </w:r>
          </w:p>
        </w:tc>
      </w:tr>
      <w:tr>
        <w:trPr>
          <w:trHeight w:val="288" w:hRule="atLeast"/>
        </w:trPr>
        <w:tc>
          <w:tcPr>
            <w:tcW w:w="1145" w:type="dxa"/>
          </w:tcPr>
          <w:p>
            <w:pPr>
              <w:pStyle w:val="TableParagraph"/>
              <w:ind w:right="207"/>
              <w:jc w:val="right"/>
              <w:rPr>
                <w:sz w:val="24"/>
              </w:rPr>
            </w:pPr>
            <w:r>
              <w:rPr>
                <w:spacing w:val="-10"/>
                <w:sz w:val="24"/>
              </w:rPr>
              <w:t>7</w:t>
            </w:r>
          </w:p>
        </w:tc>
        <w:tc>
          <w:tcPr>
            <w:tcW w:w="857" w:type="dxa"/>
          </w:tcPr>
          <w:p>
            <w:pPr>
              <w:pStyle w:val="TableParagraph"/>
              <w:ind w:right="106"/>
              <w:jc w:val="right"/>
              <w:rPr>
                <w:sz w:val="24"/>
              </w:rPr>
            </w:pPr>
            <w:r>
              <w:rPr>
                <w:spacing w:val="-2"/>
                <w:sz w:val="24"/>
              </w:rPr>
              <w:t>65.13</w:t>
            </w:r>
          </w:p>
        </w:tc>
        <w:tc>
          <w:tcPr>
            <w:tcW w:w="961" w:type="dxa"/>
          </w:tcPr>
          <w:p>
            <w:pPr>
              <w:pStyle w:val="TableParagraph"/>
              <w:ind w:right="106"/>
              <w:jc w:val="right"/>
              <w:rPr>
                <w:sz w:val="24"/>
              </w:rPr>
            </w:pPr>
            <w:r>
              <w:rPr>
                <w:spacing w:val="-2"/>
                <w:sz w:val="24"/>
              </w:rPr>
              <w:t>739.61</w:t>
            </w:r>
          </w:p>
        </w:tc>
        <w:tc>
          <w:tcPr>
            <w:tcW w:w="996" w:type="dxa"/>
          </w:tcPr>
          <w:p>
            <w:pPr>
              <w:pStyle w:val="TableParagraph"/>
              <w:ind w:left="107"/>
              <w:jc w:val="left"/>
              <w:rPr>
                <w:sz w:val="24"/>
              </w:rPr>
            </w:pPr>
            <w:r>
              <w:rPr>
                <w:spacing w:val="-2"/>
                <w:sz w:val="24"/>
              </w:rPr>
              <w:t>1464.83</w:t>
            </w:r>
          </w:p>
        </w:tc>
        <w:tc>
          <w:tcPr>
            <w:tcW w:w="1116" w:type="dxa"/>
          </w:tcPr>
          <w:p>
            <w:pPr>
              <w:pStyle w:val="TableParagraph"/>
              <w:ind w:right="106"/>
              <w:jc w:val="right"/>
              <w:rPr>
                <w:sz w:val="24"/>
              </w:rPr>
            </w:pPr>
            <w:r>
              <w:rPr>
                <w:spacing w:val="-2"/>
                <w:sz w:val="24"/>
              </w:rPr>
              <w:t>5427.81</w:t>
            </w:r>
          </w:p>
        </w:tc>
        <w:tc>
          <w:tcPr>
            <w:tcW w:w="962" w:type="dxa"/>
          </w:tcPr>
          <w:p>
            <w:pPr>
              <w:pStyle w:val="TableParagraph"/>
              <w:ind w:right="108"/>
              <w:jc w:val="right"/>
              <w:rPr>
                <w:sz w:val="24"/>
              </w:rPr>
            </w:pPr>
            <w:r>
              <w:rPr>
                <w:spacing w:val="-2"/>
                <w:sz w:val="24"/>
              </w:rPr>
              <w:t>0.957</w:t>
            </w:r>
          </w:p>
        </w:tc>
      </w:tr>
      <w:tr>
        <w:trPr>
          <w:trHeight w:val="288" w:hRule="atLeast"/>
        </w:trPr>
        <w:tc>
          <w:tcPr>
            <w:tcW w:w="1145" w:type="dxa"/>
          </w:tcPr>
          <w:p>
            <w:pPr>
              <w:pStyle w:val="TableParagraph"/>
              <w:ind w:right="207"/>
              <w:jc w:val="right"/>
              <w:rPr>
                <w:sz w:val="24"/>
              </w:rPr>
            </w:pPr>
            <w:r>
              <w:rPr>
                <w:spacing w:val="-10"/>
                <w:sz w:val="24"/>
              </w:rPr>
              <w:t>8</w:t>
            </w:r>
          </w:p>
        </w:tc>
        <w:tc>
          <w:tcPr>
            <w:tcW w:w="857" w:type="dxa"/>
          </w:tcPr>
          <w:p>
            <w:pPr>
              <w:pStyle w:val="TableParagraph"/>
              <w:ind w:right="106"/>
              <w:jc w:val="right"/>
              <w:rPr>
                <w:sz w:val="24"/>
              </w:rPr>
            </w:pPr>
            <w:r>
              <w:rPr>
                <w:spacing w:val="-2"/>
                <w:sz w:val="24"/>
              </w:rPr>
              <w:t>68.70</w:t>
            </w:r>
          </w:p>
        </w:tc>
        <w:tc>
          <w:tcPr>
            <w:tcW w:w="961" w:type="dxa"/>
          </w:tcPr>
          <w:p>
            <w:pPr>
              <w:pStyle w:val="TableParagraph"/>
              <w:ind w:right="106"/>
              <w:jc w:val="right"/>
              <w:rPr>
                <w:sz w:val="24"/>
              </w:rPr>
            </w:pPr>
            <w:r>
              <w:rPr>
                <w:spacing w:val="-2"/>
                <w:sz w:val="24"/>
              </w:rPr>
              <w:t>607.25</w:t>
            </w:r>
          </w:p>
        </w:tc>
        <w:tc>
          <w:tcPr>
            <w:tcW w:w="996" w:type="dxa"/>
          </w:tcPr>
          <w:p>
            <w:pPr>
              <w:pStyle w:val="TableParagraph"/>
              <w:ind w:left="107"/>
              <w:jc w:val="left"/>
              <w:rPr>
                <w:sz w:val="24"/>
              </w:rPr>
            </w:pPr>
            <w:r>
              <w:rPr>
                <w:spacing w:val="-2"/>
                <w:sz w:val="24"/>
              </w:rPr>
              <w:t>1120.83</w:t>
            </w:r>
          </w:p>
        </w:tc>
        <w:tc>
          <w:tcPr>
            <w:tcW w:w="1116" w:type="dxa"/>
          </w:tcPr>
          <w:p>
            <w:pPr>
              <w:pStyle w:val="TableParagraph"/>
              <w:ind w:right="106"/>
              <w:jc w:val="right"/>
              <w:rPr>
                <w:sz w:val="24"/>
              </w:rPr>
            </w:pPr>
            <w:r>
              <w:rPr>
                <w:spacing w:val="-2"/>
                <w:sz w:val="24"/>
              </w:rPr>
              <w:t>3628.31</w:t>
            </w:r>
          </w:p>
        </w:tc>
        <w:tc>
          <w:tcPr>
            <w:tcW w:w="962" w:type="dxa"/>
          </w:tcPr>
          <w:p>
            <w:pPr>
              <w:pStyle w:val="TableParagraph"/>
              <w:ind w:right="108"/>
              <w:jc w:val="right"/>
              <w:rPr>
                <w:sz w:val="24"/>
              </w:rPr>
            </w:pPr>
            <w:r>
              <w:rPr>
                <w:spacing w:val="-2"/>
                <w:sz w:val="24"/>
              </w:rPr>
              <w:t>0.991</w:t>
            </w:r>
          </w:p>
        </w:tc>
      </w:tr>
      <w:tr>
        <w:trPr>
          <w:trHeight w:val="287" w:hRule="atLeast"/>
        </w:trPr>
        <w:tc>
          <w:tcPr>
            <w:tcW w:w="1145" w:type="dxa"/>
          </w:tcPr>
          <w:p>
            <w:pPr>
              <w:pStyle w:val="TableParagraph"/>
              <w:ind w:right="207"/>
              <w:jc w:val="right"/>
              <w:rPr>
                <w:sz w:val="24"/>
              </w:rPr>
            </w:pPr>
            <w:r>
              <w:rPr>
                <w:spacing w:val="-10"/>
                <w:sz w:val="24"/>
              </w:rPr>
              <w:t>9</w:t>
            </w:r>
          </w:p>
        </w:tc>
        <w:tc>
          <w:tcPr>
            <w:tcW w:w="857" w:type="dxa"/>
          </w:tcPr>
          <w:p>
            <w:pPr>
              <w:pStyle w:val="TableParagraph"/>
              <w:ind w:right="106"/>
              <w:jc w:val="right"/>
              <w:rPr>
                <w:sz w:val="24"/>
              </w:rPr>
            </w:pPr>
            <w:r>
              <w:rPr>
                <w:spacing w:val="-2"/>
                <w:sz w:val="24"/>
              </w:rPr>
              <w:t>49.17</w:t>
            </w:r>
          </w:p>
        </w:tc>
        <w:tc>
          <w:tcPr>
            <w:tcW w:w="961" w:type="dxa"/>
          </w:tcPr>
          <w:p>
            <w:pPr>
              <w:pStyle w:val="TableParagraph"/>
              <w:ind w:right="106"/>
              <w:jc w:val="right"/>
              <w:rPr>
                <w:sz w:val="24"/>
              </w:rPr>
            </w:pPr>
            <w:r>
              <w:rPr>
                <w:spacing w:val="-2"/>
                <w:sz w:val="24"/>
              </w:rPr>
              <w:t>313.45</w:t>
            </w:r>
          </w:p>
        </w:tc>
        <w:tc>
          <w:tcPr>
            <w:tcW w:w="996" w:type="dxa"/>
          </w:tcPr>
          <w:p>
            <w:pPr>
              <w:pStyle w:val="TableParagraph"/>
              <w:ind w:right="106"/>
              <w:jc w:val="right"/>
              <w:rPr>
                <w:sz w:val="24"/>
              </w:rPr>
            </w:pPr>
            <w:r>
              <w:rPr>
                <w:spacing w:val="-2"/>
                <w:sz w:val="24"/>
              </w:rPr>
              <w:t>527.73</w:t>
            </w:r>
          </w:p>
        </w:tc>
        <w:tc>
          <w:tcPr>
            <w:tcW w:w="1116" w:type="dxa"/>
          </w:tcPr>
          <w:p>
            <w:pPr>
              <w:pStyle w:val="TableParagraph"/>
              <w:ind w:right="106"/>
              <w:jc w:val="right"/>
              <w:rPr>
                <w:sz w:val="24"/>
              </w:rPr>
            </w:pPr>
            <w:r>
              <w:rPr>
                <w:spacing w:val="-2"/>
                <w:sz w:val="24"/>
              </w:rPr>
              <w:t>1432.34</w:t>
            </w:r>
          </w:p>
        </w:tc>
        <w:tc>
          <w:tcPr>
            <w:tcW w:w="962" w:type="dxa"/>
          </w:tcPr>
          <w:p>
            <w:pPr>
              <w:pStyle w:val="TableParagraph"/>
              <w:ind w:right="108"/>
              <w:jc w:val="right"/>
              <w:rPr>
                <w:sz w:val="24"/>
              </w:rPr>
            </w:pPr>
            <w:r>
              <w:rPr>
                <w:spacing w:val="-2"/>
                <w:sz w:val="24"/>
              </w:rPr>
              <w:t>0.966</w:t>
            </w:r>
          </w:p>
        </w:tc>
      </w:tr>
      <w:tr>
        <w:trPr>
          <w:trHeight w:val="288" w:hRule="atLeast"/>
        </w:trPr>
        <w:tc>
          <w:tcPr>
            <w:tcW w:w="1145" w:type="dxa"/>
          </w:tcPr>
          <w:p>
            <w:pPr>
              <w:pStyle w:val="TableParagraph"/>
              <w:ind w:right="207"/>
              <w:jc w:val="right"/>
              <w:rPr>
                <w:sz w:val="24"/>
              </w:rPr>
            </w:pPr>
            <w:r>
              <w:rPr>
                <w:spacing w:val="-5"/>
                <w:sz w:val="24"/>
              </w:rPr>
              <w:t>10</w:t>
            </w:r>
          </w:p>
        </w:tc>
        <w:tc>
          <w:tcPr>
            <w:tcW w:w="857" w:type="dxa"/>
          </w:tcPr>
          <w:p>
            <w:pPr>
              <w:pStyle w:val="TableParagraph"/>
              <w:ind w:right="106"/>
              <w:jc w:val="right"/>
              <w:rPr>
                <w:sz w:val="24"/>
              </w:rPr>
            </w:pPr>
            <w:r>
              <w:rPr>
                <w:spacing w:val="-2"/>
                <w:sz w:val="24"/>
              </w:rPr>
              <w:t>81.70</w:t>
            </w:r>
          </w:p>
        </w:tc>
        <w:tc>
          <w:tcPr>
            <w:tcW w:w="961" w:type="dxa"/>
          </w:tcPr>
          <w:p>
            <w:pPr>
              <w:pStyle w:val="TableParagraph"/>
              <w:ind w:right="106"/>
              <w:jc w:val="right"/>
              <w:rPr>
                <w:sz w:val="24"/>
              </w:rPr>
            </w:pPr>
            <w:r>
              <w:rPr>
                <w:spacing w:val="-2"/>
                <w:sz w:val="24"/>
              </w:rPr>
              <w:t>471.33</w:t>
            </w:r>
          </w:p>
        </w:tc>
        <w:tc>
          <w:tcPr>
            <w:tcW w:w="996" w:type="dxa"/>
          </w:tcPr>
          <w:p>
            <w:pPr>
              <w:pStyle w:val="TableParagraph"/>
              <w:ind w:right="106"/>
              <w:jc w:val="right"/>
              <w:rPr>
                <w:sz w:val="24"/>
              </w:rPr>
            </w:pPr>
            <w:r>
              <w:rPr>
                <w:spacing w:val="-2"/>
                <w:sz w:val="24"/>
              </w:rPr>
              <w:t>771.58</w:t>
            </w:r>
          </w:p>
        </w:tc>
        <w:tc>
          <w:tcPr>
            <w:tcW w:w="1116" w:type="dxa"/>
          </w:tcPr>
          <w:p>
            <w:pPr>
              <w:pStyle w:val="TableParagraph"/>
              <w:ind w:right="106"/>
              <w:jc w:val="right"/>
              <w:rPr>
                <w:sz w:val="24"/>
              </w:rPr>
            </w:pPr>
            <w:r>
              <w:rPr>
                <w:spacing w:val="-2"/>
                <w:sz w:val="24"/>
              </w:rPr>
              <w:t>1984.53</w:t>
            </w:r>
          </w:p>
        </w:tc>
        <w:tc>
          <w:tcPr>
            <w:tcW w:w="962" w:type="dxa"/>
          </w:tcPr>
          <w:p>
            <w:pPr>
              <w:pStyle w:val="TableParagraph"/>
              <w:ind w:right="108"/>
              <w:jc w:val="right"/>
              <w:rPr>
                <w:sz w:val="24"/>
              </w:rPr>
            </w:pPr>
            <w:r>
              <w:rPr>
                <w:spacing w:val="-2"/>
                <w:sz w:val="24"/>
              </w:rPr>
              <w:t>0.989</w:t>
            </w:r>
          </w:p>
        </w:tc>
      </w:tr>
      <w:tr>
        <w:trPr>
          <w:trHeight w:val="288" w:hRule="atLeast"/>
        </w:trPr>
        <w:tc>
          <w:tcPr>
            <w:tcW w:w="1145" w:type="dxa"/>
          </w:tcPr>
          <w:p>
            <w:pPr>
              <w:pStyle w:val="TableParagraph"/>
              <w:ind w:right="207"/>
              <w:jc w:val="right"/>
              <w:rPr>
                <w:sz w:val="24"/>
              </w:rPr>
            </w:pPr>
            <w:r>
              <w:rPr>
                <w:spacing w:val="-5"/>
                <w:sz w:val="24"/>
              </w:rPr>
              <w:t>11</w:t>
            </w:r>
          </w:p>
        </w:tc>
        <w:tc>
          <w:tcPr>
            <w:tcW w:w="857" w:type="dxa"/>
          </w:tcPr>
          <w:p>
            <w:pPr>
              <w:pStyle w:val="TableParagraph"/>
              <w:ind w:right="106"/>
              <w:jc w:val="right"/>
              <w:rPr>
                <w:sz w:val="24"/>
              </w:rPr>
            </w:pPr>
            <w:r>
              <w:rPr>
                <w:spacing w:val="-2"/>
                <w:sz w:val="24"/>
              </w:rPr>
              <w:t>34.27</w:t>
            </w:r>
          </w:p>
        </w:tc>
        <w:tc>
          <w:tcPr>
            <w:tcW w:w="961" w:type="dxa"/>
          </w:tcPr>
          <w:p>
            <w:pPr>
              <w:pStyle w:val="TableParagraph"/>
              <w:ind w:right="106"/>
              <w:jc w:val="right"/>
              <w:rPr>
                <w:sz w:val="24"/>
              </w:rPr>
            </w:pPr>
            <w:r>
              <w:rPr>
                <w:spacing w:val="-2"/>
                <w:sz w:val="24"/>
              </w:rPr>
              <w:t>265.98</w:t>
            </w:r>
          </w:p>
        </w:tc>
        <w:tc>
          <w:tcPr>
            <w:tcW w:w="996" w:type="dxa"/>
          </w:tcPr>
          <w:p>
            <w:pPr>
              <w:pStyle w:val="TableParagraph"/>
              <w:ind w:right="106"/>
              <w:jc w:val="right"/>
              <w:rPr>
                <w:sz w:val="24"/>
              </w:rPr>
            </w:pPr>
            <w:r>
              <w:rPr>
                <w:spacing w:val="-2"/>
                <w:sz w:val="24"/>
              </w:rPr>
              <w:t>473.29</w:t>
            </w:r>
          </w:p>
        </w:tc>
        <w:tc>
          <w:tcPr>
            <w:tcW w:w="1116" w:type="dxa"/>
          </w:tcPr>
          <w:p>
            <w:pPr>
              <w:pStyle w:val="TableParagraph"/>
              <w:ind w:right="106"/>
              <w:jc w:val="right"/>
              <w:rPr>
                <w:sz w:val="24"/>
              </w:rPr>
            </w:pPr>
            <w:r>
              <w:rPr>
                <w:spacing w:val="-2"/>
                <w:sz w:val="24"/>
              </w:rPr>
              <w:t>1428.32</w:t>
            </w:r>
          </w:p>
        </w:tc>
        <w:tc>
          <w:tcPr>
            <w:tcW w:w="962" w:type="dxa"/>
          </w:tcPr>
          <w:p>
            <w:pPr>
              <w:pStyle w:val="TableParagraph"/>
              <w:ind w:right="108"/>
              <w:jc w:val="right"/>
              <w:rPr>
                <w:sz w:val="24"/>
              </w:rPr>
            </w:pPr>
            <w:r>
              <w:rPr>
                <w:spacing w:val="-2"/>
                <w:sz w:val="24"/>
              </w:rPr>
              <w:t>0.883</w:t>
            </w:r>
          </w:p>
        </w:tc>
      </w:tr>
      <w:tr>
        <w:trPr>
          <w:trHeight w:val="287" w:hRule="atLeast"/>
        </w:trPr>
        <w:tc>
          <w:tcPr>
            <w:tcW w:w="1145" w:type="dxa"/>
          </w:tcPr>
          <w:p>
            <w:pPr>
              <w:pStyle w:val="TableParagraph"/>
              <w:ind w:right="207"/>
              <w:jc w:val="right"/>
              <w:rPr>
                <w:sz w:val="24"/>
              </w:rPr>
            </w:pPr>
            <w:r>
              <w:rPr>
                <w:spacing w:val="-5"/>
                <w:sz w:val="24"/>
              </w:rPr>
              <w:t>12</w:t>
            </w:r>
          </w:p>
        </w:tc>
        <w:tc>
          <w:tcPr>
            <w:tcW w:w="857" w:type="dxa"/>
          </w:tcPr>
          <w:p>
            <w:pPr>
              <w:pStyle w:val="TableParagraph"/>
              <w:ind w:right="106"/>
              <w:jc w:val="right"/>
              <w:rPr>
                <w:sz w:val="24"/>
              </w:rPr>
            </w:pPr>
            <w:r>
              <w:rPr>
                <w:spacing w:val="-2"/>
                <w:sz w:val="24"/>
              </w:rPr>
              <w:t>44.36</w:t>
            </w:r>
          </w:p>
        </w:tc>
        <w:tc>
          <w:tcPr>
            <w:tcW w:w="961" w:type="dxa"/>
          </w:tcPr>
          <w:p>
            <w:pPr>
              <w:pStyle w:val="TableParagraph"/>
              <w:ind w:right="106"/>
              <w:jc w:val="right"/>
              <w:rPr>
                <w:sz w:val="24"/>
              </w:rPr>
            </w:pPr>
            <w:r>
              <w:rPr>
                <w:spacing w:val="-2"/>
                <w:sz w:val="24"/>
              </w:rPr>
              <w:t>294.14</w:t>
            </w:r>
          </w:p>
        </w:tc>
        <w:tc>
          <w:tcPr>
            <w:tcW w:w="996" w:type="dxa"/>
          </w:tcPr>
          <w:p>
            <w:pPr>
              <w:pStyle w:val="TableParagraph"/>
              <w:ind w:right="106"/>
              <w:jc w:val="right"/>
              <w:rPr>
                <w:sz w:val="24"/>
              </w:rPr>
            </w:pPr>
            <w:r>
              <w:rPr>
                <w:spacing w:val="-2"/>
                <w:sz w:val="24"/>
              </w:rPr>
              <w:t>500.74</w:t>
            </w:r>
          </w:p>
        </w:tc>
        <w:tc>
          <w:tcPr>
            <w:tcW w:w="1116" w:type="dxa"/>
          </w:tcPr>
          <w:p>
            <w:pPr>
              <w:pStyle w:val="TableParagraph"/>
              <w:ind w:right="106"/>
              <w:jc w:val="right"/>
              <w:rPr>
                <w:sz w:val="24"/>
              </w:rPr>
            </w:pPr>
            <w:r>
              <w:rPr>
                <w:spacing w:val="-2"/>
                <w:sz w:val="24"/>
              </w:rPr>
              <w:t>1388.32</w:t>
            </w:r>
          </w:p>
        </w:tc>
        <w:tc>
          <w:tcPr>
            <w:tcW w:w="962" w:type="dxa"/>
          </w:tcPr>
          <w:p>
            <w:pPr>
              <w:pStyle w:val="TableParagraph"/>
              <w:ind w:right="108"/>
              <w:jc w:val="right"/>
              <w:rPr>
                <w:sz w:val="24"/>
              </w:rPr>
            </w:pPr>
            <w:r>
              <w:rPr>
                <w:spacing w:val="-2"/>
                <w:sz w:val="24"/>
              </w:rPr>
              <w:t>0.909</w:t>
            </w:r>
          </w:p>
        </w:tc>
      </w:tr>
      <w:tr>
        <w:trPr>
          <w:trHeight w:val="288" w:hRule="atLeast"/>
        </w:trPr>
        <w:tc>
          <w:tcPr>
            <w:tcW w:w="1145" w:type="dxa"/>
          </w:tcPr>
          <w:p>
            <w:pPr>
              <w:pStyle w:val="TableParagraph"/>
              <w:ind w:right="207"/>
              <w:jc w:val="right"/>
              <w:rPr>
                <w:sz w:val="24"/>
              </w:rPr>
            </w:pPr>
            <w:r>
              <w:rPr>
                <w:spacing w:val="-5"/>
                <w:sz w:val="24"/>
              </w:rPr>
              <w:t>13</w:t>
            </w:r>
          </w:p>
        </w:tc>
        <w:tc>
          <w:tcPr>
            <w:tcW w:w="857" w:type="dxa"/>
          </w:tcPr>
          <w:p>
            <w:pPr>
              <w:pStyle w:val="TableParagraph"/>
              <w:ind w:right="106"/>
              <w:jc w:val="right"/>
              <w:rPr>
                <w:sz w:val="24"/>
              </w:rPr>
            </w:pPr>
            <w:r>
              <w:rPr>
                <w:spacing w:val="-2"/>
                <w:sz w:val="24"/>
              </w:rPr>
              <w:t>11.37</w:t>
            </w:r>
          </w:p>
        </w:tc>
        <w:tc>
          <w:tcPr>
            <w:tcW w:w="961" w:type="dxa"/>
          </w:tcPr>
          <w:p>
            <w:pPr>
              <w:pStyle w:val="TableParagraph"/>
              <w:ind w:right="106"/>
              <w:jc w:val="right"/>
              <w:rPr>
                <w:sz w:val="24"/>
              </w:rPr>
            </w:pPr>
            <w:r>
              <w:rPr>
                <w:spacing w:val="-2"/>
                <w:sz w:val="24"/>
              </w:rPr>
              <w:t>71.61</w:t>
            </w:r>
          </w:p>
        </w:tc>
        <w:tc>
          <w:tcPr>
            <w:tcW w:w="996" w:type="dxa"/>
          </w:tcPr>
          <w:p>
            <w:pPr>
              <w:pStyle w:val="TableParagraph"/>
              <w:ind w:right="106"/>
              <w:jc w:val="right"/>
              <w:rPr>
                <w:sz w:val="24"/>
              </w:rPr>
            </w:pPr>
            <w:r>
              <w:rPr>
                <w:spacing w:val="-2"/>
                <w:sz w:val="24"/>
              </w:rPr>
              <w:t>120.18</w:t>
            </w:r>
          </w:p>
        </w:tc>
        <w:tc>
          <w:tcPr>
            <w:tcW w:w="1116" w:type="dxa"/>
          </w:tcPr>
          <w:p>
            <w:pPr>
              <w:pStyle w:val="TableParagraph"/>
              <w:ind w:right="106"/>
              <w:jc w:val="right"/>
              <w:rPr>
                <w:sz w:val="24"/>
              </w:rPr>
            </w:pPr>
            <w:r>
              <w:rPr>
                <w:spacing w:val="-2"/>
                <w:sz w:val="24"/>
              </w:rPr>
              <w:t>324.15</w:t>
            </w:r>
          </w:p>
        </w:tc>
        <w:tc>
          <w:tcPr>
            <w:tcW w:w="962" w:type="dxa"/>
          </w:tcPr>
          <w:p>
            <w:pPr>
              <w:pStyle w:val="TableParagraph"/>
              <w:ind w:right="108"/>
              <w:jc w:val="right"/>
              <w:rPr>
                <w:sz w:val="24"/>
              </w:rPr>
            </w:pPr>
            <w:r>
              <w:rPr>
                <w:spacing w:val="-2"/>
                <w:sz w:val="24"/>
              </w:rPr>
              <w:t>0.988</w:t>
            </w:r>
          </w:p>
        </w:tc>
      </w:tr>
      <w:tr>
        <w:trPr>
          <w:trHeight w:val="287" w:hRule="atLeast"/>
        </w:trPr>
        <w:tc>
          <w:tcPr>
            <w:tcW w:w="1145" w:type="dxa"/>
          </w:tcPr>
          <w:p>
            <w:pPr>
              <w:pStyle w:val="TableParagraph"/>
              <w:ind w:right="207"/>
              <w:jc w:val="right"/>
              <w:rPr>
                <w:sz w:val="24"/>
              </w:rPr>
            </w:pPr>
            <w:r>
              <w:rPr>
                <w:spacing w:val="-5"/>
                <w:sz w:val="24"/>
              </w:rPr>
              <w:t>14</w:t>
            </w:r>
          </w:p>
        </w:tc>
        <w:tc>
          <w:tcPr>
            <w:tcW w:w="857" w:type="dxa"/>
          </w:tcPr>
          <w:p>
            <w:pPr>
              <w:pStyle w:val="TableParagraph"/>
              <w:ind w:right="106"/>
              <w:jc w:val="right"/>
              <w:rPr>
                <w:sz w:val="24"/>
              </w:rPr>
            </w:pPr>
            <w:r>
              <w:rPr>
                <w:spacing w:val="-2"/>
                <w:sz w:val="24"/>
              </w:rPr>
              <w:t>31.14</w:t>
            </w:r>
          </w:p>
        </w:tc>
        <w:tc>
          <w:tcPr>
            <w:tcW w:w="961" w:type="dxa"/>
          </w:tcPr>
          <w:p>
            <w:pPr>
              <w:pStyle w:val="TableParagraph"/>
              <w:ind w:right="106"/>
              <w:jc w:val="right"/>
              <w:rPr>
                <w:sz w:val="24"/>
              </w:rPr>
            </w:pPr>
            <w:r>
              <w:rPr>
                <w:spacing w:val="-2"/>
                <w:sz w:val="24"/>
              </w:rPr>
              <w:t>99.75</w:t>
            </w:r>
          </w:p>
        </w:tc>
        <w:tc>
          <w:tcPr>
            <w:tcW w:w="996" w:type="dxa"/>
          </w:tcPr>
          <w:p>
            <w:pPr>
              <w:pStyle w:val="TableParagraph"/>
              <w:ind w:right="106"/>
              <w:jc w:val="right"/>
              <w:rPr>
                <w:sz w:val="24"/>
              </w:rPr>
            </w:pPr>
            <w:r>
              <w:rPr>
                <w:spacing w:val="-2"/>
                <w:sz w:val="24"/>
              </w:rPr>
              <w:t>138.41</w:t>
            </w:r>
          </w:p>
        </w:tc>
        <w:tc>
          <w:tcPr>
            <w:tcW w:w="1116" w:type="dxa"/>
          </w:tcPr>
          <w:p>
            <w:pPr>
              <w:pStyle w:val="TableParagraph"/>
              <w:ind w:right="106"/>
              <w:jc w:val="right"/>
              <w:rPr>
                <w:sz w:val="24"/>
              </w:rPr>
            </w:pPr>
            <w:r>
              <w:rPr>
                <w:spacing w:val="-2"/>
                <w:sz w:val="24"/>
              </w:rPr>
              <w:t>259.26</w:t>
            </w:r>
          </w:p>
        </w:tc>
        <w:tc>
          <w:tcPr>
            <w:tcW w:w="962" w:type="dxa"/>
          </w:tcPr>
          <w:p>
            <w:pPr>
              <w:pStyle w:val="TableParagraph"/>
              <w:ind w:right="108"/>
              <w:jc w:val="right"/>
              <w:rPr>
                <w:sz w:val="24"/>
              </w:rPr>
            </w:pPr>
            <w:r>
              <w:rPr>
                <w:spacing w:val="-2"/>
                <w:sz w:val="24"/>
              </w:rPr>
              <w:t>0.993</w:t>
            </w:r>
          </w:p>
        </w:tc>
      </w:tr>
      <w:tr>
        <w:trPr>
          <w:trHeight w:val="287" w:hRule="atLeast"/>
        </w:trPr>
        <w:tc>
          <w:tcPr>
            <w:tcW w:w="1145" w:type="dxa"/>
          </w:tcPr>
          <w:p>
            <w:pPr>
              <w:pStyle w:val="TableParagraph"/>
              <w:ind w:right="207"/>
              <w:jc w:val="right"/>
              <w:rPr>
                <w:sz w:val="24"/>
              </w:rPr>
            </w:pPr>
            <w:r>
              <w:rPr>
                <w:spacing w:val="-5"/>
                <w:sz w:val="24"/>
              </w:rPr>
              <w:t>15</w:t>
            </w:r>
          </w:p>
        </w:tc>
        <w:tc>
          <w:tcPr>
            <w:tcW w:w="857" w:type="dxa"/>
          </w:tcPr>
          <w:p>
            <w:pPr>
              <w:pStyle w:val="TableParagraph"/>
              <w:ind w:right="106"/>
              <w:jc w:val="right"/>
              <w:rPr>
                <w:sz w:val="24"/>
              </w:rPr>
            </w:pPr>
            <w:r>
              <w:rPr>
                <w:spacing w:val="-2"/>
                <w:sz w:val="24"/>
              </w:rPr>
              <w:t>13.59</w:t>
            </w:r>
          </w:p>
        </w:tc>
        <w:tc>
          <w:tcPr>
            <w:tcW w:w="961" w:type="dxa"/>
          </w:tcPr>
          <w:p>
            <w:pPr>
              <w:pStyle w:val="TableParagraph"/>
              <w:ind w:right="106"/>
              <w:jc w:val="right"/>
              <w:rPr>
                <w:sz w:val="24"/>
              </w:rPr>
            </w:pPr>
            <w:r>
              <w:rPr>
                <w:spacing w:val="-2"/>
                <w:sz w:val="24"/>
              </w:rPr>
              <w:t>67.23</w:t>
            </w:r>
          </w:p>
        </w:tc>
        <w:tc>
          <w:tcPr>
            <w:tcW w:w="996" w:type="dxa"/>
          </w:tcPr>
          <w:p>
            <w:pPr>
              <w:pStyle w:val="TableParagraph"/>
              <w:ind w:right="106"/>
              <w:jc w:val="right"/>
              <w:rPr>
                <w:sz w:val="24"/>
              </w:rPr>
            </w:pPr>
            <w:r>
              <w:rPr>
                <w:spacing w:val="-2"/>
                <w:sz w:val="24"/>
              </w:rPr>
              <w:t>105.40</w:t>
            </w:r>
          </w:p>
        </w:tc>
        <w:tc>
          <w:tcPr>
            <w:tcW w:w="1116" w:type="dxa"/>
          </w:tcPr>
          <w:p>
            <w:pPr>
              <w:pStyle w:val="TableParagraph"/>
              <w:ind w:right="106"/>
              <w:jc w:val="right"/>
              <w:rPr>
                <w:sz w:val="24"/>
              </w:rPr>
            </w:pPr>
            <w:r>
              <w:rPr>
                <w:spacing w:val="-2"/>
                <w:sz w:val="24"/>
              </w:rPr>
              <w:t>249.51</w:t>
            </w:r>
          </w:p>
        </w:tc>
        <w:tc>
          <w:tcPr>
            <w:tcW w:w="962" w:type="dxa"/>
          </w:tcPr>
          <w:p>
            <w:pPr>
              <w:pStyle w:val="TableParagraph"/>
              <w:ind w:right="108"/>
              <w:jc w:val="right"/>
              <w:rPr>
                <w:sz w:val="24"/>
              </w:rPr>
            </w:pPr>
            <w:r>
              <w:rPr>
                <w:spacing w:val="-2"/>
                <w:sz w:val="24"/>
              </w:rPr>
              <w:t>0.990</w:t>
            </w:r>
          </w:p>
        </w:tc>
      </w:tr>
      <w:tr>
        <w:trPr>
          <w:trHeight w:val="287" w:hRule="atLeast"/>
        </w:trPr>
        <w:tc>
          <w:tcPr>
            <w:tcW w:w="1145" w:type="dxa"/>
          </w:tcPr>
          <w:p>
            <w:pPr>
              <w:pStyle w:val="TableParagraph"/>
              <w:ind w:right="207"/>
              <w:jc w:val="right"/>
              <w:rPr>
                <w:sz w:val="24"/>
              </w:rPr>
            </w:pPr>
            <w:r>
              <w:rPr>
                <w:spacing w:val="-5"/>
                <w:sz w:val="24"/>
              </w:rPr>
              <w:t>16</w:t>
            </w:r>
          </w:p>
        </w:tc>
        <w:tc>
          <w:tcPr>
            <w:tcW w:w="857" w:type="dxa"/>
          </w:tcPr>
          <w:p>
            <w:pPr>
              <w:pStyle w:val="TableParagraph"/>
              <w:ind w:right="106"/>
              <w:jc w:val="right"/>
              <w:rPr>
                <w:sz w:val="24"/>
              </w:rPr>
            </w:pPr>
            <w:r>
              <w:rPr>
                <w:spacing w:val="-2"/>
                <w:sz w:val="24"/>
              </w:rPr>
              <w:t>32.01</w:t>
            </w:r>
          </w:p>
        </w:tc>
        <w:tc>
          <w:tcPr>
            <w:tcW w:w="961" w:type="dxa"/>
          </w:tcPr>
          <w:p>
            <w:pPr>
              <w:pStyle w:val="TableParagraph"/>
              <w:ind w:right="106"/>
              <w:jc w:val="right"/>
              <w:rPr>
                <w:sz w:val="24"/>
              </w:rPr>
            </w:pPr>
            <w:r>
              <w:rPr>
                <w:spacing w:val="-2"/>
                <w:sz w:val="24"/>
              </w:rPr>
              <w:t>84.86</w:t>
            </w:r>
          </w:p>
        </w:tc>
        <w:tc>
          <w:tcPr>
            <w:tcW w:w="996" w:type="dxa"/>
          </w:tcPr>
          <w:p>
            <w:pPr>
              <w:pStyle w:val="TableParagraph"/>
              <w:ind w:right="106"/>
              <w:jc w:val="right"/>
              <w:rPr>
                <w:sz w:val="24"/>
              </w:rPr>
            </w:pPr>
            <w:r>
              <w:rPr>
                <w:spacing w:val="-2"/>
                <w:sz w:val="24"/>
              </w:rPr>
              <w:t>111.63</w:t>
            </w:r>
          </w:p>
        </w:tc>
        <w:tc>
          <w:tcPr>
            <w:tcW w:w="1116" w:type="dxa"/>
          </w:tcPr>
          <w:p>
            <w:pPr>
              <w:pStyle w:val="TableParagraph"/>
              <w:ind w:right="106"/>
              <w:jc w:val="right"/>
              <w:rPr>
                <w:sz w:val="24"/>
              </w:rPr>
            </w:pPr>
            <w:r>
              <w:rPr>
                <w:spacing w:val="-2"/>
                <w:sz w:val="24"/>
              </w:rPr>
              <w:t>188.82</w:t>
            </w:r>
          </w:p>
        </w:tc>
        <w:tc>
          <w:tcPr>
            <w:tcW w:w="962" w:type="dxa"/>
          </w:tcPr>
          <w:p>
            <w:pPr>
              <w:pStyle w:val="TableParagraph"/>
              <w:ind w:right="108"/>
              <w:jc w:val="right"/>
              <w:rPr>
                <w:sz w:val="24"/>
              </w:rPr>
            </w:pPr>
            <w:r>
              <w:rPr>
                <w:spacing w:val="-2"/>
                <w:sz w:val="24"/>
              </w:rPr>
              <w:t>0.995</w:t>
            </w:r>
          </w:p>
        </w:tc>
      </w:tr>
      <w:tr>
        <w:trPr>
          <w:trHeight w:val="288" w:hRule="atLeast"/>
        </w:trPr>
        <w:tc>
          <w:tcPr>
            <w:tcW w:w="1145" w:type="dxa"/>
          </w:tcPr>
          <w:p>
            <w:pPr>
              <w:pStyle w:val="TableParagraph"/>
              <w:ind w:right="207"/>
              <w:jc w:val="right"/>
              <w:rPr>
                <w:sz w:val="24"/>
              </w:rPr>
            </w:pPr>
            <w:r>
              <w:rPr>
                <w:spacing w:val="-5"/>
                <w:sz w:val="24"/>
              </w:rPr>
              <w:t>17</w:t>
            </w:r>
          </w:p>
        </w:tc>
        <w:tc>
          <w:tcPr>
            <w:tcW w:w="857" w:type="dxa"/>
          </w:tcPr>
          <w:p>
            <w:pPr>
              <w:pStyle w:val="TableParagraph"/>
              <w:ind w:right="106"/>
              <w:jc w:val="right"/>
              <w:rPr>
                <w:sz w:val="24"/>
              </w:rPr>
            </w:pPr>
            <w:r>
              <w:rPr>
                <w:spacing w:val="-2"/>
                <w:sz w:val="24"/>
              </w:rPr>
              <w:t>21.48</w:t>
            </w:r>
          </w:p>
        </w:tc>
        <w:tc>
          <w:tcPr>
            <w:tcW w:w="961" w:type="dxa"/>
          </w:tcPr>
          <w:p>
            <w:pPr>
              <w:pStyle w:val="TableParagraph"/>
              <w:ind w:right="106"/>
              <w:jc w:val="right"/>
              <w:rPr>
                <w:sz w:val="24"/>
              </w:rPr>
            </w:pPr>
            <w:r>
              <w:rPr>
                <w:spacing w:val="-2"/>
                <w:sz w:val="24"/>
              </w:rPr>
              <w:t>164.32</w:t>
            </w:r>
          </w:p>
        </w:tc>
        <w:tc>
          <w:tcPr>
            <w:tcW w:w="996" w:type="dxa"/>
          </w:tcPr>
          <w:p>
            <w:pPr>
              <w:pStyle w:val="TableParagraph"/>
              <w:ind w:right="106"/>
              <w:jc w:val="right"/>
              <w:rPr>
                <w:sz w:val="24"/>
              </w:rPr>
            </w:pPr>
            <w:r>
              <w:rPr>
                <w:spacing w:val="-2"/>
                <w:sz w:val="24"/>
              </w:rPr>
              <w:t>291.23</w:t>
            </w:r>
          </w:p>
        </w:tc>
        <w:tc>
          <w:tcPr>
            <w:tcW w:w="1116" w:type="dxa"/>
          </w:tcPr>
          <w:p>
            <w:pPr>
              <w:pStyle w:val="TableParagraph"/>
              <w:ind w:right="106"/>
              <w:jc w:val="right"/>
              <w:rPr>
                <w:sz w:val="24"/>
              </w:rPr>
            </w:pPr>
            <w:r>
              <w:rPr>
                <w:spacing w:val="-2"/>
                <w:sz w:val="24"/>
              </w:rPr>
              <w:t>872.22</w:t>
            </w:r>
          </w:p>
        </w:tc>
        <w:tc>
          <w:tcPr>
            <w:tcW w:w="962" w:type="dxa"/>
          </w:tcPr>
          <w:p>
            <w:pPr>
              <w:pStyle w:val="TableParagraph"/>
              <w:ind w:right="108"/>
              <w:jc w:val="right"/>
              <w:rPr>
                <w:sz w:val="24"/>
              </w:rPr>
            </w:pPr>
            <w:r>
              <w:rPr>
                <w:spacing w:val="-2"/>
                <w:sz w:val="24"/>
              </w:rPr>
              <w:t>0.958</w:t>
            </w:r>
          </w:p>
        </w:tc>
      </w:tr>
      <w:tr>
        <w:trPr>
          <w:trHeight w:val="288" w:hRule="atLeast"/>
        </w:trPr>
        <w:tc>
          <w:tcPr>
            <w:tcW w:w="1145" w:type="dxa"/>
          </w:tcPr>
          <w:p>
            <w:pPr>
              <w:pStyle w:val="TableParagraph"/>
              <w:ind w:right="207"/>
              <w:jc w:val="right"/>
              <w:rPr>
                <w:sz w:val="24"/>
              </w:rPr>
            </w:pPr>
            <w:r>
              <w:rPr>
                <w:spacing w:val="-5"/>
                <w:sz w:val="24"/>
              </w:rPr>
              <w:t>18</w:t>
            </w:r>
          </w:p>
        </w:tc>
        <w:tc>
          <w:tcPr>
            <w:tcW w:w="857" w:type="dxa"/>
          </w:tcPr>
          <w:p>
            <w:pPr>
              <w:pStyle w:val="TableParagraph"/>
              <w:ind w:right="106"/>
              <w:jc w:val="right"/>
              <w:rPr>
                <w:sz w:val="24"/>
              </w:rPr>
            </w:pPr>
            <w:r>
              <w:rPr>
                <w:spacing w:val="-2"/>
                <w:sz w:val="24"/>
              </w:rPr>
              <w:t>23.47</w:t>
            </w:r>
          </w:p>
        </w:tc>
        <w:tc>
          <w:tcPr>
            <w:tcW w:w="961" w:type="dxa"/>
          </w:tcPr>
          <w:p>
            <w:pPr>
              <w:pStyle w:val="TableParagraph"/>
              <w:ind w:right="106"/>
              <w:jc w:val="right"/>
              <w:rPr>
                <w:sz w:val="24"/>
              </w:rPr>
            </w:pPr>
            <w:r>
              <w:rPr>
                <w:spacing w:val="-2"/>
                <w:sz w:val="24"/>
              </w:rPr>
              <w:t>90.94</w:t>
            </w:r>
          </w:p>
        </w:tc>
        <w:tc>
          <w:tcPr>
            <w:tcW w:w="996" w:type="dxa"/>
          </w:tcPr>
          <w:p>
            <w:pPr>
              <w:pStyle w:val="TableParagraph"/>
              <w:ind w:right="106"/>
              <w:jc w:val="right"/>
              <w:rPr>
                <w:sz w:val="24"/>
              </w:rPr>
            </w:pPr>
            <w:r>
              <w:rPr>
                <w:spacing w:val="-2"/>
                <w:sz w:val="24"/>
              </w:rPr>
              <w:t>133.11</w:t>
            </w:r>
          </w:p>
        </w:tc>
        <w:tc>
          <w:tcPr>
            <w:tcW w:w="1116" w:type="dxa"/>
          </w:tcPr>
          <w:p>
            <w:pPr>
              <w:pStyle w:val="TableParagraph"/>
              <w:ind w:right="106"/>
              <w:jc w:val="right"/>
              <w:rPr>
                <w:sz w:val="24"/>
              </w:rPr>
            </w:pPr>
            <w:r>
              <w:rPr>
                <w:spacing w:val="-2"/>
                <w:sz w:val="24"/>
              </w:rPr>
              <w:t>276.27</w:t>
            </w:r>
          </w:p>
        </w:tc>
        <w:tc>
          <w:tcPr>
            <w:tcW w:w="962" w:type="dxa"/>
          </w:tcPr>
          <w:p>
            <w:pPr>
              <w:pStyle w:val="TableParagraph"/>
              <w:ind w:right="108"/>
              <w:jc w:val="right"/>
              <w:rPr>
                <w:sz w:val="24"/>
              </w:rPr>
            </w:pPr>
            <w:r>
              <w:rPr>
                <w:spacing w:val="-2"/>
                <w:sz w:val="24"/>
              </w:rPr>
              <w:t>0.996</w:t>
            </w:r>
          </w:p>
        </w:tc>
      </w:tr>
      <w:tr>
        <w:trPr>
          <w:trHeight w:val="288" w:hRule="atLeast"/>
        </w:trPr>
        <w:tc>
          <w:tcPr>
            <w:tcW w:w="1145" w:type="dxa"/>
          </w:tcPr>
          <w:p>
            <w:pPr>
              <w:pStyle w:val="TableParagraph"/>
              <w:ind w:right="207"/>
              <w:jc w:val="right"/>
              <w:rPr>
                <w:sz w:val="24"/>
              </w:rPr>
            </w:pPr>
            <w:r>
              <w:rPr>
                <w:spacing w:val="-5"/>
                <w:sz w:val="24"/>
              </w:rPr>
              <w:t>19</w:t>
            </w:r>
          </w:p>
        </w:tc>
        <w:tc>
          <w:tcPr>
            <w:tcW w:w="857" w:type="dxa"/>
          </w:tcPr>
          <w:p>
            <w:pPr>
              <w:pStyle w:val="TableParagraph"/>
              <w:ind w:right="106"/>
              <w:jc w:val="right"/>
              <w:rPr>
                <w:sz w:val="24"/>
              </w:rPr>
            </w:pPr>
            <w:r>
              <w:rPr>
                <w:spacing w:val="-2"/>
                <w:sz w:val="24"/>
              </w:rPr>
              <w:t>33.07</w:t>
            </w:r>
          </w:p>
        </w:tc>
        <w:tc>
          <w:tcPr>
            <w:tcW w:w="961" w:type="dxa"/>
          </w:tcPr>
          <w:p>
            <w:pPr>
              <w:pStyle w:val="TableParagraph"/>
              <w:ind w:right="106"/>
              <w:jc w:val="right"/>
              <w:rPr>
                <w:sz w:val="24"/>
              </w:rPr>
            </w:pPr>
            <w:r>
              <w:rPr>
                <w:spacing w:val="-2"/>
                <w:sz w:val="24"/>
              </w:rPr>
              <w:t>111.32</w:t>
            </w:r>
          </w:p>
        </w:tc>
        <w:tc>
          <w:tcPr>
            <w:tcW w:w="996" w:type="dxa"/>
          </w:tcPr>
          <w:p>
            <w:pPr>
              <w:pStyle w:val="TableParagraph"/>
              <w:ind w:right="106"/>
              <w:jc w:val="right"/>
              <w:rPr>
                <w:sz w:val="24"/>
              </w:rPr>
            </w:pPr>
            <w:r>
              <w:rPr>
                <w:spacing w:val="-2"/>
                <w:sz w:val="24"/>
              </w:rPr>
              <w:t>156.61</w:t>
            </w:r>
          </w:p>
        </w:tc>
        <w:tc>
          <w:tcPr>
            <w:tcW w:w="1116" w:type="dxa"/>
          </w:tcPr>
          <w:p>
            <w:pPr>
              <w:pStyle w:val="TableParagraph"/>
              <w:ind w:right="106"/>
              <w:jc w:val="right"/>
              <w:rPr>
                <w:sz w:val="24"/>
              </w:rPr>
            </w:pPr>
            <w:r>
              <w:rPr>
                <w:spacing w:val="-2"/>
                <w:sz w:val="24"/>
              </w:rPr>
              <w:t>301.28</w:t>
            </w:r>
          </w:p>
        </w:tc>
        <w:tc>
          <w:tcPr>
            <w:tcW w:w="962" w:type="dxa"/>
          </w:tcPr>
          <w:p>
            <w:pPr>
              <w:pStyle w:val="TableParagraph"/>
              <w:ind w:right="108"/>
              <w:jc w:val="right"/>
              <w:rPr>
                <w:sz w:val="24"/>
              </w:rPr>
            </w:pPr>
            <w:r>
              <w:rPr>
                <w:spacing w:val="-2"/>
                <w:sz w:val="24"/>
              </w:rPr>
              <w:t>0.982</w:t>
            </w:r>
          </w:p>
        </w:tc>
      </w:tr>
      <w:tr>
        <w:trPr>
          <w:trHeight w:val="287" w:hRule="atLeast"/>
        </w:trPr>
        <w:tc>
          <w:tcPr>
            <w:tcW w:w="1145" w:type="dxa"/>
          </w:tcPr>
          <w:p>
            <w:pPr>
              <w:pStyle w:val="TableParagraph"/>
              <w:ind w:right="207"/>
              <w:jc w:val="right"/>
              <w:rPr>
                <w:sz w:val="24"/>
              </w:rPr>
            </w:pPr>
            <w:r>
              <w:rPr>
                <w:spacing w:val="-5"/>
                <w:sz w:val="24"/>
              </w:rPr>
              <w:t>20</w:t>
            </w:r>
          </w:p>
        </w:tc>
        <w:tc>
          <w:tcPr>
            <w:tcW w:w="857" w:type="dxa"/>
          </w:tcPr>
          <w:p>
            <w:pPr>
              <w:pStyle w:val="TableParagraph"/>
              <w:ind w:right="106"/>
              <w:jc w:val="right"/>
              <w:rPr>
                <w:sz w:val="24"/>
              </w:rPr>
            </w:pPr>
            <w:r>
              <w:rPr>
                <w:spacing w:val="-2"/>
                <w:sz w:val="24"/>
              </w:rPr>
              <w:t>17.00</w:t>
            </w:r>
          </w:p>
        </w:tc>
        <w:tc>
          <w:tcPr>
            <w:tcW w:w="961" w:type="dxa"/>
          </w:tcPr>
          <w:p>
            <w:pPr>
              <w:pStyle w:val="TableParagraph"/>
              <w:ind w:right="106"/>
              <w:jc w:val="right"/>
              <w:rPr>
                <w:sz w:val="24"/>
              </w:rPr>
            </w:pPr>
            <w:r>
              <w:rPr>
                <w:spacing w:val="-2"/>
                <w:sz w:val="24"/>
              </w:rPr>
              <w:t>94.24</w:t>
            </w:r>
          </w:p>
        </w:tc>
        <w:tc>
          <w:tcPr>
            <w:tcW w:w="996" w:type="dxa"/>
          </w:tcPr>
          <w:p>
            <w:pPr>
              <w:pStyle w:val="TableParagraph"/>
              <w:ind w:right="106"/>
              <w:jc w:val="right"/>
              <w:rPr>
                <w:sz w:val="24"/>
              </w:rPr>
            </w:pPr>
            <w:r>
              <w:rPr>
                <w:spacing w:val="-2"/>
                <w:sz w:val="24"/>
              </w:rPr>
              <w:t>152.57</w:t>
            </w:r>
          </w:p>
        </w:tc>
        <w:tc>
          <w:tcPr>
            <w:tcW w:w="1116" w:type="dxa"/>
          </w:tcPr>
          <w:p>
            <w:pPr>
              <w:pStyle w:val="TableParagraph"/>
              <w:ind w:right="106"/>
              <w:jc w:val="right"/>
              <w:rPr>
                <w:sz w:val="24"/>
              </w:rPr>
            </w:pPr>
            <w:r>
              <w:rPr>
                <w:spacing w:val="-2"/>
                <w:sz w:val="24"/>
              </w:rPr>
              <w:t>384.09</w:t>
            </w:r>
          </w:p>
        </w:tc>
        <w:tc>
          <w:tcPr>
            <w:tcW w:w="962" w:type="dxa"/>
          </w:tcPr>
          <w:p>
            <w:pPr>
              <w:pStyle w:val="TableParagraph"/>
              <w:ind w:right="108"/>
              <w:jc w:val="right"/>
              <w:rPr>
                <w:sz w:val="24"/>
              </w:rPr>
            </w:pPr>
            <w:r>
              <w:rPr>
                <w:spacing w:val="-2"/>
                <w:sz w:val="24"/>
              </w:rPr>
              <w:t>0.888</w:t>
            </w:r>
          </w:p>
        </w:tc>
      </w:tr>
      <w:tr>
        <w:trPr>
          <w:trHeight w:val="284" w:hRule="atLeast"/>
        </w:trPr>
        <w:tc>
          <w:tcPr>
            <w:tcW w:w="1145" w:type="dxa"/>
            <w:tcBorders>
              <w:bottom w:val="single" w:sz="4" w:space="0" w:color="000000"/>
            </w:tcBorders>
          </w:tcPr>
          <w:p>
            <w:pPr>
              <w:pStyle w:val="TableParagraph"/>
              <w:spacing w:line="264" w:lineRule="exact"/>
              <w:ind w:right="208"/>
              <w:jc w:val="right"/>
              <w:rPr>
                <w:sz w:val="24"/>
              </w:rPr>
            </w:pPr>
            <w:r>
              <w:rPr>
                <w:spacing w:val="-2"/>
                <w:sz w:val="24"/>
              </w:rPr>
              <w:t>Average</w:t>
            </w:r>
          </w:p>
        </w:tc>
        <w:tc>
          <w:tcPr>
            <w:tcW w:w="857" w:type="dxa"/>
            <w:tcBorders>
              <w:bottom w:val="single" w:sz="4" w:space="0" w:color="000000"/>
            </w:tcBorders>
          </w:tcPr>
          <w:p>
            <w:pPr>
              <w:pStyle w:val="TableParagraph"/>
              <w:spacing w:line="264" w:lineRule="exact"/>
              <w:ind w:right="106"/>
              <w:jc w:val="right"/>
              <w:rPr>
                <w:sz w:val="24"/>
              </w:rPr>
            </w:pPr>
            <w:r>
              <w:rPr>
                <w:spacing w:val="-2"/>
                <w:sz w:val="24"/>
              </w:rPr>
              <w:t>38.97</w:t>
            </w:r>
          </w:p>
        </w:tc>
        <w:tc>
          <w:tcPr>
            <w:tcW w:w="961" w:type="dxa"/>
            <w:tcBorders>
              <w:bottom w:val="single" w:sz="4" w:space="0" w:color="000000"/>
            </w:tcBorders>
          </w:tcPr>
          <w:p>
            <w:pPr>
              <w:pStyle w:val="TableParagraph"/>
              <w:spacing w:line="264" w:lineRule="exact"/>
              <w:ind w:right="106"/>
              <w:jc w:val="right"/>
              <w:rPr>
                <w:sz w:val="24"/>
              </w:rPr>
            </w:pPr>
            <w:r>
              <w:rPr>
                <w:spacing w:val="-2"/>
                <w:sz w:val="24"/>
              </w:rPr>
              <w:t>251.70</w:t>
            </w:r>
          </w:p>
        </w:tc>
        <w:tc>
          <w:tcPr>
            <w:tcW w:w="996" w:type="dxa"/>
            <w:tcBorders>
              <w:bottom w:val="single" w:sz="4" w:space="0" w:color="000000"/>
            </w:tcBorders>
          </w:tcPr>
          <w:p>
            <w:pPr>
              <w:pStyle w:val="TableParagraph"/>
              <w:spacing w:line="264" w:lineRule="exact"/>
              <w:ind w:right="106"/>
              <w:jc w:val="right"/>
              <w:rPr>
                <w:sz w:val="24"/>
              </w:rPr>
            </w:pPr>
            <w:r>
              <w:rPr>
                <w:spacing w:val="-2"/>
                <w:sz w:val="24"/>
              </w:rPr>
              <w:t>455.11</w:t>
            </w:r>
          </w:p>
        </w:tc>
        <w:tc>
          <w:tcPr>
            <w:tcW w:w="1116" w:type="dxa"/>
            <w:tcBorders>
              <w:bottom w:val="single" w:sz="4" w:space="0" w:color="000000"/>
            </w:tcBorders>
          </w:tcPr>
          <w:p>
            <w:pPr>
              <w:pStyle w:val="TableParagraph"/>
              <w:spacing w:line="264" w:lineRule="exact"/>
              <w:ind w:right="106"/>
              <w:jc w:val="right"/>
              <w:rPr>
                <w:sz w:val="24"/>
              </w:rPr>
            </w:pPr>
            <w:r>
              <w:rPr>
                <w:spacing w:val="-2"/>
                <w:sz w:val="24"/>
              </w:rPr>
              <w:t>1624.86</w:t>
            </w:r>
          </w:p>
        </w:tc>
        <w:tc>
          <w:tcPr>
            <w:tcW w:w="962" w:type="dxa"/>
            <w:tcBorders>
              <w:bottom w:val="single" w:sz="4" w:space="0" w:color="000000"/>
            </w:tcBorders>
          </w:tcPr>
          <w:p>
            <w:pPr>
              <w:pStyle w:val="TableParagraph"/>
              <w:spacing w:line="240" w:lineRule="auto" w:before="0"/>
              <w:jc w:val="left"/>
              <w:rPr>
                <w:sz w:val="20"/>
              </w:rPr>
            </w:pPr>
          </w:p>
        </w:tc>
      </w:tr>
    </w:tbl>
    <w:p>
      <w:pPr>
        <w:spacing w:after="0" w:line="240" w:lineRule="auto"/>
        <w:jc w:val="left"/>
        <w:rPr>
          <w:sz w:val="20"/>
        </w:rPr>
        <w:sectPr>
          <w:pgSz w:w="11910" w:h="16840"/>
          <w:pgMar w:header="0" w:footer="1254" w:top="1360" w:bottom="1440" w:left="1180" w:right="580"/>
        </w:sectPr>
      </w:pPr>
    </w:p>
    <w:p>
      <w:pPr>
        <w:spacing w:before="61"/>
        <w:ind w:left="260" w:right="0" w:firstLine="0"/>
        <w:jc w:val="left"/>
        <w:rPr>
          <w:b/>
          <w:sz w:val="24"/>
        </w:rPr>
      </w:pPr>
      <w:r>
        <w:rPr>
          <w:b/>
          <w:sz w:val="24"/>
        </w:rPr>
        <w:t>Table</w:t>
      </w:r>
      <w:r>
        <w:rPr>
          <w:b/>
          <w:spacing w:val="-4"/>
          <w:sz w:val="24"/>
        </w:rPr>
        <w:t> </w:t>
      </w:r>
      <w:r>
        <w:rPr>
          <w:b/>
          <w:sz w:val="24"/>
        </w:rPr>
        <w:t>4.11:</w:t>
      </w:r>
      <w:r>
        <w:rPr>
          <w:b/>
          <w:spacing w:val="-3"/>
          <w:sz w:val="24"/>
        </w:rPr>
        <w:t> </w:t>
      </w:r>
      <w:r>
        <w:rPr>
          <w:b/>
          <w:i/>
          <w:sz w:val="24"/>
        </w:rPr>
        <w:t>In</w:t>
      </w:r>
      <w:r>
        <w:rPr>
          <w:b/>
          <w:i/>
          <w:spacing w:val="-2"/>
          <w:sz w:val="24"/>
        </w:rPr>
        <w:t> </w:t>
      </w:r>
      <w:r>
        <w:rPr>
          <w:b/>
          <w:i/>
          <w:sz w:val="24"/>
        </w:rPr>
        <w:t>vitro</w:t>
      </w:r>
      <w:r>
        <w:rPr>
          <w:b/>
          <w:i/>
          <w:spacing w:val="-2"/>
          <w:sz w:val="24"/>
        </w:rPr>
        <w:t> </w:t>
      </w:r>
      <w:r>
        <w:rPr>
          <w:b/>
          <w:sz w:val="24"/>
        </w:rPr>
        <w:t>Susceptibility</w:t>
      </w:r>
      <w:r>
        <w:rPr>
          <w:b/>
          <w:spacing w:val="-2"/>
          <w:sz w:val="24"/>
        </w:rPr>
        <w:t> </w:t>
      </w:r>
      <w:r>
        <w:rPr>
          <w:b/>
          <w:sz w:val="24"/>
        </w:rPr>
        <w:t>of </w:t>
      </w:r>
      <w:r>
        <w:rPr>
          <w:b/>
          <w:i/>
          <w:sz w:val="24"/>
        </w:rPr>
        <w:t>P.</w:t>
      </w:r>
      <w:r>
        <w:rPr>
          <w:b/>
          <w:i/>
          <w:spacing w:val="-2"/>
          <w:sz w:val="24"/>
        </w:rPr>
        <w:t> </w:t>
      </w:r>
      <w:r>
        <w:rPr>
          <w:b/>
          <w:i/>
          <w:sz w:val="24"/>
        </w:rPr>
        <w:t>falciparum </w:t>
      </w:r>
      <w:r>
        <w:rPr>
          <w:b/>
          <w:sz w:val="24"/>
        </w:rPr>
        <w:t>isolates</w:t>
      </w:r>
      <w:r>
        <w:rPr>
          <w:b/>
          <w:spacing w:val="-2"/>
          <w:sz w:val="24"/>
        </w:rPr>
        <w:t> </w:t>
      </w:r>
      <w:r>
        <w:rPr>
          <w:b/>
          <w:sz w:val="24"/>
        </w:rPr>
        <w:t>to</w:t>
      </w:r>
      <w:r>
        <w:rPr>
          <w:b/>
          <w:spacing w:val="-2"/>
          <w:sz w:val="24"/>
        </w:rPr>
        <w:t> </w:t>
      </w:r>
      <w:r>
        <w:rPr>
          <w:b/>
          <w:sz w:val="24"/>
        </w:rPr>
        <w:t>selected</w:t>
      </w:r>
      <w:r>
        <w:rPr>
          <w:b/>
          <w:spacing w:val="-2"/>
          <w:sz w:val="24"/>
        </w:rPr>
        <w:t> </w:t>
      </w:r>
      <w:r>
        <w:rPr>
          <w:b/>
          <w:sz w:val="24"/>
        </w:rPr>
        <w:t>antimalarial</w:t>
      </w:r>
      <w:r>
        <w:rPr>
          <w:b/>
          <w:spacing w:val="-1"/>
          <w:sz w:val="24"/>
        </w:rPr>
        <w:t> </w:t>
      </w:r>
      <w:r>
        <w:rPr>
          <w:b/>
          <w:spacing w:val="-2"/>
          <w:sz w:val="24"/>
        </w:rPr>
        <w:t>drugs</w:t>
      </w:r>
    </w:p>
    <w:p>
      <w:pPr>
        <w:pStyle w:val="BodyText"/>
        <w:spacing w:before="13"/>
        <w:rPr>
          <w:b/>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5"/>
        <w:gridCol w:w="5256"/>
      </w:tblGrid>
      <w:tr>
        <w:trPr>
          <w:trHeight w:val="551" w:hRule="atLeast"/>
        </w:trPr>
        <w:tc>
          <w:tcPr>
            <w:tcW w:w="3995" w:type="dxa"/>
            <w:tcBorders>
              <w:top w:val="single" w:sz="4" w:space="0" w:color="000000"/>
              <w:bottom w:val="single" w:sz="4" w:space="0" w:color="000000"/>
            </w:tcBorders>
          </w:tcPr>
          <w:p>
            <w:pPr>
              <w:pStyle w:val="TableParagraph"/>
              <w:spacing w:line="268" w:lineRule="exact" w:before="0"/>
              <w:ind w:left="115"/>
              <w:jc w:val="left"/>
              <w:rPr>
                <w:sz w:val="24"/>
              </w:rPr>
            </w:pPr>
            <w:r>
              <w:rPr>
                <w:sz w:val="24"/>
              </w:rPr>
              <w:t>Antimalarial</w:t>
            </w:r>
            <w:r>
              <w:rPr>
                <w:spacing w:val="-3"/>
                <w:sz w:val="24"/>
              </w:rPr>
              <w:t> </w:t>
            </w:r>
            <w:r>
              <w:rPr>
                <w:spacing w:val="-4"/>
                <w:sz w:val="24"/>
              </w:rPr>
              <w:t>drugs</w:t>
            </w:r>
          </w:p>
        </w:tc>
        <w:tc>
          <w:tcPr>
            <w:tcW w:w="5256" w:type="dxa"/>
            <w:tcBorders>
              <w:top w:val="single" w:sz="4" w:space="0" w:color="000000"/>
              <w:bottom w:val="single" w:sz="4" w:space="0" w:color="000000"/>
            </w:tcBorders>
          </w:tcPr>
          <w:p>
            <w:pPr>
              <w:pStyle w:val="TableParagraph"/>
              <w:spacing w:line="268" w:lineRule="exact" w:before="0"/>
              <w:ind w:left="741"/>
              <w:jc w:val="left"/>
              <w:rPr>
                <w:sz w:val="24"/>
              </w:rPr>
            </w:pPr>
            <w:r>
              <w:rPr>
                <w:sz w:val="24"/>
              </w:rPr>
              <w:t>Total number</w:t>
            </w:r>
            <w:r>
              <w:rPr>
                <w:spacing w:val="-2"/>
                <w:sz w:val="24"/>
              </w:rPr>
              <w:t> </w:t>
            </w:r>
            <w:r>
              <w:rPr>
                <w:sz w:val="24"/>
              </w:rPr>
              <w:t>of</w:t>
            </w:r>
            <w:r>
              <w:rPr>
                <w:spacing w:val="-1"/>
                <w:sz w:val="24"/>
              </w:rPr>
              <w:t> </w:t>
            </w:r>
            <w:r>
              <w:rPr>
                <w:i/>
                <w:sz w:val="24"/>
              </w:rPr>
              <w:t>P. falciparum </w:t>
            </w:r>
            <w:r>
              <w:rPr>
                <w:spacing w:val="-2"/>
                <w:sz w:val="24"/>
              </w:rPr>
              <w:t>isolates</w:t>
            </w:r>
          </w:p>
          <w:p>
            <w:pPr>
              <w:pStyle w:val="TableParagraph"/>
              <w:spacing w:line="264" w:lineRule="exact" w:before="0"/>
              <w:ind w:left="741"/>
              <w:jc w:val="left"/>
              <w:rPr>
                <w:sz w:val="24"/>
              </w:rPr>
            </w:pPr>
            <w:r>
              <w:rPr>
                <w:sz w:val="24"/>
              </w:rPr>
              <w:t>susceptible</w:t>
            </w:r>
            <w:r>
              <w:rPr>
                <w:spacing w:val="-2"/>
                <w:sz w:val="24"/>
              </w:rPr>
              <w:t> </w:t>
            </w:r>
            <w:r>
              <w:rPr>
                <w:spacing w:val="-5"/>
                <w:sz w:val="24"/>
              </w:rPr>
              <w:t>(%)</w:t>
            </w:r>
          </w:p>
        </w:tc>
      </w:tr>
      <w:tr>
        <w:trPr>
          <w:trHeight w:val="410" w:hRule="atLeast"/>
        </w:trPr>
        <w:tc>
          <w:tcPr>
            <w:tcW w:w="3995" w:type="dxa"/>
            <w:tcBorders>
              <w:top w:val="single" w:sz="4" w:space="0" w:color="000000"/>
            </w:tcBorders>
          </w:tcPr>
          <w:p>
            <w:pPr>
              <w:pStyle w:val="TableParagraph"/>
              <w:spacing w:line="268" w:lineRule="exact" w:before="0"/>
              <w:ind w:left="115"/>
              <w:jc w:val="left"/>
              <w:rPr>
                <w:sz w:val="24"/>
              </w:rPr>
            </w:pPr>
            <w:r>
              <w:rPr>
                <w:sz w:val="24"/>
              </w:rPr>
              <w:t>Chloroquine</w:t>
            </w:r>
            <w:r>
              <w:rPr>
                <w:spacing w:val="-1"/>
                <w:sz w:val="24"/>
              </w:rPr>
              <w:t> </w:t>
            </w:r>
            <w:r>
              <w:rPr>
                <w:spacing w:val="-2"/>
                <w:sz w:val="24"/>
              </w:rPr>
              <w:t>(n=20)</w:t>
            </w:r>
          </w:p>
        </w:tc>
        <w:tc>
          <w:tcPr>
            <w:tcW w:w="5256" w:type="dxa"/>
            <w:tcBorders>
              <w:top w:val="single" w:sz="4" w:space="0" w:color="000000"/>
            </w:tcBorders>
          </w:tcPr>
          <w:p>
            <w:pPr>
              <w:pStyle w:val="TableParagraph"/>
              <w:spacing w:line="268" w:lineRule="exact" w:before="0"/>
              <w:ind w:left="741"/>
              <w:jc w:val="left"/>
              <w:rPr>
                <w:sz w:val="24"/>
              </w:rPr>
            </w:pPr>
            <w:r>
              <w:rPr>
                <w:sz w:val="24"/>
              </w:rPr>
              <w:t>5 </w:t>
            </w:r>
            <w:r>
              <w:rPr>
                <w:spacing w:val="-5"/>
                <w:sz w:val="24"/>
              </w:rPr>
              <w:t>(1)</w:t>
            </w:r>
          </w:p>
        </w:tc>
      </w:tr>
      <w:tr>
        <w:trPr>
          <w:trHeight w:val="551" w:hRule="atLeast"/>
        </w:trPr>
        <w:tc>
          <w:tcPr>
            <w:tcW w:w="3995" w:type="dxa"/>
          </w:tcPr>
          <w:p>
            <w:pPr>
              <w:pStyle w:val="TableParagraph"/>
              <w:spacing w:line="240" w:lineRule="auto" w:before="133"/>
              <w:ind w:left="115"/>
              <w:jc w:val="left"/>
              <w:rPr>
                <w:sz w:val="24"/>
              </w:rPr>
            </w:pPr>
            <w:r>
              <w:rPr>
                <w:sz w:val="24"/>
              </w:rPr>
              <w:t>Amodiaquine</w:t>
            </w:r>
            <w:r>
              <w:rPr>
                <w:spacing w:val="-1"/>
                <w:sz w:val="24"/>
              </w:rPr>
              <w:t> </w:t>
            </w:r>
            <w:r>
              <w:rPr>
                <w:spacing w:val="-2"/>
                <w:sz w:val="24"/>
              </w:rPr>
              <w:t>(n=20)</w:t>
            </w:r>
          </w:p>
        </w:tc>
        <w:tc>
          <w:tcPr>
            <w:tcW w:w="5256" w:type="dxa"/>
          </w:tcPr>
          <w:p>
            <w:pPr>
              <w:pStyle w:val="TableParagraph"/>
              <w:spacing w:line="240" w:lineRule="auto" w:before="133"/>
              <w:ind w:left="741"/>
              <w:jc w:val="left"/>
              <w:rPr>
                <w:sz w:val="24"/>
              </w:rPr>
            </w:pPr>
            <w:r>
              <w:rPr>
                <w:sz w:val="24"/>
              </w:rPr>
              <w:t>65 </w:t>
            </w:r>
            <w:r>
              <w:rPr>
                <w:spacing w:val="-4"/>
                <w:sz w:val="24"/>
              </w:rPr>
              <w:t>(13)</w:t>
            </w:r>
          </w:p>
        </w:tc>
      </w:tr>
      <w:tr>
        <w:trPr>
          <w:trHeight w:val="1245" w:hRule="atLeast"/>
        </w:trPr>
        <w:tc>
          <w:tcPr>
            <w:tcW w:w="3995" w:type="dxa"/>
            <w:tcBorders>
              <w:bottom w:val="single" w:sz="4" w:space="0" w:color="000000"/>
            </w:tcBorders>
          </w:tcPr>
          <w:p>
            <w:pPr>
              <w:pStyle w:val="TableParagraph"/>
              <w:spacing w:line="240" w:lineRule="auto" w:before="133"/>
              <w:ind w:left="115"/>
              <w:jc w:val="left"/>
              <w:rPr>
                <w:sz w:val="24"/>
              </w:rPr>
            </w:pPr>
            <w:r>
              <w:rPr>
                <w:sz w:val="24"/>
              </w:rPr>
              <w:t>Artesunate</w:t>
            </w:r>
            <w:r>
              <w:rPr>
                <w:spacing w:val="-4"/>
                <w:sz w:val="24"/>
              </w:rPr>
              <w:t> </w:t>
            </w:r>
            <w:r>
              <w:rPr>
                <w:spacing w:val="-2"/>
                <w:sz w:val="24"/>
              </w:rPr>
              <w:t>(n=20)</w:t>
            </w:r>
          </w:p>
          <w:p>
            <w:pPr>
              <w:pStyle w:val="TableParagraph"/>
              <w:spacing w:line="240" w:lineRule="auto" w:before="276"/>
              <w:ind w:left="115"/>
              <w:jc w:val="left"/>
              <w:rPr>
                <w:sz w:val="24"/>
              </w:rPr>
            </w:pPr>
            <w:r>
              <w:rPr>
                <w:sz w:val="24"/>
              </w:rPr>
              <w:t>Artesunate-Amodiaquine</w:t>
            </w:r>
            <w:r>
              <w:rPr>
                <w:spacing w:val="-3"/>
                <w:sz w:val="24"/>
              </w:rPr>
              <w:t> </w:t>
            </w:r>
            <w:r>
              <w:rPr>
                <w:spacing w:val="-2"/>
                <w:sz w:val="24"/>
              </w:rPr>
              <w:t>(n=20)</w:t>
            </w:r>
          </w:p>
        </w:tc>
        <w:tc>
          <w:tcPr>
            <w:tcW w:w="5256" w:type="dxa"/>
            <w:tcBorders>
              <w:bottom w:val="single" w:sz="4" w:space="0" w:color="000000"/>
            </w:tcBorders>
          </w:tcPr>
          <w:p>
            <w:pPr>
              <w:pStyle w:val="TableParagraph"/>
              <w:spacing w:line="240" w:lineRule="auto" w:before="133"/>
              <w:ind w:left="741"/>
              <w:jc w:val="left"/>
              <w:rPr>
                <w:sz w:val="24"/>
              </w:rPr>
            </w:pPr>
            <w:r>
              <w:rPr>
                <w:sz w:val="24"/>
              </w:rPr>
              <w:t>25 </w:t>
            </w:r>
            <w:r>
              <w:rPr>
                <w:spacing w:val="-5"/>
                <w:sz w:val="24"/>
              </w:rPr>
              <w:t>(5)</w:t>
            </w:r>
          </w:p>
          <w:p>
            <w:pPr>
              <w:pStyle w:val="TableParagraph"/>
              <w:spacing w:line="240" w:lineRule="auto" w:before="276"/>
              <w:ind w:left="741"/>
              <w:jc w:val="left"/>
              <w:rPr>
                <w:sz w:val="24"/>
              </w:rPr>
            </w:pPr>
            <w:r>
              <w:rPr>
                <w:sz w:val="24"/>
              </w:rPr>
              <w:t>95 </w:t>
            </w:r>
            <w:r>
              <w:rPr>
                <w:spacing w:val="-4"/>
                <w:sz w:val="24"/>
              </w:rPr>
              <w:t>(19)</w:t>
            </w:r>
          </w:p>
        </w:tc>
      </w:tr>
    </w:tbl>
    <w:p>
      <w:pPr>
        <w:spacing w:after="0" w:line="240" w:lineRule="auto"/>
        <w:jc w:val="left"/>
        <w:rPr>
          <w:sz w:val="24"/>
        </w:rPr>
        <w:sectPr>
          <w:pgSz w:w="11910" w:h="16840"/>
          <w:pgMar w:header="0" w:footer="1254" w:top="1360" w:bottom="1440" w:left="1180" w:right="580"/>
        </w:sectPr>
      </w:pPr>
    </w:p>
    <w:p>
      <w:pPr>
        <w:pStyle w:val="Heading2"/>
        <w:numPr>
          <w:ilvl w:val="1"/>
          <w:numId w:val="15"/>
        </w:numPr>
        <w:tabs>
          <w:tab w:pos="620" w:val="left" w:leader="none"/>
        </w:tabs>
        <w:spacing w:line="240" w:lineRule="auto" w:before="78" w:after="0"/>
        <w:ind w:left="620" w:right="0" w:hanging="360"/>
        <w:jc w:val="both"/>
      </w:pPr>
      <w:bookmarkStart w:name="_TOC_250007" w:id="41"/>
      <w:r>
        <w:rPr/>
        <w:t>Molecular</w:t>
      </w:r>
      <w:r>
        <w:rPr>
          <w:spacing w:val="-5"/>
        </w:rPr>
        <w:t> </w:t>
      </w:r>
      <w:bookmarkEnd w:id="41"/>
      <w:r>
        <w:rPr>
          <w:spacing w:val="-2"/>
        </w:rPr>
        <w:t>Analysis</w:t>
      </w:r>
    </w:p>
    <w:p>
      <w:pPr>
        <w:pStyle w:val="BodyText"/>
        <w:spacing w:line="480" w:lineRule="auto" w:before="272"/>
        <w:ind w:left="260" w:right="855"/>
        <w:jc w:val="both"/>
      </w:pPr>
      <w:r>
        <w:rPr/>
        <w:t>The DNA of sixteen (16) </w:t>
      </w:r>
      <w:r>
        <w:rPr>
          <w:i/>
        </w:rPr>
        <w:t>Plasmodium falciparum </w:t>
      </w:r>
      <w:r>
        <w:rPr/>
        <w:t>parasite isolates were extracted and displayed in Appendix VIII, Plate I. Twelve (12) isolates have high concentration of DNA bands. Chloroquine Transporter (</w:t>
      </w:r>
      <w:r>
        <w:rPr>
          <w:i/>
        </w:rPr>
        <w:t>Pfcrt</w:t>
      </w:r>
      <w:r>
        <w:rPr/>
        <w:t>- RA) (1.6 kb) and Chloroquine (76 bp) is presented in Appendix VIII, Plate II. Eleven (11) </w:t>
      </w:r>
      <w:r>
        <w:rPr>
          <w:i/>
        </w:rPr>
        <w:t>Plasmodium falciparum </w:t>
      </w:r>
      <w:r>
        <w:rPr/>
        <w:t>parasite isolates were observed and displayed, had Chloroquine resistant gene which amplified around 76 bp. Fifteen (15) </w:t>
      </w:r>
      <w:r>
        <w:rPr>
          <w:i/>
        </w:rPr>
        <w:t>Plasmodium falciparum </w:t>
      </w:r>
      <w:r>
        <w:rPr/>
        <w:t>parasite isolates were observed to possess resistant </w:t>
      </w:r>
      <w:r>
        <w:rPr>
          <w:i/>
        </w:rPr>
        <w:t>Pfcrt</w:t>
      </w:r>
      <w:r>
        <w:rPr/>
        <w:t>/FB (76T) gene (Appendix VIII, Plate III) which amplified around 76 bp. Thirteen (13) </w:t>
      </w:r>
      <w:r>
        <w:rPr>
          <w:i/>
        </w:rPr>
        <w:t>Plasmodium falciparum </w:t>
      </w:r>
      <w:r>
        <w:rPr/>
        <w:t>parasite isolates were observed to possess multi-antimalarial drug resistant </w:t>
      </w:r>
      <w:r>
        <w:rPr>
          <w:i/>
        </w:rPr>
        <w:t>Pfcrt</w:t>
      </w:r>
      <w:r>
        <w:rPr/>
        <w:t>/FB (76K) gene which amplified around 76 bp (Appendix VIII, Plate VI).</w:t>
      </w:r>
      <w:r>
        <w:rPr>
          <w:spacing w:val="40"/>
        </w:rPr>
        <w:t> </w:t>
      </w:r>
      <w:r>
        <w:rPr/>
        <w:t>The multi- antimalarial drug resistance Gene </w:t>
      </w:r>
      <w:r>
        <w:rPr>
          <w:i/>
        </w:rPr>
        <w:t>Pf</w:t>
      </w:r>
      <w:r>
        <w:rPr/>
        <w:t>ATPase for Artemisinin derivatives is presented in Appendix</w:t>
      </w:r>
      <w:r>
        <w:rPr>
          <w:spacing w:val="-2"/>
        </w:rPr>
        <w:t> </w:t>
      </w:r>
      <w:r>
        <w:rPr/>
        <w:t>VIII,</w:t>
      </w:r>
      <w:r>
        <w:rPr>
          <w:spacing w:val="-2"/>
        </w:rPr>
        <w:t> </w:t>
      </w:r>
      <w:r>
        <w:rPr/>
        <w:t>Plate</w:t>
      </w:r>
      <w:r>
        <w:rPr>
          <w:spacing w:val="-3"/>
        </w:rPr>
        <w:t> </w:t>
      </w:r>
      <w:r>
        <w:rPr/>
        <w:t>V.</w:t>
      </w:r>
      <w:r>
        <w:rPr>
          <w:spacing w:val="40"/>
        </w:rPr>
        <w:t> </w:t>
      </w:r>
      <w:r>
        <w:rPr/>
        <w:t>Twelve</w:t>
      </w:r>
      <w:r>
        <w:rPr>
          <w:spacing w:val="-3"/>
        </w:rPr>
        <w:t> </w:t>
      </w:r>
      <w:r>
        <w:rPr/>
        <w:t>(12)</w:t>
      </w:r>
      <w:r>
        <w:rPr>
          <w:spacing w:val="-4"/>
        </w:rPr>
        <w:t> </w:t>
      </w:r>
      <w:r>
        <w:rPr>
          <w:i/>
        </w:rPr>
        <w:t>Plasmodium</w:t>
      </w:r>
      <w:r>
        <w:rPr>
          <w:i/>
          <w:spacing w:val="-2"/>
        </w:rPr>
        <w:t> </w:t>
      </w:r>
      <w:r>
        <w:rPr>
          <w:i/>
        </w:rPr>
        <w:t>falciparum</w:t>
      </w:r>
      <w:r>
        <w:rPr>
          <w:i/>
          <w:spacing w:val="-3"/>
        </w:rPr>
        <w:t> </w:t>
      </w:r>
      <w:r>
        <w:rPr/>
        <w:t>parasite</w:t>
      </w:r>
      <w:r>
        <w:rPr>
          <w:spacing w:val="-4"/>
        </w:rPr>
        <w:t> </w:t>
      </w:r>
      <w:r>
        <w:rPr/>
        <w:t>isolates</w:t>
      </w:r>
      <w:r>
        <w:rPr>
          <w:spacing w:val="-3"/>
        </w:rPr>
        <w:t> </w:t>
      </w:r>
      <w:r>
        <w:rPr/>
        <w:t>were</w:t>
      </w:r>
      <w:r>
        <w:rPr>
          <w:spacing w:val="-3"/>
        </w:rPr>
        <w:t> </w:t>
      </w:r>
      <w:r>
        <w:rPr/>
        <w:t>observed to</w:t>
      </w:r>
      <w:r>
        <w:rPr>
          <w:spacing w:val="-2"/>
        </w:rPr>
        <w:t> </w:t>
      </w:r>
      <w:r>
        <w:rPr/>
        <w:t>possess</w:t>
      </w:r>
      <w:r>
        <w:rPr>
          <w:spacing w:val="-2"/>
        </w:rPr>
        <w:t> </w:t>
      </w:r>
      <w:r>
        <w:rPr/>
        <w:t>resistant</w:t>
      </w:r>
      <w:r>
        <w:rPr>
          <w:spacing w:val="-2"/>
        </w:rPr>
        <w:t> </w:t>
      </w:r>
      <w:r>
        <w:rPr>
          <w:i/>
        </w:rPr>
        <w:t>Pf</w:t>
      </w:r>
      <w:r>
        <w:rPr/>
        <w:t>ATPase</w:t>
      </w:r>
      <w:r>
        <w:rPr>
          <w:spacing w:val="-3"/>
        </w:rPr>
        <w:t> </w:t>
      </w:r>
      <w:r>
        <w:rPr/>
        <w:t>gene</w:t>
      </w:r>
      <w:r>
        <w:rPr>
          <w:spacing w:val="-3"/>
        </w:rPr>
        <w:t> </w:t>
      </w:r>
      <w:r>
        <w:rPr/>
        <w:t>which</w:t>
      </w:r>
      <w:r>
        <w:rPr>
          <w:spacing w:val="-2"/>
        </w:rPr>
        <w:t> </w:t>
      </w:r>
      <w:r>
        <w:rPr/>
        <w:t>amplified</w:t>
      </w:r>
      <w:r>
        <w:rPr>
          <w:spacing w:val="-2"/>
        </w:rPr>
        <w:t> </w:t>
      </w:r>
      <w:r>
        <w:rPr/>
        <w:t>around</w:t>
      </w:r>
      <w:r>
        <w:rPr>
          <w:spacing w:val="-3"/>
        </w:rPr>
        <w:t> </w:t>
      </w:r>
      <w:r>
        <w:rPr/>
        <w:t>432</w:t>
      </w:r>
      <w:r>
        <w:rPr>
          <w:spacing w:val="-2"/>
        </w:rPr>
        <w:t> </w:t>
      </w:r>
      <w:r>
        <w:rPr/>
        <w:t>bp.</w:t>
      </w:r>
      <w:r>
        <w:rPr>
          <w:spacing w:val="-2"/>
        </w:rPr>
        <w:t> </w:t>
      </w:r>
      <w:r>
        <w:rPr/>
        <w:t>The</w:t>
      </w:r>
      <w:r>
        <w:rPr>
          <w:spacing w:val="-3"/>
        </w:rPr>
        <w:t> </w:t>
      </w:r>
      <w:r>
        <w:rPr/>
        <w:t>base</w:t>
      </w:r>
      <w:r>
        <w:rPr>
          <w:spacing w:val="-3"/>
        </w:rPr>
        <w:t> </w:t>
      </w:r>
      <w:r>
        <w:rPr/>
        <w:t>pair</w:t>
      </w:r>
      <w:r>
        <w:rPr>
          <w:spacing w:val="-2"/>
        </w:rPr>
        <w:t> </w:t>
      </w:r>
      <w:r>
        <w:rPr/>
        <w:t>(bP)</w:t>
      </w:r>
      <w:r>
        <w:rPr>
          <w:spacing w:val="-1"/>
        </w:rPr>
        <w:t> </w:t>
      </w:r>
      <w:r>
        <w:rPr/>
        <w:t>for</w:t>
      </w:r>
      <w:r>
        <w:rPr>
          <w:spacing w:val="-4"/>
        </w:rPr>
        <w:t> </w:t>
      </w:r>
      <w:r>
        <w:rPr/>
        <w:t>the resistant Gene is presented in Table 4.12.</w:t>
      </w:r>
    </w:p>
    <w:p>
      <w:pPr>
        <w:spacing w:after="0" w:line="480" w:lineRule="auto"/>
        <w:jc w:val="both"/>
        <w:sectPr>
          <w:pgSz w:w="11910" w:h="16840"/>
          <w:pgMar w:header="0" w:footer="1254" w:top="1340" w:bottom="1440" w:left="1180" w:right="580"/>
        </w:sectPr>
      </w:pPr>
    </w:p>
    <w:p>
      <w:pPr>
        <w:pStyle w:val="Heading2"/>
        <w:spacing w:before="73"/>
        <w:jc w:val="left"/>
      </w:pPr>
      <w:r>
        <w:rPr/>
        <w:t>Table</w:t>
      </w:r>
      <w:r>
        <w:rPr>
          <w:spacing w:val="-2"/>
        </w:rPr>
        <w:t> </w:t>
      </w:r>
      <w:r>
        <w:rPr/>
        <w:t>4.12:</w:t>
      </w:r>
      <w:r>
        <w:rPr>
          <w:spacing w:val="-2"/>
        </w:rPr>
        <w:t> </w:t>
      </w:r>
      <w:r>
        <w:rPr/>
        <w:t>Molecular</w:t>
      </w:r>
      <w:r>
        <w:rPr>
          <w:spacing w:val="-1"/>
        </w:rPr>
        <w:t> </w:t>
      </w:r>
      <w:r>
        <w:rPr/>
        <w:t>analysis</w:t>
      </w:r>
      <w:r>
        <w:rPr>
          <w:spacing w:val="-2"/>
        </w:rPr>
        <w:t> </w:t>
      </w:r>
      <w:r>
        <w:rPr/>
        <w:t>of the</w:t>
      </w:r>
      <w:r>
        <w:rPr>
          <w:spacing w:val="-2"/>
        </w:rPr>
        <w:t> </w:t>
      </w:r>
      <w:r>
        <w:rPr/>
        <w:t>base</w:t>
      </w:r>
      <w:r>
        <w:rPr>
          <w:spacing w:val="-1"/>
        </w:rPr>
        <w:t> </w:t>
      </w:r>
      <w:r>
        <w:rPr/>
        <w:t>pairs</w:t>
      </w:r>
      <w:r>
        <w:rPr>
          <w:spacing w:val="-3"/>
        </w:rPr>
        <w:t> </w:t>
      </w:r>
      <w:r>
        <w:rPr/>
        <w:t>of</w:t>
      </w:r>
      <w:r>
        <w:rPr>
          <w:spacing w:val="-1"/>
        </w:rPr>
        <w:t> </w:t>
      </w:r>
      <w:r>
        <w:rPr/>
        <w:t>resistant</w:t>
      </w:r>
      <w:r>
        <w:rPr>
          <w:spacing w:val="-1"/>
        </w:rPr>
        <w:t> </w:t>
      </w:r>
      <w:r>
        <w:rPr/>
        <w:t>amplicons</w:t>
      </w:r>
      <w:r>
        <w:rPr>
          <w:spacing w:val="-1"/>
        </w:rPr>
        <w:t> </w:t>
      </w:r>
      <w:r>
        <w:rPr/>
        <w:t>from</w:t>
      </w:r>
      <w:r>
        <w:rPr>
          <w:spacing w:val="-4"/>
        </w:rPr>
        <w:t> </w:t>
      </w:r>
      <w:r>
        <w:rPr/>
        <w:t>the</w:t>
      </w:r>
      <w:r>
        <w:rPr>
          <w:spacing w:val="-2"/>
        </w:rPr>
        <w:t> </w:t>
      </w:r>
      <w:r>
        <w:rPr>
          <w:spacing w:val="-4"/>
        </w:rPr>
        <w:t>test</w:t>
      </w:r>
    </w:p>
    <w:p>
      <w:pPr>
        <w:spacing w:before="41"/>
        <w:ind w:left="260" w:right="0" w:firstLine="0"/>
        <w:jc w:val="left"/>
        <w:rPr>
          <w:b/>
          <w:sz w:val="24"/>
        </w:rPr>
      </w:pPr>
      <w:r>
        <w:rPr>
          <w:b/>
          <w:i/>
          <w:sz w:val="24"/>
        </w:rPr>
        <w:t>Plasmodium</w:t>
      </w:r>
      <w:r>
        <w:rPr>
          <w:b/>
          <w:i/>
          <w:spacing w:val="2"/>
          <w:sz w:val="24"/>
        </w:rPr>
        <w:t> </w:t>
      </w:r>
      <w:r>
        <w:rPr>
          <w:b/>
          <w:spacing w:val="-2"/>
          <w:sz w:val="24"/>
        </w:rPr>
        <w:t>species</w:t>
      </w:r>
    </w:p>
    <w:p>
      <w:pPr>
        <w:pStyle w:val="BodyText"/>
        <w:spacing w:before="18"/>
        <w:rPr>
          <w:b/>
          <w:sz w:val="20"/>
        </w:rPr>
      </w:pPr>
    </w:p>
    <w:tbl>
      <w:tblPr>
        <w:tblW w:w="0" w:type="auto"/>
        <w:jc w:val="left"/>
        <w:tblInd w:w="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8"/>
        <w:gridCol w:w="1248"/>
        <w:gridCol w:w="1537"/>
        <w:gridCol w:w="1499"/>
        <w:gridCol w:w="1502"/>
        <w:gridCol w:w="1304"/>
      </w:tblGrid>
      <w:tr>
        <w:trPr>
          <w:trHeight w:val="284" w:hRule="atLeast"/>
        </w:trPr>
        <w:tc>
          <w:tcPr>
            <w:tcW w:w="1228" w:type="dxa"/>
            <w:tcBorders>
              <w:top w:val="single" w:sz="4" w:space="0" w:color="000000"/>
            </w:tcBorders>
          </w:tcPr>
          <w:p>
            <w:pPr>
              <w:pStyle w:val="TableParagraph"/>
              <w:spacing w:line="261" w:lineRule="exact" w:before="3"/>
              <w:ind w:left="58"/>
              <w:rPr>
                <w:sz w:val="24"/>
              </w:rPr>
            </w:pPr>
            <w:r>
              <w:rPr>
                <w:spacing w:val="-5"/>
                <w:sz w:val="24"/>
              </w:rPr>
              <w:t>DNA</w:t>
            </w:r>
          </w:p>
        </w:tc>
        <w:tc>
          <w:tcPr>
            <w:tcW w:w="1248" w:type="dxa"/>
            <w:tcBorders>
              <w:top w:val="single" w:sz="4" w:space="0" w:color="000000"/>
            </w:tcBorders>
          </w:tcPr>
          <w:p>
            <w:pPr>
              <w:pStyle w:val="TableParagraph"/>
              <w:spacing w:line="265" w:lineRule="exact" w:before="0"/>
              <w:ind w:left="63"/>
              <w:rPr>
                <w:sz w:val="24"/>
              </w:rPr>
            </w:pPr>
            <w:r>
              <w:rPr>
                <w:spacing w:val="-2"/>
                <w:sz w:val="24"/>
              </w:rPr>
              <w:t>Blood</w:t>
            </w:r>
          </w:p>
        </w:tc>
        <w:tc>
          <w:tcPr>
            <w:tcW w:w="1537" w:type="dxa"/>
            <w:tcBorders>
              <w:top w:val="single" w:sz="4" w:space="0" w:color="000000"/>
            </w:tcBorders>
          </w:tcPr>
          <w:p>
            <w:pPr>
              <w:pStyle w:val="TableParagraph"/>
              <w:spacing w:line="261" w:lineRule="exact" w:before="3"/>
              <w:ind w:left="1" w:right="97"/>
              <w:rPr>
                <w:sz w:val="24"/>
              </w:rPr>
            </w:pPr>
            <w:r>
              <w:rPr>
                <w:spacing w:val="-2"/>
                <w:sz w:val="24"/>
              </w:rPr>
              <w:t>Chloroquine</w:t>
            </w:r>
          </w:p>
        </w:tc>
        <w:tc>
          <w:tcPr>
            <w:tcW w:w="1499" w:type="dxa"/>
            <w:tcBorders>
              <w:top w:val="single" w:sz="4" w:space="0" w:color="000000"/>
            </w:tcBorders>
          </w:tcPr>
          <w:p>
            <w:pPr>
              <w:pStyle w:val="TableParagraph"/>
              <w:spacing w:line="261" w:lineRule="exact" w:before="3"/>
              <w:ind w:left="1" w:right="108"/>
              <w:rPr>
                <w:sz w:val="24"/>
              </w:rPr>
            </w:pPr>
            <w:r>
              <w:rPr>
                <w:spacing w:val="-2"/>
                <w:sz w:val="24"/>
              </w:rPr>
              <w:t>multidrug</w:t>
            </w:r>
          </w:p>
        </w:tc>
        <w:tc>
          <w:tcPr>
            <w:tcW w:w="1502" w:type="dxa"/>
            <w:tcBorders>
              <w:top w:val="single" w:sz="4" w:space="0" w:color="000000"/>
            </w:tcBorders>
          </w:tcPr>
          <w:p>
            <w:pPr>
              <w:pStyle w:val="TableParagraph"/>
              <w:spacing w:line="261" w:lineRule="exact" w:before="3"/>
              <w:ind w:left="118" w:right="2"/>
              <w:rPr>
                <w:sz w:val="24"/>
              </w:rPr>
            </w:pPr>
            <w:r>
              <w:rPr>
                <w:spacing w:val="-2"/>
                <w:sz w:val="24"/>
              </w:rPr>
              <w:t>multidrug</w:t>
            </w:r>
          </w:p>
        </w:tc>
        <w:tc>
          <w:tcPr>
            <w:tcW w:w="1304" w:type="dxa"/>
            <w:vMerge w:val="restart"/>
            <w:tcBorders>
              <w:top w:val="single" w:sz="4" w:space="0" w:color="000000"/>
            </w:tcBorders>
          </w:tcPr>
          <w:p>
            <w:pPr>
              <w:pStyle w:val="TableParagraph"/>
              <w:spacing w:line="240" w:lineRule="auto" w:before="0"/>
              <w:jc w:val="left"/>
              <w:rPr>
                <w:sz w:val="22"/>
              </w:rPr>
            </w:pPr>
          </w:p>
        </w:tc>
      </w:tr>
      <w:tr>
        <w:trPr>
          <w:trHeight w:val="275" w:hRule="atLeast"/>
        </w:trPr>
        <w:tc>
          <w:tcPr>
            <w:tcW w:w="1228" w:type="dxa"/>
          </w:tcPr>
          <w:p>
            <w:pPr>
              <w:pStyle w:val="TableParagraph"/>
              <w:spacing w:line="240" w:lineRule="auto" w:before="0"/>
              <w:jc w:val="left"/>
              <w:rPr>
                <w:sz w:val="20"/>
              </w:rPr>
            </w:pPr>
          </w:p>
        </w:tc>
        <w:tc>
          <w:tcPr>
            <w:tcW w:w="1248" w:type="dxa"/>
          </w:tcPr>
          <w:p>
            <w:pPr>
              <w:pStyle w:val="TableParagraph"/>
              <w:spacing w:line="256" w:lineRule="exact" w:before="0"/>
              <w:ind w:left="63" w:right="2"/>
              <w:rPr>
                <w:i/>
                <w:sz w:val="24"/>
              </w:rPr>
            </w:pPr>
            <w:r>
              <w:rPr>
                <w:i/>
                <w:sz w:val="24"/>
              </w:rPr>
              <w:t>Isolate </w:t>
            </w:r>
            <w:r>
              <w:rPr>
                <w:i/>
                <w:spacing w:val="-5"/>
                <w:sz w:val="24"/>
              </w:rPr>
              <w:t>no</w:t>
            </w:r>
          </w:p>
        </w:tc>
        <w:tc>
          <w:tcPr>
            <w:tcW w:w="1537" w:type="dxa"/>
          </w:tcPr>
          <w:p>
            <w:pPr>
              <w:pStyle w:val="TableParagraph"/>
              <w:spacing w:line="240" w:lineRule="auto" w:before="0"/>
              <w:jc w:val="left"/>
              <w:rPr>
                <w:sz w:val="20"/>
              </w:rPr>
            </w:pPr>
          </w:p>
        </w:tc>
        <w:tc>
          <w:tcPr>
            <w:tcW w:w="1499" w:type="dxa"/>
          </w:tcPr>
          <w:p>
            <w:pPr>
              <w:pStyle w:val="TableParagraph"/>
              <w:spacing w:line="256" w:lineRule="exact" w:before="0"/>
              <w:ind w:left="4" w:right="108"/>
              <w:rPr>
                <w:sz w:val="24"/>
              </w:rPr>
            </w:pPr>
            <w:r>
              <w:rPr>
                <w:i/>
                <w:spacing w:val="-2"/>
                <w:sz w:val="24"/>
              </w:rPr>
              <w:t>Pfcrt</w:t>
            </w:r>
            <w:r>
              <w:rPr>
                <w:spacing w:val="-2"/>
                <w:sz w:val="24"/>
              </w:rPr>
              <w:t>/FB</w:t>
            </w:r>
          </w:p>
        </w:tc>
        <w:tc>
          <w:tcPr>
            <w:tcW w:w="1502" w:type="dxa"/>
          </w:tcPr>
          <w:p>
            <w:pPr>
              <w:pStyle w:val="TableParagraph"/>
              <w:spacing w:line="256" w:lineRule="exact" w:before="0"/>
              <w:ind w:left="118"/>
              <w:rPr>
                <w:sz w:val="24"/>
              </w:rPr>
            </w:pPr>
            <w:r>
              <w:rPr>
                <w:i/>
                <w:spacing w:val="-2"/>
                <w:sz w:val="24"/>
              </w:rPr>
              <w:t>Pfcrt</w:t>
            </w:r>
            <w:r>
              <w:rPr>
                <w:spacing w:val="-2"/>
                <w:sz w:val="24"/>
              </w:rPr>
              <w:t>/FB</w:t>
            </w:r>
          </w:p>
        </w:tc>
        <w:tc>
          <w:tcPr>
            <w:tcW w:w="1304" w:type="dxa"/>
            <w:vMerge/>
            <w:tcBorders>
              <w:top w:val="nil"/>
            </w:tcBorders>
          </w:tcPr>
          <w:p>
            <w:pPr>
              <w:rPr>
                <w:sz w:val="2"/>
                <w:szCs w:val="2"/>
              </w:rPr>
            </w:pPr>
          </w:p>
        </w:tc>
      </w:tr>
      <w:tr>
        <w:trPr>
          <w:trHeight w:val="278" w:hRule="atLeast"/>
        </w:trPr>
        <w:tc>
          <w:tcPr>
            <w:tcW w:w="1228" w:type="dxa"/>
            <w:tcBorders>
              <w:bottom w:val="single" w:sz="4" w:space="0" w:color="000000"/>
            </w:tcBorders>
          </w:tcPr>
          <w:p>
            <w:pPr>
              <w:pStyle w:val="TableParagraph"/>
              <w:spacing w:line="259" w:lineRule="exact" w:before="0"/>
              <w:ind w:left="58" w:right="3"/>
              <w:rPr>
                <w:sz w:val="24"/>
              </w:rPr>
            </w:pPr>
            <w:r>
              <w:rPr>
                <w:sz w:val="24"/>
              </w:rPr>
              <w:t>serial</w:t>
            </w:r>
            <w:r>
              <w:rPr>
                <w:spacing w:val="-3"/>
                <w:sz w:val="24"/>
              </w:rPr>
              <w:t> </w:t>
            </w:r>
            <w:r>
              <w:rPr>
                <w:spacing w:val="-5"/>
                <w:sz w:val="24"/>
              </w:rPr>
              <w:t>no</w:t>
            </w:r>
          </w:p>
        </w:tc>
        <w:tc>
          <w:tcPr>
            <w:tcW w:w="1248" w:type="dxa"/>
            <w:tcBorders>
              <w:bottom w:val="single" w:sz="4" w:space="0" w:color="000000"/>
            </w:tcBorders>
          </w:tcPr>
          <w:p>
            <w:pPr>
              <w:pStyle w:val="TableParagraph"/>
              <w:spacing w:line="240" w:lineRule="auto" w:before="0"/>
              <w:jc w:val="left"/>
              <w:rPr>
                <w:sz w:val="20"/>
              </w:rPr>
            </w:pPr>
          </w:p>
        </w:tc>
        <w:tc>
          <w:tcPr>
            <w:tcW w:w="1537" w:type="dxa"/>
            <w:tcBorders>
              <w:bottom w:val="single" w:sz="4" w:space="0" w:color="000000"/>
            </w:tcBorders>
          </w:tcPr>
          <w:p>
            <w:pPr>
              <w:pStyle w:val="TableParagraph"/>
              <w:spacing w:line="259" w:lineRule="exact" w:before="0"/>
              <w:ind w:left="2" w:right="97"/>
              <w:rPr>
                <w:sz w:val="24"/>
              </w:rPr>
            </w:pPr>
            <w:r>
              <w:rPr>
                <w:i/>
                <w:spacing w:val="-2"/>
                <w:sz w:val="24"/>
              </w:rPr>
              <w:t>Pfcrt</w:t>
            </w:r>
            <w:r>
              <w:rPr>
                <w:spacing w:val="-2"/>
                <w:sz w:val="24"/>
              </w:rPr>
              <w:t>-</w:t>
            </w:r>
            <w:r>
              <w:rPr>
                <w:spacing w:val="-5"/>
                <w:sz w:val="24"/>
              </w:rPr>
              <w:t>RA</w:t>
            </w:r>
          </w:p>
        </w:tc>
        <w:tc>
          <w:tcPr>
            <w:tcW w:w="1499" w:type="dxa"/>
            <w:tcBorders>
              <w:bottom w:val="single" w:sz="4" w:space="0" w:color="000000"/>
            </w:tcBorders>
          </w:tcPr>
          <w:p>
            <w:pPr>
              <w:pStyle w:val="TableParagraph"/>
              <w:spacing w:line="259" w:lineRule="exact" w:before="0"/>
              <w:ind w:right="108"/>
              <w:rPr>
                <w:sz w:val="24"/>
              </w:rPr>
            </w:pPr>
            <w:r>
              <w:rPr>
                <w:spacing w:val="-2"/>
                <w:sz w:val="24"/>
              </w:rPr>
              <w:t>(76K)</w:t>
            </w:r>
          </w:p>
        </w:tc>
        <w:tc>
          <w:tcPr>
            <w:tcW w:w="1502" w:type="dxa"/>
            <w:tcBorders>
              <w:bottom w:val="single" w:sz="4" w:space="0" w:color="000000"/>
            </w:tcBorders>
          </w:tcPr>
          <w:p>
            <w:pPr>
              <w:pStyle w:val="TableParagraph"/>
              <w:spacing w:line="259" w:lineRule="exact" w:before="0"/>
              <w:ind w:left="118" w:right="6"/>
              <w:rPr>
                <w:sz w:val="24"/>
              </w:rPr>
            </w:pPr>
            <w:r>
              <w:rPr>
                <w:spacing w:val="-2"/>
                <w:sz w:val="24"/>
              </w:rPr>
              <w:t>(76T)</w:t>
            </w:r>
          </w:p>
        </w:tc>
        <w:tc>
          <w:tcPr>
            <w:tcW w:w="1304" w:type="dxa"/>
            <w:tcBorders>
              <w:bottom w:val="single" w:sz="4" w:space="0" w:color="000000"/>
            </w:tcBorders>
          </w:tcPr>
          <w:p>
            <w:pPr>
              <w:pStyle w:val="TableParagraph"/>
              <w:spacing w:line="259" w:lineRule="exact" w:before="0"/>
              <w:ind w:left="122" w:right="2"/>
              <w:rPr>
                <w:sz w:val="24"/>
              </w:rPr>
            </w:pPr>
            <w:r>
              <w:rPr>
                <w:spacing w:val="-2"/>
                <w:sz w:val="24"/>
              </w:rPr>
              <w:t>PfATPase</w:t>
            </w:r>
          </w:p>
        </w:tc>
      </w:tr>
      <w:tr>
        <w:trPr>
          <w:trHeight w:val="290" w:hRule="atLeast"/>
        </w:trPr>
        <w:tc>
          <w:tcPr>
            <w:tcW w:w="1228" w:type="dxa"/>
            <w:tcBorders>
              <w:top w:val="single" w:sz="4" w:space="0" w:color="000000"/>
            </w:tcBorders>
          </w:tcPr>
          <w:p>
            <w:pPr>
              <w:pStyle w:val="TableParagraph"/>
              <w:spacing w:before="3"/>
              <w:ind w:left="58"/>
              <w:rPr>
                <w:sz w:val="24"/>
              </w:rPr>
            </w:pPr>
            <w:r>
              <w:rPr>
                <w:spacing w:val="-10"/>
                <w:sz w:val="24"/>
              </w:rPr>
              <w:t>2</w:t>
            </w:r>
          </w:p>
        </w:tc>
        <w:tc>
          <w:tcPr>
            <w:tcW w:w="1248" w:type="dxa"/>
            <w:tcBorders>
              <w:top w:val="single" w:sz="4" w:space="0" w:color="000000"/>
            </w:tcBorders>
          </w:tcPr>
          <w:p>
            <w:pPr>
              <w:pStyle w:val="TableParagraph"/>
              <w:spacing w:before="3"/>
              <w:ind w:left="63"/>
              <w:rPr>
                <w:sz w:val="24"/>
              </w:rPr>
            </w:pPr>
            <w:r>
              <w:rPr>
                <w:spacing w:val="-10"/>
                <w:sz w:val="24"/>
              </w:rPr>
              <w:t>1</w:t>
            </w:r>
          </w:p>
        </w:tc>
        <w:tc>
          <w:tcPr>
            <w:tcW w:w="1537" w:type="dxa"/>
            <w:tcBorders>
              <w:top w:val="single" w:sz="4" w:space="0" w:color="000000"/>
            </w:tcBorders>
          </w:tcPr>
          <w:p>
            <w:pPr>
              <w:pStyle w:val="TableParagraph"/>
              <w:spacing w:line="240" w:lineRule="auto" w:before="0"/>
              <w:jc w:val="left"/>
              <w:rPr>
                <w:sz w:val="20"/>
              </w:rPr>
            </w:pPr>
          </w:p>
        </w:tc>
        <w:tc>
          <w:tcPr>
            <w:tcW w:w="1499" w:type="dxa"/>
            <w:tcBorders>
              <w:top w:val="single" w:sz="4" w:space="0" w:color="000000"/>
            </w:tcBorders>
          </w:tcPr>
          <w:p>
            <w:pPr>
              <w:pStyle w:val="TableParagraph"/>
              <w:spacing w:before="3"/>
              <w:ind w:right="108"/>
              <w:rPr>
                <w:sz w:val="24"/>
              </w:rPr>
            </w:pPr>
            <w:r>
              <w:rPr>
                <w:spacing w:val="-5"/>
                <w:sz w:val="24"/>
              </w:rPr>
              <w:t>150</w:t>
            </w:r>
          </w:p>
        </w:tc>
        <w:tc>
          <w:tcPr>
            <w:tcW w:w="1502" w:type="dxa"/>
            <w:tcBorders>
              <w:top w:val="single" w:sz="4" w:space="0" w:color="000000"/>
            </w:tcBorders>
          </w:tcPr>
          <w:p>
            <w:pPr>
              <w:pStyle w:val="TableParagraph"/>
              <w:spacing w:before="3"/>
              <w:ind w:left="118" w:right="4"/>
              <w:rPr>
                <w:sz w:val="24"/>
              </w:rPr>
            </w:pPr>
            <w:r>
              <w:rPr>
                <w:spacing w:val="-5"/>
                <w:sz w:val="24"/>
              </w:rPr>
              <w:t>109</w:t>
            </w:r>
          </w:p>
        </w:tc>
        <w:tc>
          <w:tcPr>
            <w:tcW w:w="1304" w:type="dxa"/>
            <w:tcBorders>
              <w:top w:val="single" w:sz="4" w:space="0" w:color="000000"/>
            </w:tcBorders>
          </w:tcPr>
          <w:p>
            <w:pPr>
              <w:pStyle w:val="TableParagraph"/>
              <w:spacing w:line="240" w:lineRule="auto" w:before="0"/>
              <w:jc w:val="left"/>
              <w:rPr>
                <w:sz w:val="20"/>
              </w:rPr>
            </w:pPr>
          </w:p>
        </w:tc>
      </w:tr>
      <w:tr>
        <w:trPr>
          <w:trHeight w:val="288" w:hRule="atLeast"/>
        </w:trPr>
        <w:tc>
          <w:tcPr>
            <w:tcW w:w="1228" w:type="dxa"/>
          </w:tcPr>
          <w:p>
            <w:pPr>
              <w:pStyle w:val="TableParagraph"/>
              <w:ind w:left="58"/>
              <w:rPr>
                <w:sz w:val="24"/>
              </w:rPr>
            </w:pPr>
            <w:r>
              <w:rPr>
                <w:spacing w:val="-10"/>
                <w:sz w:val="24"/>
              </w:rPr>
              <w:t>3</w:t>
            </w:r>
          </w:p>
        </w:tc>
        <w:tc>
          <w:tcPr>
            <w:tcW w:w="1248" w:type="dxa"/>
          </w:tcPr>
          <w:p>
            <w:pPr>
              <w:pStyle w:val="TableParagraph"/>
              <w:ind w:left="63"/>
              <w:rPr>
                <w:sz w:val="24"/>
              </w:rPr>
            </w:pPr>
            <w:r>
              <w:rPr>
                <w:spacing w:val="-10"/>
                <w:sz w:val="24"/>
              </w:rPr>
              <w:t>2</w:t>
            </w:r>
          </w:p>
        </w:tc>
        <w:tc>
          <w:tcPr>
            <w:tcW w:w="1537" w:type="dxa"/>
          </w:tcPr>
          <w:p>
            <w:pPr>
              <w:pStyle w:val="TableParagraph"/>
              <w:ind w:right="97"/>
              <w:rPr>
                <w:sz w:val="24"/>
              </w:rPr>
            </w:pPr>
            <w:r>
              <w:rPr>
                <w:spacing w:val="-5"/>
                <w:sz w:val="24"/>
              </w:rPr>
              <w:t>126</w:t>
            </w:r>
          </w:p>
        </w:tc>
        <w:tc>
          <w:tcPr>
            <w:tcW w:w="1499" w:type="dxa"/>
          </w:tcPr>
          <w:p>
            <w:pPr>
              <w:pStyle w:val="TableParagraph"/>
              <w:ind w:right="108"/>
              <w:rPr>
                <w:sz w:val="24"/>
              </w:rPr>
            </w:pPr>
            <w:r>
              <w:rPr>
                <w:spacing w:val="-5"/>
                <w:sz w:val="24"/>
              </w:rPr>
              <w:t>132</w:t>
            </w:r>
          </w:p>
        </w:tc>
        <w:tc>
          <w:tcPr>
            <w:tcW w:w="1502" w:type="dxa"/>
          </w:tcPr>
          <w:p>
            <w:pPr>
              <w:pStyle w:val="TableParagraph"/>
              <w:ind w:left="118" w:right="4"/>
              <w:rPr>
                <w:sz w:val="24"/>
              </w:rPr>
            </w:pPr>
            <w:r>
              <w:rPr>
                <w:spacing w:val="-5"/>
                <w:sz w:val="24"/>
              </w:rPr>
              <w:t>57</w:t>
            </w:r>
          </w:p>
        </w:tc>
        <w:tc>
          <w:tcPr>
            <w:tcW w:w="1304" w:type="dxa"/>
          </w:tcPr>
          <w:p>
            <w:pPr>
              <w:pStyle w:val="TableParagraph"/>
              <w:ind w:left="122"/>
              <w:rPr>
                <w:sz w:val="24"/>
              </w:rPr>
            </w:pPr>
            <w:r>
              <w:rPr>
                <w:spacing w:val="-5"/>
                <w:sz w:val="24"/>
              </w:rPr>
              <w:t>479</w:t>
            </w:r>
          </w:p>
        </w:tc>
      </w:tr>
      <w:tr>
        <w:trPr>
          <w:trHeight w:val="288" w:hRule="atLeast"/>
        </w:trPr>
        <w:tc>
          <w:tcPr>
            <w:tcW w:w="1228" w:type="dxa"/>
          </w:tcPr>
          <w:p>
            <w:pPr>
              <w:pStyle w:val="TableParagraph"/>
              <w:ind w:left="58"/>
              <w:rPr>
                <w:sz w:val="24"/>
              </w:rPr>
            </w:pPr>
            <w:r>
              <w:rPr>
                <w:spacing w:val="-10"/>
                <w:sz w:val="24"/>
              </w:rPr>
              <w:t>4</w:t>
            </w:r>
          </w:p>
        </w:tc>
        <w:tc>
          <w:tcPr>
            <w:tcW w:w="1248" w:type="dxa"/>
          </w:tcPr>
          <w:p>
            <w:pPr>
              <w:pStyle w:val="TableParagraph"/>
              <w:ind w:left="63"/>
              <w:rPr>
                <w:sz w:val="24"/>
              </w:rPr>
            </w:pPr>
            <w:r>
              <w:rPr>
                <w:spacing w:val="-10"/>
                <w:sz w:val="24"/>
              </w:rPr>
              <w:t>3</w:t>
            </w:r>
          </w:p>
        </w:tc>
        <w:tc>
          <w:tcPr>
            <w:tcW w:w="1537" w:type="dxa"/>
          </w:tcPr>
          <w:p>
            <w:pPr>
              <w:pStyle w:val="TableParagraph"/>
              <w:spacing w:line="240" w:lineRule="auto" w:before="0"/>
              <w:jc w:val="left"/>
              <w:rPr>
                <w:sz w:val="20"/>
              </w:rPr>
            </w:pPr>
          </w:p>
        </w:tc>
        <w:tc>
          <w:tcPr>
            <w:tcW w:w="1499" w:type="dxa"/>
          </w:tcPr>
          <w:p>
            <w:pPr>
              <w:pStyle w:val="TableParagraph"/>
              <w:ind w:right="108"/>
              <w:rPr>
                <w:sz w:val="24"/>
              </w:rPr>
            </w:pPr>
            <w:r>
              <w:rPr>
                <w:spacing w:val="-5"/>
                <w:sz w:val="24"/>
              </w:rPr>
              <w:t>106</w:t>
            </w:r>
          </w:p>
        </w:tc>
        <w:tc>
          <w:tcPr>
            <w:tcW w:w="1502" w:type="dxa"/>
          </w:tcPr>
          <w:p>
            <w:pPr>
              <w:pStyle w:val="TableParagraph"/>
              <w:ind w:left="118" w:right="4"/>
              <w:rPr>
                <w:sz w:val="24"/>
              </w:rPr>
            </w:pPr>
            <w:r>
              <w:rPr>
                <w:spacing w:val="-5"/>
                <w:sz w:val="24"/>
              </w:rPr>
              <w:t>68</w:t>
            </w:r>
          </w:p>
        </w:tc>
        <w:tc>
          <w:tcPr>
            <w:tcW w:w="1304" w:type="dxa"/>
          </w:tcPr>
          <w:p>
            <w:pPr>
              <w:pStyle w:val="TableParagraph"/>
              <w:ind w:left="122"/>
              <w:rPr>
                <w:sz w:val="24"/>
              </w:rPr>
            </w:pPr>
            <w:r>
              <w:rPr>
                <w:spacing w:val="-5"/>
                <w:sz w:val="24"/>
              </w:rPr>
              <w:t>479</w:t>
            </w:r>
          </w:p>
        </w:tc>
      </w:tr>
      <w:tr>
        <w:trPr>
          <w:trHeight w:val="288" w:hRule="atLeast"/>
        </w:trPr>
        <w:tc>
          <w:tcPr>
            <w:tcW w:w="1228" w:type="dxa"/>
          </w:tcPr>
          <w:p>
            <w:pPr>
              <w:pStyle w:val="TableParagraph"/>
              <w:ind w:left="58"/>
              <w:rPr>
                <w:sz w:val="24"/>
              </w:rPr>
            </w:pPr>
            <w:r>
              <w:rPr>
                <w:spacing w:val="-10"/>
                <w:sz w:val="24"/>
              </w:rPr>
              <w:t>5</w:t>
            </w:r>
          </w:p>
        </w:tc>
        <w:tc>
          <w:tcPr>
            <w:tcW w:w="1248" w:type="dxa"/>
          </w:tcPr>
          <w:p>
            <w:pPr>
              <w:pStyle w:val="TableParagraph"/>
              <w:ind w:left="63"/>
              <w:rPr>
                <w:sz w:val="24"/>
              </w:rPr>
            </w:pPr>
            <w:r>
              <w:rPr>
                <w:spacing w:val="-10"/>
                <w:sz w:val="24"/>
              </w:rPr>
              <w:t>4</w:t>
            </w:r>
          </w:p>
        </w:tc>
        <w:tc>
          <w:tcPr>
            <w:tcW w:w="1537" w:type="dxa"/>
          </w:tcPr>
          <w:p>
            <w:pPr>
              <w:pStyle w:val="TableParagraph"/>
              <w:ind w:right="97"/>
              <w:rPr>
                <w:sz w:val="24"/>
              </w:rPr>
            </w:pPr>
            <w:r>
              <w:rPr>
                <w:spacing w:val="-5"/>
                <w:sz w:val="24"/>
              </w:rPr>
              <w:t>81</w:t>
            </w:r>
          </w:p>
        </w:tc>
        <w:tc>
          <w:tcPr>
            <w:tcW w:w="1499" w:type="dxa"/>
          </w:tcPr>
          <w:p>
            <w:pPr>
              <w:pStyle w:val="TableParagraph"/>
              <w:ind w:right="108"/>
              <w:rPr>
                <w:sz w:val="24"/>
              </w:rPr>
            </w:pPr>
            <w:r>
              <w:rPr>
                <w:spacing w:val="-5"/>
                <w:sz w:val="24"/>
              </w:rPr>
              <w:t>106</w:t>
            </w:r>
          </w:p>
        </w:tc>
        <w:tc>
          <w:tcPr>
            <w:tcW w:w="1502" w:type="dxa"/>
          </w:tcPr>
          <w:p>
            <w:pPr>
              <w:pStyle w:val="TableParagraph"/>
              <w:ind w:left="118" w:right="4"/>
              <w:rPr>
                <w:sz w:val="24"/>
              </w:rPr>
            </w:pPr>
            <w:r>
              <w:rPr>
                <w:spacing w:val="-5"/>
                <w:sz w:val="24"/>
              </w:rPr>
              <w:t>41</w:t>
            </w:r>
          </w:p>
        </w:tc>
        <w:tc>
          <w:tcPr>
            <w:tcW w:w="1304" w:type="dxa"/>
          </w:tcPr>
          <w:p>
            <w:pPr>
              <w:pStyle w:val="TableParagraph"/>
              <w:ind w:left="122"/>
              <w:rPr>
                <w:sz w:val="24"/>
              </w:rPr>
            </w:pPr>
            <w:r>
              <w:rPr>
                <w:spacing w:val="-5"/>
                <w:sz w:val="24"/>
              </w:rPr>
              <w:t>479</w:t>
            </w:r>
          </w:p>
        </w:tc>
      </w:tr>
      <w:tr>
        <w:trPr>
          <w:trHeight w:val="288" w:hRule="atLeast"/>
        </w:trPr>
        <w:tc>
          <w:tcPr>
            <w:tcW w:w="1228" w:type="dxa"/>
          </w:tcPr>
          <w:p>
            <w:pPr>
              <w:pStyle w:val="TableParagraph"/>
              <w:ind w:left="58"/>
              <w:rPr>
                <w:sz w:val="24"/>
              </w:rPr>
            </w:pPr>
            <w:r>
              <w:rPr>
                <w:spacing w:val="-10"/>
                <w:sz w:val="24"/>
              </w:rPr>
              <w:t>6</w:t>
            </w:r>
          </w:p>
        </w:tc>
        <w:tc>
          <w:tcPr>
            <w:tcW w:w="1248" w:type="dxa"/>
          </w:tcPr>
          <w:p>
            <w:pPr>
              <w:pStyle w:val="TableParagraph"/>
              <w:ind w:left="63"/>
              <w:rPr>
                <w:sz w:val="24"/>
              </w:rPr>
            </w:pPr>
            <w:r>
              <w:rPr>
                <w:spacing w:val="-10"/>
                <w:sz w:val="24"/>
              </w:rPr>
              <w:t>5</w:t>
            </w:r>
          </w:p>
        </w:tc>
        <w:tc>
          <w:tcPr>
            <w:tcW w:w="1537" w:type="dxa"/>
          </w:tcPr>
          <w:p>
            <w:pPr>
              <w:pStyle w:val="TableParagraph"/>
              <w:ind w:right="97"/>
              <w:rPr>
                <w:sz w:val="24"/>
              </w:rPr>
            </w:pPr>
            <w:r>
              <w:rPr>
                <w:spacing w:val="-5"/>
                <w:sz w:val="24"/>
              </w:rPr>
              <w:t>108</w:t>
            </w:r>
          </w:p>
        </w:tc>
        <w:tc>
          <w:tcPr>
            <w:tcW w:w="1499" w:type="dxa"/>
          </w:tcPr>
          <w:p>
            <w:pPr>
              <w:pStyle w:val="TableParagraph"/>
              <w:ind w:right="108"/>
              <w:rPr>
                <w:sz w:val="24"/>
              </w:rPr>
            </w:pPr>
            <w:r>
              <w:rPr>
                <w:spacing w:val="-5"/>
                <w:sz w:val="24"/>
              </w:rPr>
              <w:t>150</w:t>
            </w:r>
          </w:p>
        </w:tc>
        <w:tc>
          <w:tcPr>
            <w:tcW w:w="1502" w:type="dxa"/>
          </w:tcPr>
          <w:p>
            <w:pPr>
              <w:pStyle w:val="TableParagraph"/>
              <w:ind w:left="118" w:right="4"/>
              <w:rPr>
                <w:sz w:val="24"/>
              </w:rPr>
            </w:pPr>
            <w:r>
              <w:rPr>
                <w:spacing w:val="-5"/>
                <w:sz w:val="24"/>
              </w:rPr>
              <w:t>91</w:t>
            </w:r>
          </w:p>
        </w:tc>
        <w:tc>
          <w:tcPr>
            <w:tcW w:w="1304" w:type="dxa"/>
          </w:tcPr>
          <w:p>
            <w:pPr>
              <w:pStyle w:val="TableParagraph"/>
              <w:ind w:left="122"/>
              <w:rPr>
                <w:sz w:val="24"/>
              </w:rPr>
            </w:pPr>
            <w:r>
              <w:rPr>
                <w:spacing w:val="-5"/>
                <w:sz w:val="24"/>
              </w:rPr>
              <w:t>479</w:t>
            </w:r>
          </w:p>
        </w:tc>
      </w:tr>
      <w:tr>
        <w:trPr>
          <w:trHeight w:val="287" w:hRule="atLeast"/>
        </w:trPr>
        <w:tc>
          <w:tcPr>
            <w:tcW w:w="1228" w:type="dxa"/>
          </w:tcPr>
          <w:p>
            <w:pPr>
              <w:pStyle w:val="TableParagraph"/>
              <w:ind w:left="58"/>
              <w:rPr>
                <w:sz w:val="24"/>
              </w:rPr>
            </w:pPr>
            <w:r>
              <w:rPr>
                <w:spacing w:val="-10"/>
                <w:sz w:val="24"/>
              </w:rPr>
              <w:t>7</w:t>
            </w:r>
          </w:p>
        </w:tc>
        <w:tc>
          <w:tcPr>
            <w:tcW w:w="1248" w:type="dxa"/>
          </w:tcPr>
          <w:p>
            <w:pPr>
              <w:pStyle w:val="TableParagraph"/>
              <w:ind w:left="63"/>
              <w:rPr>
                <w:sz w:val="24"/>
              </w:rPr>
            </w:pPr>
            <w:r>
              <w:rPr>
                <w:spacing w:val="-10"/>
                <w:sz w:val="24"/>
              </w:rPr>
              <w:t>6</w:t>
            </w:r>
          </w:p>
        </w:tc>
        <w:tc>
          <w:tcPr>
            <w:tcW w:w="1537" w:type="dxa"/>
          </w:tcPr>
          <w:p>
            <w:pPr>
              <w:pStyle w:val="TableParagraph"/>
              <w:ind w:right="97"/>
              <w:rPr>
                <w:sz w:val="24"/>
              </w:rPr>
            </w:pPr>
            <w:r>
              <w:rPr>
                <w:spacing w:val="-5"/>
                <w:sz w:val="24"/>
              </w:rPr>
              <w:t>89</w:t>
            </w:r>
          </w:p>
        </w:tc>
        <w:tc>
          <w:tcPr>
            <w:tcW w:w="1499" w:type="dxa"/>
          </w:tcPr>
          <w:p>
            <w:pPr>
              <w:pStyle w:val="TableParagraph"/>
              <w:ind w:right="108"/>
              <w:rPr>
                <w:sz w:val="24"/>
              </w:rPr>
            </w:pPr>
            <w:r>
              <w:rPr>
                <w:spacing w:val="-5"/>
                <w:sz w:val="24"/>
              </w:rPr>
              <w:t>150</w:t>
            </w:r>
          </w:p>
        </w:tc>
        <w:tc>
          <w:tcPr>
            <w:tcW w:w="1502" w:type="dxa"/>
          </w:tcPr>
          <w:p>
            <w:pPr>
              <w:pStyle w:val="TableParagraph"/>
              <w:ind w:left="118" w:right="4"/>
              <w:rPr>
                <w:sz w:val="24"/>
              </w:rPr>
            </w:pPr>
            <w:r>
              <w:rPr>
                <w:spacing w:val="-5"/>
                <w:sz w:val="24"/>
              </w:rPr>
              <w:t>83</w:t>
            </w:r>
          </w:p>
        </w:tc>
        <w:tc>
          <w:tcPr>
            <w:tcW w:w="1304" w:type="dxa"/>
          </w:tcPr>
          <w:p>
            <w:pPr>
              <w:pStyle w:val="TableParagraph"/>
              <w:ind w:left="122"/>
              <w:rPr>
                <w:sz w:val="24"/>
              </w:rPr>
            </w:pPr>
            <w:r>
              <w:rPr>
                <w:spacing w:val="-5"/>
                <w:sz w:val="24"/>
              </w:rPr>
              <w:t>479</w:t>
            </w:r>
          </w:p>
        </w:tc>
      </w:tr>
      <w:tr>
        <w:trPr>
          <w:trHeight w:val="288" w:hRule="atLeast"/>
        </w:trPr>
        <w:tc>
          <w:tcPr>
            <w:tcW w:w="1228" w:type="dxa"/>
          </w:tcPr>
          <w:p>
            <w:pPr>
              <w:pStyle w:val="TableParagraph"/>
              <w:ind w:left="58"/>
              <w:rPr>
                <w:sz w:val="24"/>
              </w:rPr>
            </w:pPr>
            <w:r>
              <w:rPr>
                <w:spacing w:val="-10"/>
                <w:sz w:val="24"/>
              </w:rPr>
              <w:t>8</w:t>
            </w:r>
          </w:p>
        </w:tc>
        <w:tc>
          <w:tcPr>
            <w:tcW w:w="1248" w:type="dxa"/>
          </w:tcPr>
          <w:p>
            <w:pPr>
              <w:pStyle w:val="TableParagraph"/>
              <w:ind w:left="63"/>
              <w:rPr>
                <w:sz w:val="24"/>
              </w:rPr>
            </w:pPr>
            <w:r>
              <w:rPr>
                <w:spacing w:val="-10"/>
                <w:sz w:val="24"/>
              </w:rPr>
              <w:t>7</w:t>
            </w:r>
          </w:p>
        </w:tc>
        <w:tc>
          <w:tcPr>
            <w:tcW w:w="1537" w:type="dxa"/>
          </w:tcPr>
          <w:p>
            <w:pPr>
              <w:pStyle w:val="TableParagraph"/>
              <w:ind w:right="97"/>
              <w:rPr>
                <w:sz w:val="24"/>
              </w:rPr>
            </w:pPr>
            <w:r>
              <w:rPr>
                <w:spacing w:val="-5"/>
                <w:sz w:val="24"/>
              </w:rPr>
              <w:t>79</w:t>
            </w:r>
          </w:p>
        </w:tc>
        <w:tc>
          <w:tcPr>
            <w:tcW w:w="1499" w:type="dxa"/>
          </w:tcPr>
          <w:p>
            <w:pPr>
              <w:pStyle w:val="TableParagraph"/>
              <w:ind w:right="108"/>
              <w:rPr>
                <w:sz w:val="24"/>
              </w:rPr>
            </w:pPr>
            <w:r>
              <w:rPr>
                <w:spacing w:val="-5"/>
                <w:sz w:val="24"/>
              </w:rPr>
              <w:t>287</w:t>
            </w:r>
          </w:p>
        </w:tc>
        <w:tc>
          <w:tcPr>
            <w:tcW w:w="1502" w:type="dxa"/>
          </w:tcPr>
          <w:p>
            <w:pPr>
              <w:pStyle w:val="TableParagraph"/>
              <w:ind w:left="118" w:right="4"/>
              <w:rPr>
                <w:sz w:val="24"/>
              </w:rPr>
            </w:pPr>
            <w:r>
              <w:rPr>
                <w:spacing w:val="-5"/>
                <w:sz w:val="24"/>
              </w:rPr>
              <w:t>79</w:t>
            </w:r>
          </w:p>
        </w:tc>
        <w:tc>
          <w:tcPr>
            <w:tcW w:w="1304" w:type="dxa"/>
          </w:tcPr>
          <w:p>
            <w:pPr>
              <w:pStyle w:val="TableParagraph"/>
              <w:ind w:left="122"/>
              <w:rPr>
                <w:sz w:val="24"/>
              </w:rPr>
            </w:pPr>
            <w:r>
              <w:rPr>
                <w:spacing w:val="-5"/>
                <w:sz w:val="24"/>
              </w:rPr>
              <w:t>479</w:t>
            </w:r>
          </w:p>
        </w:tc>
      </w:tr>
      <w:tr>
        <w:trPr>
          <w:trHeight w:val="287" w:hRule="atLeast"/>
        </w:trPr>
        <w:tc>
          <w:tcPr>
            <w:tcW w:w="1228" w:type="dxa"/>
          </w:tcPr>
          <w:p>
            <w:pPr>
              <w:pStyle w:val="TableParagraph"/>
              <w:ind w:left="58"/>
              <w:rPr>
                <w:sz w:val="24"/>
              </w:rPr>
            </w:pPr>
            <w:r>
              <w:rPr>
                <w:spacing w:val="-10"/>
                <w:sz w:val="24"/>
              </w:rPr>
              <w:t>9</w:t>
            </w:r>
          </w:p>
        </w:tc>
        <w:tc>
          <w:tcPr>
            <w:tcW w:w="1248" w:type="dxa"/>
          </w:tcPr>
          <w:p>
            <w:pPr>
              <w:pStyle w:val="TableParagraph"/>
              <w:ind w:left="63"/>
              <w:rPr>
                <w:sz w:val="24"/>
              </w:rPr>
            </w:pPr>
            <w:r>
              <w:rPr>
                <w:spacing w:val="-10"/>
                <w:sz w:val="24"/>
              </w:rPr>
              <w:t>9</w:t>
            </w:r>
          </w:p>
        </w:tc>
        <w:tc>
          <w:tcPr>
            <w:tcW w:w="1537" w:type="dxa"/>
          </w:tcPr>
          <w:p>
            <w:pPr>
              <w:pStyle w:val="TableParagraph"/>
              <w:ind w:right="97"/>
              <w:rPr>
                <w:sz w:val="24"/>
              </w:rPr>
            </w:pPr>
            <w:r>
              <w:rPr>
                <w:spacing w:val="-5"/>
                <w:sz w:val="24"/>
              </w:rPr>
              <w:t>92</w:t>
            </w:r>
          </w:p>
        </w:tc>
        <w:tc>
          <w:tcPr>
            <w:tcW w:w="1499" w:type="dxa"/>
          </w:tcPr>
          <w:p>
            <w:pPr>
              <w:pStyle w:val="TableParagraph"/>
              <w:ind w:right="108"/>
              <w:rPr>
                <w:sz w:val="24"/>
              </w:rPr>
            </w:pPr>
            <w:r>
              <w:rPr>
                <w:spacing w:val="-5"/>
                <w:sz w:val="24"/>
              </w:rPr>
              <w:t>150</w:t>
            </w:r>
          </w:p>
        </w:tc>
        <w:tc>
          <w:tcPr>
            <w:tcW w:w="1502" w:type="dxa"/>
          </w:tcPr>
          <w:p>
            <w:pPr>
              <w:pStyle w:val="TableParagraph"/>
              <w:ind w:left="118" w:right="4"/>
              <w:rPr>
                <w:sz w:val="24"/>
              </w:rPr>
            </w:pPr>
            <w:r>
              <w:rPr>
                <w:spacing w:val="-5"/>
                <w:sz w:val="24"/>
              </w:rPr>
              <w:t>72</w:t>
            </w:r>
          </w:p>
        </w:tc>
        <w:tc>
          <w:tcPr>
            <w:tcW w:w="1304" w:type="dxa"/>
          </w:tcPr>
          <w:p>
            <w:pPr>
              <w:pStyle w:val="TableParagraph"/>
              <w:ind w:left="122"/>
              <w:rPr>
                <w:sz w:val="24"/>
              </w:rPr>
            </w:pPr>
            <w:r>
              <w:rPr>
                <w:spacing w:val="-5"/>
                <w:sz w:val="24"/>
              </w:rPr>
              <w:t>479</w:t>
            </w:r>
          </w:p>
        </w:tc>
      </w:tr>
      <w:tr>
        <w:trPr>
          <w:trHeight w:val="288" w:hRule="atLeast"/>
        </w:trPr>
        <w:tc>
          <w:tcPr>
            <w:tcW w:w="1228" w:type="dxa"/>
          </w:tcPr>
          <w:p>
            <w:pPr>
              <w:pStyle w:val="TableParagraph"/>
              <w:ind w:left="58"/>
              <w:rPr>
                <w:sz w:val="24"/>
              </w:rPr>
            </w:pPr>
            <w:r>
              <w:rPr>
                <w:spacing w:val="-5"/>
                <w:sz w:val="24"/>
              </w:rPr>
              <w:t>10</w:t>
            </w:r>
          </w:p>
        </w:tc>
        <w:tc>
          <w:tcPr>
            <w:tcW w:w="1248" w:type="dxa"/>
          </w:tcPr>
          <w:p>
            <w:pPr>
              <w:pStyle w:val="TableParagraph"/>
              <w:ind w:left="63"/>
              <w:rPr>
                <w:sz w:val="24"/>
              </w:rPr>
            </w:pPr>
            <w:r>
              <w:rPr>
                <w:spacing w:val="-5"/>
                <w:sz w:val="24"/>
              </w:rPr>
              <w:t>10</w:t>
            </w:r>
          </w:p>
        </w:tc>
        <w:tc>
          <w:tcPr>
            <w:tcW w:w="1537" w:type="dxa"/>
          </w:tcPr>
          <w:p>
            <w:pPr>
              <w:pStyle w:val="TableParagraph"/>
              <w:ind w:right="97"/>
              <w:rPr>
                <w:sz w:val="24"/>
              </w:rPr>
            </w:pPr>
            <w:r>
              <w:rPr>
                <w:spacing w:val="-5"/>
                <w:sz w:val="24"/>
              </w:rPr>
              <w:t>131</w:t>
            </w:r>
          </w:p>
        </w:tc>
        <w:tc>
          <w:tcPr>
            <w:tcW w:w="1499" w:type="dxa"/>
          </w:tcPr>
          <w:p>
            <w:pPr>
              <w:pStyle w:val="TableParagraph"/>
              <w:ind w:right="108"/>
              <w:rPr>
                <w:sz w:val="24"/>
              </w:rPr>
            </w:pPr>
            <w:r>
              <w:rPr>
                <w:spacing w:val="-5"/>
                <w:sz w:val="24"/>
              </w:rPr>
              <w:t>132</w:t>
            </w:r>
          </w:p>
        </w:tc>
        <w:tc>
          <w:tcPr>
            <w:tcW w:w="1502" w:type="dxa"/>
          </w:tcPr>
          <w:p>
            <w:pPr>
              <w:pStyle w:val="TableParagraph"/>
              <w:ind w:left="118" w:right="4"/>
              <w:rPr>
                <w:sz w:val="24"/>
              </w:rPr>
            </w:pPr>
            <w:r>
              <w:rPr>
                <w:spacing w:val="-5"/>
                <w:sz w:val="24"/>
              </w:rPr>
              <w:t>87</w:t>
            </w:r>
          </w:p>
        </w:tc>
        <w:tc>
          <w:tcPr>
            <w:tcW w:w="1304" w:type="dxa"/>
          </w:tcPr>
          <w:p>
            <w:pPr>
              <w:pStyle w:val="TableParagraph"/>
              <w:ind w:left="122"/>
              <w:rPr>
                <w:sz w:val="24"/>
              </w:rPr>
            </w:pPr>
            <w:r>
              <w:rPr>
                <w:spacing w:val="-5"/>
                <w:sz w:val="24"/>
              </w:rPr>
              <w:t>479</w:t>
            </w:r>
          </w:p>
        </w:tc>
      </w:tr>
      <w:tr>
        <w:trPr>
          <w:trHeight w:val="288" w:hRule="atLeast"/>
        </w:trPr>
        <w:tc>
          <w:tcPr>
            <w:tcW w:w="1228" w:type="dxa"/>
          </w:tcPr>
          <w:p>
            <w:pPr>
              <w:pStyle w:val="TableParagraph"/>
              <w:ind w:left="58"/>
              <w:rPr>
                <w:sz w:val="24"/>
              </w:rPr>
            </w:pPr>
            <w:r>
              <w:rPr>
                <w:spacing w:val="-5"/>
                <w:sz w:val="24"/>
              </w:rPr>
              <w:t>11</w:t>
            </w:r>
          </w:p>
        </w:tc>
        <w:tc>
          <w:tcPr>
            <w:tcW w:w="1248" w:type="dxa"/>
          </w:tcPr>
          <w:p>
            <w:pPr>
              <w:pStyle w:val="TableParagraph"/>
              <w:ind w:left="63"/>
              <w:rPr>
                <w:sz w:val="24"/>
              </w:rPr>
            </w:pPr>
            <w:r>
              <w:rPr>
                <w:spacing w:val="-5"/>
                <w:sz w:val="24"/>
              </w:rPr>
              <w:t>14</w:t>
            </w:r>
          </w:p>
        </w:tc>
        <w:tc>
          <w:tcPr>
            <w:tcW w:w="1537" w:type="dxa"/>
          </w:tcPr>
          <w:p>
            <w:pPr>
              <w:pStyle w:val="TableParagraph"/>
              <w:ind w:right="97"/>
              <w:rPr>
                <w:sz w:val="24"/>
              </w:rPr>
            </w:pPr>
            <w:r>
              <w:rPr>
                <w:spacing w:val="-5"/>
                <w:sz w:val="24"/>
              </w:rPr>
              <w:t>121</w:t>
            </w:r>
          </w:p>
        </w:tc>
        <w:tc>
          <w:tcPr>
            <w:tcW w:w="1499" w:type="dxa"/>
          </w:tcPr>
          <w:p>
            <w:pPr>
              <w:pStyle w:val="TableParagraph"/>
              <w:ind w:right="108"/>
              <w:rPr>
                <w:sz w:val="24"/>
              </w:rPr>
            </w:pPr>
            <w:r>
              <w:rPr>
                <w:spacing w:val="-5"/>
                <w:sz w:val="24"/>
              </w:rPr>
              <w:t>132</w:t>
            </w:r>
          </w:p>
        </w:tc>
        <w:tc>
          <w:tcPr>
            <w:tcW w:w="1502" w:type="dxa"/>
          </w:tcPr>
          <w:p>
            <w:pPr>
              <w:pStyle w:val="TableParagraph"/>
              <w:ind w:left="118" w:right="2"/>
              <w:rPr>
                <w:sz w:val="24"/>
              </w:rPr>
            </w:pPr>
            <w:r>
              <w:rPr>
                <w:spacing w:val="-4"/>
                <w:sz w:val="24"/>
              </w:rPr>
              <w:t>20.4</w:t>
            </w:r>
          </w:p>
        </w:tc>
        <w:tc>
          <w:tcPr>
            <w:tcW w:w="1304" w:type="dxa"/>
          </w:tcPr>
          <w:p>
            <w:pPr>
              <w:pStyle w:val="TableParagraph"/>
              <w:spacing w:line="240" w:lineRule="auto" w:before="0"/>
              <w:jc w:val="left"/>
              <w:rPr>
                <w:sz w:val="20"/>
              </w:rPr>
            </w:pPr>
          </w:p>
        </w:tc>
      </w:tr>
      <w:tr>
        <w:trPr>
          <w:trHeight w:val="299" w:hRule="atLeast"/>
        </w:trPr>
        <w:tc>
          <w:tcPr>
            <w:tcW w:w="1228" w:type="dxa"/>
          </w:tcPr>
          <w:p>
            <w:pPr>
              <w:pStyle w:val="TableParagraph"/>
              <w:spacing w:line="240" w:lineRule="auto"/>
              <w:ind w:left="58"/>
              <w:rPr>
                <w:sz w:val="24"/>
              </w:rPr>
            </w:pPr>
            <w:r>
              <w:rPr>
                <w:spacing w:val="-5"/>
                <w:sz w:val="24"/>
              </w:rPr>
              <w:t>12</w:t>
            </w:r>
          </w:p>
        </w:tc>
        <w:tc>
          <w:tcPr>
            <w:tcW w:w="1248" w:type="dxa"/>
          </w:tcPr>
          <w:p>
            <w:pPr>
              <w:pStyle w:val="TableParagraph"/>
              <w:spacing w:line="240" w:lineRule="auto"/>
              <w:ind w:left="63"/>
              <w:rPr>
                <w:sz w:val="24"/>
              </w:rPr>
            </w:pPr>
            <w:r>
              <w:rPr>
                <w:spacing w:val="-5"/>
                <w:sz w:val="24"/>
              </w:rPr>
              <w:t>15</w:t>
            </w:r>
          </w:p>
        </w:tc>
        <w:tc>
          <w:tcPr>
            <w:tcW w:w="1537" w:type="dxa"/>
          </w:tcPr>
          <w:p>
            <w:pPr>
              <w:pStyle w:val="TableParagraph"/>
              <w:spacing w:line="240" w:lineRule="auto"/>
              <w:ind w:right="97"/>
              <w:rPr>
                <w:sz w:val="24"/>
              </w:rPr>
            </w:pPr>
            <w:r>
              <w:rPr>
                <w:spacing w:val="-5"/>
                <w:sz w:val="24"/>
              </w:rPr>
              <w:t>139</w:t>
            </w:r>
          </w:p>
        </w:tc>
        <w:tc>
          <w:tcPr>
            <w:tcW w:w="1499" w:type="dxa"/>
          </w:tcPr>
          <w:p>
            <w:pPr>
              <w:pStyle w:val="TableParagraph"/>
              <w:spacing w:line="240" w:lineRule="auto"/>
              <w:ind w:right="108"/>
              <w:rPr>
                <w:sz w:val="24"/>
              </w:rPr>
            </w:pPr>
            <w:r>
              <w:rPr>
                <w:spacing w:val="-5"/>
                <w:sz w:val="24"/>
              </w:rPr>
              <w:t>132</w:t>
            </w:r>
          </w:p>
        </w:tc>
        <w:tc>
          <w:tcPr>
            <w:tcW w:w="1502" w:type="dxa"/>
          </w:tcPr>
          <w:p>
            <w:pPr>
              <w:pStyle w:val="TableParagraph"/>
              <w:spacing w:line="240" w:lineRule="auto"/>
              <w:ind w:left="118" w:right="4"/>
              <w:rPr>
                <w:sz w:val="24"/>
              </w:rPr>
            </w:pPr>
            <w:r>
              <w:rPr>
                <w:spacing w:val="-5"/>
                <w:sz w:val="24"/>
              </w:rPr>
              <w:t>26</w:t>
            </w:r>
          </w:p>
        </w:tc>
        <w:tc>
          <w:tcPr>
            <w:tcW w:w="1304" w:type="dxa"/>
          </w:tcPr>
          <w:p>
            <w:pPr>
              <w:pStyle w:val="TableParagraph"/>
              <w:spacing w:line="240" w:lineRule="auto"/>
              <w:ind w:left="122"/>
              <w:rPr>
                <w:sz w:val="24"/>
              </w:rPr>
            </w:pPr>
            <w:r>
              <w:rPr>
                <w:spacing w:val="-5"/>
                <w:sz w:val="24"/>
              </w:rPr>
              <w:t>479</w:t>
            </w:r>
          </w:p>
        </w:tc>
      </w:tr>
      <w:tr>
        <w:trPr>
          <w:trHeight w:val="300" w:hRule="atLeast"/>
        </w:trPr>
        <w:tc>
          <w:tcPr>
            <w:tcW w:w="1228" w:type="dxa"/>
          </w:tcPr>
          <w:p>
            <w:pPr>
              <w:pStyle w:val="TableParagraph"/>
              <w:spacing w:before="13"/>
              <w:ind w:left="58"/>
              <w:rPr>
                <w:sz w:val="24"/>
              </w:rPr>
            </w:pPr>
            <w:r>
              <w:rPr>
                <w:spacing w:val="-5"/>
                <w:sz w:val="24"/>
              </w:rPr>
              <w:t>13</w:t>
            </w:r>
          </w:p>
        </w:tc>
        <w:tc>
          <w:tcPr>
            <w:tcW w:w="1248" w:type="dxa"/>
          </w:tcPr>
          <w:p>
            <w:pPr>
              <w:pStyle w:val="TableParagraph"/>
              <w:spacing w:before="13"/>
              <w:ind w:left="63"/>
              <w:rPr>
                <w:sz w:val="24"/>
              </w:rPr>
            </w:pPr>
            <w:r>
              <w:rPr>
                <w:spacing w:val="-5"/>
                <w:sz w:val="24"/>
              </w:rPr>
              <w:t>16</w:t>
            </w:r>
          </w:p>
        </w:tc>
        <w:tc>
          <w:tcPr>
            <w:tcW w:w="1537" w:type="dxa"/>
          </w:tcPr>
          <w:p>
            <w:pPr>
              <w:pStyle w:val="TableParagraph"/>
              <w:spacing w:before="13"/>
              <w:ind w:right="97"/>
              <w:rPr>
                <w:sz w:val="24"/>
              </w:rPr>
            </w:pPr>
            <w:r>
              <w:rPr>
                <w:spacing w:val="-5"/>
                <w:sz w:val="24"/>
              </w:rPr>
              <w:t>139</w:t>
            </w:r>
          </w:p>
        </w:tc>
        <w:tc>
          <w:tcPr>
            <w:tcW w:w="1499" w:type="dxa"/>
          </w:tcPr>
          <w:p>
            <w:pPr>
              <w:pStyle w:val="TableParagraph"/>
              <w:spacing w:before="13"/>
              <w:ind w:right="108"/>
              <w:rPr>
                <w:sz w:val="24"/>
              </w:rPr>
            </w:pPr>
            <w:r>
              <w:rPr>
                <w:spacing w:val="-5"/>
                <w:sz w:val="24"/>
              </w:rPr>
              <w:t>132</w:t>
            </w:r>
          </w:p>
        </w:tc>
        <w:tc>
          <w:tcPr>
            <w:tcW w:w="1502" w:type="dxa"/>
          </w:tcPr>
          <w:p>
            <w:pPr>
              <w:pStyle w:val="TableParagraph"/>
              <w:spacing w:before="13"/>
              <w:ind w:left="118" w:right="4"/>
              <w:rPr>
                <w:sz w:val="24"/>
              </w:rPr>
            </w:pPr>
            <w:r>
              <w:rPr>
                <w:spacing w:val="-5"/>
                <w:sz w:val="24"/>
              </w:rPr>
              <w:t>100</w:t>
            </w:r>
          </w:p>
        </w:tc>
        <w:tc>
          <w:tcPr>
            <w:tcW w:w="1304" w:type="dxa"/>
          </w:tcPr>
          <w:p>
            <w:pPr>
              <w:pStyle w:val="TableParagraph"/>
              <w:spacing w:before="13"/>
              <w:ind w:left="122"/>
              <w:rPr>
                <w:sz w:val="24"/>
              </w:rPr>
            </w:pPr>
            <w:r>
              <w:rPr>
                <w:spacing w:val="-5"/>
                <w:sz w:val="24"/>
              </w:rPr>
              <w:t>479</w:t>
            </w:r>
          </w:p>
        </w:tc>
      </w:tr>
      <w:tr>
        <w:trPr>
          <w:trHeight w:val="288" w:hRule="atLeast"/>
        </w:trPr>
        <w:tc>
          <w:tcPr>
            <w:tcW w:w="1228" w:type="dxa"/>
          </w:tcPr>
          <w:p>
            <w:pPr>
              <w:pStyle w:val="TableParagraph"/>
              <w:ind w:left="58"/>
              <w:rPr>
                <w:sz w:val="24"/>
              </w:rPr>
            </w:pPr>
            <w:r>
              <w:rPr>
                <w:spacing w:val="-5"/>
                <w:sz w:val="24"/>
              </w:rPr>
              <w:t>14</w:t>
            </w:r>
          </w:p>
        </w:tc>
        <w:tc>
          <w:tcPr>
            <w:tcW w:w="1248" w:type="dxa"/>
          </w:tcPr>
          <w:p>
            <w:pPr>
              <w:pStyle w:val="TableParagraph"/>
              <w:ind w:left="63"/>
              <w:rPr>
                <w:sz w:val="24"/>
              </w:rPr>
            </w:pPr>
            <w:r>
              <w:rPr>
                <w:spacing w:val="-5"/>
                <w:sz w:val="24"/>
              </w:rPr>
              <w:t>17</w:t>
            </w:r>
          </w:p>
        </w:tc>
        <w:tc>
          <w:tcPr>
            <w:tcW w:w="1537" w:type="dxa"/>
          </w:tcPr>
          <w:p>
            <w:pPr>
              <w:pStyle w:val="TableParagraph"/>
              <w:spacing w:line="240" w:lineRule="auto" w:before="0"/>
              <w:jc w:val="left"/>
              <w:rPr>
                <w:sz w:val="20"/>
              </w:rPr>
            </w:pPr>
          </w:p>
        </w:tc>
        <w:tc>
          <w:tcPr>
            <w:tcW w:w="1499" w:type="dxa"/>
          </w:tcPr>
          <w:p>
            <w:pPr>
              <w:pStyle w:val="TableParagraph"/>
              <w:spacing w:line="240" w:lineRule="auto" w:before="0"/>
              <w:jc w:val="left"/>
              <w:rPr>
                <w:sz w:val="20"/>
              </w:rPr>
            </w:pPr>
          </w:p>
        </w:tc>
        <w:tc>
          <w:tcPr>
            <w:tcW w:w="1502" w:type="dxa"/>
          </w:tcPr>
          <w:p>
            <w:pPr>
              <w:pStyle w:val="TableParagraph"/>
              <w:ind w:left="118" w:right="4"/>
              <w:rPr>
                <w:sz w:val="24"/>
              </w:rPr>
            </w:pPr>
            <w:r>
              <w:rPr>
                <w:spacing w:val="-5"/>
                <w:sz w:val="24"/>
              </w:rPr>
              <w:t>100</w:t>
            </w:r>
          </w:p>
        </w:tc>
        <w:tc>
          <w:tcPr>
            <w:tcW w:w="1304" w:type="dxa"/>
          </w:tcPr>
          <w:p>
            <w:pPr>
              <w:pStyle w:val="TableParagraph"/>
              <w:spacing w:line="240" w:lineRule="auto" w:before="0"/>
              <w:jc w:val="left"/>
              <w:rPr>
                <w:sz w:val="20"/>
              </w:rPr>
            </w:pPr>
          </w:p>
        </w:tc>
      </w:tr>
      <w:tr>
        <w:trPr>
          <w:trHeight w:val="288" w:hRule="atLeast"/>
        </w:trPr>
        <w:tc>
          <w:tcPr>
            <w:tcW w:w="1228" w:type="dxa"/>
          </w:tcPr>
          <w:p>
            <w:pPr>
              <w:pStyle w:val="TableParagraph"/>
              <w:ind w:left="58"/>
              <w:rPr>
                <w:sz w:val="24"/>
              </w:rPr>
            </w:pPr>
            <w:r>
              <w:rPr>
                <w:spacing w:val="-5"/>
                <w:sz w:val="24"/>
              </w:rPr>
              <w:t>15</w:t>
            </w:r>
          </w:p>
        </w:tc>
        <w:tc>
          <w:tcPr>
            <w:tcW w:w="1248" w:type="dxa"/>
          </w:tcPr>
          <w:p>
            <w:pPr>
              <w:pStyle w:val="TableParagraph"/>
              <w:ind w:left="63"/>
              <w:rPr>
                <w:sz w:val="24"/>
              </w:rPr>
            </w:pPr>
            <w:r>
              <w:rPr>
                <w:spacing w:val="-5"/>
                <w:sz w:val="24"/>
              </w:rPr>
              <w:t>18</w:t>
            </w:r>
          </w:p>
        </w:tc>
        <w:tc>
          <w:tcPr>
            <w:tcW w:w="1537" w:type="dxa"/>
          </w:tcPr>
          <w:p>
            <w:pPr>
              <w:pStyle w:val="TableParagraph"/>
              <w:spacing w:line="240" w:lineRule="auto" w:before="0"/>
              <w:jc w:val="left"/>
              <w:rPr>
                <w:sz w:val="20"/>
              </w:rPr>
            </w:pPr>
          </w:p>
        </w:tc>
        <w:tc>
          <w:tcPr>
            <w:tcW w:w="1499" w:type="dxa"/>
          </w:tcPr>
          <w:p>
            <w:pPr>
              <w:pStyle w:val="TableParagraph"/>
              <w:spacing w:line="240" w:lineRule="auto" w:before="0"/>
              <w:jc w:val="left"/>
              <w:rPr>
                <w:sz w:val="20"/>
              </w:rPr>
            </w:pPr>
          </w:p>
        </w:tc>
        <w:tc>
          <w:tcPr>
            <w:tcW w:w="1502" w:type="dxa"/>
          </w:tcPr>
          <w:p>
            <w:pPr>
              <w:pStyle w:val="TableParagraph"/>
              <w:ind w:left="118" w:right="4"/>
              <w:rPr>
                <w:sz w:val="24"/>
              </w:rPr>
            </w:pPr>
            <w:r>
              <w:rPr>
                <w:spacing w:val="-5"/>
                <w:sz w:val="24"/>
              </w:rPr>
              <w:t>109</w:t>
            </w:r>
          </w:p>
        </w:tc>
        <w:tc>
          <w:tcPr>
            <w:tcW w:w="1304" w:type="dxa"/>
          </w:tcPr>
          <w:p>
            <w:pPr>
              <w:pStyle w:val="TableParagraph"/>
              <w:ind w:left="122"/>
              <w:rPr>
                <w:sz w:val="24"/>
              </w:rPr>
            </w:pPr>
            <w:r>
              <w:rPr>
                <w:spacing w:val="-5"/>
                <w:sz w:val="24"/>
              </w:rPr>
              <w:t>479</w:t>
            </w:r>
          </w:p>
        </w:tc>
      </w:tr>
      <w:tr>
        <w:trPr>
          <w:trHeight w:val="288" w:hRule="atLeast"/>
        </w:trPr>
        <w:tc>
          <w:tcPr>
            <w:tcW w:w="1228" w:type="dxa"/>
          </w:tcPr>
          <w:p>
            <w:pPr>
              <w:pStyle w:val="TableParagraph"/>
              <w:ind w:left="58"/>
              <w:rPr>
                <w:sz w:val="24"/>
              </w:rPr>
            </w:pPr>
            <w:r>
              <w:rPr>
                <w:spacing w:val="-5"/>
                <w:sz w:val="24"/>
              </w:rPr>
              <w:t>16</w:t>
            </w:r>
          </w:p>
        </w:tc>
        <w:tc>
          <w:tcPr>
            <w:tcW w:w="1248" w:type="dxa"/>
          </w:tcPr>
          <w:p>
            <w:pPr>
              <w:pStyle w:val="TableParagraph"/>
              <w:ind w:left="63"/>
              <w:rPr>
                <w:sz w:val="24"/>
              </w:rPr>
            </w:pPr>
            <w:r>
              <w:rPr>
                <w:spacing w:val="-5"/>
                <w:sz w:val="24"/>
              </w:rPr>
              <w:t>19</w:t>
            </w:r>
          </w:p>
        </w:tc>
        <w:tc>
          <w:tcPr>
            <w:tcW w:w="1537" w:type="dxa"/>
          </w:tcPr>
          <w:p>
            <w:pPr>
              <w:pStyle w:val="TableParagraph"/>
              <w:spacing w:line="240" w:lineRule="auto" w:before="0"/>
              <w:jc w:val="left"/>
              <w:rPr>
                <w:sz w:val="20"/>
              </w:rPr>
            </w:pPr>
          </w:p>
        </w:tc>
        <w:tc>
          <w:tcPr>
            <w:tcW w:w="1499" w:type="dxa"/>
          </w:tcPr>
          <w:p>
            <w:pPr>
              <w:pStyle w:val="TableParagraph"/>
              <w:ind w:right="108"/>
              <w:rPr>
                <w:sz w:val="24"/>
              </w:rPr>
            </w:pPr>
            <w:r>
              <w:rPr>
                <w:spacing w:val="-5"/>
                <w:sz w:val="24"/>
              </w:rPr>
              <w:t>140</w:t>
            </w:r>
          </w:p>
        </w:tc>
        <w:tc>
          <w:tcPr>
            <w:tcW w:w="1502" w:type="dxa"/>
          </w:tcPr>
          <w:p>
            <w:pPr>
              <w:pStyle w:val="TableParagraph"/>
              <w:ind w:left="118" w:right="4"/>
              <w:rPr>
                <w:sz w:val="24"/>
              </w:rPr>
            </w:pPr>
            <w:r>
              <w:rPr>
                <w:spacing w:val="-5"/>
                <w:sz w:val="24"/>
              </w:rPr>
              <w:t>109</w:t>
            </w:r>
          </w:p>
        </w:tc>
        <w:tc>
          <w:tcPr>
            <w:tcW w:w="1304" w:type="dxa"/>
          </w:tcPr>
          <w:p>
            <w:pPr>
              <w:pStyle w:val="TableParagraph"/>
              <w:ind w:left="122"/>
              <w:rPr>
                <w:sz w:val="24"/>
              </w:rPr>
            </w:pPr>
            <w:r>
              <w:rPr>
                <w:spacing w:val="-5"/>
                <w:sz w:val="24"/>
              </w:rPr>
              <w:t>479</w:t>
            </w:r>
          </w:p>
        </w:tc>
      </w:tr>
      <w:tr>
        <w:trPr>
          <w:trHeight w:val="284" w:hRule="atLeast"/>
        </w:trPr>
        <w:tc>
          <w:tcPr>
            <w:tcW w:w="1228" w:type="dxa"/>
            <w:tcBorders>
              <w:bottom w:val="single" w:sz="4" w:space="0" w:color="000000"/>
            </w:tcBorders>
          </w:tcPr>
          <w:p>
            <w:pPr>
              <w:pStyle w:val="TableParagraph"/>
              <w:spacing w:line="264" w:lineRule="exact"/>
              <w:ind w:left="58"/>
              <w:rPr>
                <w:sz w:val="24"/>
              </w:rPr>
            </w:pPr>
            <w:r>
              <w:rPr>
                <w:spacing w:val="-5"/>
                <w:sz w:val="24"/>
              </w:rPr>
              <w:t>17</w:t>
            </w:r>
          </w:p>
        </w:tc>
        <w:tc>
          <w:tcPr>
            <w:tcW w:w="1248" w:type="dxa"/>
            <w:tcBorders>
              <w:bottom w:val="single" w:sz="4" w:space="0" w:color="000000"/>
            </w:tcBorders>
          </w:tcPr>
          <w:p>
            <w:pPr>
              <w:pStyle w:val="TableParagraph"/>
              <w:spacing w:line="264" w:lineRule="exact"/>
              <w:ind w:left="63"/>
              <w:rPr>
                <w:sz w:val="24"/>
              </w:rPr>
            </w:pPr>
            <w:r>
              <w:rPr>
                <w:spacing w:val="-5"/>
                <w:sz w:val="24"/>
              </w:rPr>
              <w:t>20</w:t>
            </w:r>
          </w:p>
        </w:tc>
        <w:tc>
          <w:tcPr>
            <w:tcW w:w="1537" w:type="dxa"/>
            <w:tcBorders>
              <w:bottom w:val="single" w:sz="4" w:space="0" w:color="000000"/>
            </w:tcBorders>
          </w:tcPr>
          <w:p>
            <w:pPr>
              <w:pStyle w:val="TableParagraph"/>
              <w:spacing w:line="240" w:lineRule="auto" w:before="0"/>
              <w:jc w:val="left"/>
              <w:rPr>
                <w:sz w:val="20"/>
              </w:rPr>
            </w:pPr>
          </w:p>
        </w:tc>
        <w:tc>
          <w:tcPr>
            <w:tcW w:w="1499" w:type="dxa"/>
            <w:tcBorders>
              <w:bottom w:val="single" w:sz="4" w:space="0" w:color="000000"/>
            </w:tcBorders>
          </w:tcPr>
          <w:p>
            <w:pPr>
              <w:pStyle w:val="TableParagraph"/>
              <w:spacing w:line="240" w:lineRule="auto" w:before="0"/>
              <w:jc w:val="left"/>
              <w:rPr>
                <w:sz w:val="20"/>
              </w:rPr>
            </w:pPr>
          </w:p>
        </w:tc>
        <w:tc>
          <w:tcPr>
            <w:tcW w:w="1502" w:type="dxa"/>
            <w:tcBorders>
              <w:bottom w:val="single" w:sz="4" w:space="0" w:color="000000"/>
            </w:tcBorders>
          </w:tcPr>
          <w:p>
            <w:pPr>
              <w:pStyle w:val="TableParagraph"/>
              <w:spacing w:line="240" w:lineRule="auto" w:before="0"/>
              <w:jc w:val="left"/>
              <w:rPr>
                <w:sz w:val="20"/>
              </w:rPr>
            </w:pPr>
          </w:p>
        </w:tc>
        <w:tc>
          <w:tcPr>
            <w:tcW w:w="1304" w:type="dxa"/>
            <w:tcBorders>
              <w:bottom w:val="single" w:sz="4" w:space="0" w:color="000000"/>
            </w:tcBorders>
          </w:tcPr>
          <w:p>
            <w:pPr>
              <w:pStyle w:val="TableParagraph"/>
              <w:spacing w:line="240" w:lineRule="auto" w:before="0"/>
              <w:jc w:val="left"/>
              <w:rPr>
                <w:sz w:val="20"/>
              </w:rPr>
            </w:pPr>
          </w:p>
        </w:tc>
      </w:tr>
    </w:tbl>
    <w:p>
      <w:pPr>
        <w:spacing w:after="0" w:line="240" w:lineRule="auto"/>
        <w:jc w:val="left"/>
        <w:rPr>
          <w:sz w:val="20"/>
        </w:rPr>
        <w:sectPr>
          <w:pgSz w:w="11910" w:h="16840"/>
          <w:pgMar w:header="0" w:footer="1254" w:top="1900" w:bottom="1440" w:left="1180" w:right="580"/>
        </w:sectPr>
      </w:pPr>
    </w:p>
    <w:p>
      <w:pPr>
        <w:pStyle w:val="BodyText"/>
        <w:spacing w:line="480" w:lineRule="auto" w:before="74"/>
        <w:ind w:left="260" w:right="856"/>
        <w:jc w:val="both"/>
      </w:pPr>
      <w:r>
        <w:rPr/>
        <w:t>Nine (9) malarial patient </w:t>
      </w:r>
      <w:r>
        <w:rPr>
          <w:i/>
        </w:rPr>
        <w:t>P. falciparum </w:t>
      </w:r>
      <w:r>
        <w:rPr/>
        <w:t>isolates were observed with multiple antimalarial drugs resistance across the test drugs with molecular size (DNA size) ranging from 26, 41,</w:t>
      </w:r>
      <w:r>
        <w:rPr>
          <w:spacing w:val="40"/>
        </w:rPr>
        <w:t> </w:t>
      </w:r>
      <w:r>
        <w:rPr/>
        <w:t>57, 72, 79, 83, 87, 91100 and 479 bp. Three (3) malarial patient </w:t>
      </w:r>
      <w:r>
        <w:rPr>
          <w:i/>
        </w:rPr>
        <w:t>P. falciparum parasite </w:t>
      </w:r>
      <w:r>
        <w:rPr/>
        <w:t>isolates demonstrated resistant to two drugs with DNA size ranging from 20.4 and 132 for</w:t>
      </w:r>
      <w:r>
        <w:rPr>
          <w:spacing w:val="40"/>
        </w:rPr>
        <w:t> </w:t>
      </w:r>
      <w:r>
        <w:rPr/>
        <w:t>one</w:t>
      </w:r>
      <w:r>
        <w:rPr>
          <w:spacing w:val="3"/>
        </w:rPr>
        <w:t> </w:t>
      </w:r>
      <w:r>
        <w:rPr/>
        <w:t>patient,</w:t>
      </w:r>
      <w:r>
        <w:rPr>
          <w:spacing w:val="9"/>
        </w:rPr>
        <w:t> </w:t>
      </w:r>
      <w:r>
        <w:rPr/>
        <w:t>and</w:t>
      </w:r>
      <w:r>
        <w:rPr>
          <w:spacing w:val="6"/>
        </w:rPr>
        <w:t> </w:t>
      </w:r>
      <w:r>
        <w:rPr/>
        <w:t>from</w:t>
      </w:r>
      <w:r>
        <w:rPr>
          <w:spacing w:val="6"/>
        </w:rPr>
        <w:t> </w:t>
      </w:r>
      <w:r>
        <w:rPr/>
        <w:t>68,</w:t>
      </w:r>
      <w:r>
        <w:rPr>
          <w:spacing w:val="8"/>
        </w:rPr>
        <w:t> </w:t>
      </w:r>
      <w:r>
        <w:rPr/>
        <w:t>140</w:t>
      </w:r>
      <w:r>
        <w:rPr>
          <w:spacing w:val="6"/>
        </w:rPr>
        <w:t> </w:t>
      </w:r>
      <w:r>
        <w:rPr/>
        <w:t>and</w:t>
      </w:r>
      <w:r>
        <w:rPr>
          <w:spacing w:val="6"/>
        </w:rPr>
        <w:t> </w:t>
      </w:r>
      <w:r>
        <w:rPr/>
        <w:t>479</w:t>
      </w:r>
      <w:r>
        <w:rPr>
          <w:spacing w:val="9"/>
        </w:rPr>
        <w:t> </w:t>
      </w:r>
      <w:r>
        <w:rPr/>
        <w:t>bp</w:t>
      </w:r>
      <w:r>
        <w:rPr>
          <w:spacing w:val="5"/>
        </w:rPr>
        <w:t> </w:t>
      </w:r>
      <w:r>
        <w:rPr/>
        <w:t>for</w:t>
      </w:r>
      <w:r>
        <w:rPr>
          <w:spacing w:val="6"/>
        </w:rPr>
        <w:t> </w:t>
      </w:r>
      <w:r>
        <w:rPr/>
        <w:t>the</w:t>
      </w:r>
      <w:r>
        <w:rPr>
          <w:spacing w:val="11"/>
        </w:rPr>
        <w:t> </w:t>
      </w:r>
      <w:r>
        <w:rPr/>
        <w:t>other</w:t>
      </w:r>
      <w:r>
        <w:rPr>
          <w:spacing w:val="5"/>
        </w:rPr>
        <w:t> </w:t>
      </w:r>
      <w:r>
        <w:rPr/>
        <w:t>two</w:t>
      </w:r>
      <w:r>
        <w:rPr>
          <w:spacing w:val="5"/>
        </w:rPr>
        <w:t> </w:t>
      </w:r>
      <w:r>
        <w:rPr/>
        <w:t>patients.</w:t>
      </w:r>
      <w:r>
        <w:rPr>
          <w:spacing w:val="7"/>
        </w:rPr>
        <w:t> </w:t>
      </w:r>
      <w:r>
        <w:rPr/>
        <w:t>Two</w:t>
      </w:r>
      <w:r>
        <w:rPr>
          <w:spacing w:val="8"/>
        </w:rPr>
        <w:t> </w:t>
      </w:r>
      <w:r>
        <w:rPr/>
        <w:t>(2)</w:t>
      </w:r>
      <w:r>
        <w:rPr>
          <w:spacing w:val="6"/>
        </w:rPr>
        <w:t> </w:t>
      </w:r>
      <w:r>
        <w:rPr/>
        <w:t>malarial</w:t>
      </w:r>
      <w:r>
        <w:rPr>
          <w:spacing w:val="9"/>
        </w:rPr>
        <w:t> </w:t>
      </w:r>
      <w:r>
        <w:rPr>
          <w:spacing w:val="-2"/>
        </w:rPr>
        <w:t>patient</w:t>
      </w:r>
    </w:p>
    <w:p>
      <w:pPr>
        <w:pStyle w:val="BodyText"/>
        <w:spacing w:line="480" w:lineRule="auto"/>
        <w:ind w:left="260" w:right="862"/>
        <w:jc w:val="both"/>
      </w:pPr>
      <w:r>
        <w:rPr>
          <w:i/>
        </w:rPr>
        <w:t>P. falciparum </w:t>
      </w:r>
      <w:r>
        <w:rPr/>
        <w:t>isolates demonstrated resistant to two drugs with DNA size ranging from 109 and 150 bp, and 109 and 479 bp.</w:t>
      </w:r>
    </w:p>
    <w:p>
      <w:pPr>
        <w:spacing w:after="0" w:line="480" w:lineRule="auto"/>
        <w:jc w:val="both"/>
        <w:sectPr>
          <w:pgSz w:w="11910" w:h="16840"/>
          <w:pgMar w:header="0" w:footer="1254" w:top="1340" w:bottom="1440" w:left="1180" w:right="580"/>
        </w:sectPr>
      </w:pPr>
    </w:p>
    <w:p>
      <w:pPr>
        <w:pStyle w:val="Heading1"/>
        <w:ind w:left="1391" w:right="1989"/>
      </w:pPr>
      <w:bookmarkStart w:name="_TOC_250006" w:id="42"/>
      <w:r>
        <w:rPr/>
        <w:t>CHAPTER</w:t>
      </w:r>
      <w:r>
        <w:rPr>
          <w:spacing w:val="-5"/>
        </w:rPr>
        <w:t> </w:t>
      </w:r>
      <w:bookmarkEnd w:id="42"/>
      <w:r>
        <w:rPr>
          <w:spacing w:val="-4"/>
        </w:rPr>
        <w:t>FIVE</w:t>
      </w:r>
    </w:p>
    <w:p>
      <w:pPr>
        <w:pStyle w:val="BodyText"/>
        <w:spacing w:before="3"/>
        <w:rPr>
          <w:b/>
        </w:rPr>
      </w:pPr>
    </w:p>
    <w:p>
      <w:pPr>
        <w:pStyle w:val="ListParagraph"/>
        <w:numPr>
          <w:ilvl w:val="1"/>
          <w:numId w:val="16"/>
        </w:numPr>
        <w:tabs>
          <w:tab w:pos="620" w:val="left" w:leader="none"/>
        </w:tabs>
        <w:spacing w:line="240" w:lineRule="auto" w:before="0" w:after="0"/>
        <w:ind w:left="620" w:right="0" w:hanging="360"/>
        <w:jc w:val="left"/>
        <w:rPr>
          <w:b/>
          <w:sz w:val="24"/>
        </w:rPr>
      </w:pPr>
      <w:r>
        <w:rPr>
          <w:b/>
          <w:sz w:val="24"/>
        </w:rPr>
        <w:t>DISCUSSION,</w:t>
      </w:r>
      <w:r>
        <w:rPr>
          <w:b/>
          <w:spacing w:val="-2"/>
          <w:sz w:val="24"/>
        </w:rPr>
        <w:t> </w:t>
      </w:r>
      <w:r>
        <w:rPr>
          <w:b/>
          <w:sz w:val="24"/>
        </w:rPr>
        <w:t>CONCLUSION</w:t>
      </w:r>
      <w:r>
        <w:rPr>
          <w:b/>
          <w:spacing w:val="-1"/>
          <w:sz w:val="24"/>
        </w:rPr>
        <w:t> </w:t>
      </w:r>
      <w:r>
        <w:rPr>
          <w:b/>
          <w:sz w:val="24"/>
        </w:rPr>
        <w:t>AND</w:t>
      </w:r>
      <w:r>
        <w:rPr>
          <w:b/>
          <w:spacing w:val="-2"/>
          <w:sz w:val="24"/>
        </w:rPr>
        <w:t> RECOMMENDATION</w:t>
      </w:r>
    </w:p>
    <w:p>
      <w:pPr>
        <w:pStyle w:val="BodyText"/>
        <w:spacing w:before="199"/>
        <w:rPr>
          <w:b/>
        </w:rPr>
      </w:pPr>
    </w:p>
    <w:p>
      <w:pPr>
        <w:pStyle w:val="Heading2"/>
        <w:numPr>
          <w:ilvl w:val="1"/>
          <w:numId w:val="16"/>
        </w:numPr>
        <w:tabs>
          <w:tab w:pos="620" w:val="left" w:leader="none"/>
        </w:tabs>
        <w:spacing w:line="240" w:lineRule="auto" w:before="0" w:after="0"/>
        <w:ind w:left="620" w:right="0" w:hanging="360"/>
        <w:jc w:val="left"/>
      </w:pPr>
      <w:bookmarkStart w:name="_TOC_250005" w:id="43"/>
      <w:bookmarkEnd w:id="43"/>
      <w:r>
        <w:rPr>
          <w:spacing w:val="-2"/>
        </w:rPr>
        <w:t>Discussion</w:t>
      </w:r>
    </w:p>
    <w:p>
      <w:pPr>
        <w:pStyle w:val="BodyText"/>
        <w:spacing w:before="194"/>
        <w:rPr>
          <w:b/>
        </w:rPr>
      </w:pPr>
    </w:p>
    <w:p>
      <w:pPr>
        <w:pStyle w:val="BodyText"/>
        <w:spacing w:line="480" w:lineRule="auto" w:before="1"/>
        <w:ind w:left="260" w:right="856"/>
        <w:jc w:val="both"/>
      </w:pPr>
      <w:r>
        <w:rPr/>
        <w:t>Nigeria has been reported with the largest population at risk of malaria in Africa (WHO, 2012). Malaria transmission in Nigeria takes place during both rainy and dry seasons in the southern part but have been reported to be more pronounced during rainy season in the northern region (WHO, 2012). Approximately 50% of the Nigerian population has been reported to experience at least one episode per year with an official estimate of an average of four malaria attack per person per year (WHO, 1995 and WHO, 2002).</w:t>
      </w:r>
    </w:p>
    <w:p>
      <w:pPr>
        <w:pStyle w:val="BodyText"/>
        <w:spacing w:before="274"/>
      </w:pPr>
    </w:p>
    <w:p>
      <w:pPr>
        <w:pStyle w:val="BodyText"/>
        <w:spacing w:line="480" w:lineRule="auto"/>
        <w:ind w:left="260" w:right="858"/>
        <w:jc w:val="both"/>
      </w:pPr>
      <w:r>
        <w:rPr/>
        <w:t>The results of the retrospective study in this work showed that malaria patients visit hospital more during the rainy season (April to October). This rainy season avail good environmental condition for the vector of malarial parasites in Sabon-Wuse, Niger State, Nigeria.</w:t>
      </w:r>
    </w:p>
    <w:p>
      <w:pPr>
        <w:pStyle w:val="BodyText"/>
      </w:pPr>
    </w:p>
    <w:p>
      <w:pPr>
        <w:pStyle w:val="BodyText"/>
      </w:pPr>
    </w:p>
    <w:p>
      <w:pPr>
        <w:pStyle w:val="BodyText"/>
        <w:spacing w:line="480" w:lineRule="auto" w:before="1"/>
        <w:ind w:left="260" w:right="855"/>
        <w:jc w:val="both"/>
      </w:pPr>
      <w:r>
        <w:rPr/>
        <w:t>The study of the blood samples of volunteered malarial patients showed that 54.2% of the patients that attended UMYMH had </w:t>
      </w:r>
      <w:r>
        <w:rPr>
          <w:i/>
        </w:rPr>
        <w:t>Plasmodium </w:t>
      </w:r>
      <w:r>
        <w:rPr/>
        <w:t>species in their blood. The results further showed that female (54.8%) was more infected than male (45.2%). These results point to the fact that female are more accessible to malaria parasite vector than male in the locality.</w:t>
      </w:r>
      <w:r>
        <w:rPr>
          <w:spacing w:val="40"/>
        </w:rPr>
        <w:t> </w:t>
      </w:r>
      <w:r>
        <w:rPr/>
        <w:t>The investigation further showed that 70% of sampled malarial patients were in the age group 31- 70 years with </w:t>
      </w:r>
      <w:r>
        <w:rPr>
          <w:i/>
        </w:rPr>
        <w:t>Plasmodium species </w:t>
      </w:r>
      <w:r>
        <w:rPr/>
        <w:t>malarial parasite. </w:t>
      </w:r>
      <w:r>
        <w:rPr>
          <w:i/>
        </w:rPr>
        <w:t>Plasmodium </w:t>
      </w:r>
      <w:r>
        <w:rPr/>
        <w:t>species were not detected</w:t>
      </w:r>
      <w:r>
        <w:rPr>
          <w:spacing w:val="80"/>
        </w:rPr>
        <w:t> </w:t>
      </w:r>
      <w:r>
        <w:rPr/>
        <w:t>in the stained blood smears in a high proportion of children brought to hospital with the symptom of fever. The high proportion of adult who visited UMYMH for medical advice</w:t>
      </w:r>
      <w:r>
        <w:rPr>
          <w:spacing w:val="40"/>
        </w:rPr>
        <w:t> </w:t>
      </w:r>
      <w:r>
        <w:rPr/>
        <w:t>with fever had </w:t>
      </w:r>
      <w:r>
        <w:rPr>
          <w:i/>
        </w:rPr>
        <w:t>Plasmodium </w:t>
      </w:r>
      <w:r>
        <w:rPr/>
        <w:t>species. Ramadhan </w:t>
      </w:r>
      <w:r>
        <w:rPr>
          <w:i/>
        </w:rPr>
        <w:t>et al</w:t>
      </w:r>
      <w:r>
        <w:rPr/>
        <w:t>. (2000) stated that the frequency of malaria</w:t>
      </w:r>
      <w:r>
        <w:rPr>
          <w:spacing w:val="-1"/>
        </w:rPr>
        <w:t> </w:t>
      </w:r>
      <w:r>
        <w:rPr/>
        <w:t>attack depends</w:t>
      </w:r>
      <w:r>
        <w:rPr>
          <w:spacing w:val="2"/>
        </w:rPr>
        <w:t> </w:t>
      </w:r>
      <w:r>
        <w:rPr/>
        <w:t>more</w:t>
      </w:r>
      <w:r>
        <w:rPr>
          <w:spacing w:val="-2"/>
        </w:rPr>
        <w:t> </w:t>
      </w:r>
      <w:r>
        <w:rPr/>
        <w:t>on</w:t>
      </w:r>
      <w:r>
        <w:rPr>
          <w:spacing w:val="2"/>
        </w:rPr>
        <w:t> </w:t>
      </w:r>
      <w:r>
        <w:rPr/>
        <w:t>the immunity</w:t>
      </w:r>
      <w:r>
        <w:rPr>
          <w:spacing w:val="-3"/>
        </w:rPr>
        <w:t> </w:t>
      </w:r>
      <w:r>
        <w:rPr/>
        <w:t>of</w:t>
      </w:r>
      <w:r>
        <w:rPr>
          <w:spacing w:val="-1"/>
        </w:rPr>
        <w:t> </w:t>
      </w:r>
      <w:r>
        <w:rPr/>
        <w:t>the</w:t>
      </w:r>
      <w:r>
        <w:rPr>
          <w:spacing w:val="-1"/>
        </w:rPr>
        <w:t> </w:t>
      </w:r>
      <w:r>
        <w:rPr/>
        <w:t>individual and</w:t>
      </w:r>
      <w:r>
        <w:rPr>
          <w:spacing w:val="2"/>
        </w:rPr>
        <w:t> </w:t>
      </w:r>
      <w:r>
        <w:rPr/>
        <w:t>the</w:t>
      </w:r>
      <w:r>
        <w:rPr>
          <w:spacing w:val="1"/>
        </w:rPr>
        <w:t> </w:t>
      </w:r>
      <w:r>
        <w:rPr/>
        <w:t>rate</w:t>
      </w:r>
      <w:r>
        <w:rPr>
          <w:spacing w:val="1"/>
        </w:rPr>
        <w:t> </w:t>
      </w:r>
      <w:r>
        <w:rPr/>
        <w:t>of</w:t>
      </w:r>
      <w:r>
        <w:rPr>
          <w:spacing w:val="1"/>
        </w:rPr>
        <w:t> </w:t>
      </w:r>
      <w:r>
        <w:rPr/>
        <w:t>exposure</w:t>
      </w:r>
      <w:r>
        <w:rPr>
          <w:spacing w:val="-2"/>
        </w:rPr>
        <w:t> </w:t>
      </w:r>
      <w:r>
        <w:rPr/>
        <w:t>to </w:t>
      </w:r>
      <w:r>
        <w:rPr>
          <w:spacing w:val="-5"/>
        </w:rPr>
        <w:t>the</w:t>
      </w:r>
    </w:p>
    <w:p>
      <w:pPr>
        <w:spacing w:after="0" w:line="480" w:lineRule="auto"/>
        <w:jc w:val="both"/>
        <w:sectPr>
          <w:pgSz w:w="11910" w:h="16840"/>
          <w:pgMar w:header="0" w:footer="1254" w:top="1340" w:bottom="1440" w:left="1180" w:right="580"/>
        </w:sectPr>
      </w:pPr>
    </w:p>
    <w:p>
      <w:pPr>
        <w:pStyle w:val="BodyText"/>
        <w:spacing w:line="480" w:lineRule="auto" w:before="74"/>
        <w:ind w:left="260" w:right="857"/>
        <w:jc w:val="both"/>
      </w:pPr>
      <w:r>
        <w:rPr/>
        <w:t>parasites. The high incidence of </w:t>
      </w:r>
      <w:r>
        <w:rPr>
          <w:i/>
        </w:rPr>
        <w:t>P. falciparum </w:t>
      </w:r>
      <w:r>
        <w:rPr/>
        <w:t>with adult could be attributed to the high rate of exposure of this adult age group to the </w:t>
      </w:r>
      <w:r>
        <w:rPr>
          <w:i/>
        </w:rPr>
        <w:t>P. falciparum </w:t>
      </w:r>
      <w:r>
        <w:rPr/>
        <w:t>vector in Sabon-Wuse, Niger State, </w:t>
      </w:r>
      <w:r>
        <w:rPr>
          <w:spacing w:val="-2"/>
        </w:rPr>
        <w:t>Nigeria.</w:t>
      </w:r>
    </w:p>
    <w:p>
      <w:pPr>
        <w:pStyle w:val="BodyText"/>
      </w:pPr>
    </w:p>
    <w:p>
      <w:pPr>
        <w:pStyle w:val="BodyText"/>
      </w:pPr>
    </w:p>
    <w:p>
      <w:pPr>
        <w:spacing w:line="480" w:lineRule="auto" w:before="0"/>
        <w:ind w:left="260" w:right="855" w:firstLine="0"/>
        <w:jc w:val="both"/>
        <w:rPr>
          <w:sz w:val="24"/>
        </w:rPr>
      </w:pPr>
      <w:r>
        <w:rPr>
          <w:sz w:val="24"/>
        </w:rPr>
        <w:t>This study also showed that the </w:t>
      </w:r>
      <w:r>
        <w:rPr>
          <w:i/>
          <w:sz w:val="24"/>
        </w:rPr>
        <w:t>Plasmodium falciparum </w:t>
      </w:r>
      <w:r>
        <w:rPr>
          <w:sz w:val="24"/>
        </w:rPr>
        <w:t>was 85.7% of the positive sample population, while 14.3% had mixed infection with </w:t>
      </w:r>
      <w:r>
        <w:rPr>
          <w:i/>
          <w:sz w:val="24"/>
        </w:rPr>
        <w:t>Plasmodium malariae</w:t>
      </w:r>
      <w:r>
        <w:rPr>
          <w:sz w:val="24"/>
        </w:rPr>
        <w:t>. The result showed that</w:t>
      </w:r>
      <w:r>
        <w:rPr>
          <w:spacing w:val="-2"/>
          <w:sz w:val="24"/>
        </w:rPr>
        <w:t> </w:t>
      </w:r>
      <w:r>
        <w:rPr>
          <w:i/>
          <w:sz w:val="24"/>
        </w:rPr>
        <w:t>Plasmodium</w:t>
      </w:r>
      <w:r>
        <w:rPr>
          <w:i/>
          <w:spacing w:val="-2"/>
          <w:sz w:val="24"/>
        </w:rPr>
        <w:t> </w:t>
      </w:r>
      <w:r>
        <w:rPr>
          <w:i/>
          <w:sz w:val="24"/>
        </w:rPr>
        <w:t>falciparum</w:t>
      </w:r>
      <w:r>
        <w:rPr>
          <w:i/>
          <w:spacing w:val="-1"/>
          <w:sz w:val="24"/>
        </w:rPr>
        <w:t> </w:t>
      </w:r>
      <w:r>
        <w:rPr>
          <w:sz w:val="24"/>
        </w:rPr>
        <w:t>was</w:t>
      </w:r>
      <w:r>
        <w:rPr>
          <w:spacing w:val="-2"/>
          <w:sz w:val="24"/>
        </w:rPr>
        <w:t> </w:t>
      </w:r>
      <w:r>
        <w:rPr>
          <w:sz w:val="24"/>
        </w:rPr>
        <w:t>the</w:t>
      </w:r>
      <w:r>
        <w:rPr>
          <w:spacing w:val="-3"/>
          <w:sz w:val="24"/>
        </w:rPr>
        <w:t> </w:t>
      </w:r>
      <w:r>
        <w:rPr>
          <w:sz w:val="24"/>
        </w:rPr>
        <w:t>predominant </w:t>
      </w:r>
      <w:r>
        <w:rPr>
          <w:i/>
          <w:sz w:val="24"/>
        </w:rPr>
        <w:t>Plasmodium</w:t>
      </w:r>
      <w:r>
        <w:rPr>
          <w:i/>
          <w:spacing w:val="-2"/>
          <w:sz w:val="24"/>
        </w:rPr>
        <w:t> </w:t>
      </w:r>
      <w:r>
        <w:rPr>
          <w:sz w:val="24"/>
        </w:rPr>
        <w:t>species</w:t>
      </w:r>
      <w:r>
        <w:rPr>
          <w:spacing w:val="-2"/>
          <w:sz w:val="24"/>
        </w:rPr>
        <w:t> </w:t>
      </w:r>
      <w:r>
        <w:rPr>
          <w:sz w:val="24"/>
        </w:rPr>
        <w:t>in</w:t>
      </w:r>
      <w:r>
        <w:rPr>
          <w:spacing w:val="-2"/>
          <w:sz w:val="24"/>
        </w:rPr>
        <w:t> </w:t>
      </w:r>
      <w:r>
        <w:rPr>
          <w:sz w:val="24"/>
        </w:rPr>
        <w:t>Sabon-Wuse,</w:t>
      </w:r>
      <w:r>
        <w:rPr>
          <w:spacing w:val="-3"/>
          <w:sz w:val="24"/>
        </w:rPr>
        <w:t> </w:t>
      </w:r>
      <w:r>
        <w:rPr>
          <w:sz w:val="24"/>
        </w:rPr>
        <w:t>Niger State, Nigeria.</w:t>
      </w:r>
    </w:p>
    <w:p>
      <w:pPr>
        <w:pStyle w:val="BodyText"/>
      </w:pPr>
    </w:p>
    <w:p>
      <w:pPr>
        <w:pStyle w:val="BodyText"/>
      </w:pPr>
    </w:p>
    <w:p>
      <w:pPr>
        <w:pStyle w:val="BodyText"/>
        <w:spacing w:line="480" w:lineRule="auto" w:before="1"/>
        <w:ind w:left="260" w:right="855"/>
        <w:jc w:val="both"/>
      </w:pPr>
      <w:r>
        <w:rPr/>
        <w:t>Observation from this study also showed that 95% (19/20) of the parasites were resistant to test antimalarial drugs, while 5% (1/20) were sensitive </w:t>
      </w:r>
      <w:r>
        <w:rPr>
          <w:i/>
        </w:rPr>
        <w:t>in vitro </w:t>
      </w:r>
      <w:r>
        <w:rPr/>
        <w:t>to Chloroquine respectively. This observation is similar to Folarin </w:t>
      </w:r>
      <w:r>
        <w:rPr>
          <w:i/>
        </w:rPr>
        <w:t>et al</w:t>
      </w:r>
      <w:r>
        <w:rPr/>
        <w:t>. (2008) report that 85% (71/84) of malaria</w:t>
      </w:r>
      <w:r>
        <w:rPr>
          <w:spacing w:val="40"/>
        </w:rPr>
        <w:t> </w:t>
      </w:r>
      <w:r>
        <w:rPr/>
        <w:t>parasites in Ibadan, southwestern Nigeria were resistant to Chloroquine. Thirty-five per cent (7/20) were resistant to Amodiaquine, while 65% (13/20) of the </w:t>
      </w:r>
      <w:r>
        <w:rPr>
          <w:i/>
        </w:rPr>
        <w:t>Plasmodium falciparum </w:t>
      </w:r>
      <w:r>
        <w:rPr/>
        <w:t>parasites isolates were sensitive </w:t>
      </w:r>
      <w:r>
        <w:rPr>
          <w:i/>
        </w:rPr>
        <w:t>in vitro </w:t>
      </w:r>
      <w:r>
        <w:rPr/>
        <w:t>to Amodiaquine.</w:t>
      </w:r>
      <w:r>
        <w:rPr>
          <w:spacing w:val="77"/>
        </w:rPr>
        <w:t> </w:t>
      </w:r>
      <w:r>
        <w:rPr/>
        <w:t>This is similar to the earlier report in Southwest, Nigeria (Oyedeji </w:t>
      </w:r>
      <w:r>
        <w:rPr>
          <w:i/>
        </w:rPr>
        <w:t>et al</w:t>
      </w:r>
      <w:r>
        <w:rPr/>
        <w:t>., 2005), where resistant of </w:t>
      </w:r>
      <w:r>
        <w:rPr>
          <w:i/>
        </w:rPr>
        <w:t>Plasmodium falciparum </w:t>
      </w:r>
      <w:r>
        <w:rPr/>
        <w:t>isolate to Amodiaquine was found to be 39% (14/36). However, the result contradicts Falaki (2012) who reported that </w:t>
      </w:r>
      <w:r>
        <w:rPr>
          <w:i/>
        </w:rPr>
        <w:t>Plasmodium falciparum </w:t>
      </w:r>
      <w:r>
        <w:rPr/>
        <w:t>isolates in Kano were 100% sensitive to Amodiaquine. It was found that 25% (4/20) of the </w:t>
      </w:r>
      <w:r>
        <w:rPr>
          <w:i/>
        </w:rPr>
        <w:t>Plasmodium falciparum </w:t>
      </w:r>
      <w:r>
        <w:rPr/>
        <w:t>isolates were sensitive to Artesunate. This is similar to </w:t>
      </w:r>
      <w:r>
        <w:rPr>
          <w:color w:val="2B2D34"/>
        </w:rPr>
        <w:t>Na-Bangchang </w:t>
      </w:r>
      <w:r>
        <w:rPr>
          <w:i/>
          <w:color w:val="2B2D34"/>
        </w:rPr>
        <w:t>et al</w:t>
      </w:r>
      <w:r>
        <w:rPr>
          <w:color w:val="2B2D34"/>
        </w:rPr>
        <w:t>. (2013) who reported 36.7% declining in sensitivity to artesunate in Thai-Myanmar border.</w:t>
      </w:r>
    </w:p>
    <w:p>
      <w:pPr>
        <w:pStyle w:val="BodyText"/>
      </w:pPr>
    </w:p>
    <w:p>
      <w:pPr>
        <w:pStyle w:val="BodyText"/>
        <w:spacing w:before="1"/>
      </w:pPr>
    </w:p>
    <w:p>
      <w:pPr>
        <w:pStyle w:val="BodyText"/>
        <w:spacing w:line="480" w:lineRule="auto"/>
        <w:ind w:left="260" w:right="856"/>
        <w:jc w:val="both"/>
        <w:rPr>
          <w:i/>
        </w:rPr>
      </w:pPr>
      <w:r>
        <w:rPr/>
        <w:t>One of the factors to be considered in the prophylaxis, treatment, and control of </w:t>
      </w:r>
      <w:r>
        <w:rPr>
          <w:i/>
        </w:rPr>
        <w:t>Plasmodium falciparum </w:t>
      </w:r>
      <w:r>
        <w:rPr/>
        <w:t>malaria is the resistance of parasite strains that may arise against virtually every drug</w:t>
      </w:r>
      <w:r>
        <w:rPr>
          <w:spacing w:val="24"/>
        </w:rPr>
        <w:t> </w:t>
      </w:r>
      <w:r>
        <w:rPr/>
        <w:t>available.</w:t>
      </w:r>
      <w:r>
        <w:rPr>
          <w:spacing w:val="28"/>
        </w:rPr>
        <w:t> </w:t>
      </w:r>
      <w:r>
        <w:rPr/>
        <w:t>Identification</w:t>
      </w:r>
      <w:r>
        <w:rPr>
          <w:spacing w:val="27"/>
        </w:rPr>
        <w:t> </w:t>
      </w:r>
      <w:r>
        <w:rPr/>
        <w:t>of</w:t>
      </w:r>
      <w:r>
        <w:rPr>
          <w:spacing w:val="28"/>
        </w:rPr>
        <w:t> </w:t>
      </w:r>
      <w:r>
        <w:rPr>
          <w:i/>
        </w:rPr>
        <w:t>Pfcrt</w:t>
      </w:r>
      <w:r>
        <w:rPr>
          <w:i/>
          <w:spacing w:val="27"/>
        </w:rPr>
        <w:t> </w:t>
      </w:r>
      <w:r>
        <w:rPr/>
        <w:t>as</w:t>
      </w:r>
      <w:r>
        <w:rPr>
          <w:spacing w:val="24"/>
        </w:rPr>
        <w:t> </w:t>
      </w:r>
      <w:r>
        <w:rPr/>
        <w:t>the</w:t>
      </w:r>
      <w:r>
        <w:rPr>
          <w:spacing w:val="27"/>
        </w:rPr>
        <w:t> </w:t>
      </w:r>
      <w:r>
        <w:rPr/>
        <w:t>central</w:t>
      </w:r>
      <w:r>
        <w:rPr>
          <w:spacing w:val="27"/>
        </w:rPr>
        <w:t> </w:t>
      </w:r>
      <w:r>
        <w:rPr/>
        <w:t>determinant</w:t>
      </w:r>
      <w:r>
        <w:rPr>
          <w:spacing w:val="28"/>
        </w:rPr>
        <w:t> </w:t>
      </w:r>
      <w:r>
        <w:rPr/>
        <w:t>of</w:t>
      </w:r>
      <w:r>
        <w:rPr>
          <w:spacing w:val="23"/>
        </w:rPr>
        <w:t> </w:t>
      </w:r>
      <w:r>
        <w:rPr/>
        <w:t>chloroquine-resistant</w:t>
      </w:r>
      <w:r>
        <w:rPr>
          <w:spacing w:val="25"/>
        </w:rPr>
        <w:t> </w:t>
      </w:r>
      <w:r>
        <w:rPr>
          <w:i/>
          <w:spacing w:val="-5"/>
        </w:rPr>
        <w:t>P.</w:t>
      </w:r>
    </w:p>
    <w:p>
      <w:pPr>
        <w:spacing w:after="0" w:line="480" w:lineRule="auto"/>
        <w:jc w:val="both"/>
        <w:sectPr>
          <w:pgSz w:w="11910" w:h="16840"/>
          <w:pgMar w:header="0" w:footer="1254" w:top="1340" w:bottom="1440" w:left="1180" w:right="580"/>
        </w:sectPr>
      </w:pPr>
    </w:p>
    <w:p>
      <w:pPr>
        <w:pStyle w:val="BodyText"/>
        <w:spacing w:line="480" w:lineRule="auto" w:before="74"/>
        <w:ind w:left="260" w:right="852"/>
        <w:jc w:val="both"/>
      </w:pPr>
      <w:r>
        <w:rPr>
          <w:i/>
        </w:rPr>
        <w:t>falciparum </w:t>
      </w:r>
      <w:r>
        <w:rPr/>
        <w:t>malaria provides a molecular marker that can be used for surveillance of</w:t>
      </w:r>
      <w:r>
        <w:rPr>
          <w:spacing w:val="40"/>
        </w:rPr>
        <w:t> </w:t>
      </w:r>
      <w:r>
        <w:rPr/>
        <w:t>resistance and to evaluate drug treatment and prophylaxis policies (Olasehinde </w:t>
      </w:r>
      <w:r>
        <w:rPr>
          <w:i/>
        </w:rPr>
        <w:t>et al.</w:t>
      </w:r>
      <w:r>
        <w:rPr/>
        <w:t>, 2014). This work shows that 58.8% (11 samples) had Chloroquine resistant gene which amplified around 76 bp. This investigation also shows that all the samples analysed had multi- antimalarial drug resistant gene </w:t>
      </w:r>
      <w:r>
        <w:rPr>
          <w:i/>
        </w:rPr>
        <w:t>Pfcrt</w:t>
      </w:r>
      <w:r>
        <w:rPr/>
        <w:t>/FB (76T) which amplified around 76 bp. Furthermore, 87.5% (14) of the </w:t>
      </w:r>
      <w:r>
        <w:rPr>
          <w:i/>
        </w:rPr>
        <w:t>Plasmodium falciparum</w:t>
      </w:r>
      <w:r>
        <w:rPr>
          <w:i/>
          <w:spacing w:val="40"/>
        </w:rPr>
        <w:t> </w:t>
      </w:r>
      <w:r>
        <w:rPr/>
        <w:t>isolate samples analysed had the multi- antimalarial drug resistant gene </w:t>
      </w:r>
      <w:r>
        <w:rPr>
          <w:i/>
        </w:rPr>
        <w:t>Pfcrt</w:t>
      </w:r>
      <w:r>
        <w:rPr/>
        <w:t>/FB (76K) around 76bp. PCR analysis finding corroborates the </w:t>
      </w:r>
      <w:r>
        <w:rPr>
          <w:i/>
        </w:rPr>
        <w:t>in vitro </w:t>
      </w:r>
      <w:r>
        <w:rPr/>
        <w:t>susceptibility result in this work. In addition, it agreed with earlier findings where molecular markers of resistance were found in samples that gave </w:t>
      </w:r>
      <w:r>
        <w:rPr>
          <w:i/>
        </w:rPr>
        <w:t>in vivo </w:t>
      </w:r>
      <w:r>
        <w:rPr/>
        <w:t>resistance/drug failure (Djimde </w:t>
      </w:r>
      <w:r>
        <w:rPr>
          <w:i/>
        </w:rPr>
        <w:t>et al</w:t>
      </w:r>
      <w:r>
        <w:rPr/>
        <w:t>., 2001; Chen </w:t>
      </w:r>
      <w:r>
        <w:rPr>
          <w:i/>
        </w:rPr>
        <w:t>et al</w:t>
      </w:r>
      <w:r>
        <w:rPr/>
        <w:t>., 2001; Folarin </w:t>
      </w:r>
      <w:r>
        <w:rPr>
          <w:i/>
        </w:rPr>
        <w:t>et al</w:t>
      </w:r>
      <w:r>
        <w:rPr/>
        <w:t>., 2008;</w:t>
      </w:r>
      <w:r>
        <w:rPr>
          <w:spacing w:val="40"/>
        </w:rPr>
        <w:t> </w:t>
      </w:r>
      <w:r>
        <w:rPr/>
        <w:t>Olasehinde </w:t>
      </w:r>
      <w:r>
        <w:rPr>
          <w:i/>
        </w:rPr>
        <w:t>et al</w:t>
      </w:r>
      <w:r>
        <w:rPr/>
        <w:t>., 2014).</w:t>
      </w:r>
    </w:p>
    <w:p>
      <w:pPr>
        <w:pStyle w:val="BodyText"/>
      </w:pPr>
    </w:p>
    <w:p>
      <w:pPr>
        <w:pStyle w:val="BodyText"/>
        <w:spacing w:before="1"/>
      </w:pPr>
    </w:p>
    <w:p>
      <w:pPr>
        <w:pStyle w:val="BodyText"/>
        <w:spacing w:line="480" w:lineRule="auto"/>
        <w:ind w:left="260" w:right="852"/>
        <w:jc w:val="both"/>
      </w:pPr>
      <w:r>
        <w:rPr/>
        <w:t>This work showed that 75% (12) of the </w:t>
      </w:r>
      <w:r>
        <w:rPr>
          <w:i/>
        </w:rPr>
        <w:t>Plasmodium falciparum </w:t>
      </w:r>
      <w:r>
        <w:rPr/>
        <w:t>isolates analysed had </w:t>
      </w:r>
      <w:r>
        <w:rPr>
          <w:i/>
        </w:rPr>
        <w:t>PfATPase </w:t>
      </w:r>
      <w:r>
        <w:rPr/>
        <w:t>enzyme which amplified at 432 bp. This appears to indicate that the 12 samples</w:t>
      </w:r>
      <w:r>
        <w:rPr>
          <w:spacing w:val="40"/>
        </w:rPr>
        <w:t> </w:t>
      </w:r>
      <w:r>
        <w:rPr/>
        <w:t>had </w:t>
      </w:r>
      <w:r>
        <w:rPr>
          <w:i/>
        </w:rPr>
        <w:t>PfATPase </w:t>
      </w:r>
      <w:r>
        <w:rPr/>
        <w:t>gene, which codes for Artemisinin derivatives resistance. This agrees with artemisinin resistance reported in the Thai-Cambodia border (Noedl </w:t>
      </w:r>
      <w:r>
        <w:rPr>
          <w:i/>
        </w:rPr>
        <w:t>et al</w:t>
      </w:r>
      <w:r>
        <w:rPr/>
        <w:t>., 2009, </w:t>
      </w:r>
      <w:r>
        <w:rPr>
          <w:color w:val="2B2D34"/>
        </w:rPr>
        <w:t>Na- Bangchang </w:t>
      </w:r>
      <w:r>
        <w:rPr>
          <w:i/>
          <w:color w:val="2B2D34"/>
        </w:rPr>
        <w:t>et al</w:t>
      </w:r>
      <w:r>
        <w:rPr>
          <w:color w:val="2B2D34"/>
        </w:rPr>
        <w:t>., 2013</w:t>
      </w:r>
      <w:r>
        <w:rPr/>
        <w:t>) and the western border of Thailand (Aung </w:t>
      </w:r>
      <w:r>
        <w:rPr>
          <w:i/>
        </w:rPr>
        <w:t>et al</w:t>
      </w:r>
      <w:r>
        <w:rPr/>
        <w:t>., 2012). However,</w:t>
      </w:r>
      <w:r>
        <w:rPr>
          <w:spacing w:val="80"/>
        </w:rPr>
        <w:t> </w:t>
      </w:r>
      <w:r>
        <w:rPr/>
        <w:t>the resistance to Artemisinin derivatives in the study area contradicts earlier study in South- west Nigeria by Olasehinde </w:t>
      </w:r>
      <w:r>
        <w:rPr>
          <w:i/>
        </w:rPr>
        <w:t>et al</w:t>
      </w:r>
      <w:r>
        <w:rPr/>
        <w:t>. (2014), where 100% isolates carried the artemisinin sensitive wild type allele, S769.</w:t>
      </w:r>
      <w:r>
        <w:rPr>
          <w:spacing w:val="80"/>
        </w:rPr>
        <w:t> </w:t>
      </w:r>
      <w:r>
        <w:rPr/>
        <w:t>This calls for concern because Artemisinin and its derivatives are currently used as first line of treatment in Sabon-Wuse, Niger State, Nigeria; just like other African countries (Basco and Ringwald, 2001; Djimde </w:t>
      </w:r>
      <w:r>
        <w:rPr>
          <w:i/>
        </w:rPr>
        <w:t>et al</w:t>
      </w:r>
      <w:r>
        <w:rPr/>
        <w:t>., 2001; Mayor </w:t>
      </w:r>
      <w:r>
        <w:rPr>
          <w:i/>
        </w:rPr>
        <w:t>et al., </w:t>
      </w:r>
      <w:r>
        <w:rPr/>
        <w:t>2001; Adagu and Warhurst, 2001; Babiker </w:t>
      </w:r>
      <w:r>
        <w:rPr>
          <w:i/>
        </w:rPr>
        <w:t>et al</w:t>
      </w:r>
      <w:r>
        <w:rPr/>
        <w:t>., 2001; Kyosiimire-Lugemwa </w:t>
      </w:r>
      <w:r>
        <w:rPr>
          <w:i/>
        </w:rPr>
        <w:t>et al</w:t>
      </w:r>
      <w:r>
        <w:rPr/>
        <w:t>.,</w:t>
      </w:r>
      <w:r>
        <w:rPr>
          <w:spacing w:val="40"/>
        </w:rPr>
        <w:t> </w:t>
      </w:r>
      <w:r>
        <w:rPr/>
        <w:t>2002; Olasehinde </w:t>
      </w:r>
      <w:r>
        <w:rPr>
          <w:i/>
        </w:rPr>
        <w:t>et al</w:t>
      </w:r>
      <w:r>
        <w:rPr/>
        <w:t>., 2014). From the retrospective study, malarial patients were</w:t>
      </w:r>
      <w:r>
        <w:rPr>
          <w:spacing w:val="40"/>
        </w:rPr>
        <w:t> </w:t>
      </w:r>
      <w:r>
        <w:rPr/>
        <w:t>prescribed</w:t>
      </w:r>
      <w:r>
        <w:rPr>
          <w:spacing w:val="17"/>
        </w:rPr>
        <w:t> </w:t>
      </w:r>
      <w:r>
        <w:rPr/>
        <w:t>with</w:t>
      </w:r>
      <w:r>
        <w:rPr>
          <w:spacing w:val="20"/>
        </w:rPr>
        <w:t> </w:t>
      </w:r>
      <w:r>
        <w:rPr/>
        <w:t>either</w:t>
      </w:r>
      <w:r>
        <w:rPr>
          <w:spacing w:val="19"/>
        </w:rPr>
        <w:t> </w:t>
      </w:r>
      <w:r>
        <w:rPr/>
        <w:t>single</w:t>
      </w:r>
      <w:r>
        <w:rPr>
          <w:spacing w:val="19"/>
        </w:rPr>
        <w:t> </w:t>
      </w:r>
      <w:r>
        <w:rPr/>
        <w:t>or</w:t>
      </w:r>
      <w:r>
        <w:rPr>
          <w:spacing w:val="18"/>
        </w:rPr>
        <w:t> </w:t>
      </w:r>
      <w:r>
        <w:rPr/>
        <w:t>combination</w:t>
      </w:r>
      <w:r>
        <w:rPr>
          <w:spacing w:val="20"/>
        </w:rPr>
        <w:t> </w:t>
      </w:r>
      <w:r>
        <w:rPr/>
        <w:t>of</w:t>
      </w:r>
      <w:r>
        <w:rPr>
          <w:spacing w:val="19"/>
        </w:rPr>
        <w:t> </w:t>
      </w:r>
      <w:r>
        <w:rPr/>
        <w:t>Artemisinin</w:t>
      </w:r>
      <w:r>
        <w:rPr>
          <w:spacing w:val="20"/>
        </w:rPr>
        <w:t> </w:t>
      </w:r>
      <w:r>
        <w:rPr/>
        <w:t>derivatives</w:t>
      </w:r>
      <w:r>
        <w:rPr>
          <w:spacing w:val="19"/>
        </w:rPr>
        <w:t> </w:t>
      </w:r>
      <w:r>
        <w:rPr/>
        <w:t>to</w:t>
      </w:r>
      <w:r>
        <w:rPr>
          <w:spacing w:val="20"/>
        </w:rPr>
        <w:t> </w:t>
      </w:r>
      <w:r>
        <w:rPr/>
        <w:t>the</w:t>
      </w:r>
      <w:r>
        <w:rPr>
          <w:spacing w:val="19"/>
        </w:rPr>
        <w:t> </w:t>
      </w:r>
      <w:r>
        <w:rPr/>
        <w:t>tune</w:t>
      </w:r>
      <w:r>
        <w:rPr>
          <w:spacing w:val="19"/>
        </w:rPr>
        <w:t> </w:t>
      </w:r>
      <w:r>
        <w:rPr/>
        <w:t>of</w:t>
      </w:r>
      <w:r>
        <w:rPr>
          <w:spacing w:val="19"/>
        </w:rPr>
        <w:t> </w:t>
      </w:r>
      <w:r>
        <w:rPr>
          <w:spacing w:val="-2"/>
        </w:rPr>
        <w:t>3,213</w:t>
      </w:r>
    </w:p>
    <w:p>
      <w:pPr>
        <w:spacing w:after="0" w:line="480" w:lineRule="auto"/>
        <w:jc w:val="both"/>
        <w:sectPr>
          <w:pgSz w:w="11910" w:h="16840"/>
          <w:pgMar w:header="0" w:footer="1254" w:top="1340" w:bottom="1440" w:left="1180" w:right="580"/>
        </w:sectPr>
      </w:pPr>
    </w:p>
    <w:p>
      <w:pPr>
        <w:pStyle w:val="BodyText"/>
        <w:spacing w:line="480" w:lineRule="auto" w:before="74"/>
        <w:ind w:left="260" w:right="861"/>
        <w:jc w:val="both"/>
      </w:pPr>
      <w:r>
        <w:rPr/>
        <w:t>(97.2%) and 3,751 (97.9%) in 2011 and 2012 respectively. Resistant development to this antimalarial agent (Artesunate and its combinations) as observed in this study is a serious health hazard in Sabon-Wuse, Niger State</w:t>
      </w:r>
      <w:r>
        <w:rPr>
          <w:spacing w:val="40"/>
        </w:rPr>
        <w:t> </w:t>
      </w:r>
      <w:r>
        <w:rPr/>
        <w:t>Nigeria.</w:t>
      </w:r>
    </w:p>
    <w:p>
      <w:pPr>
        <w:pStyle w:val="BodyText"/>
      </w:pPr>
    </w:p>
    <w:p>
      <w:pPr>
        <w:pStyle w:val="BodyText"/>
        <w:spacing w:before="4"/>
      </w:pPr>
    </w:p>
    <w:p>
      <w:pPr>
        <w:pStyle w:val="Heading2"/>
        <w:numPr>
          <w:ilvl w:val="1"/>
          <w:numId w:val="16"/>
        </w:numPr>
        <w:tabs>
          <w:tab w:pos="620" w:val="left" w:leader="none"/>
        </w:tabs>
        <w:spacing w:line="240" w:lineRule="auto" w:before="1" w:after="0"/>
        <w:ind w:left="620" w:right="0" w:hanging="360"/>
        <w:jc w:val="left"/>
      </w:pPr>
      <w:bookmarkStart w:name="_TOC_250004" w:id="44"/>
      <w:bookmarkEnd w:id="44"/>
      <w:r>
        <w:rPr>
          <w:spacing w:val="-2"/>
        </w:rPr>
        <w:t>Summary</w:t>
      </w:r>
    </w:p>
    <w:p>
      <w:pPr>
        <w:pStyle w:val="BodyText"/>
        <w:spacing w:before="271"/>
        <w:ind w:left="260"/>
        <w:jc w:val="both"/>
      </w:pPr>
      <w:r>
        <w:rPr/>
        <w:t>The</w:t>
      </w:r>
      <w:r>
        <w:rPr>
          <w:spacing w:val="-3"/>
        </w:rPr>
        <w:t> </w:t>
      </w:r>
      <w:r>
        <w:rPr/>
        <w:t>observations made</w:t>
      </w:r>
      <w:r>
        <w:rPr>
          <w:spacing w:val="-1"/>
        </w:rPr>
        <w:t> </w:t>
      </w:r>
      <w:r>
        <w:rPr/>
        <w:t>in this</w:t>
      </w:r>
      <w:r>
        <w:rPr>
          <w:spacing w:val="-1"/>
        </w:rPr>
        <w:t> </w:t>
      </w:r>
      <w:r>
        <w:rPr/>
        <w:t>study</w:t>
      </w:r>
      <w:r>
        <w:rPr>
          <w:spacing w:val="-6"/>
        </w:rPr>
        <w:t> </w:t>
      </w:r>
      <w:r>
        <w:rPr/>
        <w:t>are as </w:t>
      </w:r>
      <w:r>
        <w:rPr>
          <w:spacing w:val="-2"/>
        </w:rPr>
        <w:t>follows:-</w:t>
      </w:r>
    </w:p>
    <w:p>
      <w:pPr>
        <w:pStyle w:val="BodyText"/>
      </w:pPr>
    </w:p>
    <w:p>
      <w:pPr>
        <w:pStyle w:val="ListParagraph"/>
        <w:numPr>
          <w:ilvl w:val="2"/>
          <w:numId w:val="16"/>
        </w:numPr>
        <w:tabs>
          <w:tab w:pos="980" w:val="left" w:leader="none"/>
          <w:tab w:pos="1099" w:val="left" w:leader="none"/>
        </w:tabs>
        <w:spacing w:line="480" w:lineRule="auto" w:before="0" w:after="0"/>
        <w:ind w:left="980" w:right="861" w:hanging="360"/>
        <w:jc w:val="both"/>
        <w:rPr>
          <w:sz w:val="24"/>
        </w:rPr>
      </w:pPr>
      <w:r>
        <w:rPr>
          <w:sz w:val="24"/>
        </w:rPr>
        <w:tab/>
        <w:t>The total number of reported malaria cases increased from 3,350 in 2011 to 3,837 in 2012 (14.5% increase)</w:t>
      </w:r>
    </w:p>
    <w:p>
      <w:pPr>
        <w:pStyle w:val="ListParagraph"/>
        <w:numPr>
          <w:ilvl w:val="2"/>
          <w:numId w:val="16"/>
        </w:numPr>
        <w:tabs>
          <w:tab w:pos="980" w:val="left" w:leader="none"/>
        </w:tabs>
        <w:spacing w:line="480" w:lineRule="auto" w:before="1" w:after="0"/>
        <w:ind w:left="980" w:right="856" w:hanging="360"/>
        <w:jc w:val="both"/>
        <w:rPr>
          <w:sz w:val="24"/>
        </w:rPr>
      </w:pPr>
      <w:r>
        <w:rPr>
          <w:sz w:val="24"/>
        </w:rPr>
        <w:t>Artemesinin combination therapy (ACT) are the current first line drug commonly prescribed in Umaru Musa Yardua Memorial Hospital, Sabon-Wuse, Niger State, </w:t>
      </w:r>
      <w:r>
        <w:rPr>
          <w:spacing w:val="-2"/>
          <w:sz w:val="24"/>
        </w:rPr>
        <w:t>Nigeria.</w:t>
      </w:r>
    </w:p>
    <w:p>
      <w:pPr>
        <w:pStyle w:val="ListParagraph"/>
        <w:numPr>
          <w:ilvl w:val="2"/>
          <w:numId w:val="16"/>
        </w:numPr>
        <w:tabs>
          <w:tab w:pos="980" w:val="left" w:leader="none"/>
        </w:tabs>
        <w:spacing w:line="480" w:lineRule="auto" w:before="0" w:after="0"/>
        <w:ind w:left="980" w:right="857" w:hanging="360"/>
        <w:jc w:val="both"/>
        <w:rPr>
          <w:sz w:val="24"/>
        </w:rPr>
      </w:pPr>
      <w:r>
        <w:rPr>
          <w:i/>
          <w:sz w:val="24"/>
        </w:rPr>
        <w:t>Plasmodium falciparum </w:t>
      </w:r>
      <w:r>
        <w:rPr>
          <w:sz w:val="24"/>
        </w:rPr>
        <w:t>is the predominant malaria parasite isolated from malaria patient in Sabon-Wuse.</w:t>
      </w:r>
    </w:p>
    <w:p>
      <w:pPr>
        <w:pStyle w:val="ListParagraph"/>
        <w:numPr>
          <w:ilvl w:val="2"/>
          <w:numId w:val="16"/>
        </w:numPr>
        <w:tabs>
          <w:tab w:pos="980" w:val="left" w:leader="none"/>
        </w:tabs>
        <w:spacing w:line="480" w:lineRule="auto" w:before="0" w:after="0"/>
        <w:ind w:left="980" w:right="855" w:hanging="360"/>
        <w:jc w:val="both"/>
        <w:rPr>
          <w:sz w:val="24"/>
        </w:rPr>
      </w:pPr>
      <w:r>
        <w:rPr>
          <w:sz w:val="24"/>
        </w:rPr>
        <w:t>There</w:t>
      </w:r>
      <w:r>
        <w:rPr>
          <w:spacing w:val="-2"/>
          <w:sz w:val="24"/>
        </w:rPr>
        <w:t> </w:t>
      </w:r>
      <w:r>
        <w:rPr>
          <w:sz w:val="24"/>
        </w:rPr>
        <w:t>is a</w:t>
      </w:r>
      <w:r>
        <w:rPr>
          <w:spacing w:val="-1"/>
          <w:sz w:val="24"/>
        </w:rPr>
        <w:t> </w:t>
      </w:r>
      <w:r>
        <w:rPr>
          <w:sz w:val="24"/>
        </w:rPr>
        <w:t>high resistant to Chloroquine</w:t>
      </w:r>
      <w:r>
        <w:rPr>
          <w:spacing w:val="-1"/>
          <w:sz w:val="24"/>
        </w:rPr>
        <w:t> </w:t>
      </w:r>
      <w:r>
        <w:rPr>
          <w:sz w:val="24"/>
        </w:rPr>
        <w:t>drug</w:t>
      </w:r>
      <w:r>
        <w:rPr>
          <w:spacing w:val="-3"/>
          <w:sz w:val="24"/>
        </w:rPr>
        <w:t> </w:t>
      </w:r>
      <w:r>
        <w:rPr>
          <w:sz w:val="24"/>
        </w:rPr>
        <w:t>based on the </w:t>
      </w:r>
      <w:r>
        <w:rPr>
          <w:i/>
          <w:sz w:val="24"/>
        </w:rPr>
        <w:t>in vitro </w:t>
      </w:r>
      <w:r>
        <w:rPr>
          <w:sz w:val="24"/>
        </w:rPr>
        <w:t>study, which</w:t>
      </w:r>
      <w:r>
        <w:rPr>
          <w:spacing w:val="-1"/>
          <w:sz w:val="24"/>
        </w:rPr>
        <w:t> </w:t>
      </w:r>
      <w:r>
        <w:rPr>
          <w:sz w:val="24"/>
        </w:rPr>
        <w:t>is also the least prescribed antimalarial drugs in the hospital. DNA analysis indicates the presence of </w:t>
      </w:r>
      <w:r>
        <w:rPr>
          <w:i/>
          <w:sz w:val="24"/>
        </w:rPr>
        <w:t>Pfcrt</w:t>
      </w:r>
      <w:r>
        <w:rPr>
          <w:sz w:val="24"/>
        </w:rPr>
        <w:t>-Ra Gene in the study area, which further confirms resistance to Chloroquine drug.</w:t>
      </w:r>
    </w:p>
    <w:p>
      <w:pPr>
        <w:pStyle w:val="ListParagraph"/>
        <w:numPr>
          <w:ilvl w:val="2"/>
          <w:numId w:val="16"/>
        </w:numPr>
        <w:tabs>
          <w:tab w:pos="980" w:val="left" w:leader="none"/>
        </w:tabs>
        <w:spacing w:line="480" w:lineRule="auto" w:before="1" w:after="0"/>
        <w:ind w:left="980" w:right="856" w:hanging="360"/>
        <w:jc w:val="both"/>
        <w:rPr>
          <w:sz w:val="24"/>
        </w:rPr>
      </w:pPr>
      <w:r>
        <w:rPr>
          <w:i/>
          <w:sz w:val="24"/>
        </w:rPr>
        <w:t>In vitro </w:t>
      </w:r>
      <w:r>
        <w:rPr>
          <w:sz w:val="24"/>
        </w:rPr>
        <w:t>study shows resistant of </w:t>
      </w:r>
      <w:r>
        <w:rPr>
          <w:i/>
          <w:sz w:val="24"/>
        </w:rPr>
        <w:t>P. falciparum </w:t>
      </w:r>
      <w:r>
        <w:rPr>
          <w:sz w:val="24"/>
        </w:rPr>
        <w:t>isolate to Artesunate drug in the study area. DNA analysis indicates the presence of </w:t>
      </w:r>
      <w:r>
        <w:rPr>
          <w:i/>
          <w:sz w:val="24"/>
        </w:rPr>
        <w:t>PfATPase </w:t>
      </w:r>
      <w:r>
        <w:rPr>
          <w:sz w:val="24"/>
        </w:rPr>
        <w:t>Gene in the study area, which indicate resistance to Arthemisinin based drugs like Artesunate .</w:t>
      </w:r>
    </w:p>
    <w:p>
      <w:pPr>
        <w:pStyle w:val="ListParagraph"/>
        <w:numPr>
          <w:ilvl w:val="2"/>
          <w:numId w:val="16"/>
        </w:numPr>
        <w:tabs>
          <w:tab w:pos="978" w:val="left" w:leader="none"/>
          <w:tab w:pos="980" w:val="left" w:leader="none"/>
        </w:tabs>
        <w:spacing w:line="480" w:lineRule="auto" w:before="0" w:after="0"/>
        <w:ind w:left="980" w:right="854" w:hanging="360"/>
        <w:jc w:val="both"/>
        <w:rPr>
          <w:sz w:val="24"/>
        </w:rPr>
      </w:pPr>
      <w:r>
        <w:rPr>
          <w:sz w:val="24"/>
        </w:rPr>
        <w:t>Thirty-five percent of the </w:t>
      </w:r>
      <w:r>
        <w:rPr>
          <w:i/>
          <w:sz w:val="24"/>
        </w:rPr>
        <w:t>P. falciparum </w:t>
      </w:r>
      <w:r>
        <w:rPr>
          <w:sz w:val="24"/>
        </w:rPr>
        <w:t>isolates were found to be resistant to Amodiaquine drug.</w:t>
      </w:r>
    </w:p>
    <w:p>
      <w:pPr>
        <w:pStyle w:val="ListParagraph"/>
        <w:numPr>
          <w:ilvl w:val="2"/>
          <w:numId w:val="16"/>
        </w:numPr>
        <w:tabs>
          <w:tab w:pos="978" w:val="left" w:leader="none"/>
        </w:tabs>
        <w:spacing w:line="240" w:lineRule="auto" w:before="0" w:after="0"/>
        <w:ind w:left="978" w:right="0" w:hanging="358"/>
        <w:jc w:val="both"/>
        <w:rPr>
          <w:i/>
          <w:sz w:val="24"/>
        </w:rPr>
      </w:pPr>
      <w:r>
        <w:rPr>
          <w:sz w:val="24"/>
        </w:rPr>
        <w:t>Artesunate-Amodiaquine</w:t>
      </w:r>
      <w:r>
        <w:rPr>
          <w:spacing w:val="77"/>
          <w:sz w:val="24"/>
        </w:rPr>
        <w:t> </w:t>
      </w:r>
      <w:r>
        <w:rPr>
          <w:sz w:val="24"/>
        </w:rPr>
        <w:t>combination</w:t>
      </w:r>
      <w:r>
        <w:rPr>
          <w:spacing w:val="77"/>
          <w:sz w:val="24"/>
        </w:rPr>
        <w:t> </w:t>
      </w:r>
      <w:r>
        <w:rPr>
          <w:sz w:val="24"/>
        </w:rPr>
        <w:t>shows</w:t>
      </w:r>
      <w:r>
        <w:rPr>
          <w:spacing w:val="77"/>
          <w:sz w:val="24"/>
        </w:rPr>
        <w:t> </w:t>
      </w:r>
      <w:r>
        <w:rPr>
          <w:sz w:val="24"/>
        </w:rPr>
        <w:t>a</w:t>
      </w:r>
      <w:r>
        <w:rPr>
          <w:spacing w:val="79"/>
          <w:sz w:val="24"/>
        </w:rPr>
        <w:t> </w:t>
      </w:r>
      <w:r>
        <w:rPr>
          <w:sz w:val="24"/>
        </w:rPr>
        <w:t>high</w:t>
      </w:r>
      <w:r>
        <w:rPr>
          <w:spacing w:val="77"/>
          <w:sz w:val="24"/>
        </w:rPr>
        <w:t> </w:t>
      </w:r>
      <w:r>
        <w:rPr>
          <w:sz w:val="24"/>
        </w:rPr>
        <w:t>sensitivity</w:t>
      </w:r>
      <w:r>
        <w:rPr>
          <w:spacing w:val="73"/>
          <w:sz w:val="24"/>
        </w:rPr>
        <w:t> </w:t>
      </w:r>
      <w:r>
        <w:rPr>
          <w:sz w:val="24"/>
        </w:rPr>
        <w:t>to</w:t>
      </w:r>
      <w:r>
        <w:rPr>
          <w:spacing w:val="53"/>
          <w:w w:val="150"/>
          <w:sz w:val="24"/>
        </w:rPr>
        <w:t> </w:t>
      </w:r>
      <w:r>
        <w:rPr>
          <w:i/>
          <w:sz w:val="24"/>
        </w:rPr>
        <w:t>P.</w:t>
      </w:r>
      <w:r>
        <w:rPr>
          <w:i/>
          <w:spacing w:val="80"/>
          <w:sz w:val="24"/>
        </w:rPr>
        <w:t> </w:t>
      </w:r>
      <w:r>
        <w:rPr>
          <w:i/>
          <w:spacing w:val="-2"/>
          <w:sz w:val="24"/>
        </w:rPr>
        <w:t>falciparum</w:t>
      </w:r>
    </w:p>
    <w:p>
      <w:pPr>
        <w:pStyle w:val="BodyText"/>
        <w:spacing w:before="1"/>
        <w:rPr>
          <w:i/>
        </w:rPr>
      </w:pPr>
    </w:p>
    <w:p>
      <w:pPr>
        <w:pStyle w:val="BodyText"/>
        <w:ind w:left="980"/>
      </w:pPr>
      <w:r>
        <w:rPr/>
        <w:t>isolates</w:t>
      </w:r>
      <w:r>
        <w:rPr>
          <w:spacing w:val="-2"/>
        </w:rPr>
        <w:t> </w:t>
      </w:r>
      <w:r>
        <w:rPr/>
        <w:t>in the</w:t>
      </w:r>
      <w:r>
        <w:rPr>
          <w:spacing w:val="-1"/>
        </w:rPr>
        <w:t> </w:t>
      </w:r>
      <w:r>
        <w:rPr/>
        <w:t>study</w:t>
      </w:r>
      <w:r>
        <w:rPr>
          <w:spacing w:val="-4"/>
        </w:rPr>
        <w:t> area.</w:t>
      </w:r>
    </w:p>
    <w:p>
      <w:pPr>
        <w:spacing w:after="0"/>
        <w:sectPr>
          <w:pgSz w:w="11910" w:h="16840"/>
          <w:pgMar w:header="0" w:footer="1254" w:top="1340" w:bottom="1440" w:left="1180" w:right="580"/>
        </w:sectPr>
      </w:pPr>
    </w:p>
    <w:p>
      <w:pPr>
        <w:pStyle w:val="Heading2"/>
        <w:numPr>
          <w:ilvl w:val="1"/>
          <w:numId w:val="16"/>
        </w:numPr>
        <w:tabs>
          <w:tab w:pos="620" w:val="left" w:leader="none"/>
        </w:tabs>
        <w:spacing w:line="240" w:lineRule="auto" w:before="78" w:after="0"/>
        <w:ind w:left="620" w:right="0" w:hanging="360"/>
        <w:jc w:val="both"/>
      </w:pPr>
      <w:bookmarkStart w:name="_TOC_250003" w:id="45"/>
      <w:bookmarkEnd w:id="45"/>
      <w:r>
        <w:rPr>
          <w:spacing w:val="-2"/>
        </w:rPr>
        <w:t>Conclusion</w:t>
      </w:r>
    </w:p>
    <w:p>
      <w:pPr>
        <w:pStyle w:val="BodyText"/>
        <w:spacing w:line="480" w:lineRule="auto" w:before="272"/>
        <w:ind w:left="260" w:right="853"/>
        <w:jc w:val="both"/>
      </w:pPr>
      <w:r>
        <w:rPr/>
        <w:t>This study showed the presence of MDR, ATPase and Chloroquine resistant genes in </w:t>
      </w:r>
      <w:r>
        <w:rPr>
          <w:i/>
        </w:rPr>
        <w:t>P. falciparum </w:t>
      </w:r>
      <w:r>
        <w:rPr/>
        <w:t>isolated in Sabon-Wuse, Niger State.</w:t>
      </w:r>
      <w:r>
        <w:rPr>
          <w:spacing w:val="40"/>
        </w:rPr>
        <w:t> </w:t>
      </w:r>
      <w:r>
        <w:rPr/>
        <w:t>These genes might be responsible for resistant to some of the antimalarial drugs used in Sabon-Wuse, Niger State.</w:t>
      </w:r>
      <w:r>
        <w:rPr>
          <w:spacing w:val="40"/>
        </w:rPr>
        <w:t> </w:t>
      </w:r>
      <w:r>
        <w:rPr/>
        <w:t>Based on the findings from this study, possibility of eradicating malaria is still a problem in our </w:t>
      </w:r>
      <w:r>
        <w:rPr>
          <w:spacing w:val="-2"/>
        </w:rPr>
        <w:t>environment.</w:t>
      </w:r>
    </w:p>
    <w:p>
      <w:pPr>
        <w:pStyle w:val="BodyText"/>
      </w:pPr>
    </w:p>
    <w:p>
      <w:pPr>
        <w:pStyle w:val="BodyText"/>
        <w:spacing w:before="5"/>
      </w:pPr>
    </w:p>
    <w:p>
      <w:pPr>
        <w:pStyle w:val="Heading2"/>
        <w:numPr>
          <w:ilvl w:val="1"/>
          <w:numId w:val="16"/>
        </w:numPr>
        <w:tabs>
          <w:tab w:pos="620" w:val="left" w:leader="none"/>
        </w:tabs>
        <w:spacing w:line="240" w:lineRule="auto" w:before="0" w:after="0"/>
        <w:ind w:left="620" w:right="0" w:hanging="360"/>
        <w:jc w:val="both"/>
      </w:pPr>
      <w:bookmarkStart w:name="_TOC_250002" w:id="46"/>
      <w:bookmarkEnd w:id="46"/>
      <w:r>
        <w:rPr>
          <w:spacing w:val="-2"/>
        </w:rPr>
        <w:t>Recommendation</w:t>
      </w:r>
    </w:p>
    <w:p>
      <w:pPr>
        <w:pStyle w:val="BodyText"/>
        <w:spacing w:line="480" w:lineRule="auto" w:before="272"/>
        <w:ind w:left="260" w:right="859"/>
        <w:jc w:val="both"/>
      </w:pPr>
      <w:r>
        <w:rPr/>
        <w:t>There is the need for periodic antimalarial surveillance in order to curb the wide spread of resistance associated with antimalarial drugs in Sabon-Wuse, Nigeria.</w:t>
      </w:r>
    </w:p>
    <w:p>
      <w:pPr>
        <w:spacing w:after="0" w:line="480" w:lineRule="auto"/>
        <w:jc w:val="both"/>
        <w:sectPr>
          <w:pgSz w:w="11910" w:h="16840"/>
          <w:pgMar w:header="0" w:footer="1254" w:top="1340" w:bottom="1440" w:left="1180" w:right="580"/>
        </w:sectPr>
      </w:pPr>
    </w:p>
    <w:p>
      <w:pPr>
        <w:pStyle w:val="Heading1"/>
        <w:jc w:val="left"/>
      </w:pPr>
      <w:bookmarkStart w:name="_TOC_250001" w:id="47"/>
      <w:bookmarkEnd w:id="47"/>
      <w:r>
        <w:rPr>
          <w:spacing w:val="-2"/>
        </w:rPr>
        <w:t>REFERENCES</w:t>
      </w:r>
    </w:p>
    <w:p>
      <w:pPr>
        <w:pStyle w:val="BodyText"/>
        <w:spacing w:line="360" w:lineRule="auto" w:before="274"/>
        <w:ind w:left="260" w:right="855"/>
      </w:pPr>
      <w:r>
        <w:rPr/>
        <w:t>Adagu, I. S. and Warhurst, D. C. (2001). </w:t>
      </w:r>
      <w:r>
        <w:rPr>
          <w:i/>
        </w:rPr>
        <w:t>Plasmodium falciparum</w:t>
      </w:r>
      <w:r>
        <w:rPr/>
        <w:t>: linkage disequilibrium between</w:t>
      </w:r>
      <w:r>
        <w:rPr>
          <w:spacing w:val="-3"/>
        </w:rPr>
        <w:t> </w:t>
      </w:r>
      <w:r>
        <w:rPr/>
        <w:t>loci</w:t>
      </w:r>
      <w:r>
        <w:rPr>
          <w:spacing w:val="-3"/>
        </w:rPr>
        <w:t> </w:t>
      </w:r>
      <w:r>
        <w:rPr/>
        <w:t>in</w:t>
      </w:r>
      <w:r>
        <w:rPr>
          <w:spacing w:val="-3"/>
        </w:rPr>
        <w:t> </w:t>
      </w:r>
      <w:r>
        <w:rPr/>
        <w:t>chromosomes</w:t>
      </w:r>
      <w:r>
        <w:rPr>
          <w:spacing w:val="-3"/>
        </w:rPr>
        <w:t> </w:t>
      </w:r>
      <w:r>
        <w:rPr/>
        <w:t>7</w:t>
      </w:r>
      <w:r>
        <w:rPr>
          <w:spacing w:val="-3"/>
        </w:rPr>
        <w:t> </w:t>
      </w:r>
      <w:r>
        <w:rPr/>
        <w:t>and</w:t>
      </w:r>
      <w:r>
        <w:rPr>
          <w:spacing w:val="-3"/>
        </w:rPr>
        <w:t> </w:t>
      </w:r>
      <w:r>
        <w:rPr/>
        <w:t>5</w:t>
      </w:r>
      <w:r>
        <w:rPr>
          <w:spacing w:val="-3"/>
        </w:rPr>
        <w:t> </w:t>
      </w:r>
      <w:r>
        <w:rPr/>
        <w:t>and</w:t>
      </w:r>
      <w:r>
        <w:rPr>
          <w:spacing w:val="-3"/>
        </w:rPr>
        <w:t> </w:t>
      </w:r>
      <w:r>
        <w:rPr/>
        <w:t>chloroquine</w:t>
      </w:r>
      <w:r>
        <w:rPr>
          <w:spacing w:val="-3"/>
        </w:rPr>
        <w:t> </w:t>
      </w:r>
      <w:r>
        <w:rPr/>
        <w:t>selective</w:t>
      </w:r>
      <w:r>
        <w:rPr>
          <w:spacing w:val="-4"/>
        </w:rPr>
        <w:t> </w:t>
      </w:r>
      <w:r>
        <w:rPr/>
        <w:t>pressure</w:t>
      </w:r>
      <w:r>
        <w:rPr>
          <w:spacing w:val="-5"/>
        </w:rPr>
        <w:t> </w:t>
      </w:r>
      <w:r>
        <w:rPr/>
        <w:t>in</w:t>
      </w:r>
      <w:r>
        <w:rPr>
          <w:spacing w:val="-3"/>
        </w:rPr>
        <w:t> </w:t>
      </w:r>
      <w:r>
        <w:rPr/>
        <w:t>northern</w:t>
      </w:r>
      <w:r>
        <w:rPr>
          <w:spacing w:val="-3"/>
        </w:rPr>
        <w:t> </w:t>
      </w:r>
      <w:r>
        <w:rPr/>
        <w:t>Nigeria. </w:t>
      </w:r>
      <w:r>
        <w:rPr>
          <w:i/>
        </w:rPr>
        <w:t>Parasitology, </w:t>
      </w:r>
      <w:r>
        <w:rPr/>
        <w:t>123: 219–224.</w:t>
      </w:r>
    </w:p>
    <w:p>
      <w:pPr>
        <w:pStyle w:val="BodyText"/>
        <w:spacing w:before="138"/>
      </w:pPr>
    </w:p>
    <w:p>
      <w:pPr>
        <w:pStyle w:val="BodyText"/>
        <w:spacing w:line="360" w:lineRule="auto"/>
        <w:ind w:left="260" w:right="855"/>
      </w:pPr>
      <w:hyperlink r:id="rId29">
        <w:r>
          <w:rPr/>
          <w:t>Adjuik, M</w:t>
        </w:r>
      </w:hyperlink>
      <w:r>
        <w:rPr/>
        <w:t>., </w:t>
      </w:r>
      <w:hyperlink r:id="rId30">
        <w:r>
          <w:rPr/>
          <w:t>Babiker, A</w:t>
        </w:r>
      </w:hyperlink>
      <w:r>
        <w:rPr/>
        <w:t>., </w:t>
      </w:r>
      <w:hyperlink r:id="rId31">
        <w:r>
          <w:rPr/>
          <w:t>Garner, P</w:t>
        </w:r>
      </w:hyperlink>
      <w:r>
        <w:rPr/>
        <w:t>., </w:t>
      </w:r>
      <w:hyperlink r:id="rId32">
        <w:r>
          <w:rPr/>
          <w:t>Olliaro, P</w:t>
        </w:r>
      </w:hyperlink>
      <w:r>
        <w:rPr/>
        <w:t>., </w:t>
      </w:r>
      <w:hyperlink r:id="rId33">
        <w:r>
          <w:rPr/>
          <w:t>Taylor, W</w:t>
        </w:r>
      </w:hyperlink>
      <w:r>
        <w:rPr/>
        <w:t>., </w:t>
      </w:r>
      <w:hyperlink r:id="rId34">
        <w:r>
          <w:rPr/>
          <w:t>White, N</w:t>
        </w:r>
      </w:hyperlink>
      <w:r>
        <w:rPr/>
        <w:t>. International Artemisinin</w:t>
      </w:r>
      <w:r>
        <w:rPr>
          <w:spacing w:val="-3"/>
        </w:rPr>
        <w:t> </w:t>
      </w:r>
      <w:r>
        <w:rPr/>
        <w:t>Study</w:t>
      </w:r>
      <w:r>
        <w:rPr>
          <w:spacing w:val="-11"/>
        </w:rPr>
        <w:t> </w:t>
      </w:r>
      <w:r>
        <w:rPr/>
        <w:t>Group.</w:t>
      </w:r>
      <w:r>
        <w:rPr>
          <w:spacing w:val="-3"/>
        </w:rPr>
        <w:t> </w:t>
      </w:r>
      <w:r>
        <w:rPr/>
        <w:t>(2004).</w:t>
      </w:r>
      <w:r>
        <w:rPr>
          <w:spacing w:val="-2"/>
        </w:rPr>
        <w:t> </w:t>
      </w:r>
      <w:r>
        <w:rPr/>
        <w:t>Artesunate</w:t>
      </w:r>
      <w:r>
        <w:rPr>
          <w:spacing w:val="-3"/>
        </w:rPr>
        <w:t> </w:t>
      </w:r>
      <w:r>
        <w:rPr/>
        <w:t>combinations</w:t>
      </w:r>
      <w:r>
        <w:rPr>
          <w:spacing w:val="-3"/>
        </w:rPr>
        <w:t> </w:t>
      </w:r>
      <w:r>
        <w:rPr/>
        <w:t>for</w:t>
      </w:r>
      <w:r>
        <w:rPr>
          <w:spacing w:val="-4"/>
        </w:rPr>
        <w:t> </w:t>
      </w:r>
      <w:r>
        <w:rPr/>
        <w:t>treatment</w:t>
      </w:r>
      <w:r>
        <w:rPr>
          <w:spacing w:val="-3"/>
        </w:rPr>
        <w:t> </w:t>
      </w:r>
      <w:r>
        <w:rPr/>
        <w:t>of</w:t>
      </w:r>
      <w:r>
        <w:rPr>
          <w:spacing w:val="-2"/>
        </w:rPr>
        <w:t> </w:t>
      </w:r>
      <w:r>
        <w:rPr/>
        <w:t>malaria:</w:t>
      </w:r>
      <w:r>
        <w:rPr>
          <w:spacing w:val="-3"/>
        </w:rPr>
        <w:t> </w:t>
      </w:r>
      <w:r>
        <w:rPr/>
        <w:t>meta- analysis. </w:t>
      </w:r>
      <w:hyperlink r:id="rId35">
        <w:r>
          <w:rPr>
            <w:i/>
          </w:rPr>
          <w:t>Lancet,</w:t>
        </w:r>
      </w:hyperlink>
      <w:r>
        <w:rPr>
          <w:i/>
        </w:rPr>
        <w:t> </w:t>
      </w:r>
      <w:r>
        <w:rPr/>
        <w:t>363 (9402): 9-17.</w:t>
      </w:r>
    </w:p>
    <w:p>
      <w:pPr>
        <w:pStyle w:val="BodyText"/>
        <w:spacing w:before="139"/>
      </w:pPr>
    </w:p>
    <w:p>
      <w:pPr>
        <w:pStyle w:val="BodyText"/>
        <w:spacing w:line="360" w:lineRule="auto"/>
        <w:ind w:left="260" w:right="855"/>
      </w:pPr>
      <w:r>
        <w:rPr/>
        <w:t>Agtmael, M. A., Eggelte, T. A. and van Boxtel, C. J. (1999). Artemisinin drugs in the treatment</w:t>
      </w:r>
      <w:r>
        <w:rPr>
          <w:spacing w:val="-5"/>
        </w:rPr>
        <w:t> </w:t>
      </w:r>
      <w:r>
        <w:rPr/>
        <w:t>of</w:t>
      </w:r>
      <w:r>
        <w:rPr>
          <w:spacing w:val="-5"/>
        </w:rPr>
        <w:t> </w:t>
      </w:r>
      <w:r>
        <w:rPr/>
        <w:t>malaria:</w:t>
      </w:r>
      <w:r>
        <w:rPr>
          <w:spacing w:val="-5"/>
        </w:rPr>
        <w:t> </w:t>
      </w:r>
      <w:r>
        <w:rPr/>
        <w:t>from</w:t>
      </w:r>
      <w:r>
        <w:rPr>
          <w:spacing w:val="-5"/>
        </w:rPr>
        <w:t> </w:t>
      </w:r>
      <w:r>
        <w:rPr/>
        <w:t>medicinal</w:t>
      </w:r>
      <w:r>
        <w:rPr>
          <w:spacing w:val="-5"/>
        </w:rPr>
        <w:t> </w:t>
      </w:r>
      <w:r>
        <w:rPr/>
        <w:t>herb</w:t>
      </w:r>
      <w:r>
        <w:rPr>
          <w:spacing w:val="-5"/>
        </w:rPr>
        <w:t> </w:t>
      </w:r>
      <w:r>
        <w:rPr/>
        <w:t>to</w:t>
      </w:r>
      <w:r>
        <w:rPr>
          <w:spacing w:val="-5"/>
        </w:rPr>
        <w:t> </w:t>
      </w:r>
      <w:r>
        <w:rPr/>
        <w:t>registered</w:t>
      </w:r>
      <w:r>
        <w:rPr>
          <w:spacing w:val="-5"/>
        </w:rPr>
        <w:t> </w:t>
      </w:r>
      <w:r>
        <w:rPr/>
        <w:t>medication.</w:t>
      </w:r>
      <w:r>
        <w:rPr>
          <w:spacing w:val="-1"/>
        </w:rPr>
        <w:t> </w:t>
      </w:r>
      <w:r>
        <w:rPr/>
        <w:t>Trends</w:t>
      </w:r>
      <w:r>
        <w:rPr>
          <w:spacing w:val="-3"/>
        </w:rPr>
        <w:t> </w:t>
      </w:r>
      <w:r>
        <w:rPr/>
        <w:t>Pharmacological Sciences, 20 (5): 199-205.</w:t>
      </w:r>
    </w:p>
    <w:p>
      <w:pPr>
        <w:pStyle w:val="BodyText"/>
        <w:spacing w:before="138"/>
      </w:pPr>
    </w:p>
    <w:p>
      <w:pPr>
        <w:pStyle w:val="BodyText"/>
        <w:spacing w:line="360" w:lineRule="auto"/>
        <w:ind w:left="260" w:right="858"/>
        <w:jc w:val="both"/>
      </w:pPr>
      <w:r>
        <w:rPr/>
        <w:t>Alaba, A. O. (2007). Malaria in children: economic burden and treatment strategies in Nigeria. </w:t>
      </w:r>
      <w:r>
        <w:rPr>
          <w:u w:val="single"/>
        </w:rPr>
        <w:t>In</w:t>
      </w:r>
      <w:r>
        <w:rPr/>
        <w:t> Fosu,</w:t>
      </w:r>
      <w:r>
        <w:rPr>
          <w:spacing w:val="-1"/>
        </w:rPr>
        <w:t> </w:t>
      </w:r>
      <w:r>
        <w:rPr/>
        <w:t>A.,</w:t>
      </w:r>
      <w:r>
        <w:rPr>
          <w:spacing w:val="-1"/>
        </w:rPr>
        <w:t> </w:t>
      </w:r>
      <w:r>
        <w:rPr/>
        <w:t>Mwabu,</w:t>
      </w:r>
      <w:r>
        <w:rPr>
          <w:spacing w:val="-1"/>
        </w:rPr>
        <w:t> </w:t>
      </w:r>
      <w:r>
        <w:rPr/>
        <w:t>G.</w:t>
      </w:r>
      <w:r>
        <w:rPr>
          <w:spacing w:val="-1"/>
        </w:rPr>
        <w:t> </w:t>
      </w:r>
      <w:r>
        <w:rPr/>
        <w:t>(Eds). </w:t>
      </w:r>
      <w:r>
        <w:rPr>
          <w:i/>
        </w:rPr>
        <w:t>Malaria</w:t>
      </w:r>
      <w:r>
        <w:rPr>
          <w:i/>
          <w:spacing w:val="-1"/>
        </w:rPr>
        <w:t> </w:t>
      </w:r>
      <w:r>
        <w:rPr>
          <w:i/>
        </w:rPr>
        <w:t>and</w:t>
      </w:r>
      <w:r>
        <w:rPr>
          <w:i/>
          <w:spacing w:val="-1"/>
        </w:rPr>
        <w:t> </w:t>
      </w:r>
      <w:r>
        <w:rPr>
          <w:i/>
        </w:rPr>
        <w:t>Poverty</w:t>
      </w:r>
      <w:r>
        <w:rPr>
          <w:i/>
          <w:spacing w:val="-2"/>
        </w:rPr>
        <w:t> </w:t>
      </w:r>
      <w:r>
        <w:rPr>
          <w:i/>
        </w:rPr>
        <w:t>in</w:t>
      </w:r>
      <w:r>
        <w:rPr>
          <w:i/>
          <w:spacing w:val="-1"/>
        </w:rPr>
        <w:t> </w:t>
      </w:r>
      <w:r>
        <w:rPr>
          <w:i/>
        </w:rPr>
        <w:t>Africa</w:t>
      </w:r>
      <w:r>
        <w:rPr/>
        <w:t>. Nairobi,</w:t>
      </w:r>
      <w:r>
        <w:rPr>
          <w:spacing w:val="-1"/>
        </w:rPr>
        <w:t> </w:t>
      </w:r>
      <w:r>
        <w:rPr/>
        <w:t>University</w:t>
      </w:r>
      <w:r>
        <w:rPr>
          <w:spacing w:val="-6"/>
        </w:rPr>
        <w:t> </w:t>
      </w:r>
      <w:r>
        <w:rPr/>
        <w:t>of Nairobi Press: pp. 73-104.</w:t>
      </w:r>
    </w:p>
    <w:p>
      <w:pPr>
        <w:pStyle w:val="BodyText"/>
        <w:spacing w:before="138"/>
      </w:pPr>
    </w:p>
    <w:p>
      <w:pPr>
        <w:pStyle w:val="BodyText"/>
        <w:spacing w:line="360" w:lineRule="auto" w:before="1"/>
        <w:ind w:left="260" w:right="858"/>
        <w:jc w:val="both"/>
      </w:pPr>
      <w:r>
        <w:rPr/>
        <w:t>Alaba, A. O. and Alaba, O. (2002). Malaria in children: implications for the productivity of female caregivers in Nigeria</w:t>
      </w:r>
      <w:r>
        <w:rPr>
          <w:i/>
        </w:rPr>
        <w:t>. </w:t>
      </w:r>
      <w:r>
        <w:rPr/>
        <w:t>Paper presented at the 43</w:t>
      </w:r>
      <w:r>
        <w:rPr>
          <w:vertAlign w:val="superscript"/>
        </w:rPr>
        <w:t>rd</w:t>
      </w:r>
      <w:r>
        <w:rPr>
          <w:vertAlign w:val="baseline"/>
        </w:rPr>
        <w:t> Annual conference of the Nigerian Economic Society.</w:t>
      </w:r>
    </w:p>
    <w:p>
      <w:pPr>
        <w:pStyle w:val="BodyText"/>
        <w:spacing w:before="138"/>
      </w:pPr>
    </w:p>
    <w:p>
      <w:pPr>
        <w:spacing w:line="360" w:lineRule="auto" w:before="0"/>
        <w:ind w:left="260" w:right="857" w:firstLine="0"/>
        <w:jc w:val="both"/>
        <w:rPr>
          <w:sz w:val="24"/>
        </w:rPr>
      </w:pPr>
      <w:r>
        <w:rPr>
          <w:sz w:val="24"/>
        </w:rPr>
        <w:t>Alaba,</w:t>
      </w:r>
      <w:r>
        <w:rPr>
          <w:spacing w:val="-1"/>
          <w:sz w:val="24"/>
        </w:rPr>
        <w:t> </w:t>
      </w:r>
      <w:r>
        <w:rPr>
          <w:sz w:val="24"/>
        </w:rPr>
        <w:t>A.</w:t>
      </w:r>
      <w:r>
        <w:rPr>
          <w:spacing w:val="-2"/>
          <w:sz w:val="24"/>
        </w:rPr>
        <w:t> </w:t>
      </w:r>
      <w:r>
        <w:rPr>
          <w:sz w:val="24"/>
        </w:rPr>
        <w:t>O.</w:t>
      </w:r>
      <w:r>
        <w:rPr>
          <w:spacing w:val="-2"/>
          <w:sz w:val="24"/>
        </w:rPr>
        <w:t> </w:t>
      </w:r>
      <w:r>
        <w:rPr>
          <w:sz w:val="24"/>
        </w:rPr>
        <w:t>and</w:t>
      </w:r>
      <w:r>
        <w:rPr>
          <w:spacing w:val="-1"/>
          <w:sz w:val="24"/>
        </w:rPr>
        <w:t> </w:t>
      </w:r>
      <w:r>
        <w:rPr>
          <w:sz w:val="24"/>
        </w:rPr>
        <w:t>Alaba, O.</w:t>
      </w:r>
      <w:r>
        <w:rPr>
          <w:spacing w:val="-2"/>
          <w:sz w:val="24"/>
        </w:rPr>
        <w:t> </w:t>
      </w:r>
      <w:r>
        <w:rPr>
          <w:sz w:val="24"/>
        </w:rPr>
        <w:t>(2009). </w:t>
      </w:r>
      <w:r>
        <w:rPr>
          <w:i/>
          <w:sz w:val="24"/>
        </w:rPr>
        <w:t>Malaria</w:t>
      </w:r>
      <w:r>
        <w:rPr>
          <w:i/>
          <w:spacing w:val="-1"/>
          <w:sz w:val="24"/>
        </w:rPr>
        <w:t> </w:t>
      </w:r>
      <w:r>
        <w:rPr>
          <w:i/>
          <w:sz w:val="24"/>
        </w:rPr>
        <w:t>in</w:t>
      </w:r>
      <w:r>
        <w:rPr>
          <w:i/>
          <w:spacing w:val="-1"/>
          <w:sz w:val="24"/>
        </w:rPr>
        <w:t> </w:t>
      </w:r>
      <w:r>
        <w:rPr>
          <w:i/>
          <w:sz w:val="24"/>
        </w:rPr>
        <w:t>rural</w:t>
      </w:r>
      <w:r>
        <w:rPr>
          <w:i/>
          <w:spacing w:val="-1"/>
          <w:sz w:val="24"/>
        </w:rPr>
        <w:t> </w:t>
      </w:r>
      <w:r>
        <w:rPr>
          <w:i/>
          <w:sz w:val="24"/>
        </w:rPr>
        <w:t>Nigeria:</w:t>
      </w:r>
      <w:r>
        <w:rPr>
          <w:i/>
          <w:spacing w:val="-2"/>
          <w:sz w:val="24"/>
        </w:rPr>
        <w:t> </w:t>
      </w:r>
      <w:r>
        <w:rPr>
          <w:i/>
          <w:sz w:val="24"/>
        </w:rPr>
        <w:t>implications</w:t>
      </w:r>
      <w:r>
        <w:rPr>
          <w:i/>
          <w:spacing w:val="-3"/>
          <w:sz w:val="24"/>
        </w:rPr>
        <w:t> </w:t>
      </w:r>
      <w:r>
        <w:rPr>
          <w:i/>
          <w:sz w:val="24"/>
        </w:rPr>
        <w:t>for</w:t>
      </w:r>
      <w:r>
        <w:rPr>
          <w:i/>
          <w:spacing w:val="-1"/>
          <w:sz w:val="24"/>
        </w:rPr>
        <w:t> </w:t>
      </w:r>
      <w:r>
        <w:rPr>
          <w:i/>
          <w:sz w:val="24"/>
        </w:rPr>
        <w:t>the</w:t>
      </w:r>
      <w:r>
        <w:rPr>
          <w:i/>
          <w:spacing w:val="-2"/>
          <w:sz w:val="24"/>
        </w:rPr>
        <w:t> </w:t>
      </w:r>
      <w:r>
        <w:rPr>
          <w:i/>
          <w:sz w:val="24"/>
        </w:rPr>
        <w:t>Millennium Development Goals. </w:t>
      </w:r>
      <w:r>
        <w:rPr>
          <w:sz w:val="24"/>
        </w:rPr>
        <w:t>Report, African Development Bank.</w:t>
      </w:r>
    </w:p>
    <w:p>
      <w:pPr>
        <w:pStyle w:val="BodyText"/>
        <w:spacing w:before="137"/>
      </w:pPr>
    </w:p>
    <w:p>
      <w:pPr>
        <w:pStyle w:val="BodyText"/>
        <w:spacing w:line="360" w:lineRule="auto"/>
        <w:ind w:left="260" w:right="856"/>
        <w:jc w:val="both"/>
      </w:pPr>
      <w:r>
        <w:rPr/>
        <w:t>Anyanwu, J. C. (2007). Demand for Health Care Institutions' Services: Evidence from Malaria Fever Treatment in Nigeria</w:t>
      </w:r>
      <w:r>
        <w:rPr>
          <w:b/>
        </w:rPr>
        <w:t>. </w:t>
      </w:r>
      <w:r>
        <w:rPr>
          <w:i/>
        </w:rPr>
        <w:t>African Development Review</w:t>
      </w:r>
      <w:r>
        <w:rPr/>
        <w:t>, </w:t>
      </w:r>
      <w:r>
        <w:rPr>
          <w:b/>
        </w:rPr>
        <w:t>19</w:t>
      </w:r>
      <w:r>
        <w:rPr/>
        <w:t>(2)</w:t>
      </w:r>
      <w:r>
        <w:rPr>
          <w:b/>
        </w:rPr>
        <w:t>: </w:t>
      </w:r>
      <w:r>
        <w:rPr/>
        <w:t>304-334.</w:t>
      </w:r>
    </w:p>
    <w:p>
      <w:pPr>
        <w:pStyle w:val="BodyText"/>
        <w:spacing w:before="139"/>
      </w:pPr>
    </w:p>
    <w:p>
      <w:pPr>
        <w:pStyle w:val="BodyText"/>
        <w:spacing w:line="360" w:lineRule="auto"/>
        <w:ind w:left="260" w:right="855"/>
      </w:pPr>
      <w:r>
        <w:rPr/>
        <w:t>Babiker,</w:t>
      </w:r>
      <w:r>
        <w:rPr>
          <w:spacing w:val="-3"/>
        </w:rPr>
        <w:t> </w:t>
      </w:r>
      <w:r>
        <w:rPr/>
        <w:t>H.</w:t>
      </w:r>
      <w:r>
        <w:rPr>
          <w:spacing w:val="-3"/>
        </w:rPr>
        <w:t> </w:t>
      </w:r>
      <w:r>
        <w:rPr/>
        <w:t>A.,</w:t>
      </w:r>
      <w:r>
        <w:rPr>
          <w:spacing w:val="-3"/>
        </w:rPr>
        <w:t> </w:t>
      </w:r>
      <w:r>
        <w:rPr/>
        <w:t>Pringle,</w:t>
      </w:r>
      <w:r>
        <w:rPr>
          <w:spacing w:val="-2"/>
        </w:rPr>
        <w:t> </w:t>
      </w:r>
      <w:r>
        <w:rPr/>
        <w:t>S.</w:t>
      </w:r>
      <w:r>
        <w:rPr>
          <w:spacing w:val="-3"/>
        </w:rPr>
        <w:t> </w:t>
      </w:r>
      <w:r>
        <w:rPr/>
        <w:t>J.,</w:t>
      </w:r>
      <w:r>
        <w:rPr>
          <w:spacing w:val="-3"/>
        </w:rPr>
        <w:t> </w:t>
      </w:r>
      <w:r>
        <w:rPr/>
        <w:t>Abdel-Muhsin,</w:t>
      </w:r>
      <w:r>
        <w:rPr>
          <w:spacing w:val="-3"/>
        </w:rPr>
        <w:t> </w:t>
      </w:r>
      <w:r>
        <w:rPr/>
        <w:t>A.,</w:t>
      </w:r>
      <w:r>
        <w:rPr>
          <w:spacing w:val="-6"/>
        </w:rPr>
        <w:t> </w:t>
      </w:r>
      <w:r>
        <w:rPr/>
        <w:t>Mackinnon,</w:t>
      </w:r>
      <w:r>
        <w:rPr>
          <w:spacing w:val="-3"/>
        </w:rPr>
        <w:t> </w:t>
      </w:r>
      <w:r>
        <w:rPr/>
        <w:t>M.,</w:t>
      </w:r>
      <w:r>
        <w:rPr>
          <w:spacing w:val="-3"/>
        </w:rPr>
        <w:t> </w:t>
      </w:r>
      <w:r>
        <w:rPr/>
        <w:t>Hunt,</w:t>
      </w:r>
      <w:r>
        <w:rPr>
          <w:spacing w:val="-3"/>
        </w:rPr>
        <w:t> </w:t>
      </w:r>
      <w:r>
        <w:rPr/>
        <w:t>P.</w:t>
      </w:r>
      <w:r>
        <w:rPr>
          <w:spacing w:val="-3"/>
        </w:rPr>
        <w:t> </w:t>
      </w:r>
      <w:r>
        <w:rPr/>
        <w:t>and</w:t>
      </w:r>
      <w:r>
        <w:rPr>
          <w:spacing w:val="-3"/>
        </w:rPr>
        <w:t> </w:t>
      </w:r>
      <w:r>
        <w:rPr/>
        <w:t>Walliker,</w:t>
      </w:r>
      <w:r>
        <w:rPr>
          <w:spacing w:val="-3"/>
        </w:rPr>
        <w:t> </w:t>
      </w:r>
      <w:r>
        <w:rPr/>
        <w:t>D. (2001). High-level chloroquine resistance in Sudanese isolates of </w:t>
      </w:r>
      <w:r>
        <w:rPr>
          <w:i/>
        </w:rPr>
        <w:t>P. falciparum </w:t>
      </w:r>
      <w:r>
        <w:rPr/>
        <w:t>associated with mutations in the chloroquine resistance transporter gene </w:t>
      </w:r>
      <w:r>
        <w:rPr>
          <w:i/>
        </w:rPr>
        <w:t>pfcrt </w:t>
      </w:r>
      <w:r>
        <w:rPr/>
        <w:t>and the multidrug resistance gene pfmdr1. </w:t>
      </w:r>
      <w:r>
        <w:rPr>
          <w:i/>
        </w:rPr>
        <w:t>Journal of Infectious Diseases</w:t>
      </w:r>
      <w:r>
        <w:rPr/>
        <w:t>, 183:1535–1538.</w:t>
      </w:r>
    </w:p>
    <w:p>
      <w:pPr>
        <w:spacing w:after="0" w:line="360" w:lineRule="auto"/>
        <w:sectPr>
          <w:pgSz w:w="11910" w:h="16840"/>
          <w:pgMar w:header="0" w:footer="1254" w:top="1340" w:bottom="1440" w:left="1180" w:right="580"/>
        </w:sectPr>
      </w:pPr>
    </w:p>
    <w:p>
      <w:pPr>
        <w:pStyle w:val="BodyText"/>
        <w:spacing w:line="360" w:lineRule="auto" w:before="76"/>
        <w:ind w:left="260" w:right="843"/>
      </w:pPr>
      <w:r>
        <w:rPr/>
        <w:t>Baird,</w:t>
      </w:r>
      <w:r>
        <w:rPr>
          <w:spacing w:val="-3"/>
        </w:rPr>
        <w:t> </w:t>
      </w:r>
      <w:r>
        <w:rPr/>
        <w:t>J.</w:t>
      </w:r>
      <w:r>
        <w:rPr>
          <w:spacing w:val="-3"/>
        </w:rPr>
        <w:t> </w:t>
      </w:r>
      <w:r>
        <w:rPr/>
        <w:t>K.</w:t>
      </w:r>
      <w:r>
        <w:rPr>
          <w:spacing w:val="-4"/>
        </w:rPr>
        <w:t> </w:t>
      </w:r>
      <w:r>
        <w:rPr/>
        <w:t>(2000).</w:t>
      </w:r>
      <w:r>
        <w:rPr>
          <w:spacing w:val="-3"/>
        </w:rPr>
        <w:t> </w:t>
      </w:r>
      <w:r>
        <w:rPr/>
        <w:t>Resurgent</w:t>
      </w:r>
      <w:r>
        <w:rPr>
          <w:spacing w:val="-3"/>
        </w:rPr>
        <w:t> </w:t>
      </w:r>
      <w:r>
        <w:rPr/>
        <w:t>Malaria</w:t>
      </w:r>
      <w:r>
        <w:rPr>
          <w:spacing w:val="-3"/>
        </w:rPr>
        <w:t> </w:t>
      </w:r>
      <w:r>
        <w:rPr/>
        <w:t>at</w:t>
      </w:r>
      <w:r>
        <w:rPr>
          <w:spacing w:val="-3"/>
        </w:rPr>
        <w:t> </w:t>
      </w:r>
      <w:r>
        <w:rPr/>
        <w:t>the</w:t>
      </w:r>
      <w:r>
        <w:rPr>
          <w:spacing w:val="-4"/>
        </w:rPr>
        <w:t> </w:t>
      </w:r>
      <w:r>
        <w:rPr/>
        <w:t>Millennium:</w:t>
      </w:r>
      <w:r>
        <w:rPr>
          <w:spacing w:val="-3"/>
        </w:rPr>
        <w:t> </w:t>
      </w:r>
      <w:r>
        <w:rPr/>
        <w:t>Control</w:t>
      </w:r>
      <w:r>
        <w:rPr>
          <w:spacing w:val="-3"/>
        </w:rPr>
        <w:t> </w:t>
      </w:r>
      <w:r>
        <w:rPr/>
        <w:t>Strategies</w:t>
      </w:r>
      <w:r>
        <w:rPr>
          <w:spacing w:val="-3"/>
        </w:rPr>
        <w:t> </w:t>
      </w:r>
      <w:r>
        <w:rPr/>
        <w:t>in</w:t>
      </w:r>
      <w:r>
        <w:rPr>
          <w:spacing w:val="-3"/>
        </w:rPr>
        <w:t> </w:t>
      </w:r>
      <w:r>
        <w:rPr/>
        <w:t>Crisis.</w:t>
      </w:r>
      <w:r>
        <w:rPr>
          <w:spacing w:val="-1"/>
        </w:rPr>
        <w:t> </w:t>
      </w:r>
      <w:r>
        <w:rPr>
          <w:i/>
        </w:rPr>
        <w:t>Drugs</w:t>
      </w:r>
      <w:r>
        <w:rPr/>
        <w:t>, 59 (4): 719-743.</w:t>
      </w:r>
    </w:p>
    <w:p>
      <w:pPr>
        <w:pStyle w:val="BodyText"/>
        <w:spacing w:before="137"/>
      </w:pPr>
    </w:p>
    <w:p>
      <w:pPr>
        <w:pStyle w:val="BodyText"/>
        <w:spacing w:line="360" w:lineRule="auto"/>
        <w:ind w:left="260" w:right="855"/>
      </w:pPr>
      <w:r>
        <w:rPr/>
        <w:t>Barat,</w:t>
      </w:r>
      <w:r>
        <w:rPr>
          <w:spacing w:val="-1"/>
        </w:rPr>
        <w:t> </w:t>
      </w:r>
      <w:r>
        <w:rPr/>
        <w:t>L.</w:t>
      </w:r>
      <w:r>
        <w:rPr>
          <w:spacing w:val="-3"/>
        </w:rPr>
        <w:t> </w:t>
      </w:r>
      <w:r>
        <w:rPr/>
        <w:t>M.,</w:t>
      </w:r>
      <w:r>
        <w:rPr>
          <w:spacing w:val="-3"/>
        </w:rPr>
        <w:t> </w:t>
      </w:r>
      <w:r>
        <w:rPr/>
        <w:t>Palmer,</w:t>
      </w:r>
      <w:r>
        <w:rPr>
          <w:spacing w:val="-3"/>
        </w:rPr>
        <w:t> </w:t>
      </w:r>
      <w:r>
        <w:rPr/>
        <w:t>N.,</w:t>
      </w:r>
      <w:r>
        <w:rPr>
          <w:spacing w:val="-1"/>
        </w:rPr>
        <w:t> </w:t>
      </w:r>
      <w:r>
        <w:rPr/>
        <w:t>Basu,</w:t>
      </w:r>
      <w:r>
        <w:rPr>
          <w:spacing w:val="-3"/>
        </w:rPr>
        <w:t> </w:t>
      </w:r>
      <w:r>
        <w:rPr/>
        <w:t>S.,</w:t>
      </w:r>
      <w:r>
        <w:rPr>
          <w:spacing w:val="-3"/>
        </w:rPr>
        <w:t> </w:t>
      </w:r>
      <w:r>
        <w:rPr/>
        <w:t>Worrall,</w:t>
      </w:r>
      <w:r>
        <w:rPr>
          <w:spacing w:val="-3"/>
        </w:rPr>
        <w:t> </w:t>
      </w:r>
      <w:r>
        <w:rPr/>
        <w:t>E.,</w:t>
      </w:r>
      <w:r>
        <w:rPr>
          <w:spacing w:val="-3"/>
        </w:rPr>
        <w:t> </w:t>
      </w:r>
      <w:r>
        <w:rPr/>
        <w:t>Hanson,</w:t>
      </w:r>
      <w:r>
        <w:rPr>
          <w:spacing w:val="-3"/>
        </w:rPr>
        <w:t> </w:t>
      </w:r>
      <w:r>
        <w:rPr/>
        <w:t>K.</w:t>
      </w:r>
      <w:r>
        <w:rPr>
          <w:spacing w:val="-3"/>
        </w:rPr>
        <w:t> </w:t>
      </w:r>
      <w:r>
        <w:rPr/>
        <w:t>and</w:t>
      </w:r>
      <w:r>
        <w:rPr>
          <w:spacing w:val="-3"/>
        </w:rPr>
        <w:t> </w:t>
      </w:r>
      <w:r>
        <w:rPr/>
        <w:t>Mills,</w:t>
      </w:r>
      <w:r>
        <w:rPr>
          <w:spacing w:val="-3"/>
        </w:rPr>
        <w:t> </w:t>
      </w:r>
      <w:r>
        <w:rPr/>
        <w:t>A.</w:t>
      </w:r>
      <w:r>
        <w:rPr>
          <w:spacing w:val="-3"/>
        </w:rPr>
        <w:t> </w:t>
      </w:r>
      <w:r>
        <w:rPr/>
        <w:t>(2004).</w:t>
      </w:r>
      <w:r>
        <w:rPr>
          <w:spacing w:val="-3"/>
        </w:rPr>
        <w:t> </w:t>
      </w:r>
      <w:r>
        <w:rPr/>
        <w:t>Do</w:t>
      </w:r>
      <w:r>
        <w:rPr>
          <w:spacing w:val="-3"/>
        </w:rPr>
        <w:t> </w:t>
      </w:r>
      <w:r>
        <w:rPr/>
        <w:t>malaria control interventions reach the poor? A view through the equity lens. </w:t>
      </w:r>
      <w:r>
        <w:rPr>
          <w:i/>
        </w:rPr>
        <w:t>American Journal Tropical Medical Hygiene</w:t>
      </w:r>
      <w:r>
        <w:rPr/>
        <w:t>, 71 (Suppl. 2):174-178.</w:t>
      </w:r>
    </w:p>
    <w:p>
      <w:pPr>
        <w:pStyle w:val="BodyText"/>
        <w:spacing w:before="138"/>
      </w:pPr>
    </w:p>
    <w:p>
      <w:pPr>
        <w:pStyle w:val="BodyText"/>
        <w:spacing w:line="362" w:lineRule="auto"/>
        <w:ind w:left="260" w:right="843"/>
      </w:pPr>
      <w:r>
        <w:rPr/>
        <w:t>Basco, L. K. (2007). Field application of </w:t>
      </w:r>
      <w:r>
        <w:rPr>
          <w:i/>
        </w:rPr>
        <w:t>in vitro </w:t>
      </w:r>
      <w:r>
        <w:rPr/>
        <w:t>assays for the sensitivity of human malaria parasites to antimalarial drugs. WHO Global Malaria Programme/WC/750, France: 5-10.</w:t>
      </w:r>
    </w:p>
    <w:p>
      <w:pPr>
        <w:pStyle w:val="BodyText"/>
        <w:spacing w:before="134"/>
      </w:pPr>
    </w:p>
    <w:p>
      <w:pPr>
        <w:spacing w:line="360" w:lineRule="auto" w:before="0"/>
        <w:ind w:left="260" w:right="1091" w:firstLine="0"/>
        <w:jc w:val="both"/>
        <w:rPr>
          <w:sz w:val="24"/>
        </w:rPr>
      </w:pPr>
      <w:r>
        <w:rPr>
          <w:sz w:val="24"/>
        </w:rPr>
        <w:t>Basco, L. K. and Ringwald, P. (2001). Analysis of the key</w:t>
      </w:r>
      <w:r>
        <w:rPr>
          <w:spacing w:val="-4"/>
          <w:sz w:val="24"/>
        </w:rPr>
        <w:t> </w:t>
      </w:r>
      <w:r>
        <w:rPr>
          <w:i/>
          <w:sz w:val="24"/>
        </w:rPr>
        <w:t>pfcrt </w:t>
      </w:r>
      <w:r>
        <w:rPr>
          <w:sz w:val="24"/>
        </w:rPr>
        <w:t>point mutation and </w:t>
      </w:r>
      <w:r>
        <w:rPr>
          <w:i/>
          <w:sz w:val="24"/>
        </w:rPr>
        <w:t>in vitro </w:t>
      </w:r>
      <w:r>
        <w:rPr>
          <w:sz w:val="24"/>
        </w:rPr>
        <w:t>and</w:t>
      </w:r>
      <w:r>
        <w:rPr>
          <w:spacing w:val="-3"/>
          <w:sz w:val="24"/>
        </w:rPr>
        <w:t> </w:t>
      </w:r>
      <w:r>
        <w:rPr>
          <w:i/>
          <w:sz w:val="24"/>
        </w:rPr>
        <w:t>in</w:t>
      </w:r>
      <w:r>
        <w:rPr>
          <w:i/>
          <w:spacing w:val="-3"/>
          <w:sz w:val="24"/>
        </w:rPr>
        <w:t> </w:t>
      </w:r>
      <w:r>
        <w:rPr>
          <w:i/>
          <w:sz w:val="24"/>
        </w:rPr>
        <w:t>vivo</w:t>
      </w:r>
      <w:r>
        <w:rPr>
          <w:i/>
          <w:spacing w:val="-3"/>
          <w:sz w:val="24"/>
        </w:rPr>
        <w:t> </w:t>
      </w:r>
      <w:r>
        <w:rPr>
          <w:sz w:val="24"/>
        </w:rPr>
        <w:t>response</w:t>
      </w:r>
      <w:r>
        <w:rPr>
          <w:spacing w:val="-4"/>
          <w:sz w:val="24"/>
        </w:rPr>
        <w:t> </w:t>
      </w:r>
      <w:r>
        <w:rPr>
          <w:sz w:val="24"/>
        </w:rPr>
        <w:t>to</w:t>
      </w:r>
      <w:r>
        <w:rPr>
          <w:spacing w:val="-3"/>
          <w:sz w:val="24"/>
        </w:rPr>
        <w:t> </w:t>
      </w:r>
      <w:r>
        <w:rPr>
          <w:sz w:val="24"/>
        </w:rPr>
        <w:t>chloroquine</w:t>
      </w:r>
      <w:r>
        <w:rPr>
          <w:spacing w:val="-4"/>
          <w:sz w:val="24"/>
        </w:rPr>
        <w:t> </w:t>
      </w:r>
      <w:r>
        <w:rPr>
          <w:sz w:val="24"/>
        </w:rPr>
        <w:t>in</w:t>
      </w:r>
      <w:r>
        <w:rPr>
          <w:spacing w:val="-3"/>
          <w:sz w:val="24"/>
        </w:rPr>
        <w:t> </w:t>
      </w:r>
      <w:r>
        <w:rPr>
          <w:sz w:val="24"/>
        </w:rPr>
        <w:t>Yaounde,</w:t>
      </w:r>
      <w:r>
        <w:rPr>
          <w:spacing w:val="-1"/>
          <w:sz w:val="24"/>
        </w:rPr>
        <w:t> </w:t>
      </w:r>
      <w:r>
        <w:rPr>
          <w:sz w:val="24"/>
        </w:rPr>
        <w:t>Cameroon.</w:t>
      </w:r>
      <w:r>
        <w:rPr>
          <w:spacing w:val="-1"/>
          <w:sz w:val="24"/>
        </w:rPr>
        <w:t> </w:t>
      </w:r>
      <w:r>
        <w:rPr>
          <w:i/>
          <w:sz w:val="24"/>
        </w:rPr>
        <w:t>Journal</w:t>
      </w:r>
      <w:r>
        <w:rPr>
          <w:i/>
          <w:spacing w:val="-3"/>
          <w:sz w:val="24"/>
        </w:rPr>
        <w:t> </w:t>
      </w:r>
      <w:r>
        <w:rPr>
          <w:i/>
          <w:sz w:val="24"/>
        </w:rPr>
        <w:t>of</w:t>
      </w:r>
      <w:r>
        <w:rPr>
          <w:i/>
          <w:spacing w:val="-3"/>
          <w:sz w:val="24"/>
        </w:rPr>
        <w:t> </w:t>
      </w:r>
      <w:r>
        <w:rPr>
          <w:i/>
          <w:sz w:val="24"/>
        </w:rPr>
        <w:t>Infectious</w:t>
      </w:r>
      <w:r>
        <w:rPr>
          <w:i/>
          <w:spacing w:val="-3"/>
          <w:sz w:val="24"/>
        </w:rPr>
        <w:t> </w:t>
      </w:r>
      <w:r>
        <w:rPr>
          <w:i/>
          <w:sz w:val="24"/>
        </w:rPr>
        <w:t>Diseases</w:t>
      </w:r>
      <w:r>
        <w:rPr>
          <w:sz w:val="24"/>
        </w:rPr>
        <w:t>, 183: 1828–1831.</w:t>
      </w:r>
    </w:p>
    <w:p>
      <w:pPr>
        <w:pStyle w:val="BodyText"/>
        <w:spacing w:before="138"/>
      </w:pPr>
    </w:p>
    <w:p>
      <w:pPr>
        <w:spacing w:line="360" w:lineRule="auto" w:before="1"/>
        <w:ind w:left="260" w:right="989" w:firstLine="0"/>
        <w:jc w:val="both"/>
        <w:rPr>
          <w:sz w:val="24"/>
        </w:rPr>
      </w:pPr>
      <w:r>
        <w:rPr>
          <w:sz w:val="24"/>
        </w:rPr>
        <w:t>Beck,</w:t>
      </w:r>
      <w:r>
        <w:rPr>
          <w:spacing w:val="-2"/>
          <w:sz w:val="24"/>
        </w:rPr>
        <w:t> </w:t>
      </w:r>
      <w:r>
        <w:rPr>
          <w:sz w:val="24"/>
        </w:rPr>
        <w:t>H.</w:t>
      </w:r>
      <w:r>
        <w:rPr>
          <w:spacing w:val="-4"/>
          <w:sz w:val="24"/>
        </w:rPr>
        <w:t> </w:t>
      </w:r>
      <w:r>
        <w:rPr>
          <w:sz w:val="24"/>
        </w:rPr>
        <w:t>P.</w:t>
      </w:r>
      <w:r>
        <w:rPr>
          <w:spacing w:val="-4"/>
          <w:sz w:val="24"/>
        </w:rPr>
        <w:t> </w:t>
      </w:r>
      <w:r>
        <w:rPr>
          <w:sz w:val="24"/>
        </w:rPr>
        <w:t>(1999).</w:t>
      </w:r>
      <w:r>
        <w:rPr>
          <w:spacing w:val="-4"/>
          <w:sz w:val="24"/>
        </w:rPr>
        <w:t> </w:t>
      </w:r>
      <w:r>
        <w:rPr>
          <w:sz w:val="24"/>
        </w:rPr>
        <w:t>How</w:t>
      </w:r>
      <w:r>
        <w:rPr>
          <w:spacing w:val="-3"/>
          <w:sz w:val="24"/>
        </w:rPr>
        <w:t> </w:t>
      </w:r>
      <w:r>
        <w:rPr>
          <w:sz w:val="24"/>
        </w:rPr>
        <w:t>does</w:t>
      </w:r>
      <w:r>
        <w:rPr>
          <w:spacing w:val="-4"/>
          <w:sz w:val="24"/>
        </w:rPr>
        <w:t> </w:t>
      </w:r>
      <w:r>
        <w:rPr>
          <w:sz w:val="24"/>
        </w:rPr>
        <w:t>molecular</w:t>
      </w:r>
      <w:r>
        <w:rPr>
          <w:spacing w:val="-4"/>
          <w:sz w:val="24"/>
        </w:rPr>
        <w:t> </w:t>
      </w:r>
      <w:r>
        <w:rPr>
          <w:sz w:val="24"/>
        </w:rPr>
        <w:t>epidemiology</w:t>
      </w:r>
      <w:r>
        <w:rPr>
          <w:spacing w:val="-8"/>
          <w:sz w:val="24"/>
        </w:rPr>
        <w:t> </w:t>
      </w:r>
      <w:r>
        <w:rPr>
          <w:sz w:val="24"/>
        </w:rPr>
        <w:t>help</w:t>
      </w:r>
      <w:r>
        <w:rPr>
          <w:spacing w:val="-4"/>
          <w:sz w:val="24"/>
        </w:rPr>
        <w:t> </w:t>
      </w:r>
      <w:r>
        <w:rPr>
          <w:sz w:val="24"/>
        </w:rPr>
        <w:t>to</w:t>
      </w:r>
      <w:r>
        <w:rPr>
          <w:spacing w:val="-4"/>
          <w:sz w:val="24"/>
        </w:rPr>
        <w:t> </w:t>
      </w:r>
      <w:r>
        <w:rPr>
          <w:sz w:val="24"/>
        </w:rPr>
        <w:t>understand</w:t>
      </w:r>
      <w:r>
        <w:rPr>
          <w:spacing w:val="-2"/>
          <w:sz w:val="24"/>
        </w:rPr>
        <w:t> </w:t>
      </w:r>
      <w:r>
        <w:rPr>
          <w:sz w:val="24"/>
        </w:rPr>
        <w:t>malaria? </w:t>
      </w:r>
      <w:r>
        <w:rPr>
          <w:i/>
          <w:sz w:val="24"/>
        </w:rPr>
        <w:t>Tropical Medicine and International Health</w:t>
      </w:r>
      <w:r>
        <w:rPr>
          <w:sz w:val="24"/>
        </w:rPr>
        <w:t>, 4: 1-3.</w:t>
      </w:r>
    </w:p>
    <w:p>
      <w:pPr>
        <w:pStyle w:val="BodyText"/>
        <w:spacing w:before="137"/>
      </w:pPr>
    </w:p>
    <w:p>
      <w:pPr>
        <w:spacing w:line="360" w:lineRule="auto" w:before="0"/>
        <w:ind w:left="260" w:right="902" w:firstLine="0"/>
        <w:jc w:val="both"/>
        <w:rPr>
          <w:sz w:val="24"/>
        </w:rPr>
      </w:pPr>
      <w:r>
        <w:rPr>
          <w:sz w:val="24"/>
        </w:rPr>
        <w:t>Berzins, K. and Anders, R. F. (1999). The malaria antigens. </w:t>
      </w:r>
      <w:r>
        <w:rPr>
          <w:sz w:val="24"/>
          <w:u w:val="single"/>
        </w:rPr>
        <w:t>In</w:t>
      </w:r>
      <w:r>
        <w:rPr>
          <w:sz w:val="24"/>
        </w:rPr>
        <w:t>: Wahlgren, M. Perlmann, P. (eds).</w:t>
      </w:r>
      <w:r>
        <w:rPr>
          <w:spacing w:val="-2"/>
          <w:sz w:val="24"/>
        </w:rPr>
        <w:t> </w:t>
      </w:r>
      <w:r>
        <w:rPr>
          <w:i/>
          <w:sz w:val="24"/>
        </w:rPr>
        <w:t>Malaria:</w:t>
      </w:r>
      <w:r>
        <w:rPr>
          <w:i/>
          <w:spacing w:val="-1"/>
          <w:sz w:val="24"/>
        </w:rPr>
        <w:t> </w:t>
      </w:r>
      <w:r>
        <w:rPr>
          <w:i/>
          <w:sz w:val="24"/>
        </w:rPr>
        <w:t>Molecular</w:t>
      </w:r>
      <w:r>
        <w:rPr>
          <w:i/>
          <w:spacing w:val="-1"/>
          <w:sz w:val="24"/>
        </w:rPr>
        <w:t> </w:t>
      </w:r>
      <w:r>
        <w:rPr>
          <w:i/>
          <w:sz w:val="24"/>
        </w:rPr>
        <w:t>and Clinical</w:t>
      </w:r>
      <w:r>
        <w:rPr>
          <w:i/>
          <w:spacing w:val="-1"/>
          <w:sz w:val="24"/>
        </w:rPr>
        <w:t> </w:t>
      </w:r>
      <w:r>
        <w:rPr>
          <w:i/>
          <w:sz w:val="24"/>
        </w:rPr>
        <w:t>Aspects</w:t>
      </w:r>
      <w:r>
        <w:rPr>
          <w:sz w:val="24"/>
        </w:rPr>
        <w:t>. Amsterdam,</w:t>
      </w:r>
      <w:r>
        <w:rPr>
          <w:spacing w:val="-1"/>
          <w:sz w:val="24"/>
        </w:rPr>
        <w:t> </w:t>
      </w:r>
      <w:r>
        <w:rPr>
          <w:sz w:val="24"/>
        </w:rPr>
        <w:t>Harwood Academic</w:t>
      </w:r>
      <w:r>
        <w:rPr>
          <w:spacing w:val="-1"/>
          <w:sz w:val="24"/>
        </w:rPr>
        <w:t> </w:t>
      </w:r>
      <w:r>
        <w:rPr>
          <w:spacing w:val="-2"/>
          <w:sz w:val="24"/>
        </w:rPr>
        <w:t>Publishers,</w:t>
      </w:r>
    </w:p>
    <w:p>
      <w:pPr>
        <w:pStyle w:val="BodyText"/>
        <w:ind w:left="260"/>
      </w:pPr>
      <w:r>
        <w:rPr/>
        <w:t>pp.</w:t>
      </w:r>
      <w:r>
        <w:rPr>
          <w:spacing w:val="-2"/>
        </w:rPr>
        <w:t> </w:t>
      </w:r>
      <w:r>
        <w:rPr/>
        <w:t>181-</w:t>
      </w:r>
      <w:r>
        <w:rPr>
          <w:spacing w:val="-4"/>
        </w:rPr>
        <w:t>216.</w:t>
      </w:r>
    </w:p>
    <w:p>
      <w:pPr>
        <w:pStyle w:val="BodyText"/>
      </w:pPr>
    </w:p>
    <w:p>
      <w:pPr>
        <w:pStyle w:val="BodyText"/>
      </w:pPr>
    </w:p>
    <w:p>
      <w:pPr>
        <w:pStyle w:val="BodyText"/>
        <w:spacing w:line="360" w:lineRule="auto"/>
        <w:ind w:left="260" w:right="874"/>
        <w:jc w:val="both"/>
      </w:pPr>
      <w:r>
        <w:rPr/>
        <w:t>Bray,</w:t>
      </w:r>
      <w:r>
        <w:rPr>
          <w:spacing w:val="-3"/>
        </w:rPr>
        <w:t> </w:t>
      </w:r>
      <w:r>
        <w:rPr/>
        <w:t>P.</w:t>
      </w:r>
      <w:r>
        <w:rPr>
          <w:spacing w:val="-3"/>
        </w:rPr>
        <w:t> </w:t>
      </w:r>
      <w:r>
        <w:rPr/>
        <w:t>G.,</w:t>
      </w:r>
      <w:r>
        <w:rPr>
          <w:spacing w:val="-3"/>
        </w:rPr>
        <w:t> </w:t>
      </w:r>
      <w:r>
        <w:rPr/>
        <w:t>Mungthin,</w:t>
      </w:r>
      <w:r>
        <w:rPr>
          <w:spacing w:val="-1"/>
        </w:rPr>
        <w:t> </w:t>
      </w:r>
      <w:r>
        <w:rPr/>
        <w:t>M.,</w:t>
      </w:r>
      <w:r>
        <w:rPr>
          <w:spacing w:val="-3"/>
        </w:rPr>
        <w:t> </w:t>
      </w:r>
      <w:r>
        <w:rPr/>
        <w:t>Ridley,</w:t>
      </w:r>
      <w:r>
        <w:rPr>
          <w:spacing w:val="-3"/>
        </w:rPr>
        <w:t> </w:t>
      </w:r>
      <w:r>
        <w:rPr/>
        <w:t>R.G.</w:t>
      </w:r>
      <w:r>
        <w:rPr>
          <w:spacing w:val="-3"/>
        </w:rPr>
        <w:t> </w:t>
      </w:r>
      <w:r>
        <w:rPr/>
        <w:t>and</w:t>
      </w:r>
      <w:r>
        <w:rPr>
          <w:spacing w:val="-3"/>
        </w:rPr>
        <w:t> </w:t>
      </w:r>
      <w:r>
        <w:rPr/>
        <w:t>Ward,</w:t>
      </w:r>
      <w:r>
        <w:rPr>
          <w:spacing w:val="-3"/>
        </w:rPr>
        <w:t> </w:t>
      </w:r>
      <w:r>
        <w:rPr/>
        <w:t>S.</w:t>
      </w:r>
      <w:r>
        <w:rPr>
          <w:spacing w:val="-3"/>
        </w:rPr>
        <w:t> </w:t>
      </w:r>
      <w:r>
        <w:rPr/>
        <w:t>A.</w:t>
      </w:r>
      <w:r>
        <w:rPr>
          <w:spacing w:val="-3"/>
        </w:rPr>
        <w:t> </w:t>
      </w:r>
      <w:r>
        <w:rPr/>
        <w:t>(1998).</w:t>
      </w:r>
      <w:r>
        <w:rPr>
          <w:spacing w:val="-3"/>
        </w:rPr>
        <w:t> </w:t>
      </w:r>
      <w:r>
        <w:rPr/>
        <w:t>Access</w:t>
      </w:r>
      <w:r>
        <w:rPr>
          <w:spacing w:val="-3"/>
        </w:rPr>
        <w:t> </w:t>
      </w:r>
      <w:r>
        <w:rPr/>
        <w:t>to</w:t>
      </w:r>
      <w:r>
        <w:rPr>
          <w:spacing w:val="-3"/>
        </w:rPr>
        <w:t> </w:t>
      </w:r>
      <w:r>
        <w:rPr/>
        <w:t>hematin:</w:t>
      </w:r>
      <w:r>
        <w:rPr>
          <w:spacing w:val="-3"/>
        </w:rPr>
        <w:t> </w:t>
      </w:r>
      <w:r>
        <w:rPr/>
        <w:t>the</w:t>
      </w:r>
      <w:r>
        <w:rPr>
          <w:spacing w:val="-3"/>
        </w:rPr>
        <w:t> </w:t>
      </w:r>
      <w:r>
        <w:rPr/>
        <w:t>basis of chloroquine resistance. </w:t>
      </w:r>
      <w:r>
        <w:rPr>
          <w:i/>
        </w:rPr>
        <w:t>Molecular Pharmacology, </w:t>
      </w:r>
      <w:r>
        <w:rPr/>
        <w:t>54: 170–179.</w:t>
      </w:r>
    </w:p>
    <w:p>
      <w:pPr>
        <w:pStyle w:val="BodyText"/>
        <w:spacing w:before="140"/>
      </w:pPr>
    </w:p>
    <w:p>
      <w:pPr>
        <w:pStyle w:val="BodyText"/>
        <w:spacing w:line="360" w:lineRule="auto"/>
        <w:ind w:left="260" w:right="856"/>
        <w:jc w:val="both"/>
      </w:pPr>
      <w:r>
        <w:rPr/>
        <w:t>CDC (2014). Impact of Malaria. Global Health – Division of Parasitic Diseases and Malaria, Centre for Disease Control and Prevention.</w:t>
      </w:r>
    </w:p>
    <w:p>
      <w:pPr>
        <w:pStyle w:val="BodyText"/>
        <w:spacing w:before="137"/>
      </w:pPr>
    </w:p>
    <w:p>
      <w:pPr>
        <w:spacing w:line="360" w:lineRule="auto" w:before="0"/>
        <w:ind w:left="260" w:right="860" w:firstLine="0"/>
        <w:jc w:val="both"/>
        <w:rPr>
          <w:sz w:val="24"/>
        </w:rPr>
      </w:pPr>
      <w:r>
        <w:rPr>
          <w:sz w:val="24"/>
        </w:rPr>
        <w:t>CDC (2012). </w:t>
      </w:r>
      <w:r>
        <w:rPr>
          <w:i/>
          <w:sz w:val="24"/>
        </w:rPr>
        <w:t>Life cycle of malaria parasite- Biology</w:t>
      </w:r>
      <w:r>
        <w:rPr>
          <w:sz w:val="24"/>
        </w:rPr>
        <w:t>. Centers for Disease Control and Prevention. </w:t>
      </w:r>
      <w:hyperlink r:id="rId36">
        <w:r>
          <w:rPr>
            <w:sz w:val="24"/>
            <w:u w:val="single"/>
          </w:rPr>
          <w:t>http://www.cdc.gov/malaria/about/biology/</w:t>
        </w:r>
      </w:hyperlink>
      <w:r>
        <w:rPr>
          <w:spacing w:val="40"/>
          <w:sz w:val="24"/>
        </w:rPr>
        <w:t> </w:t>
      </w:r>
      <w:r>
        <w:rPr>
          <w:sz w:val="24"/>
        </w:rPr>
        <w:t>Last accessed on 18 June, 2013.</w:t>
      </w:r>
    </w:p>
    <w:p>
      <w:pPr>
        <w:pStyle w:val="BodyText"/>
        <w:spacing w:before="139"/>
      </w:pPr>
    </w:p>
    <w:p>
      <w:pPr>
        <w:pStyle w:val="BodyText"/>
        <w:spacing w:line="360" w:lineRule="auto"/>
        <w:ind w:left="260" w:right="852"/>
        <w:jc w:val="both"/>
      </w:pPr>
      <w:r>
        <w:rPr/>
        <w:t>CIA World Factbook (2015). The World Factbook, Central Intelligence Adency, USA. </w:t>
      </w:r>
      <w:hyperlink r:id="rId37">
        <w:r>
          <w:rPr>
            <w:u w:val="single"/>
          </w:rPr>
          <w:t>https://www.cia.gov/library/publications/the-world-factbook/</w:t>
        </w:r>
      </w:hyperlink>
      <w:r>
        <w:rPr/>
        <w:t>. Last accessed on 20 October </w:t>
      </w:r>
      <w:r>
        <w:rPr>
          <w:spacing w:val="-4"/>
        </w:rPr>
        <w:t>2015</w:t>
      </w:r>
    </w:p>
    <w:p>
      <w:pPr>
        <w:spacing w:after="0" w:line="360" w:lineRule="auto"/>
        <w:jc w:val="both"/>
        <w:sectPr>
          <w:pgSz w:w="11910" w:h="16840"/>
          <w:pgMar w:header="0" w:footer="1254" w:top="1340" w:bottom="1440" w:left="1180" w:right="580"/>
        </w:sectPr>
      </w:pPr>
    </w:p>
    <w:p>
      <w:pPr>
        <w:spacing w:line="360" w:lineRule="auto" w:before="76"/>
        <w:ind w:left="260" w:right="1177" w:firstLine="0"/>
        <w:jc w:val="both"/>
        <w:rPr>
          <w:sz w:val="24"/>
        </w:rPr>
      </w:pPr>
      <w:r>
        <w:rPr>
          <w:sz w:val="24"/>
        </w:rPr>
        <w:t>Chen,</w:t>
      </w:r>
      <w:r>
        <w:rPr>
          <w:spacing w:val="-2"/>
          <w:sz w:val="24"/>
        </w:rPr>
        <w:t> </w:t>
      </w:r>
      <w:r>
        <w:rPr>
          <w:sz w:val="24"/>
        </w:rPr>
        <w:t>N.,</w:t>
      </w:r>
      <w:r>
        <w:rPr>
          <w:spacing w:val="-2"/>
          <w:sz w:val="24"/>
        </w:rPr>
        <w:t> </w:t>
      </w:r>
      <w:r>
        <w:rPr>
          <w:sz w:val="24"/>
        </w:rPr>
        <w:t>Russell,</w:t>
      </w:r>
      <w:r>
        <w:rPr>
          <w:spacing w:val="-2"/>
          <w:sz w:val="24"/>
        </w:rPr>
        <w:t> </w:t>
      </w:r>
      <w:r>
        <w:rPr>
          <w:sz w:val="24"/>
        </w:rPr>
        <w:t>B.,</w:t>
      </w:r>
      <w:r>
        <w:rPr>
          <w:spacing w:val="-2"/>
          <w:sz w:val="24"/>
        </w:rPr>
        <w:t> </w:t>
      </w:r>
      <w:r>
        <w:rPr>
          <w:sz w:val="24"/>
        </w:rPr>
        <w:t>Staley,</w:t>
      </w:r>
      <w:r>
        <w:rPr>
          <w:spacing w:val="-2"/>
          <w:sz w:val="24"/>
        </w:rPr>
        <w:t> </w:t>
      </w:r>
      <w:r>
        <w:rPr>
          <w:sz w:val="24"/>
        </w:rPr>
        <w:t>J.,</w:t>
      </w:r>
      <w:r>
        <w:rPr>
          <w:spacing w:val="-2"/>
          <w:sz w:val="24"/>
        </w:rPr>
        <w:t> </w:t>
      </w:r>
      <w:r>
        <w:rPr>
          <w:sz w:val="24"/>
        </w:rPr>
        <w:t>Kotecka, B.,</w:t>
      </w:r>
      <w:r>
        <w:rPr>
          <w:spacing w:val="-2"/>
          <w:sz w:val="24"/>
        </w:rPr>
        <w:t> </w:t>
      </w:r>
      <w:r>
        <w:rPr>
          <w:sz w:val="24"/>
        </w:rPr>
        <w:t>Nasveld,</w:t>
      </w:r>
      <w:r>
        <w:rPr>
          <w:spacing w:val="-2"/>
          <w:sz w:val="24"/>
        </w:rPr>
        <w:t> </w:t>
      </w:r>
      <w:r>
        <w:rPr>
          <w:sz w:val="24"/>
        </w:rPr>
        <w:t>P.</w:t>
      </w:r>
      <w:r>
        <w:rPr>
          <w:spacing w:val="-2"/>
          <w:sz w:val="24"/>
        </w:rPr>
        <w:t> </w:t>
      </w:r>
      <w:r>
        <w:rPr>
          <w:sz w:val="24"/>
        </w:rPr>
        <w:t>and</w:t>
      </w:r>
      <w:r>
        <w:rPr>
          <w:spacing w:val="-2"/>
          <w:sz w:val="24"/>
        </w:rPr>
        <w:t> </w:t>
      </w:r>
      <w:r>
        <w:rPr>
          <w:sz w:val="24"/>
        </w:rPr>
        <w:t>Cheng, Q,</w:t>
      </w:r>
      <w:r>
        <w:rPr>
          <w:spacing w:val="-2"/>
          <w:sz w:val="24"/>
        </w:rPr>
        <w:t> </w:t>
      </w:r>
      <w:r>
        <w:rPr>
          <w:sz w:val="24"/>
        </w:rPr>
        <w:t>(2001).</w:t>
      </w:r>
      <w:r>
        <w:rPr>
          <w:spacing w:val="-2"/>
          <w:sz w:val="24"/>
        </w:rPr>
        <w:t> </w:t>
      </w:r>
      <w:r>
        <w:rPr>
          <w:sz w:val="24"/>
        </w:rPr>
        <w:t>Sequence polymorphisms</w:t>
      </w:r>
      <w:r>
        <w:rPr>
          <w:spacing w:val="-4"/>
          <w:sz w:val="24"/>
        </w:rPr>
        <w:t> </w:t>
      </w:r>
      <w:r>
        <w:rPr>
          <w:sz w:val="24"/>
        </w:rPr>
        <w:t>in</w:t>
      </w:r>
      <w:r>
        <w:rPr>
          <w:spacing w:val="-3"/>
          <w:sz w:val="24"/>
        </w:rPr>
        <w:t> </w:t>
      </w:r>
      <w:r>
        <w:rPr>
          <w:i/>
          <w:sz w:val="24"/>
        </w:rPr>
        <w:t>pfcrt</w:t>
      </w:r>
      <w:r>
        <w:rPr>
          <w:i/>
          <w:spacing w:val="-4"/>
          <w:sz w:val="24"/>
        </w:rPr>
        <w:t> </w:t>
      </w:r>
      <w:r>
        <w:rPr>
          <w:sz w:val="24"/>
        </w:rPr>
        <w:t>are</w:t>
      </w:r>
      <w:r>
        <w:rPr>
          <w:spacing w:val="-6"/>
          <w:sz w:val="24"/>
        </w:rPr>
        <w:t> </w:t>
      </w:r>
      <w:r>
        <w:rPr>
          <w:sz w:val="24"/>
        </w:rPr>
        <w:t>strongly</w:t>
      </w:r>
      <w:r>
        <w:rPr>
          <w:spacing w:val="-8"/>
          <w:sz w:val="24"/>
        </w:rPr>
        <w:t> </w:t>
      </w:r>
      <w:r>
        <w:rPr>
          <w:sz w:val="24"/>
        </w:rPr>
        <w:t>associated</w:t>
      </w:r>
      <w:r>
        <w:rPr>
          <w:spacing w:val="-3"/>
          <w:sz w:val="24"/>
        </w:rPr>
        <w:t> </w:t>
      </w:r>
      <w:r>
        <w:rPr>
          <w:sz w:val="24"/>
        </w:rPr>
        <w:t>with</w:t>
      </w:r>
      <w:r>
        <w:rPr>
          <w:spacing w:val="-4"/>
          <w:sz w:val="24"/>
        </w:rPr>
        <w:t> </w:t>
      </w:r>
      <w:r>
        <w:rPr>
          <w:sz w:val="24"/>
        </w:rPr>
        <w:t>chloroquine</w:t>
      </w:r>
      <w:r>
        <w:rPr>
          <w:spacing w:val="-4"/>
          <w:sz w:val="24"/>
        </w:rPr>
        <w:t> </w:t>
      </w:r>
      <w:r>
        <w:rPr>
          <w:sz w:val="24"/>
        </w:rPr>
        <w:t>resistance</w:t>
      </w:r>
      <w:r>
        <w:rPr>
          <w:spacing w:val="-3"/>
          <w:sz w:val="24"/>
        </w:rPr>
        <w:t> </w:t>
      </w:r>
      <w:r>
        <w:rPr>
          <w:sz w:val="24"/>
        </w:rPr>
        <w:t>in</w:t>
      </w:r>
      <w:r>
        <w:rPr>
          <w:spacing w:val="-1"/>
          <w:sz w:val="24"/>
        </w:rPr>
        <w:t> </w:t>
      </w:r>
      <w:r>
        <w:rPr>
          <w:i/>
          <w:sz w:val="24"/>
        </w:rPr>
        <w:t>Plasmodium falciparum</w:t>
      </w:r>
      <w:r>
        <w:rPr>
          <w:sz w:val="24"/>
        </w:rPr>
        <w:t>. </w:t>
      </w:r>
      <w:r>
        <w:rPr>
          <w:i/>
          <w:sz w:val="24"/>
        </w:rPr>
        <w:t>Journal of Infectious Disease</w:t>
      </w:r>
      <w:r>
        <w:rPr>
          <w:sz w:val="24"/>
        </w:rPr>
        <w:t>, 183: 1543–1545.</w:t>
      </w:r>
    </w:p>
    <w:p>
      <w:pPr>
        <w:pStyle w:val="BodyText"/>
        <w:spacing w:before="138"/>
      </w:pPr>
    </w:p>
    <w:p>
      <w:pPr>
        <w:spacing w:before="0"/>
        <w:ind w:left="260" w:right="0" w:firstLine="0"/>
        <w:jc w:val="left"/>
        <w:rPr>
          <w:sz w:val="24"/>
        </w:rPr>
      </w:pPr>
      <w:r>
        <w:rPr>
          <w:sz w:val="24"/>
        </w:rPr>
        <w:t>Collins,</w:t>
      </w:r>
      <w:r>
        <w:rPr>
          <w:spacing w:val="-5"/>
          <w:sz w:val="24"/>
        </w:rPr>
        <w:t> </w:t>
      </w:r>
      <w:r>
        <w:rPr>
          <w:sz w:val="24"/>
        </w:rPr>
        <w:t>W.</w:t>
      </w:r>
      <w:r>
        <w:rPr>
          <w:spacing w:val="-1"/>
          <w:sz w:val="24"/>
        </w:rPr>
        <w:t> </w:t>
      </w:r>
      <w:r>
        <w:rPr>
          <w:sz w:val="24"/>
        </w:rPr>
        <w:t>E.</w:t>
      </w:r>
      <w:r>
        <w:rPr>
          <w:spacing w:val="-1"/>
          <w:sz w:val="24"/>
        </w:rPr>
        <w:t> </w:t>
      </w:r>
      <w:r>
        <w:rPr>
          <w:sz w:val="24"/>
        </w:rPr>
        <w:t>and Jeffery,</w:t>
      </w:r>
      <w:r>
        <w:rPr>
          <w:spacing w:val="1"/>
          <w:sz w:val="24"/>
        </w:rPr>
        <w:t> </w:t>
      </w:r>
      <w:r>
        <w:rPr>
          <w:sz w:val="24"/>
        </w:rPr>
        <w:t>G.</w:t>
      </w:r>
      <w:r>
        <w:rPr>
          <w:spacing w:val="-1"/>
          <w:sz w:val="24"/>
        </w:rPr>
        <w:t> </w:t>
      </w:r>
      <w:r>
        <w:rPr>
          <w:sz w:val="24"/>
        </w:rPr>
        <w:t>M.</w:t>
      </w:r>
      <w:r>
        <w:rPr>
          <w:spacing w:val="-1"/>
          <w:sz w:val="24"/>
        </w:rPr>
        <w:t> </w:t>
      </w:r>
      <w:r>
        <w:rPr>
          <w:sz w:val="24"/>
        </w:rPr>
        <w:t>(2007). </w:t>
      </w:r>
      <w:r>
        <w:rPr>
          <w:i/>
          <w:sz w:val="24"/>
        </w:rPr>
        <w:t>Plasmodium malariae</w:t>
      </w:r>
      <w:r>
        <w:rPr>
          <w:sz w:val="24"/>
        </w:rPr>
        <w:t>:</w:t>
      </w:r>
      <w:r>
        <w:rPr>
          <w:spacing w:val="-1"/>
          <w:sz w:val="24"/>
        </w:rPr>
        <w:t> </w:t>
      </w:r>
      <w:r>
        <w:rPr>
          <w:sz w:val="24"/>
        </w:rPr>
        <w:t>parasite</w:t>
      </w:r>
      <w:r>
        <w:rPr>
          <w:spacing w:val="-2"/>
          <w:sz w:val="24"/>
        </w:rPr>
        <w:t> </w:t>
      </w:r>
      <w:r>
        <w:rPr>
          <w:sz w:val="24"/>
        </w:rPr>
        <w:t>and </w:t>
      </w:r>
      <w:r>
        <w:rPr>
          <w:spacing w:val="-2"/>
          <w:sz w:val="24"/>
        </w:rPr>
        <w:t>disease.</w:t>
      </w:r>
    </w:p>
    <w:p>
      <w:pPr>
        <w:spacing w:before="137"/>
        <w:ind w:left="260" w:right="0" w:firstLine="0"/>
        <w:jc w:val="left"/>
        <w:rPr>
          <w:sz w:val="24"/>
        </w:rPr>
      </w:pPr>
      <w:r>
        <w:rPr>
          <w:i/>
          <w:sz w:val="24"/>
        </w:rPr>
        <w:t>Clinical</w:t>
      </w:r>
      <w:r>
        <w:rPr>
          <w:i/>
          <w:spacing w:val="-3"/>
          <w:sz w:val="24"/>
        </w:rPr>
        <w:t> </w:t>
      </w:r>
      <w:r>
        <w:rPr>
          <w:i/>
          <w:sz w:val="24"/>
        </w:rPr>
        <w:t>Microbiology</w:t>
      </w:r>
      <w:r>
        <w:rPr>
          <w:i/>
          <w:spacing w:val="-2"/>
          <w:sz w:val="24"/>
        </w:rPr>
        <w:t> </w:t>
      </w:r>
      <w:r>
        <w:rPr>
          <w:i/>
          <w:sz w:val="24"/>
        </w:rPr>
        <w:t>Reviews</w:t>
      </w:r>
      <w:r>
        <w:rPr>
          <w:sz w:val="24"/>
        </w:rPr>
        <w:t>,</w:t>
      </w:r>
      <w:r>
        <w:rPr>
          <w:spacing w:val="-1"/>
          <w:sz w:val="24"/>
        </w:rPr>
        <w:t> </w:t>
      </w:r>
      <w:r>
        <w:rPr>
          <w:sz w:val="24"/>
        </w:rPr>
        <w:t>20:579-</w:t>
      </w:r>
      <w:r>
        <w:rPr>
          <w:spacing w:val="-4"/>
          <w:sz w:val="24"/>
        </w:rPr>
        <w:t>592.</w:t>
      </w:r>
    </w:p>
    <w:p>
      <w:pPr>
        <w:pStyle w:val="BodyText"/>
      </w:pPr>
    </w:p>
    <w:p>
      <w:pPr>
        <w:pStyle w:val="BodyText"/>
      </w:pPr>
    </w:p>
    <w:p>
      <w:pPr>
        <w:spacing w:line="360" w:lineRule="auto" w:before="0"/>
        <w:ind w:left="260" w:right="855" w:firstLine="0"/>
        <w:jc w:val="left"/>
        <w:rPr>
          <w:sz w:val="24"/>
        </w:rPr>
      </w:pPr>
      <w:r>
        <w:rPr>
          <w:sz w:val="24"/>
        </w:rPr>
        <w:t>Daw</w:t>
      </w:r>
      <w:r>
        <w:rPr>
          <w:spacing w:val="-3"/>
          <w:sz w:val="24"/>
        </w:rPr>
        <w:t> </w:t>
      </w:r>
      <w:r>
        <w:rPr>
          <w:sz w:val="24"/>
        </w:rPr>
        <w:t>K.</w:t>
      </w:r>
      <w:r>
        <w:rPr>
          <w:spacing w:val="-3"/>
          <w:sz w:val="24"/>
        </w:rPr>
        <w:t> </w:t>
      </w:r>
      <w:r>
        <w:rPr>
          <w:sz w:val="24"/>
        </w:rPr>
        <w:t>S.,</w:t>
      </w:r>
      <w:r>
        <w:rPr>
          <w:spacing w:val="-3"/>
          <w:sz w:val="24"/>
        </w:rPr>
        <w:t> </w:t>
      </w:r>
      <w:r>
        <w:rPr>
          <w:sz w:val="24"/>
        </w:rPr>
        <w:t>Naing,</w:t>
      </w:r>
      <w:r>
        <w:rPr>
          <w:spacing w:val="-3"/>
          <w:sz w:val="24"/>
        </w:rPr>
        <w:t> </w:t>
      </w:r>
      <w:r>
        <w:rPr>
          <w:sz w:val="24"/>
        </w:rPr>
        <w:t>D.</w:t>
      </w:r>
      <w:r>
        <w:rPr>
          <w:spacing w:val="-2"/>
          <w:sz w:val="24"/>
        </w:rPr>
        <w:t> </w:t>
      </w:r>
      <w:r>
        <w:rPr>
          <w:sz w:val="24"/>
        </w:rPr>
        <w:t>K.</w:t>
      </w:r>
      <w:r>
        <w:rPr>
          <w:spacing w:val="-2"/>
          <w:sz w:val="24"/>
        </w:rPr>
        <w:t> </w:t>
      </w:r>
      <w:r>
        <w:rPr>
          <w:sz w:val="24"/>
        </w:rPr>
        <w:t>S.,</w:t>
      </w:r>
      <w:r>
        <w:rPr>
          <w:spacing w:val="-3"/>
          <w:sz w:val="24"/>
        </w:rPr>
        <w:t> </w:t>
      </w:r>
      <w:r>
        <w:rPr>
          <w:sz w:val="24"/>
        </w:rPr>
        <w:t>Anderios,</w:t>
      </w:r>
      <w:r>
        <w:rPr>
          <w:spacing w:val="-3"/>
          <w:sz w:val="24"/>
        </w:rPr>
        <w:t> </w:t>
      </w:r>
      <w:r>
        <w:rPr>
          <w:sz w:val="24"/>
        </w:rPr>
        <w:t>F.</w:t>
      </w:r>
      <w:r>
        <w:rPr>
          <w:spacing w:val="40"/>
          <w:sz w:val="24"/>
        </w:rPr>
        <w:t> </w:t>
      </w:r>
      <w:r>
        <w:rPr>
          <w:sz w:val="24"/>
        </w:rPr>
        <w:t>and</w:t>
      </w:r>
      <w:r>
        <w:rPr>
          <w:spacing w:val="-1"/>
          <w:sz w:val="24"/>
        </w:rPr>
        <w:t> </w:t>
      </w:r>
      <w:r>
        <w:rPr>
          <w:sz w:val="24"/>
        </w:rPr>
        <w:t>Lin,</w:t>
      </w:r>
      <w:r>
        <w:rPr>
          <w:spacing w:val="-1"/>
          <w:sz w:val="24"/>
        </w:rPr>
        <w:t> </w:t>
      </w:r>
      <w:r>
        <w:rPr>
          <w:sz w:val="24"/>
        </w:rPr>
        <w:t>Z.</w:t>
      </w:r>
      <w:r>
        <w:rPr>
          <w:spacing w:val="-3"/>
          <w:sz w:val="24"/>
        </w:rPr>
        <w:t> </w:t>
      </w:r>
      <w:r>
        <w:rPr>
          <w:sz w:val="24"/>
        </w:rPr>
        <w:t>(2011).</w:t>
      </w:r>
      <w:r>
        <w:rPr>
          <w:spacing w:val="-2"/>
          <w:sz w:val="24"/>
        </w:rPr>
        <w:t> </w:t>
      </w:r>
      <w:r>
        <w:rPr>
          <w:sz w:val="24"/>
        </w:rPr>
        <w:t>Geographic</w:t>
      </w:r>
      <w:r>
        <w:rPr>
          <w:spacing w:val="-2"/>
          <w:sz w:val="24"/>
        </w:rPr>
        <w:t> </w:t>
      </w:r>
      <w:r>
        <w:rPr>
          <w:sz w:val="24"/>
        </w:rPr>
        <w:t>and</w:t>
      </w:r>
      <w:r>
        <w:rPr>
          <w:spacing w:val="-3"/>
          <w:sz w:val="24"/>
        </w:rPr>
        <w:t> </w:t>
      </w:r>
      <w:r>
        <w:rPr>
          <w:sz w:val="24"/>
        </w:rPr>
        <w:t>Ethnic Distribution of P knowlesi infection in Sabah, Malaysia. </w:t>
      </w:r>
      <w:r>
        <w:rPr>
          <w:i/>
          <w:sz w:val="24"/>
        </w:rPr>
        <w:t>International Journal of Collaborative Research on Internal Medicine &amp; Public Health</w:t>
      </w:r>
      <w:r>
        <w:rPr>
          <w:sz w:val="24"/>
        </w:rPr>
        <w:t>, 3(5): 391-400.</w:t>
      </w:r>
    </w:p>
    <w:p>
      <w:pPr>
        <w:pStyle w:val="BodyText"/>
        <w:spacing w:before="139"/>
      </w:pPr>
    </w:p>
    <w:p>
      <w:pPr>
        <w:pStyle w:val="BodyText"/>
        <w:spacing w:line="360" w:lineRule="auto"/>
        <w:ind w:left="260" w:right="971"/>
      </w:pPr>
      <w:r>
        <w:rPr/>
        <w:t>Djimde,</w:t>
      </w:r>
      <w:r>
        <w:rPr>
          <w:spacing w:val="-3"/>
        </w:rPr>
        <w:t> </w:t>
      </w:r>
      <w:r>
        <w:rPr/>
        <w:t>A.,</w:t>
      </w:r>
      <w:r>
        <w:rPr>
          <w:spacing w:val="-3"/>
        </w:rPr>
        <w:t> </w:t>
      </w:r>
      <w:r>
        <w:rPr/>
        <w:t>Doumbo,</w:t>
      </w:r>
      <w:r>
        <w:rPr>
          <w:spacing w:val="-3"/>
        </w:rPr>
        <w:t> </w:t>
      </w:r>
      <w:r>
        <w:rPr/>
        <w:t>O.</w:t>
      </w:r>
      <w:r>
        <w:rPr>
          <w:spacing w:val="-3"/>
        </w:rPr>
        <w:t> </w:t>
      </w:r>
      <w:r>
        <w:rPr/>
        <w:t>K.,</w:t>
      </w:r>
      <w:r>
        <w:rPr>
          <w:spacing w:val="-3"/>
        </w:rPr>
        <w:t> </w:t>
      </w:r>
      <w:r>
        <w:rPr/>
        <w:t>Cortese,</w:t>
      </w:r>
      <w:r>
        <w:rPr>
          <w:spacing w:val="-3"/>
        </w:rPr>
        <w:t> </w:t>
      </w:r>
      <w:r>
        <w:rPr/>
        <w:t>J.</w:t>
      </w:r>
      <w:r>
        <w:rPr>
          <w:spacing w:val="-3"/>
        </w:rPr>
        <w:t> </w:t>
      </w:r>
      <w:r>
        <w:rPr/>
        <w:t>F.,</w:t>
      </w:r>
      <w:r>
        <w:rPr>
          <w:spacing w:val="-3"/>
        </w:rPr>
        <w:t> </w:t>
      </w:r>
      <w:r>
        <w:rPr/>
        <w:t>Kayentao,</w:t>
      </w:r>
      <w:r>
        <w:rPr>
          <w:spacing w:val="-3"/>
        </w:rPr>
        <w:t> </w:t>
      </w:r>
      <w:r>
        <w:rPr/>
        <w:t>K.,</w:t>
      </w:r>
      <w:r>
        <w:rPr>
          <w:spacing w:val="-3"/>
        </w:rPr>
        <w:t> </w:t>
      </w:r>
      <w:r>
        <w:rPr/>
        <w:t>Doumbo,</w:t>
      </w:r>
      <w:r>
        <w:rPr>
          <w:spacing w:val="-3"/>
        </w:rPr>
        <w:t> </w:t>
      </w:r>
      <w:r>
        <w:rPr/>
        <w:t>S.,</w:t>
      </w:r>
      <w:r>
        <w:rPr>
          <w:spacing w:val="-3"/>
        </w:rPr>
        <w:t> </w:t>
      </w:r>
      <w:r>
        <w:rPr/>
        <w:t>Diourte,</w:t>
      </w:r>
      <w:r>
        <w:rPr>
          <w:spacing w:val="-3"/>
        </w:rPr>
        <w:t> </w:t>
      </w:r>
      <w:r>
        <w:rPr/>
        <w:t>Y.,</w:t>
      </w:r>
      <w:r>
        <w:rPr>
          <w:spacing w:val="-3"/>
        </w:rPr>
        <w:t> </w:t>
      </w:r>
      <w:r>
        <w:rPr/>
        <w:t>Dicko, A., Su, X. Z., Nomura, T., Fidock, D. A., Wellems, T. E., Plowe, C. V. and Coulibaly, D. (2001). A molecular marker for chloroquine-resistant falciparum malaria. </w:t>
      </w:r>
      <w:r>
        <w:rPr>
          <w:i/>
        </w:rPr>
        <w:t>New England Journal of Medicine</w:t>
      </w:r>
      <w:r>
        <w:rPr/>
        <w:t>, 344: 257–263.</w:t>
      </w:r>
    </w:p>
    <w:p>
      <w:pPr>
        <w:pStyle w:val="BodyText"/>
        <w:spacing w:before="139"/>
      </w:pPr>
    </w:p>
    <w:p>
      <w:pPr>
        <w:pStyle w:val="BodyText"/>
        <w:spacing w:before="1"/>
        <w:ind w:left="260"/>
      </w:pPr>
      <w:r>
        <w:rPr/>
        <w:t>Dondorp,</w:t>
      </w:r>
      <w:r>
        <w:rPr>
          <w:spacing w:val="-2"/>
        </w:rPr>
        <w:t> </w:t>
      </w:r>
      <w:r>
        <w:rPr/>
        <w:t>A.</w:t>
      </w:r>
      <w:r>
        <w:rPr>
          <w:spacing w:val="-1"/>
        </w:rPr>
        <w:t> </w:t>
      </w:r>
      <w:r>
        <w:rPr/>
        <w:t>M.,</w:t>
      </w:r>
      <w:r>
        <w:rPr>
          <w:spacing w:val="-1"/>
        </w:rPr>
        <w:t> </w:t>
      </w:r>
      <w:r>
        <w:rPr/>
        <w:t>Yeung,</w:t>
      </w:r>
      <w:r>
        <w:rPr>
          <w:spacing w:val="1"/>
        </w:rPr>
        <w:t> </w:t>
      </w:r>
      <w:r>
        <w:rPr/>
        <w:t>S.,</w:t>
      </w:r>
      <w:r>
        <w:rPr>
          <w:spacing w:val="-1"/>
        </w:rPr>
        <w:t> </w:t>
      </w:r>
      <w:r>
        <w:rPr/>
        <w:t>White,</w:t>
      </w:r>
      <w:r>
        <w:rPr>
          <w:spacing w:val="-1"/>
        </w:rPr>
        <w:t> </w:t>
      </w:r>
      <w:r>
        <w:rPr/>
        <w:t>L.,</w:t>
      </w:r>
      <w:r>
        <w:rPr>
          <w:spacing w:val="-1"/>
        </w:rPr>
        <w:t> </w:t>
      </w:r>
      <w:r>
        <w:rPr/>
        <w:t>Nguon,</w:t>
      </w:r>
      <w:r>
        <w:rPr>
          <w:spacing w:val="-1"/>
        </w:rPr>
        <w:t> </w:t>
      </w:r>
      <w:r>
        <w:rPr/>
        <w:t>C.,</w:t>
      </w:r>
      <w:r>
        <w:rPr>
          <w:spacing w:val="1"/>
        </w:rPr>
        <w:t> </w:t>
      </w:r>
      <w:r>
        <w:rPr/>
        <w:t>Day,</w:t>
      </w:r>
      <w:r>
        <w:rPr>
          <w:spacing w:val="-1"/>
        </w:rPr>
        <w:t> </w:t>
      </w:r>
      <w:r>
        <w:rPr/>
        <w:t>N.</w:t>
      </w:r>
      <w:r>
        <w:rPr>
          <w:spacing w:val="-1"/>
        </w:rPr>
        <w:t> </w:t>
      </w:r>
      <w:r>
        <w:rPr/>
        <w:t>P.,</w:t>
      </w:r>
      <w:r>
        <w:rPr>
          <w:spacing w:val="-1"/>
        </w:rPr>
        <w:t> </w:t>
      </w:r>
      <w:r>
        <w:rPr/>
        <w:t>Socheat,</w:t>
      </w:r>
      <w:r>
        <w:rPr>
          <w:spacing w:val="-1"/>
        </w:rPr>
        <w:t> </w:t>
      </w:r>
      <w:r>
        <w:rPr/>
        <w:t>D.</w:t>
      </w:r>
      <w:r>
        <w:rPr>
          <w:spacing w:val="1"/>
        </w:rPr>
        <w:t> </w:t>
      </w:r>
      <w:r>
        <w:rPr/>
        <w:t>and</w:t>
      </w:r>
      <w:r>
        <w:rPr>
          <w:spacing w:val="-1"/>
        </w:rPr>
        <w:t> </w:t>
      </w:r>
      <w:r>
        <w:rPr/>
        <w:t>von</w:t>
      </w:r>
      <w:r>
        <w:rPr>
          <w:spacing w:val="-1"/>
        </w:rPr>
        <w:t> </w:t>
      </w:r>
      <w:r>
        <w:rPr>
          <w:spacing w:val="-2"/>
        </w:rPr>
        <w:t>Seidlein,</w:t>
      </w:r>
    </w:p>
    <w:p>
      <w:pPr>
        <w:spacing w:line="360" w:lineRule="auto" w:before="136"/>
        <w:ind w:left="260" w:right="855" w:firstLine="0"/>
        <w:jc w:val="left"/>
        <w:rPr>
          <w:sz w:val="24"/>
        </w:rPr>
      </w:pPr>
      <w:r>
        <w:rPr>
          <w:sz w:val="24"/>
        </w:rPr>
        <w:t>L.</w:t>
      </w:r>
      <w:r>
        <w:rPr>
          <w:spacing w:val="-4"/>
          <w:sz w:val="24"/>
        </w:rPr>
        <w:t> </w:t>
      </w:r>
      <w:r>
        <w:rPr>
          <w:sz w:val="24"/>
        </w:rPr>
        <w:t>(2010).</w:t>
      </w:r>
      <w:r>
        <w:rPr>
          <w:spacing w:val="40"/>
          <w:sz w:val="24"/>
        </w:rPr>
        <w:t> </w:t>
      </w:r>
      <w:r>
        <w:rPr>
          <w:sz w:val="24"/>
        </w:rPr>
        <w:t>Artemisinin</w:t>
      </w:r>
      <w:r>
        <w:rPr>
          <w:spacing w:val="-4"/>
          <w:sz w:val="24"/>
        </w:rPr>
        <w:t> </w:t>
      </w:r>
      <w:r>
        <w:rPr>
          <w:sz w:val="24"/>
        </w:rPr>
        <w:t>resistance:</w:t>
      </w:r>
      <w:r>
        <w:rPr>
          <w:spacing w:val="-4"/>
          <w:sz w:val="24"/>
        </w:rPr>
        <w:t> </w:t>
      </w:r>
      <w:r>
        <w:rPr>
          <w:sz w:val="24"/>
        </w:rPr>
        <w:t>current</w:t>
      </w:r>
      <w:r>
        <w:rPr>
          <w:spacing w:val="-4"/>
          <w:sz w:val="24"/>
        </w:rPr>
        <w:t> </w:t>
      </w:r>
      <w:r>
        <w:rPr>
          <w:sz w:val="24"/>
        </w:rPr>
        <w:t>status</w:t>
      </w:r>
      <w:r>
        <w:rPr>
          <w:spacing w:val="-4"/>
          <w:sz w:val="24"/>
        </w:rPr>
        <w:t> </w:t>
      </w:r>
      <w:r>
        <w:rPr>
          <w:sz w:val="24"/>
        </w:rPr>
        <w:t>and</w:t>
      </w:r>
      <w:r>
        <w:rPr>
          <w:spacing w:val="-4"/>
          <w:sz w:val="24"/>
        </w:rPr>
        <w:t> </w:t>
      </w:r>
      <w:r>
        <w:rPr>
          <w:sz w:val="24"/>
        </w:rPr>
        <w:t>scenarios</w:t>
      </w:r>
      <w:r>
        <w:rPr>
          <w:spacing w:val="-4"/>
          <w:sz w:val="24"/>
        </w:rPr>
        <w:t> </w:t>
      </w:r>
      <w:r>
        <w:rPr>
          <w:sz w:val="24"/>
        </w:rPr>
        <w:t>for</w:t>
      </w:r>
      <w:r>
        <w:rPr>
          <w:spacing w:val="-4"/>
          <w:sz w:val="24"/>
        </w:rPr>
        <w:t> </w:t>
      </w:r>
      <w:r>
        <w:rPr>
          <w:sz w:val="24"/>
        </w:rPr>
        <w:t>containment. </w:t>
      </w:r>
      <w:r>
        <w:rPr>
          <w:i/>
          <w:sz w:val="24"/>
        </w:rPr>
        <w:t>Nature Reviews Microbiology</w:t>
      </w:r>
      <w:r>
        <w:rPr>
          <w:sz w:val="24"/>
        </w:rPr>
        <w:t>, 8: 272-280.</w:t>
      </w:r>
    </w:p>
    <w:p>
      <w:pPr>
        <w:pStyle w:val="BodyText"/>
        <w:spacing w:before="139"/>
      </w:pPr>
    </w:p>
    <w:p>
      <w:pPr>
        <w:spacing w:line="360" w:lineRule="auto" w:before="1"/>
        <w:ind w:left="260" w:right="1425" w:firstLine="0"/>
        <w:jc w:val="both"/>
        <w:rPr>
          <w:sz w:val="24"/>
        </w:rPr>
      </w:pPr>
      <w:r>
        <w:rPr>
          <w:sz w:val="24"/>
        </w:rPr>
        <w:t>Dorsey,</w:t>
      </w:r>
      <w:r>
        <w:rPr>
          <w:spacing w:val="-2"/>
          <w:sz w:val="24"/>
        </w:rPr>
        <w:t> </w:t>
      </w:r>
      <w:r>
        <w:rPr>
          <w:sz w:val="24"/>
        </w:rPr>
        <w:t>G.,</w:t>
      </w:r>
      <w:r>
        <w:rPr>
          <w:spacing w:val="-2"/>
          <w:sz w:val="24"/>
        </w:rPr>
        <w:t> </w:t>
      </w:r>
      <w:r>
        <w:rPr>
          <w:sz w:val="24"/>
        </w:rPr>
        <w:t>Kamya,</w:t>
      </w:r>
      <w:r>
        <w:rPr>
          <w:spacing w:val="-2"/>
          <w:sz w:val="24"/>
        </w:rPr>
        <w:t> </w:t>
      </w:r>
      <w:r>
        <w:rPr>
          <w:sz w:val="24"/>
        </w:rPr>
        <w:t>M. R.,</w:t>
      </w:r>
      <w:r>
        <w:rPr>
          <w:spacing w:val="-2"/>
          <w:sz w:val="24"/>
        </w:rPr>
        <w:t> </w:t>
      </w:r>
      <w:r>
        <w:rPr>
          <w:sz w:val="24"/>
        </w:rPr>
        <w:t>Singh,</w:t>
      </w:r>
      <w:r>
        <w:rPr>
          <w:spacing w:val="-2"/>
          <w:sz w:val="24"/>
        </w:rPr>
        <w:t> </w:t>
      </w:r>
      <w:r>
        <w:rPr>
          <w:sz w:val="24"/>
        </w:rPr>
        <w:t>A.</w:t>
      </w:r>
      <w:r>
        <w:rPr>
          <w:spacing w:val="-2"/>
          <w:sz w:val="24"/>
        </w:rPr>
        <w:t> </w:t>
      </w:r>
      <w:r>
        <w:rPr>
          <w:sz w:val="24"/>
        </w:rPr>
        <w:t>and</w:t>
      </w:r>
      <w:r>
        <w:rPr>
          <w:spacing w:val="-2"/>
          <w:sz w:val="24"/>
        </w:rPr>
        <w:t> </w:t>
      </w:r>
      <w:r>
        <w:rPr>
          <w:sz w:val="24"/>
        </w:rPr>
        <w:t>Rosenthal,</w:t>
      </w:r>
      <w:r>
        <w:rPr>
          <w:spacing w:val="-2"/>
          <w:sz w:val="24"/>
        </w:rPr>
        <w:t> </w:t>
      </w:r>
      <w:r>
        <w:rPr>
          <w:sz w:val="24"/>
        </w:rPr>
        <w:t>P.</w:t>
      </w:r>
      <w:r>
        <w:rPr>
          <w:spacing w:val="-2"/>
          <w:sz w:val="24"/>
        </w:rPr>
        <w:t> </w:t>
      </w:r>
      <w:r>
        <w:rPr>
          <w:sz w:val="24"/>
        </w:rPr>
        <w:t>J.</w:t>
      </w:r>
      <w:r>
        <w:rPr>
          <w:spacing w:val="-2"/>
          <w:sz w:val="24"/>
        </w:rPr>
        <w:t> </w:t>
      </w:r>
      <w:r>
        <w:rPr>
          <w:sz w:val="24"/>
        </w:rPr>
        <w:t>(2001).</w:t>
      </w:r>
      <w:r>
        <w:rPr>
          <w:spacing w:val="-3"/>
          <w:sz w:val="24"/>
        </w:rPr>
        <w:t> </w:t>
      </w:r>
      <w:r>
        <w:rPr>
          <w:sz w:val="24"/>
        </w:rPr>
        <w:t>Polymorphisms</w:t>
      </w:r>
      <w:r>
        <w:rPr>
          <w:spacing w:val="-2"/>
          <w:sz w:val="24"/>
        </w:rPr>
        <w:t> </w:t>
      </w:r>
      <w:r>
        <w:rPr>
          <w:sz w:val="24"/>
        </w:rPr>
        <w:t>in</w:t>
      </w:r>
      <w:r>
        <w:rPr>
          <w:spacing w:val="-2"/>
          <w:sz w:val="24"/>
        </w:rPr>
        <w:t> </w:t>
      </w:r>
      <w:r>
        <w:rPr>
          <w:sz w:val="24"/>
        </w:rPr>
        <w:t>the </w:t>
      </w:r>
      <w:r>
        <w:rPr>
          <w:i/>
          <w:sz w:val="24"/>
        </w:rPr>
        <w:t>Plasmodium</w:t>
      </w:r>
      <w:r>
        <w:rPr>
          <w:i/>
          <w:spacing w:val="-4"/>
          <w:sz w:val="24"/>
        </w:rPr>
        <w:t> </w:t>
      </w:r>
      <w:r>
        <w:rPr>
          <w:i/>
          <w:sz w:val="24"/>
        </w:rPr>
        <w:t>falciparum</w:t>
      </w:r>
      <w:r>
        <w:rPr>
          <w:i/>
          <w:spacing w:val="-4"/>
          <w:sz w:val="24"/>
        </w:rPr>
        <w:t> </w:t>
      </w:r>
      <w:r>
        <w:rPr>
          <w:sz w:val="24"/>
        </w:rPr>
        <w:t>pfcrt</w:t>
      </w:r>
      <w:r>
        <w:rPr>
          <w:spacing w:val="-4"/>
          <w:sz w:val="24"/>
        </w:rPr>
        <w:t> </w:t>
      </w:r>
      <w:r>
        <w:rPr>
          <w:sz w:val="24"/>
        </w:rPr>
        <w:t>and</w:t>
      </w:r>
      <w:r>
        <w:rPr>
          <w:spacing w:val="-4"/>
          <w:sz w:val="24"/>
        </w:rPr>
        <w:t> </w:t>
      </w:r>
      <w:r>
        <w:rPr>
          <w:sz w:val="24"/>
        </w:rPr>
        <w:t>pfmdr-1</w:t>
      </w:r>
      <w:r>
        <w:rPr>
          <w:spacing w:val="-2"/>
          <w:sz w:val="24"/>
        </w:rPr>
        <w:t> </w:t>
      </w:r>
      <w:r>
        <w:rPr>
          <w:sz w:val="24"/>
        </w:rPr>
        <w:t>genes</w:t>
      </w:r>
      <w:r>
        <w:rPr>
          <w:spacing w:val="-2"/>
          <w:sz w:val="24"/>
        </w:rPr>
        <w:t> </w:t>
      </w:r>
      <w:r>
        <w:rPr>
          <w:sz w:val="24"/>
        </w:rPr>
        <w:t>and</w:t>
      </w:r>
      <w:r>
        <w:rPr>
          <w:spacing w:val="-4"/>
          <w:sz w:val="24"/>
        </w:rPr>
        <w:t> </w:t>
      </w:r>
      <w:r>
        <w:rPr>
          <w:sz w:val="24"/>
        </w:rPr>
        <w:t>clinical</w:t>
      </w:r>
      <w:r>
        <w:rPr>
          <w:spacing w:val="-4"/>
          <w:sz w:val="24"/>
        </w:rPr>
        <w:t> </w:t>
      </w:r>
      <w:r>
        <w:rPr>
          <w:sz w:val="24"/>
        </w:rPr>
        <w:t>response</w:t>
      </w:r>
      <w:r>
        <w:rPr>
          <w:spacing w:val="-5"/>
          <w:sz w:val="24"/>
        </w:rPr>
        <w:t> </w:t>
      </w:r>
      <w:r>
        <w:rPr>
          <w:sz w:val="24"/>
        </w:rPr>
        <w:t>to</w:t>
      </w:r>
      <w:r>
        <w:rPr>
          <w:spacing w:val="-4"/>
          <w:sz w:val="24"/>
        </w:rPr>
        <w:t> </w:t>
      </w:r>
      <w:r>
        <w:rPr>
          <w:sz w:val="24"/>
        </w:rPr>
        <w:t>chloroquine</w:t>
      </w:r>
      <w:r>
        <w:rPr>
          <w:spacing w:val="-5"/>
          <w:sz w:val="24"/>
        </w:rPr>
        <w:t> </w:t>
      </w:r>
      <w:r>
        <w:rPr>
          <w:sz w:val="24"/>
        </w:rPr>
        <w:t>in Kampala, Uganda. </w:t>
      </w:r>
      <w:r>
        <w:rPr>
          <w:i/>
          <w:sz w:val="24"/>
        </w:rPr>
        <w:t>Journal of Infectious Diseases</w:t>
      </w:r>
      <w:r>
        <w:rPr>
          <w:sz w:val="24"/>
        </w:rPr>
        <w:t>, 183: 1417-1420.</w:t>
      </w:r>
    </w:p>
    <w:p>
      <w:pPr>
        <w:pStyle w:val="BodyText"/>
        <w:spacing w:before="138"/>
      </w:pPr>
    </w:p>
    <w:p>
      <w:pPr>
        <w:pStyle w:val="BodyText"/>
        <w:spacing w:line="360" w:lineRule="auto"/>
        <w:ind w:left="260" w:right="855"/>
      </w:pPr>
      <w:r>
        <w:rPr/>
        <w:t>Falaki, A. A. (2012). Isolation and susceptibility of </w:t>
      </w:r>
      <w:r>
        <w:rPr>
          <w:i/>
        </w:rPr>
        <w:t>Plasmodium species </w:t>
      </w:r>
      <w:r>
        <w:rPr/>
        <w:t>from patients in Kano, Nigeria, to commonly prescribed antimalarial agents. Unpublished M.Sc Theis, Department</w:t>
      </w:r>
      <w:r>
        <w:rPr>
          <w:spacing w:val="-6"/>
        </w:rPr>
        <w:t> </w:t>
      </w:r>
      <w:r>
        <w:rPr/>
        <w:t>of</w:t>
      </w:r>
      <w:r>
        <w:rPr>
          <w:spacing w:val="-6"/>
        </w:rPr>
        <w:t> </w:t>
      </w:r>
      <w:r>
        <w:rPr/>
        <w:t>Pharmaceutics</w:t>
      </w:r>
      <w:r>
        <w:rPr>
          <w:spacing w:val="-6"/>
        </w:rPr>
        <w:t> </w:t>
      </w:r>
      <w:r>
        <w:rPr/>
        <w:t>and</w:t>
      </w:r>
      <w:r>
        <w:rPr>
          <w:spacing w:val="-7"/>
        </w:rPr>
        <w:t> </w:t>
      </w:r>
      <w:r>
        <w:rPr/>
        <w:t>Pharmaceutical</w:t>
      </w:r>
      <w:r>
        <w:rPr>
          <w:spacing w:val="-4"/>
        </w:rPr>
        <w:t> </w:t>
      </w:r>
      <w:r>
        <w:rPr/>
        <w:t>Microbiology,</w:t>
      </w:r>
      <w:r>
        <w:rPr>
          <w:spacing w:val="-6"/>
        </w:rPr>
        <w:t> </w:t>
      </w:r>
      <w:r>
        <w:rPr/>
        <w:t>Ahmadu</w:t>
      </w:r>
      <w:r>
        <w:rPr>
          <w:spacing w:val="-4"/>
        </w:rPr>
        <w:t> </w:t>
      </w:r>
      <w:r>
        <w:rPr/>
        <w:t>Bello</w:t>
      </w:r>
      <w:r>
        <w:rPr>
          <w:spacing w:val="-6"/>
        </w:rPr>
        <w:t> </w:t>
      </w:r>
      <w:r>
        <w:rPr/>
        <w:t>University, </w:t>
      </w:r>
      <w:r>
        <w:rPr>
          <w:spacing w:val="-2"/>
        </w:rPr>
        <w:t>Zaria.</w:t>
      </w:r>
    </w:p>
    <w:p>
      <w:pPr>
        <w:pStyle w:val="BodyText"/>
        <w:spacing w:before="137"/>
      </w:pPr>
    </w:p>
    <w:p>
      <w:pPr>
        <w:spacing w:line="360" w:lineRule="auto" w:before="0"/>
        <w:ind w:left="260" w:right="855" w:firstLine="0"/>
        <w:jc w:val="left"/>
        <w:rPr>
          <w:sz w:val="24"/>
        </w:rPr>
      </w:pPr>
      <w:r>
        <w:rPr>
          <w:sz w:val="24"/>
        </w:rPr>
        <w:t>Fevre, E. M., Barnish, G., Yamongul, P. and Rooney, W. (1999). Sensitivity </w:t>
      </w:r>
      <w:r>
        <w:rPr>
          <w:i/>
          <w:sz w:val="24"/>
        </w:rPr>
        <w:t>in vitro </w:t>
      </w:r>
      <w:r>
        <w:rPr>
          <w:sz w:val="24"/>
        </w:rPr>
        <w:t>of </w:t>
      </w:r>
      <w:r>
        <w:rPr>
          <w:i/>
          <w:sz w:val="24"/>
        </w:rPr>
        <w:t>Plasmodium</w:t>
      </w:r>
      <w:r>
        <w:rPr>
          <w:i/>
          <w:spacing w:val="-3"/>
          <w:sz w:val="24"/>
        </w:rPr>
        <w:t> </w:t>
      </w:r>
      <w:r>
        <w:rPr>
          <w:i/>
          <w:sz w:val="24"/>
        </w:rPr>
        <w:t>falciparum</w:t>
      </w:r>
      <w:r>
        <w:rPr>
          <w:i/>
          <w:spacing w:val="-3"/>
          <w:sz w:val="24"/>
        </w:rPr>
        <w:t> </w:t>
      </w:r>
      <w:r>
        <w:rPr>
          <w:sz w:val="24"/>
        </w:rPr>
        <w:t>to</w:t>
      </w:r>
      <w:r>
        <w:rPr>
          <w:spacing w:val="-3"/>
          <w:sz w:val="24"/>
        </w:rPr>
        <w:t> </w:t>
      </w:r>
      <w:r>
        <w:rPr>
          <w:sz w:val="24"/>
        </w:rPr>
        <w:t>three</w:t>
      </w:r>
      <w:r>
        <w:rPr>
          <w:spacing w:val="-4"/>
          <w:sz w:val="24"/>
        </w:rPr>
        <w:t> </w:t>
      </w:r>
      <w:r>
        <w:rPr>
          <w:sz w:val="24"/>
        </w:rPr>
        <w:t>currently</w:t>
      </w:r>
      <w:r>
        <w:rPr>
          <w:spacing w:val="-8"/>
          <w:sz w:val="24"/>
        </w:rPr>
        <w:t> </w:t>
      </w:r>
      <w:r>
        <w:rPr>
          <w:sz w:val="24"/>
        </w:rPr>
        <w:t>used</w:t>
      </w:r>
      <w:r>
        <w:rPr>
          <w:spacing w:val="-2"/>
          <w:sz w:val="24"/>
        </w:rPr>
        <w:t> </w:t>
      </w:r>
      <w:r>
        <w:rPr>
          <w:sz w:val="24"/>
        </w:rPr>
        <w:t>antimalarial</w:t>
      </w:r>
      <w:r>
        <w:rPr>
          <w:spacing w:val="-3"/>
          <w:sz w:val="24"/>
        </w:rPr>
        <w:t> </w:t>
      </w:r>
      <w:r>
        <w:rPr>
          <w:sz w:val="24"/>
        </w:rPr>
        <w:t>drugs</w:t>
      </w:r>
      <w:r>
        <w:rPr>
          <w:spacing w:val="-3"/>
          <w:sz w:val="24"/>
        </w:rPr>
        <w:t> </w:t>
      </w:r>
      <w:r>
        <w:rPr>
          <w:sz w:val="24"/>
        </w:rPr>
        <w:t>on</w:t>
      </w:r>
      <w:r>
        <w:rPr>
          <w:spacing w:val="-3"/>
          <w:sz w:val="24"/>
        </w:rPr>
        <w:t> </w:t>
      </w:r>
      <w:r>
        <w:rPr>
          <w:sz w:val="24"/>
        </w:rPr>
        <w:t>the</w:t>
      </w:r>
      <w:r>
        <w:rPr>
          <w:spacing w:val="-4"/>
          <w:sz w:val="24"/>
        </w:rPr>
        <w:t> </w:t>
      </w:r>
      <w:r>
        <w:rPr>
          <w:sz w:val="24"/>
        </w:rPr>
        <w:t>western</w:t>
      </w:r>
      <w:r>
        <w:rPr>
          <w:spacing w:val="-3"/>
          <w:sz w:val="24"/>
        </w:rPr>
        <w:t> </w:t>
      </w:r>
      <w:r>
        <w:rPr>
          <w:sz w:val="24"/>
        </w:rPr>
        <w:t>border</w:t>
      </w:r>
      <w:r>
        <w:rPr>
          <w:spacing w:val="-3"/>
          <w:sz w:val="24"/>
        </w:rPr>
        <w:t> </w:t>
      </w:r>
      <w:r>
        <w:rPr>
          <w:sz w:val="24"/>
        </w:rPr>
        <w:t>of Thailand. </w:t>
      </w:r>
      <w:r>
        <w:rPr>
          <w:i/>
          <w:sz w:val="24"/>
        </w:rPr>
        <w:t>Transactions of the Royal Society Tropical Medicine and Hygiene</w:t>
      </w:r>
      <w:r>
        <w:rPr>
          <w:sz w:val="24"/>
        </w:rPr>
        <w:t>, 93: 180-184.</w:t>
      </w:r>
    </w:p>
    <w:p>
      <w:pPr>
        <w:spacing w:after="0" w:line="360" w:lineRule="auto"/>
        <w:jc w:val="left"/>
        <w:rPr>
          <w:sz w:val="24"/>
        </w:rPr>
        <w:sectPr>
          <w:pgSz w:w="11910" w:h="16840"/>
          <w:pgMar w:header="0" w:footer="1254" w:top="1340" w:bottom="1440" w:left="1180" w:right="580"/>
        </w:sectPr>
      </w:pPr>
    </w:p>
    <w:p>
      <w:pPr>
        <w:pStyle w:val="BodyText"/>
        <w:spacing w:line="360" w:lineRule="auto" w:before="76"/>
        <w:ind w:left="260" w:right="855"/>
      </w:pPr>
      <w:r>
        <w:rPr/>
        <w:t>Fidock, D. A., Nomura, T., Cooper, R. A., Su, X., Talley, A. K. and Wellems, T. E. (2000). Allelic</w:t>
      </w:r>
      <w:r>
        <w:rPr>
          <w:spacing w:val="-3"/>
        </w:rPr>
        <w:t> </w:t>
      </w:r>
      <w:r>
        <w:rPr/>
        <w:t>modifications</w:t>
      </w:r>
      <w:r>
        <w:rPr>
          <w:spacing w:val="-3"/>
        </w:rPr>
        <w:t> </w:t>
      </w:r>
      <w:r>
        <w:rPr/>
        <w:t>of</w:t>
      </w:r>
      <w:r>
        <w:rPr>
          <w:spacing w:val="-3"/>
        </w:rPr>
        <w:t> </w:t>
      </w:r>
      <w:r>
        <w:rPr/>
        <w:t>the</w:t>
      </w:r>
      <w:r>
        <w:rPr>
          <w:spacing w:val="-4"/>
        </w:rPr>
        <w:t> </w:t>
      </w:r>
      <w:r>
        <w:rPr/>
        <w:t>cg2</w:t>
      </w:r>
      <w:r>
        <w:rPr>
          <w:spacing w:val="-3"/>
        </w:rPr>
        <w:t> </w:t>
      </w:r>
      <w:r>
        <w:rPr/>
        <w:t>and</w:t>
      </w:r>
      <w:r>
        <w:rPr>
          <w:spacing w:val="-1"/>
        </w:rPr>
        <w:t> </w:t>
      </w:r>
      <w:r>
        <w:rPr/>
        <w:t>cg1</w:t>
      </w:r>
      <w:r>
        <w:rPr>
          <w:spacing w:val="-1"/>
        </w:rPr>
        <w:t> </w:t>
      </w:r>
      <w:r>
        <w:rPr/>
        <w:t>genes</w:t>
      </w:r>
      <w:r>
        <w:rPr>
          <w:spacing w:val="-3"/>
        </w:rPr>
        <w:t> </w:t>
      </w:r>
      <w:r>
        <w:rPr/>
        <w:t>do</w:t>
      </w:r>
      <w:r>
        <w:rPr>
          <w:spacing w:val="-1"/>
        </w:rPr>
        <w:t> </w:t>
      </w:r>
      <w:r>
        <w:rPr/>
        <w:t>not</w:t>
      </w:r>
      <w:r>
        <w:rPr>
          <w:spacing w:val="-3"/>
        </w:rPr>
        <w:t> </w:t>
      </w:r>
      <w:r>
        <w:rPr/>
        <w:t>alter</w:t>
      </w:r>
      <w:r>
        <w:rPr>
          <w:spacing w:val="-5"/>
        </w:rPr>
        <w:t> </w:t>
      </w:r>
      <w:r>
        <w:rPr/>
        <w:t>the</w:t>
      </w:r>
      <w:r>
        <w:rPr>
          <w:spacing w:val="-3"/>
        </w:rPr>
        <w:t> </w:t>
      </w:r>
      <w:r>
        <w:rPr/>
        <w:t>chloroquine</w:t>
      </w:r>
      <w:r>
        <w:rPr>
          <w:spacing w:val="-2"/>
        </w:rPr>
        <w:t> </w:t>
      </w:r>
      <w:r>
        <w:rPr/>
        <w:t>response</w:t>
      </w:r>
      <w:r>
        <w:rPr>
          <w:spacing w:val="-3"/>
        </w:rPr>
        <w:t> </w:t>
      </w:r>
      <w:r>
        <w:rPr/>
        <w:t>of</w:t>
      </w:r>
      <w:r>
        <w:rPr>
          <w:spacing w:val="-5"/>
        </w:rPr>
        <w:t> </w:t>
      </w:r>
      <w:r>
        <w:rPr/>
        <w:t>drug- resistant Plasmodium falciparum. </w:t>
      </w:r>
      <w:r>
        <w:rPr>
          <w:i/>
        </w:rPr>
        <w:t>Molecular Biochemistry and Parasitology</w:t>
      </w:r>
      <w:r>
        <w:rPr/>
        <w:t>, 110: 1-10.</w:t>
      </w:r>
    </w:p>
    <w:p>
      <w:pPr>
        <w:pStyle w:val="BodyText"/>
        <w:spacing w:before="138"/>
      </w:pPr>
    </w:p>
    <w:p>
      <w:pPr>
        <w:spacing w:line="360" w:lineRule="auto" w:before="0"/>
        <w:ind w:left="260" w:right="855" w:firstLine="0"/>
        <w:jc w:val="left"/>
        <w:rPr>
          <w:sz w:val="24"/>
        </w:rPr>
      </w:pPr>
      <w:r>
        <w:rPr>
          <w:sz w:val="24"/>
        </w:rPr>
        <w:t>Fitch, C. D. (1973). Chloroquine-Resistant </w:t>
      </w:r>
      <w:r>
        <w:rPr>
          <w:i/>
          <w:sz w:val="24"/>
        </w:rPr>
        <w:t>Plasmodium falciparum</w:t>
      </w:r>
      <w:r>
        <w:rPr>
          <w:sz w:val="24"/>
        </w:rPr>
        <w:t>: Difference in the handling</w:t>
      </w:r>
      <w:r>
        <w:rPr>
          <w:spacing w:val="-7"/>
          <w:sz w:val="24"/>
        </w:rPr>
        <w:t> </w:t>
      </w:r>
      <w:r>
        <w:rPr>
          <w:sz w:val="24"/>
        </w:rPr>
        <w:t>of</w:t>
      </w:r>
      <w:r>
        <w:rPr>
          <w:spacing w:val="40"/>
          <w:sz w:val="24"/>
        </w:rPr>
        <w:t> </w:t>
      </w:r>
      <w:r>
        <w:rPr>
          <w:sz w:val="24"/>
          <w:vertAlign w:val="superscript"/>
        </w:rPr>
        <w:t>14</w:t>
      </w:r>
      <w:r>
        <w:rPr>
          <w:sz w:val="24"/>
          <w:vertAlign w:val="baseline"/>
        </w:rPr>
        <w:t>C-Amodiaquin</w:t>
      </w:r>
      <w:r>
        <w:rPr>
          <w:spacing w:val="-4"/>
          <w:sz w:val="24"/>
          <w:vertAlign w:val="baseline"/>
        </w:rPr>
        <w:t> </w:t>
      </w:r>
      <w:r>
        <w:rPr>
          <w:sz w:val="24"/>
          <w:vertAlign w:val="baseline"/>
        </w:rPr>
        <w:t>and</w:t>
      </w:r>
      <w:r>
        <w:rPr>
          <w:spacing w:val="-4"/>
          <w:sz w:val="24"/>
          <w:vertAlign w:val="baseline"/>
        </w:rPr>
        <w:t> </w:t>
      </w:r>
      <w:r>
        <w:rPr>
          <w:sz w:val="24"/>
          <w:vertAlign w:val="superscript"/>
        </w:rPr>
        <w:t>14</w:t>
      </w:r>
      <w:r>
        <w:rPr>
          <w:sz w:val="24"/>
          <w:vertAlign w:val="baseline"/>
        </w:rPr>
        <w:t>C-Chloroquine.</w:t>
      </w:r>
      <w:r>
        <w:rPr>
          <w:spacing w:val="-4"/>
          <w:sz w:val="24"/>
          <w:vertAlign w:val="baseline"/>
        </w:rPr>
        <w:t> </w:t>
      </w:r>
      <w:r>
        <w:rPr>
          <w:i/>
          <w:sz w:val="24"/>
          <w:vertAlign w:val="baseline"/>
        </w:rPr>
        <w:t>Antimicrobial</w:t>
      </w:r>
      <w:r>
        <w:rPr>
          <w:i/>
          <w:spacing w:val="-3"/>
          <w:sz w:val="24"/>
          <w:vertAlign w:val="baseline"/>
        </w:rPr>
        <w:t> </w:t>
      </w:r>
      <w:r>
        <w:rPr>
          <w:i/>
          <w:sz w:val="24"/>
          <w:vertAlign w:val="baseline"/>
        </w:rPr>
        <w:t>Agents</w:t>
      </w:r>
      <w:r>
        <w:rPr>
          <w:i/>
          <w:spacing w:val="-4"/>
          <w:sz w:val="24"/>
          <w:vertAlign w:val="baseline"/>
        </w:rPr>
        <w:t> </w:t>
      </w:r>
      <w:r>
        <w:rPr>
          <w:i/>
          <w:sz w:val="24"/>
          <w:vertAlign w:val="baseline"/>
        </w:rPr>
        <w:t>and</w:t>
      </w:r>
      <w:r>
        <w:rPr>
          <w:i/>
          <w:spacing w:val="-4"/>
          <w:sz w:val="24"/>
          <w:vertAlign w:val="baseline"/>
        </w:rPr>
        <w:t> </w:t>
      </w:r>
      <w:r>
        <w:rPr>
          <w:i/>
          <w:sz w:val="24"/>
          <w:vertAlign w:val="baseline"/>
        </w:rPr>
        <w:t>Chemotherapy</w:t>
      </w:r>
      <w:r>
        <w:rPr>
          <w:sz w:val="24"/>
          <w:vertAlign w:val="baseline"/>
        </w:rPr>
        <w:t>, 3 (5): 545-54.</w:t>
      </w:r>
    </w:p>
    <w:p>
      <w:pPr>
        <w:pStyle w:val="BodyText"/>
        <w:spacing w:before="139"/>
      </w:pPr>
    </w:p>
    <w:p>
      <w:pPr>
        <w:pStyle w:val="BodyText"/>
        <w:spacing w:line="360" w:lineRule="auto"/>
        <w:ind w:left="260" w:right="971"/>
      </w:pPr>
      <w:r>
        <w:rPr/>
        <w:t>Folarin, O. A., Gbotosho, G. O., Sowunmi, A., Olorunsogo, O. O., Oduola, A. M. J. and Happ,</w:t>
      </w:r>
      <w:r>
        <w:rPr>
          <w:spacing w:val="-4"/>
        </w:rPr>
        <w:t> </w:t>
      </w:r>
      <w:r>
        <w:rPr/>
        <w:t>T.</w:t>
      </w:r>
      <w:r>
        <w:rPr>
          <w:spacing w:val="-4"/>
        </w:rPr>
        <w:t> </w:t>
      </w:r>
      <w:r>
        <w:rPr/>
        <w:t>C.</w:t>
      </w:r>
      <w:r>
        <w:rPr>
          <w:spacing w:val="-4"/>
        </w:rPr>
        <w:t> </w:t>
      </w:r>
      <w:r>
        <w:rPr/>
        <w:t>(2008).</w:t>
      </w:r>
      <w:r>
        <w:rPr>
          <w:spacing w:val="-4"/>
        </w:rPr>
        <w:t> </w:t>
      </w:r>
      <w:r>
        <w:rPr/>
        <w:t>Chloroquine</w:t>
      </w:r>
      <w:r>
        <w:rPr>
          <w:spacing w:val="-5"/>
        </w:rPr>
        <w:t> </w:t>
      </w:r>
      <w:r>
        <w:rPr/>
        <w:t>Resistant</w:t>
      </w:r>
      <w:r>
        <w:rPr>
          <w:spacing w:val="-3"/>
        </w:rPr>
        <w:t> </w:t>
      </w:r>
      <w:r>
        <w:rPr>
          <w:i/>
        </w:rPr>
        <w:t>Plasmodium</w:t>
      </w:r>
      <w:r>
        <w:rPr>
          <w:i/>
          <w:spacing w:val="-4"/>
        </w:rPr>
        <w:t> </w:t>
      </w:r>
      <w:r>
        <w:rPr>
          <w:i/>
        </w:rPr>
        <w:t>falciparum</w:t>
      </w:r>
      <w:r>
        <w:rPr>
          <w:i/>
          <w:spacing w:val="-4"/>
        </w:rPr>
        <w:t> </w:t>
      </w:r>
      <w:r>
        <w:rPr/>
        <w:t>in</w:t>
      </w:r>
      <w:r>
        <w:rPr>
          <w:spacing w:val="-4"/>
        </w:rPr>
        <w:t> </w:t>
      </w:r>
      <w:r>
        <w:rPr/>
        <w:t>Nigeria:</w:t>
      </w:r>
      <w:r>
        <w:rPr>
          <w:spacing w:val="-4"/>
        </w:rPr>
        <w:t> </w:t>
      </w:r>
      <w:r>
        <w:rPr/>
        <w:t>Relationship between pfcrt and pfmdr1 Polymorphisms, In-Vitro Resistance and Treatment Outcome.</w:t>
      </w:r>
    </w:p>
    <w:p>
      <w:pPr>
        <w:spacing w:line="275" w:lineRule="exact" w:before="0"/>
        <w:ind w:left="260" w:right="0" w:firstLine="0"/>
        <w:jc w:val="left"/>
        <w:rPr>
          <w:sz w:val="24"/>
        </w:rPr>
      </w:pPr>
      <w:r>
        <w:rPr>
          <w:i/>
          <w:sz w:val="24"/>
        </w:rPr>
        <w:t>Open</w:t>
      </w:r>
      <w:r>
        <w:rPr>
          <w:i/>
          <w:spacing w:val="-2"/>
          <w:sz w:val="24"/>
        </w:rPr>
        <w:t> </w:t>
      </w:r>
      <w:r>
        <w:rPr>
          <w:i/>
          <w:sz w:val="24"/>
        </w:rPr>
        <w:t>Tropical</w:t>
      </w:r>
      <w:r>
        <w:rPr>
          <w:i/>
          <w:spacing w:val="-1"/>
          <w:sz w:val="24"/>
        </w:rPr>
        <w:t> </w:t>
      </w:r>
      <w:r>
        <w:rPr>
          <w:i/>
          <w:sz w:val="24"/>
        </w:rPr>
        <w:t>Medicine</w:t>
      </w:r>
      <w:r>
        <w:rPr>
          <w:i/>
          <w:spacing w:val="1"/>
          <w:sz w:val="24"/>
        </w:rPr>
        <w:t> </w:t>
      </w:r>
      <w:r>
        <w:rPr>
          <w:i/>
          <w:sz w:val="24"/>
        </w:rPr>
        <w:t>Journal</w:t>
      </w:r>
      <w:r>
        <w:rPr>
          <w:sz w:val="24"/>
        </w:rPr>
        <w:t>,</w:t>
      </w:r>
      <w:r>
        <w:rPr>
          <w:spacing w:val="-1"/>
          <w:sz w:val="24"/>
        </w:rPr>
        <w:t> </w:t>
      </w:r>
      <w:r>
        <w:rPr>
          <w:sz w:val="24"/>
        </w:rPr>
        <w:t>1:</w:t>
      </w:r>
      <w:r>
        <w:rPr>
          <w:spacing w:val="-1"/>
          <w:sz w:val="24"/>
        </w:rPr>
        <w:t> </w:t>
      </w:r>
      <w:r>
        <w:rPr>
          <w:spacing w:val="-2"/>
          <w:sz w:val="24"/>
        </w:rPr>
        <w:t>74–82.</w:t>
      </w:r>
    </w:p>
    <w:p>
      <w:pPr>
        <w:pStyle w:val="BodyText"/>
      </w:pPr>
    </w:p>
    <w:p>
      <w:pPr>
        <w:pStyle w:val="BodyText"/>
      </w:pPr>
    </w:p>
    <w:p>
      <w:pPr>
        <w:spacing w:line="360" w:lineRule="auto" w:before="0"/>
        <w:ind w:left="260" w:right="855" w:firstLine="0"/>
        <w:jc w:val="left"/>
        <w:rPr>
          <w:sz w:val="24"/>
        </w:rPr>
      </w:pPr>
      <w:r>
        <w:rPr>
          <w:sz w:val="24"/>
        </w:rPr>
        <w:t>Gallup,</w:t>
      </w:r>
      <w:r>
        <w:rPr>
          <w:spacing w:val="20"/>
          <w:sz w:val="24"/>
        </w:rPr>
        <w:t> </w:t>
      </w:r>
      <w:r>
        <w:rPr>
          <w:sz w:val="24"/>
        </w:rPr>
        <w:t>J. L.</w:t>
      </w:r>
      <w:r>
        <w:rPr>
          <w:spacing w:val="20"/>
          <w:sz w:val="24"/>
        </w:rPr>
        <w:t> </w:t>
      </w:r>
      <w:r>
        <w:rPr>
          <w:sz w:val="24"/>
        </w:rPr>
        <w:t>and</w:t>
      </w:r>
      <w:r>
        <w:rPr>
          <w:spacing w:val="20"/>
          <w:sz w:val="24"/>
        </w:rPr>
        <w:t> </w:t>
      </w:r>
      <w:r>
        <w:rPr>
          <w:sz w:val="24"/>
        </w:rPr>
        <w:t>Sachs,</w:t>
      </w:r>
      <w:r>
        <w:rPr>
          <w:spacing w:val="21"/>
          <w:sz w:val="24"/>
        </w:rPr>
        <w:t> </w:t>
      </w:r>
      <w:r>
        <w:rPr>
          <w:sz w:val="24"/>
        </w:rPr>
        <w:t>J. D,</w:t>
      </w:r>
      <w:r>
        <w:rPr>
          <w:spacing w:val="20"/>
          <w:sz w:val="24"/>
        </w:rPr>
        <w:t> </w:t>
      </w:r>
      <w:r>
        <w:rPr>
          <w:sz w:val="24"/>
        </w:rPr>
        <w:t>2001.</w:t>
      </w:r>
      <w:r>
        <w:rPr>
          <w:spacing w:val="24"/>
          <w:sz w:val="24"/>
        </w:rPr>
        <w:t> </w:t>
      </w:r>
      <w:r>
        <w:rPr>
          <w:sz w:val="24"/>
        </w:rPr>
        <w:t>The economic</w:t>
      </w:r>
      <w:r>
        <w:rPr>
          <w:spacing w:val="20"/>
          <w:sz w:val="24"/>
        </w:rPr>
        <w:t> </w:t>
      </w:r>
      <w:r>
        <w:rPr>
          <w:sz w:val="24"/>
        </w:rPr>
        <w:t>burden</w:t>
      </w:r>
      <w:r>
        <w:rPr>
          <w:spacing w:val="20"/>
          <w:sz w:val="24"/>
        </w:rPr>
        <w:t> </w:t>
      </w:r>
      <w:r>
        <w:rPr>
          <w:sz w:val="24"/>
        </w:rPr>
        <w:t>of</w:t>
      </w:r>
      <w:r>
        <w:rPr>
          <w:spacing w:val="20"/>
          <w:sz w:val="24"/>
        </w:rPr>
        <w:t> </w:t>
      </w:r>
      <w:r>
        <w:rPr>
          <w:sz w:val="24"/>
        </w:rPr>
        <w:t>malaria.</w:t>
      </w:r>
      <w:r>
        <w:rPr>
          <w:spacing w:val="23"/>
          <w:sz w:val="24"/>
        </w:rPr>
        <w:t> </w:t>
      </w:r>
      <w:r>
        <w:rPr>
          <w:i/>
          <w:sz w:val="24"/>
        </w:rPr>
        <w:t>American</w:t>
      </w:r>
      <w:r>
        <w:rPr>
          <w:i/>
          <w:spacing w:val="20"/>
          <w:sz w:val="24"/>
        </w:rPr>
        <w:t> </w:t>
      </w:r>
      <w:r>
        <w:rPr>
          <w:i/>
          <w:sz w:val="24"/>
        </w:rPr>
        <w:t>Journal</w:t>
      </w:r>
      <w:r>
        <w:rPr>
          <w:i/>
          <w:spacing w:val="21"/>
          <w:sz w:val="24"/>
        </w:rPr>
        <w:t> </w:t>
      </w:r>
      <w:r>
        <w:rPr>
          <w:i/>
          <w:sz w:val="24"/>
        </w:rPr>
        <w:t>of Tropical Medicine and Hygiene</w:t>
      </w:r>
      <w:r>
        <w:rPr>
          <w:sz w:val="24"/>
        </w:rPr>
        <w:t>, 64 (Suppl 1 – 2): 85 – 96.</w:t>
      </w:r>
    </w:p>
    <w:p>
      <w:pPr>
        <w:pStyle w:val="BodyText"/>
        <w:spacing w:before="139"/>
      </w:pPr>
    </w:p>
    <w:p>
      <w:pPr>
        <w:spacing w:line="360" w:lineRule="auto" w:before="1"/>
        <w:ind w:left="260" w:right="855" w:firstLine="0"/>
        <w:jc w:val="left"/>
        <w:rPr>
          <w:sz w:val="24"/>
        </w:rPr>
      </w:pPr>
      <w:r>
        <w:rPr>
          <w:sz w:val="24"/>
        </w:rPr>
        <w:t>Gwatkin, D. R. and Guillot, M. (2000). </w:t>
      </w:r>
      <w:r>
        <w:rPr>
          <w:i/>
          <w:sz w:val="24"/>
        </w:rPr>
        <w:t>The Burden of Disease among the Global Poor: Current</w:t>
      </w:r>
      <w:r>
        <w:rPr>
          <w:i/>
          <w:spacing w:val="-3"/>
          <w:sz w:val="24"/>
        </w:rPr>
        <w:t> </w:t>
      </w:r>
      <w:r>
        <w:rPr>
          <w:i/>
          <w:sz w:val="24"/>
        </w:rPr>
        <w:t>Situation,</w:t>
      </w:r>
      <w:r>
        <w:rPr>
          <w:i/>
          <w:spacing w:val="-3"/>
          <w:sz w:val="24"/>
        </w:rPr>
        <w:t> </w:t>
      </w:r>
      <w:r>
        <w:rPr>
          <w:i/>
          <w:sz w:val="24"/>
        </w:rPr>
        <w:t>Future</w:t>
      </w:r>
      <w:r>
        <w:rPr>
          <w:i/>
          <w:spacing w:val="-4"/>
          <w:sz w:val="24"/>
        </w:rPr>
        <w:t> </w:t>
      </w:r>
      <w:r>
        <w:rPr>
          <w:i/>
          <w:sz w:val="24"/>
        </w:rPr>
        <w:t>Trends,</w:t>
      </w:r>
      <w:r>
        <w:rPr>
          <w:i/>
          <w:spacing w:val="-3"/>
          <w:sz w:val="24"/>
        </w:rPr>
        <w:t> </w:t>
      </w:r>
      <w:r>
        <w:rPr>
          <w:i/>
          <w:sz w:val="24"/>
        </w:rPr>
        <w:t>and</w:t>
      </w:r>
      <w:r>
        <w:rPr>
          <w:i/>
          <w:spacing w:val="-3"/>
          <w:sz w:val="24"/>
        </w:rPr>
        <w:t> </w:t>
      </w:r>
      <w:r>
        <w:rPr>
          <w:i/>
          <w:sz w:val="24"/>
        </w:rPr>
        <w:t>Implications</w:t>
      </w:r>
      <w:r>
        <w:rPr>
          <w:i/>
          <w:spacing w:val="-3"/>
          <w:sz w:val="24"/>
        </w:rPr>
        <w:t> </w:t>
      </w:r>
      <w:r>
        <w:rPr>
          <w:i/>
          <w:sz w:val="24"/>
        </w:rPr>
        <w:t>for</w:t>
      </w:r>
      <w:r>
        <w:rPr>
          <w:i/>
          <w:spacing w:val="-3"/>
          <w:sz w:val="24"/>
        </w:rPr>
        <w:t> </w:t>
      </w:r>
      <w:r>
        <w:rPr>
          <w:i/>
          <w:sz w:val="24"/>
        </w:rPr>
        <w:t>Strategy</w:t>
      </w:r>
      <w:r>
        <w:rPr>
          <w:sz w:val="24"/>
        </w:rPr>
        <w:t>.</w:t>
      </w:r>
      <w:r>
        <w:rPr>
          <w:spacing w:val="-3"/>
          <w:sz w:val="24"/>
        </w:rPr>
        <w:t> </w:t>
      </w:r>
      <w:r>
        <w:rPr>
          <w:sz w:val="24"/>
        </w:rPr>
        <w:t>Global</w:t>
      </w:r>
      <w:r>
        <w:rPr>
          <w:spacing w:val="-3"/>
          <w:sz w:val="24"/>
        </w:rPr>
        <w:t> </w:t>
      </w:r>
      <w:r>
        <w:rPr>
          <w:sz w:val="24"/>
        </w:rPr>
        <w:t>Forum</w:t>
      </w:r>
      <w:r>
        <w:rPr>
          <w:spacing w:val="-3"/>
          <w:sz w:val="24"/>
        </w:rPr>
        <w:t> </w:t>
      </w:r>
      <w:r>
        <w:rPr>
          <w:sz w:val="24"/>
        </w:rPr>
        <w:t>for</w:t>
      </w:r>
      <w:r>
        <w:rPr>
          <w:spacing w:val="-4"/>
          <w:sz w:val="24"/>
        </w:rPr>
        <w:t> </w:t>
      </w:r>
      <w:r>
        <w:rPr>
          <w:sz w:val="24"/>
        </w:rPr>
        <w:t>Health Research Publications. Geneva, The World Bank.</w:t>
      </w:r>
    </w:p>
    <w:p>
      <w:pPr>
        <w:pStyle w:val="BodyText"/>
        <w:spacing w:before="138"/>
      </w:pPr>
    </w:p>
    <w:p>
      <w:pPr>
        <w:pStyle w:val="BodyText"/>
        <w:spacing w:line="360" w:lineRule="auto"/>
        <w:ind w:left="260" w:right="855"/>
        <w:jc w:val="both"/>
      </w:pPr>
      <w:r>
        <w:rPr/>
        <w:t>Gwatkin, D. R., Rutstein, S., Johnson, K., Pande, R. P. and Wagstaff, A. (2000). Socio- economic differences on health, nutrition, and population</w:t>
      </w:r>
      <w:r>
        <w:rPr>
          <w:b/>
        </w:rPr>
        <w:t>. </w:t>
      </w:r>
      <w:r>
        <w:rPr>
          <w:u w:val="single"/>
        </w:rPr>
        <w:t>In:</w:t>
      </w:r>
      <w:r>
        <w:rPr/>
        <w:t> </w:t>
      </w:r>
      <w:r>
        <w:rPr>
          <w:i/>
        </w:rPr>
        <w:t>HNP/Poverty Thematic Group</w:t>
      </w:r>
      <w:r>
        <w:rPr/>
        <w:t>. Washington DC: World Bank.</w:t>
      </w:r>
    </w:p>
    <w:p>
      <w:pPr>
        <w:pStyle w:val="BodyText"/>
        <w:spacing w:before="138"/>
      </w:pPr>
    </w:p>
    <w:p>
      <w:pPr>
        <w:pStyle w:val="BodyText"/>
        <w:spacing w:line="360" w:lineRule="auto" w:before="1"/>
        <w:ind w:left="260" w:right="855"/>
      </w:pPr>
      <w:r>
        <w:rPr/>
        <w:t>Haynes,</w:t>
      </w:r>
      <w:r>
        <w:rPr>
          <w:spacing w:val="-3"/>
        </w:rPr>
        <w:t> </w:t>
      </w:r>
      <w:r>
        <w:rPr/>
        <w:t>J.</w:t>
      </w:r>
      <w:r>
        <w:rPr>
          <w:spacing w:val="-3"/>
        </w:rPr>
        <w:t> </w:t>
      </w:r>
      <w:r>
        <w:rPr/>
        <w:t>D.,</w:t>
      </w:r>
      <w:r>
        <w:rPr>
          <w:spacing w:val="-3"/>
        </w:rPr>
        <w:t> </w:t>
      </w:r>
      <w:r>
        <w:rPr/>
        <w:t>Diggs,</w:t>
      </w:r>
      <w:r>
        <w:rPr>
          <w:spacing w:val="-3"/>
        </w:rPr>
        <w:t> </w:t>
      </w:r>
      <w:r>
        <w:rPr/>
        <w:t>C.</w:t>
      </w:r>
      <w:r>
        <w:rPr>
          <w:spacing w:val="-1"/>
        </w:rPr>
        <w:t> </w:t>
      </w:r>
      <w:r>
        <w:rPr/>
        <w:t>L.,</w:t>
      </w:r>
      <w:r>
        <w:rPr>
          <w:spacing w:val="-3"/>
        </w:rPr>
        <w:t> </w:t>
      </w:r>
      <w:r>
        <w:rPr/>
        <w:t>Hines,</w:t>
      </w:r>
      <w:r>
        <w:rPr>
          <w:spacing w:val="-1"/>
        </w:rPr>
        <w:t> </w:t>
      </w:r>
      <w:r>
        <w:rPr/>
        <w:t>F.</w:t>
      </w:r>
      <w:r>
        <w:rPr>
          <w:spacing w:val="-3"/>
        </w:rPr>
        <w:t> </w:t>
      </w:r>
      <w:r>
        <w:rPr/>
        <w:t>A.</w:t>
      </w:r>
      <w:r>
        <w:rPr>
          <w:spacing w:val="-2"/>
        </w:rPr>
        <w:t> </w:t>
      </w:r>
      <w:r>
        <w:rPr/>
        <w:t>and</w:t>
      </w:r>
      <w:r>
        <w:rPr>
          <w:spacing w:val="-3"/>
        </w:rPr>
        <w:t> </w:t>
      </w:r>
      <w:r>
        <w:rPr/>
        <w:t>Desjardings,</w:t>
      </w:r>
      <w:r>
        <w:rPr>
          <w:spacing w:val="-3"/>
        </w:rPr>
        <w:t> </w:t>
      </w:r>
      <w:r>
        <w:rPr/>
        <w:t>R.</w:t>
      </w:r>
      <w:r>
        <w:rPr>
          <w:spacing w:val="-3"/>
        </w:rPr>
        <w:t> </w:t>
      </w:r>
      <w:r>
        <w:rPr/>
        <w:t>E.</w:t>
      </w:r>
      <w:r>
        <w:rPr>
          <w:spacing w:val="-2"/>
        </w:rPr>
        <w:t> </w:t>
      </w:r>
      <w:r>
        <w:rPr/>
        <w:t>(1976).</w:t>
      </w:r>
      <w:r>
        <w:rPr>
          <w:spacing w:val="-1"/>
        </w:rPr>
        <w:t> </w:t>
      </w:r>
      <w:r>
        <w:rPr/>
        <w:t>Culture</w:t>
      </w:r>
      <w:r>
        <w:rPr>
          <w:spacing w:val="-4"/>
        </w:rPr>
        <w:t> </w:t>
      </w:r>
      <w:r>
        <w:rPr/>
        <w:t>of</w:t>
      </w:r>
      <w:r>
        <w:rPr>
          <w:spacing w:val="-3"/>
        </w:rPr>
        <w:t> </w:t>
      </w:r>
      <w:r>
        <w:rPr/>
        <w:t>human malaria parasites </w:t>
      </w:r>
      <w:r>
        <w:rPr>
          <w:i/>
        </w:rPr>
        <w:t>Plasmodium falciparum. Nature </w:t>
      </w:r>
      <w:r>
        <w:rPr/>
        <w:t>263, 767 - 769</w:t>
      </w:r>
    </w:p>
    <w:p>
      <w:pPr>
        <w:pStyle w:val="BodyText"/>
        <w:spacing w:before="136"/>
      </w:pPr>
    </w:p>
    <w:p>
      <w:pPr>
        <w:pStyle w:val="BodyText"/>
        <w:spacing w:line="360" w:lineRule="auto"/>
        <w:ind w:left="260" w:right="843"/>
      </w:pPr>
      <w:r>
        <w:rPr/>
        <w:t>Jambou,</w:t>
      </w:r>
      <w:r>
        <w:rPr>
          <w:spacing w:val="-4"/>
        </w:rPr>
        <w:t> </w:t>
      </w:r>
      <w:r>
        <w:rPr/>
        <w:t>R.,</w:t>
      </w:r>
      <w:r>
        <w:rPr>
          <w:spacing w:val="-4"/>
        </w:rPr>
        <w:t> </w:t>
      </w:r>
      <w:r>
        <w:rPr/>
        <w:t>Legrand,</w:t>
      </w:r>
      <w:r>
        <w:rPr>
          <w:spacing w:val="-4"/>
        </w:rPr>
        <w:t> </w:t>
      </w:r>
      <w:r>
        <w:rPr/>
        <w:t>E.,</w:t>
      </w:r>
      <w:r>
        <w:rPr>
          <w:spacing w:val="-3"/>
        </w:rPr>
        <w:t> </w:t>
      </w:r>
      <w:r>
        <w:rPr/>
        <w:t>Niang,</w:t>
      </w:r>
      <w:r>
        <w:rPr>
          <w:spacing w:val="-4"/>
        </w:rPr>
        <w:t> </w:t>
      </w:r>
      <w:r>
        <w:rPr/>
        <w:t>M.,</w:t>
      </w:r>
      <w:r>
        <w:rPr>
          <w:spacing w:val="-2"/>
        </w:rPr>
        <w:t> </w:t>
      </w:r>
      <w:r>
        <w:rPr/>
        <w:t>Khim,</w:t>
      </w:r>
      <w:r>
        <w:rPr>
          <w:spacing w:val="-4"/>
        </w:rPr>
        <w:t> </w:t>
      </w:r>
      <w:r>
        <w:rPr/>
        <w:t>N.,</w:t>
      </w:r>
      <w:r>
        <w:rPr>
          <w:spacing w:val="-2"/>
        </w:rPr>
        <w:t> </w:t>
      </w:r>
      <w:r>
        <w:rPr/>
        <w:t>Lim,</w:t>
      </w:r>
      <w:r>
        <w:rPr>
          <w:spacing w:val="-4"/>
        </w:rPr>
        <w:t> </w:t>
      </w:r>
      <w:r>
        <w:rPr/>
        <w:t>P.,</w:t>
      </w:r>
      <w:r>
        <w:rPr>
          <w:spacing w:val="-4"/>
        </w:rPr>
        <w:t> </w:t>
      </w:r>
      <w:r>
        <w:rPr/>
        <w:t>Volney,</w:t>
      </w:r>
      <w:r>
        <w:rPr>
          <w:spacing w:val="-2"/>
        </w:rPr>
        <w:t> </w:t>
      </w:r>
      <w:r>
        <w:rPr/>
        <w:t>B.,</w:t>
      </w:r>
      <w:r>
        <w:rPr>
          <w:spacing w:val="-4"/>
        </w:rPr>
        <w:t> </w:t>
      </w:r>
      <w:r>
        <w:rPr/>
        <w:t>Ekala,</w:t>
      </w:r>
      <w:r>
        <w:rPr>
          <w:spacing w:val="-3"/>
        </w:rPr>
        <w:t> </w:t>
      </w:r>
      <w:r>
        <w:rPr/>
        <w:t>M.</w:t>
      </w:r>
      <w:r>
        <w:rPr>
          <w:spacing w:val="-4"/>
        </w:rPr>
        <w:t> </w:t>
      </w:r>
      <w:r>
        <w:rPr/>
        <w:t>T.,</w:t>
      </w:r>
      <w:r>
        <w:rPr>
          <w:spacing w:val="-4"/>
        </w:rPr>
        <w:t> </w:t>
      </w:r>
      <w:r>
        <w:rPr/>
        <w:t>Bouchier, C., Esterre, P., Fandeur, T. and Mercereau-Puijalon, O. (2005). Resistance of </w:t>
      </w:r>
      <w:r>
        <w:rPr>
          <w:i/>
        </w:rPr>
        <w:t>Plasmodium falciparum </w:t>
      </w:r>
      <w:r>
        <w:rPr/>
        <w:t>field isolates to in vitro artemether and point mutations of the SERCA-type PfATPase 6.</w:t>
      </w:r>
      <w:r>
        <w:rPr>
          <w:spacing w:val="40"/>
        </w:rPr>
        <w:t> </w:t>
      </w:r>
      <w:r>
        <w:rPr>
          <w:i/>
        </w:rPr>
        <w:t>Lancert</w:t>
      </w:r>
      <w:r>
        <w:rPr/>
        <w:t>, 366: 1960-1963.</w:t>
      </w:r>
    </w:p>
    <w:p>
      <w:pPr>
        <w:spacing w:after="0" w:line="360" w:lineRule="auto"/>
        <w:sectPr>
          <w:pgSz w:w="11910" w:h="16840"/>
          <w:pgMar w:header="0" w:footer="1254" w:top="1340" w:bottom="1440" w:left="1180" w:right="580"/>
        </w:sectPr>
      </w:pPr>
    </w:p>
    <w:p>
      <w:pPr>
        <w:spacing w:line="360" w:lineRule="auto" w:before="76"/>
        <w:ind w:left="260" w:right="855" w:firstLine="0"/>
        <w:jc w:val="left"/>
        <w:rPr>
          <w:sz w:val="24"/>
        </w:rPr>
      </w:pPr>
      <w:r>
        <w:rPr>
          <w:sz w:val="24"/>
        </w:rPr>
        <w:t>Kaur, K., Jain, M., Reddy, R. P. and Ja, R. (2010). Quinolines and structurally related heterocycles</w:t>
      </w:r>
      <w:r>
        <w:rPr>
          <w:spacing w:val="-4"/>
          <w:sz w:val="24"/>
        </w:rPr>
        <w:t> </w:t>
      </w:r>
      <w:r>
        <w:rPr>
          <w:sz w:val="24"/>
        </w:rPr>
        <w:t>as</w:t>
      </w:r>
      <w:r>
        <w:rPr>
          <w:spacing w:val="-4"/>
          <w:sz w:val="24"/>
        </w:rPr>
        <w:t> </w:t>
      </w:r>
      <w:r>
        <w:rPr>
          <w:sz w:val="24"/>
        </w:rPr>
        <w:t>antimalarials.</w:t>
      </w:r>
      <w:r>
        <w:rPr>
          <w:spacing w:val="-4"/>
          <w:sz w:val="24"/>
        </w:rPr>
        <w:t> </w:t>
      </w:r>
      <w:r>
        <w:rPr>
          <w:i/>
          <w:sz w:val="24"/>
        </w:rPr>
        <w:t>European</w:t>
      </w:r>
      <w:r>
        <w:rPr>
          <w:i/>
          <w:spacing w:val="-4"/>
          <w:sz w:val="24"/>
        </w:rPr>
        <w:t> </w:t>
      </w:r>
      <w:r>
        <w:rPr>
          <w:i/>
          <w:sz w:val="24"/>
        </w:rPr>
        <w:t>Journal</w:t>
      </w:r>
      <w:r>
        <w:rPr>
          <w:i/>
          <w:spacing w:val="-4"/>
          <w:sz w:val="24"/>
        </w:rPr>
        <w:t> </w:t>
      </w:r>
      <w:r>
        <w:rPr>
          <w:i/>
          <w:sz w:val="24"/>
        </w:rPr>
        <w:t>of</w:t>
      </w:r>
      <w:r>
        <w:rPr>
          <w:i/>
          <w:spacing w:val="-3"/>
          <w:sz w:val="24"/>
        </w:rPr>
        <w:t> </w:t>
      </w:r>
      <w:r>
        <w:rPr>
          <w:i/>
          <w:sz w:val="24"/>
        </w:rPr>
        <w:t>Medicinal</w:t>
      </w:r>
      <w:r>
        <w:rPr>
          <w:i/>
          <w:spacing w:val="-4"/>
          <w:sz w:val="24"/>
        </w:rPr>
        <w:t> </w:t>
      </w:r>
      <w:r>
        <w:rPr>
          <w:i/>
          <w:sz w:val="24"/>
        </w:rPr>
        <w:t>Chemistry</w:t>
      </w:r>
      <w:r>
        <w:rPr>
          <w:sz w:val="24"/>
        </w:rPr>
        <w:t>,</w:t>
      </w:r>
      <w:r>
        <w:rPr>
          <w:spacing w:val="-4"/>
          <w:sz w:val="24"/>
        </w:rPr>
        <w:t> </w:t>
      </w:r>
      <w:r>
        <w:rPr>
          <w:sz w:val="24"/>
        </w:rPr>
        <w:t>45</w:t>
      </w:r>
      <w:r>
        <w:rPr>
          <w:spacing w:val="-2"/>
          <w:sz w:val="24"/>
        </w:rPr>
        <w:t> </w:t>
      </w:r>
      <w:r>
        <w:rPr>
          <w:sz w:val="24"/>
        </w:rPr>
        <w:t>(8):</w:t>
      </w:r>
      <w:r>
        <w:rPr>
          <w:spacing w:val="-4"/>
          <w:sz w:val="24"/>
        </w:rPr>
        <w:t> </w:t>
      </w:r>
      <w:r>
        <w:rPr>
          <w:sz w:val="24"/>
        </w:rPr>
        <w:t>3245-3264.</w:t>
      </w:r>
    </w:p>
    <w:p>
      <w:pPr>
        <w:pStyle w:val="BodyText"/>
        <w:spacing w:before="137"/>
      </w:pPr>
    </w:p>
    <w:p>
      <w:pPr>
        <w:pStyle w:val="BodyText"/>
        <w:spacing w:line="360" w:lineRule="auto"/>
        <w:ind w:left="260" w:right="1769"/>
      </w:pPr>
      <w:r>
        <w:rPr/>
        <w:t>Kikkalaya, S. B. (2011). Malaria drug resistance. </w:t>
      </w:r>
      <w:hyperlink r:id="rId38">
        <w:r>
          <w:rPr>
            <w:u w:val="single"/>
          </w:rPr>
          <w:t>www.malariasie.com/malaria/DrugResistance.htm</w:t>
        </w:r>
      </w:hyperlink>
      <w:r>
        <w:rPr/>
        <w:t>.</w:t>
      </w:r>
      <w:r>
        <w:rPr>
          <w:spacing w:val="40"/>
        </w:rPr>
        <w:t> </w:t>
      </w:r>
      <w:r>
        <w:rPr/>
        <w:t>Accessed</w:t>
      </w:r>
      <w:r>
        <w:rPr>
          <w:spacing w:val="-7"/>
        </w:rPr>
        <w:t> </w:t>
      </w:r>
      <w:r>
        <w:rPr/>
        <w:t>16</w:t>
      </w:r>
      <w:r>
        <w:rPr>
          <w:spacing w:val="-7"/>
        </w:rPr>
        <w:t> </w:t>
      </w:r>
      <w:r>
        <w:rPr/>
        <w:t>January,</w:t>
      </w:r>
      <w:r>
        <w:rPr>
          <w:spacing w:val="-7"/>
        </w:rPr>
        <w:t> </w:t>
      </w:r>
      <w:r>
        <w:rPr/>
        <w:t>2014</w:t>
      </w:r>
    </w:p>
    <w:p>
      <w:pPr>
        <w:pStyle w:val="BodyText"/>
        <w:spacing w:before="139"/>
      </w:pPr>
    </w:p>
    <w:p>
      <w:pPr>
        <w:pStyle w:val="BodyText"/>
        <w:spacing w:line="360" w:lineRule="auto"/>
        <w:ind w:left="260" w:right="855"/>
      </w:pPr>
      <w:r>
        <w:rPr/>
        <w:t>Krishna,</w:t>
      </w:r>
      <w:r>
        <w:rPr>
          <w:spacing w:val="-3"/>
        </w:rPr>
        <w:t> </w:t>
      </w:r>
      <w:r>
        <w:rPr/>
        <w:t>S.,</w:t>
      </w:r>
      <w:r>
        <w:rPr>
          <w:spacing w:val="-3"/>
        </w:rPr>
        <w:t> </w:t>
      </w:r>
      <w:r>
        <w:rPr/>
        <w:t>Pulcini,</w:t>
      </w:r>
      <w:r>
        <w:rPr>
          <w:spacing w:val="-3"/>
        </w:rPr>
        <w:t> </w:t>
      </w:r>
      <w:r>
        <w:rPr/>
        <w:t>S.,</w:t>
      </w:r>
      <w:r>
        <w:rPr>
          <w:spacing w:val="-3"/>
        </w:rPr>
        <w:t> </w:t>
      </w:r>
      <w:r>
        <w:rPr/>
        <w:t>Faith,</w:t>
      </w:r>
      <w:r>
        <w:rPr>
          <w:spacing w:val="-3"/>
        </w:rPr>
        <w:t> </w:t>
      </w:r>
      <w:r>
        <w:rPr/>
        <w:t>F.</w:t>
      </w:r>
      <w:r>
        <w:rPr>
          <w:spacing w:val="-3"/>
        </w:rPr>
        <w:t> </w:t>
      </w:r>
      <w:r>
        <w:rPr/>
        <w:t>and</w:t>
      </w:r>
      <w:r>
        <w:rPr>
          <w:spacing w:val="-3"/>
        </w:rPr>
        <w:t> </w:t>
      </w:r>
      <w:r>
        <w:rPr/>
        <w:t>Staines,</w:t>
      </w:r>
      <w:r>
        <w:rPr>
          <w:spacing w:val="-3"/>
        </w:rPr>
        <w:t> </w:t>
      </w:r>
      <w:r>
        <w:rPr/>
        <w:t>H.</w:t>
      </w:r>
      <w:r>
        <w:rPr>
          <w:spacing w:val="-3"/>
        </w:rPr>
        <w:t> </w:t>
      </w:r>
      <w:r>
        <w:rPr/>
        <w:t>(2010).</w:t>
      </w:r>
      <w:r>
        <w:rPr>
          <w:spacing w:val="-4"/>
        </w:rPr>
        <w:t> </w:t>
      </w:r>
      <w:r>
        <w:rPr/>
        <w:t>Artemisinins</w:t>
      </w:r>
      <w:r>
        <w:rPr>
          <w:spacing w:val="-3"/>
        </w:rPr>
        <w:t> </w:t>
      </w:r>
      <w:r>
        <w:rPr/>
        <w:t>and</w:t>
      </w:r>
      <w:r>
        <w:rPr>
          <w:spacing w:val="-3"/>
        </w:rPr>
        <w:t> </w:t>
      </w:r>
      <w:r>
        <w:rPr/>
        <w:t>the</w:t>
      </w:r>
      <w:r>
        <w:rPr>
          <w:spacing w:val="-3"/>
        </w:rPr>
        <w:t> </w:t>
      </w:r>
      <w:r>
        <w:rPr/>
        <w:t>biological</w:t>
      </w:r>
      <w:r>
        <w:rPr>
          <w:spacing w:val="-3"/>
        </w:rPr>
        <w:t> </w:t>
      </w:r>
      <w:r>
        <w:rPr/>
        <w:t>basis for the PfATP6/SRCA hypothesis. </w:t>
      </w:r>
      <w:r>
        <w:rPr>
          <w:i/>
        </w:rPr>
        <w:t>Trends Parasitology</w:t>
      </w:r>
      <w:r>
        <w:rPr/>
        <w:t>, 26: 517-523.</w:t>
      </w:r>
    </w:p>
    <w:p>
      <w:pPr>
        <w:pStyle w:val="BodyText"/>
        <w:spacing w:before="138"/>
      </w:pPr>
    </w:p>
    <w:p>
      <w:pPr>
        <w:pStyle w:val="BodyText"/>
        <w:ind w:left="260"/>
      </w:pPr>
      <w:r>
        <w:rPr/>
        <w:t>Kyosiimire-Lugemwa,</w:t>
      </w:r>
      <w:r>
        <w:rPr>
          <w:spacing w:val="-2"/>
        </w:rPr>
        <w:t> </w:t>
      </w:r>
      <w:r>
        <w:rPr/>
        <w:t>J.,</w:t>
      </w:r>
      <w:r>
        <w:rPr>
          <w:spacing w:val="-1"/>
        </w:rPr>
        <w:t> </w:t>
      </w:r>
      <w:r>
        <w:rPr/>
        <w:t>Nalunkuma-Kazibwe,</w:t>
      </w:r>
      <w:r>
        <w:rPr>
          <w:spacing w:val="-1"/>
        </w:rPr>
        <w:t> </w:t>
      </w:r>
      <w:r>
        <w:rPr/>
        <w:t>A.</w:t>
      </w:r>
      <w:r>
        <w:rPr>
          <w:spacing w:val="-1"/>
        </w:rPr>
        <w:t> </w:t>
      </w:r>
      <w:r>
        <w:rPr/>
        <w:t>J.,</w:t>
      </w:r>
      <w:r>
        <w:rPr>
          <w:spacing w:val="-2"/>
        </w:rPr>
        <w:t> </w:t>
      </w:r>
      <w:r>
        <w:rPr/>
        <w:t>Mujuzi,</w:t>
      </w:r>
      <w:r>
        <w:rPr>
          <w:spacing w:val="-1"/>
        </w:rPr>
        <w:t> </w:t>
      </w:r>
      <w:r>
        <w:rPr/>
        <w:t>G.,</w:t>
      </w:r>
      <w:r>
        <w:rPr>
          <w:spacing w:val="-1"/>
        </w:rPr>
        <w:t> </w:t>
      </w:r>
      <w:r>
        <w:rPr/>
        <w:t>Mulindwa,</w:t>
      </w:r>
      <w:r>
        <w:rPr>
          <w:spacing w:val="-1"/>
        </w:rPr>
        <w:t> </w:t>
      </w:r>
      <w:r>
        <w:rPr/>
        <w:t>H.,</w:t>
      </w:r>
      <w:r>
        <w:rPr>
          <w:spacing w:val="-1"/>
        </w:rPr>
        <w:t> </w:t>
      </w:r>
      <w:r>
        <w:rPr>
          <w:spacing w:val="-2"/>
        </w:rPr>
        <w:t>Talisuna,</w:t>
      </w:r>
    </w:p>
    <w:p>
      <w:pPr>
        <w:spacing w:line="360" w:lineRule="auto" w:before="139"/>
        <w:ind w:left="260" w:right="877" w:firstLine="0"/>
        <w:jc w:val="left"/>
        <w:rPr>
          <w:sz w:val="24"/>
        </w:rPr>
      </w:pPr>
      <w:r>
        <w:rPr>
          <w:sz w:val="24"/>
        </w:rPr>
        <w:t>A.</w:t>
      </w:r>
      <w:r>
        <w:rPr>
          <w:spacing w:val="-3"/>
          <w:sz w:val="24"/>
        </w:rPr>
        <w:t> </w:t>
      </w:r>
      <w:r>
        <w:rPr>
          <w:sz w:val="24"/>
        </w:rPr>
        <w:t>and</w:t>
      </w:r>
      <w:r>
        <w:rPr>
          <w:spacing w:val="-4"/>
          <w:sz w:val="24"/>
        </w:rPr>
        <w:t> </w:t>
      </w:r>
      <w:r>
        <w:rPr>
          <w:sz w:val="24"/>
        </w:rPr>
        <w:t>Egwang,</w:t>
      </w:r>
      <w:r>
        <w:rPr>
          <w:spacing w:val="-3"/>
          <w:sz w:val="24"/>
        </w:rPr>
        <w:t> </w:t>
      </w:r>
      <w:r>
        <w:rPr>
          <w:sz w:val="24"/>
        </w:rPr>
        <w:t>T.</w:t>
      </w:r>
      <w:r>
        <w:rPr>
          <w:spacing w:val="-2"/>
          <w:sz w:val="24"/>
        </w:rPr>
        <w:t> </w:t>
      </w:r>
      <w:r>
        <w:rPr>
          <w:sz w:val="24"/>
        </w:rPr>
        <w:t>G.</w:t>
      </w:r>
      <w:r>
        <w:rPr>
          <w:spacing w:val="-3"/>
          <w:sz w:val="24"/>
        </w:rPr>
        <w:t> </w:t>
      </w:r>
      <w:r>
        <w:rPr>
          <w:sz w:val="24"/>
        </w:rPr>
        <w:t>(2002).</w:t>
      </w:r>
      <w:r>
        <w:rPr>
          <w:spacing w:val="-3"/>
          <w:sz w:val="24"/>
        </w:rPr>
        <w:t> </w:t>
      </w:r>
      <w:r>
        <w:rPr>
          <w:sz w:val="24"/>
        </w:rPr>
        <w:t>The</w:t>
      </w:r>
      <w:r>
        <w:rPr>
          <w:spacing w:val="-3"/>
          <w:sz w:val="24"/>
        </w:rPr>
        <w:t> </w:t>
      </w:r>
      <w:r>
        <w:rPr>
          <w:sz w:val="24"/>
        </w:rPr>
        <w:t>Lys-76-Thr</w:t>
      </w:r>
      <w:r>
        <w:rPr>
          <w:spacing w:val="-4"/>
          <w:sz w:val="24"/>
        </w:rPr>
        <w:t> </w:t>
      </w:r>
      <w:r>
        <w:rPr>
          <w:sz w:val="24"/>
        </w:rPr>
        <w:t>mutation</w:t>
      </w:r>
      <w:r>
        <w:rPr>
          <w:spacing w:val="-3"/>
          <w:sz w:val="24"/>
        </w:rPr>
        <w:t> </w:t>
      </w:r>
      <w:r>
        <w:rPr>
          <w:sz w:val="24"/>
        </w:rPr>
        <w:t>in</w:t>
      </w:r>
      <w:r>
        <w:rPr>
          <w:spacing w:val="-3"/>
          <w:sz w:val="24"/>
        </w:rPr>
        <w:t> </w:t>
      </w:r>
      <w:r>
        <w:rPr>
          <w:sz w:val="24"/>
        </w:rPr>
        <w:t>PfCRT</w:t>
      </w:r>
      <w:r>
        <w:rPr>
          <w:spacing w:val="-3"/>
          <w:sz w:val="24"/>
        </w:rPr>
        <w:t> </w:t>
      </w:r>
      <w:r>
        <w:rPr>
          <w:sz w:val="24"/>
        </w:rPr>
        <w:t>and</w:t>
      </w:r>
      <w:r>
        <w:rPr>
          <w:spacing w:val="-3"/>
          <w:sz w:val="24"/>
        </w:rPr>
        <w:t> </w:t>
      </w:r>
      <w:r>
        <w:rPr>
          <w:sz w:val="24"/>
        </w:rPr>
        <w:t>chloroquine</w:t>
      </w:r>
      <w:r>
        <w:rPr>
          <w:spacing w:val="-4"/>
          <w:sz w:val="24"/>
        </w:rPr>
        <w:t> </w:t>
      </w:r>
      <w:r>
        <w:rPr>
          <w:sz w:val="24"/>
        </w:rPr>
        <w:t>resistance in </w:t>
      </w:r>
      <w:r>
        <w:rPr>
          <w:i/>
          <w:sz w:val="24"/>
        </w:rPr>
        <w:t>Plasmodium falciparum</w:t>
      </w:r>
      <w:r>
        <w:rPr>
          <w:sz w:val="24"/>
        </w:rPr>
        <w:t>isolates from Uganda. </w:t>
      </w:r>
      <w:r>
        <w:rPr>
          <w:i/>
          <w:sz w:val="24"/>
        </w:rPr>
        <w:t>Transactions of the Royal Society of Tropical Medicine and Hygiene </w:t>
      </w:r>
      <w:r>
        <w:rPr>
          <w:sz w:val="24"/>
        </w:rPr>
        <w:t>96</w:t>
      </w:r>
      <w:r>
        <w:rPr>
          <w:i/>
          <w:sz w:val="24"/>
        </w:rPr>
        <w:t>: </w:t>
      </w:r>
      <w:r>
        <w:rPr>
          <w:sz w:val="24"/>
        </w:rPr>
        <w:t>91–95.</w:t>
      </w:r>
    </w:p>
    <w:p>
      <w:pPr>
        <w:pStyle w:val="BodyText"/>
        <w:spacing w:before="138"/>
      </w:pPr>
    </w:p>
    <w:p>
      <w:pPr>
        <w:pStyle w:val="BodyText"/>
        <w:spacing w:line="360" w:lineRule="auto"/>
        <w:ind w:left="260" w:right="1769"/>
      </w:pPr>
      <w:r>
        <w:rPr/>
        <w:t>Lawrence,</w:t>
      </w:r>
      <w:r>
        <w:rPr>
          <w:spacing w:val="-4"/>
        </w:rPr>
        <w:t> </w:t>
      </w:r>
      <w:r>
        <w:rPr/>
        <w:t>M.</w:t>
      </w:r>
      <w:r>
        <w:rPr>
          <w:spacing w:val="-4"/>
        </w:rPr>
        <w:t> </w:t>
      </w:r>
      <w:r>
        <w:rPr/>
        <w:t>V.</w:t>
      </w:r>
      <w:r>
        <w:rPr>
          <w:spacing w:val="-3"/>
        </w:rPr>
        <w:t> </w:t>
      </w:r>
      <w:r>
        <w:rPr/>
        <w:t>(2010).</w:t>
      </w:r>
      <w:r>
        <w:rPr>
          <w:spacing w:val="-3"/>
        </w:rPr>
        <w:t> </w:t>
      </w:r>
      <w:r>
        <w:rPr/>
        <w:t>Mechanism</w:t>
      </w:r>
      <w:r>
        <w:rPr>
          <w:spacing w:val="-4"/>
        </w:rPr>
        <w:t> </w:t>
      </w:r>
      <w:r>
        <w:rPr/>
        <w:t>of</w:t>
      </w:r>
      <w:r>
        <w:rPr>
          <w:spacing w:val="-4"/>
        </w:rPr>
        <w:t> </w:t>
      </w:r>
      <w:r>
        <w:rPr/>
        <w:t>antimalarial</w:t>
      </w:r>
      <w:r>
        <w:rPr>
          <w:spacing w:val="-4"/>
        </w:rPr>
        <w:t> </w:t>
      </w:r>
      <w:r>
        <w:rPr/>
        <w:t>Drug</w:t>
      </w:r>
      <w:r>
        <w:rPr>
          <w:spacing w:val="-7"/>
        </w:rPr>
        <w:t> </w:t>
      </w:r>
      <w:r>
        <w:rPr/>
        <w:t>Resistance</w:t>
      </w:r>
      <w:r>
        <w:rPr>
          <w:spacing w:val="-5"/>
        </w:rPr>
        <w:t> </w:t>
      </w:r>
      <w:r>
        <w:rPr/>
        <w:t>in general Medicine.</w:t>
      </w:r>
      <w:r>
        <w:rPr>
          <w:u w:val="single"/>
        </w:rPr>
        <w:t>www.suite</w:t>
      </w:r>
      <w:r>
        <w:rPr/>
        <w:t> 101.com.</w:t>
      </w:r>
    </w:p>
    <w:p>
      <w:pPr>
        <w:pStyle w:val="BodyText"/>
        <w:spacing w:before="137"/>
      </w:pPr>
    </w:p>
    <w:p>
      <w:pPr>
        <w:pStyle w:val="BodyText"/>
        <w:spacing w:line="360" w:lineRule="auto"/>
        <w:ind w:left="260" w:right="971"/>
      </w:pPr>
      <w:r>
        <w:rPr/>
        <w:t>Mali,</w:t>
      </w:r>
      <w:r>
        <w:rPr>
          <w:spacing w:val="-3"/>
        </w:rPr>
        <w:t> </w:t>
      </w:r>
      <w:r>
        <w:rPr/>
        <w:t>S.,</w:t>
      </w:r>
      <w:r>
        <w:rPr>
          <w:spacing w:val="-3"/>
        </w:rPr>
        <w:t> </w:t>
      </w:r>
      <w:r>
        <w:rPr/>
        <w:t>Kachur,</w:t>
      </w:r>
      <w:r>
        <w:rPr>
          <w:spacing w:val="-3"/>
        </w:rPr>
        <w:t> </w:t>
      </w:r>
      <w:r>
        <w:rPr/>
        <w:t>S.</w:t>
      </w:r>
      <w:r>
        <w:rPr>
          <w:spacing w:val="-3"/>
        </w:rPr>
        <w:t> </w:t>
      </w:r>
      <w:r>
        <w:rPr/>
        <w:t>P.</w:t>
      </w:r>
      <w:r>
        <w:rPr>
          <w:spacing w:val="-3"/>
        </w:rPr>
        <w:t> </w:t>
      </w:r>
      <w:r>
        <w:rPr/>
        <w:t>and</w:t>
      </w:r>
      <w:r>
        <w:rPr>
          <w:spacing w:val="-3"/>
        </w:rPr>
        <w:t> </w:t>
      </w:r>
      <w:r>
        <w:rPr/>
        <w:t>Arguin,</w:t>
      </w:r>
      <w:r>
        <w:rPr>
          <w:spacing w:val="-3"/>
        </w:rPr>
        <w:t> </w:t>
      </w:r>
      <w:r>
        <w:rPr/>
        <w:t>P.</w:t>
      </w:r>
      <w:r>
        <w:rPr>
          <w:spacing w:val="-3"/>
        </w:rPr>
        <w:t> </w:t>
      </w:r>
      <w:r>
        <w:rPr/>
        <w:t>M.</w:t>
      </w:r>
      <w:r>
        <w:rPr>
          <w:spacing w:val="-3"/>
        </w:rPr>
        <w:t> </w:t>
      </w:r>
      <w:r>
        <w:rPr/>
        <w:t>(2012).</w:t>
      </w:r>
      <w:r>
        <w:rPr>
          <w:spacing w:val="-1"/>
        </w:rPr>
        <w:t> </w:t>
      </w:r>
      <w:r>
        <w:rPr/>
        <w:t>Malaria</w:t>
      </w:r>
      <w:r>
        <w:rPr>
          <w:spacing w:val="-5"/>
        </w:rPr>
        <w:t> </w:t>
      </w:r>
      <w:r>
        <w:rPr/>
        <w:t>Surveillance</w:t>
      </w:r>
      <w:r>
        <w:rPr>
          <w:spacing w:val="-1"/>
        </w:rPr>
        <w:t> </w:t>
      </w:r>
      <w:r>
        <w:rPr/>
        <w:t>—</w:t>
      </w:r>
      <w:r>
        <w:rPr>
          <w:spacing w:val="-1"/>
        </w:rPr>
        <w:t> </w:t>
      </w:r>
      <w:r>
        <w:rPr/>
        <w:t>United</w:t>
      </w:r>
      <w:r>
        <w:rPr>
          <w:spacing w:val="-3"/>
        </w:rPr>
        <w:t> </w:t>
      </w:r>
      <w:r>
        <w:rPr/>
        <w:t>States, 2010. </w:t>
      </w:r>
      <w:r>
        <w:rPr>
          <w:i/>
        </w:rPr>
        <w:t>Surveillance Summaries, </w:t>
      </w:r>
      <w:r>
        <w:rPr/>
        <w:t>61(SS02): 1-17.</w:t>
      </w:r>
    </w:p>
    <w:p>
      <w:pPr>
        <w:pStyle w:val="BodyText"/>
        <w:spacing w:before="139"/>
      </w:pPr>
    </w:p>
    <w:p>
      <w:pPr>
        <w:pStyle w:val="BodyText"/>
        <w:spacing w:line="360" w:lineRule="auto" w:before="1"/>
        <w:ind w:left="260" w:right="855"/>
      </w:pPr>
      <w:r>
        <w:rPr/>
        <w:t>Mayor, A. G., Gomez-Olive, X., Aponte, J. J., Casimiro, S., Mabunda, S., Dgedge, M., Barreto, A. and Alonso, P. L. (2001). Prevalence of the K76T mutation in the putative </w:t>
      </w:r>
      <w:r>
        <w:rPr>
          <w:i/>
        </w:rPr>
        <w:t>Plasmodium</w:t>
      </w:r>
      <w:r>
        <w:rPr>
          <w:i/>
          <w:spacing w:val="-5"/>
        </w:rPr>
        <w:t> </w:t>
      </w:r>
      <w:r>
        <w:rPr>
          <w:i/>
        </w:rPr>
        <w:t>falciparum</w:t>
      </w:r>
      <w:r>
        <w:rPr/>
        <w:t>chloroquine</w:t>
      </w:r>
      <w:r>
        <w:rPr>
          <w:spacing w:val="-5"/>
        </w:rPr>
        <w:t> </w:t>
      </w:r>
      <w:r>
        <w:rPr/>
        <w:t>resistance</w:t>
      </w:r>
      <w:r>
        <w:rPr>
          <w:spacing w:val="-5"/>
        </w:rPr>
        <w:t> </w:t>
      </w:r>
      <w:r>
        <w:rPr/>
        <w:t>transporter</w:t>
      </w:r>
      <w:r>
        <w:rPr>
          <w:spacing w:val="-5"/>
        </w:rPr>
        <w:t> </w:t>
      </w:r>
      <w:r>
        <w:rPr/>
        <w:t>(pfcrt)</w:t>
      </w:r>
      <w:r>
        <w:rPr>
          <w:spacing w:val="-4"/>
        </w:rPr>
        <w:t> </w:t>
      </w:r>
      <w:r>
        <w:rPr/>
        <w:t>gene</w:t>
      </w:r>
      <w:r>
        <w:rPr>
          <w:spacing w:val="-5"/>
        </w:rPr>
        <w:t> </w:t>
      </w:r>
      <w:r>
        <w:rPr/>
        <w:t>and</w:t>
      </w:r>
      <w:r>
        <w:rPr>
          <w:spacing w:val="-3"/>
        </w:rPr>
        <w:t> </w:t>
      </w:r>
      <w:r>
        <w:rPr/>
        <w:t>its</w:t>
      </w:r>
      <w:r>
        <w:rPr>
          <w:spacing w:val="-5"/>
        </w:rPr>
        <w:t> </w:t>
      </w:r>
      <w:r>
        <w:rPr/>
        <w:t>relation</w:t>
      </w:r>
      <w:r>
        <w:rPr>
          <w:spacing w:val="-1"/>
        </w:rPr>
        <w:t> </w:t>
      </w:r>
      <w:r>
        <w:rPr/>
        <w:t>to chloroquine resistance in Mozambique. </w:t>
      </w:r>
      <w:r>
        <w:rPr>
          <w:i/>
        </w:rPr>
        <w:t>Journal of Infectious Disease</w:t>
      </w:r>
      <w:r>
        <w:rPr/>
        <w:t>, 183: 1413–1416.</w:t>
      </w:r>
    </w:p>
    <w:p>
      <w:pPr>
        <w:pStyle w:val="BodyText"/>
        <w:spacing w:before="137"/>
      </w:pPr>
    </w:p>
    <w:p>
      <w:pPr>
        <w:pStyle w:val="BodyText"/>
        <w:spacing w:line="360" w:lineRule="auto"/>
        <w:ind w:left="260" w:right="855"/>
      </w:pPr>
      <w:r>
        <w:rPr>
          <w:color w:val="2B2D34"/>
        </w:rPr>
        <w:t>Na-Bangchang, K., Muhamad, P., Ruaengweerayut, R., Chaijaroenkul, W. and Karbwang, J. (2013). Identification of resistance of </w:t>
      </w:r>
      <w:r>
        <w:rPr>
          <w:i/>
          <w:color w:val="2B2D34"/>
        </w:rPr>
        <w:t>Plasmodium falciparum </w:t>
      </w:r>
      <w:r>
        <w:rPr>
          <w:color w:val="2B2D34"/>
        </w:rPr>
        <w:t>to artesunate-mefloquine combination</w:t>
      </w:r>
      <w:r>
        <w:rPr>
          <w:color w:val="2B2D34"/>
          <w:spacing w:val="-4"/>
        </w:rPr>
        <w:t> </w:t>
      </w:r>
      <w:r>
        <w:rPr>
          <w:color w:val="2B2D34"/>
        </w:rPr>
        <w:t>in</w:t>
      </w:r>
      <w:r>
        <w:rPr>
          <w:color w:val="2B2D34"/>
          <w:spacing w:val="-4"/>
        </w:rPr>
        <w:t> </w:t>
      </w:r>
      <w:r>
        <w:rPr>
          <w:color w:val="2B2D34"/>
        </w:rPr>
        <w:t>an</w:t>
      </w:r>
      <w:r>
        <w:rPr>
          <w:color w:val="2B2D34"/>
          <w:spacing w:val="-4"/>
        </w:rPr>
        <w:t> </w:t>
      </w:r>
      <w:r>
        <w:rPr>
          <w:color w:val="2B2D34"/>
        </w:rPr>
        <w:t>area</w:t>
      </w:r>
      <w:r>
        <w:rPr>
          <w:color w:val="2B2D34"/>
          <w:spacing w:val="-4"/>
        </w:rPr>
        <w:t> </w:t>
      </w:r>
      <w:r>
        <w:rPr>
          <w:color w:val="2B2D34"/>
        </w:rPr>
        <w:t>along</w:t>
      </w:r>
      <w:r>
        <w:rPr>
          <w:color w:val="2B2D34"/>
          <w:spacing w:val="-6"/>
        </w:rPr>
        <w:t> </w:t>
      </w:r>
      <w:r>
        <w:rPr>
          <w:color w:val="2B2D34"/>
        </w:rPr>
        <w:t>the</w:t>
      </w:r>
      <w:r>
        <w:rPr>
          <w:color w:val="2B2D34"/>
          <w:spacing w:val="-4"/>
        </w:rPr>
        <w:t> </w:t>
      </w:r>
      <w:r>
        <w:rPr>
          <w:color w:val="2B2D34"/>
        </w:rPr>
        <w:t>Thai-Myanmar</w:t>
      </w:r>
      <w:r>
        <w:rPr>
          <w:color w:val="2B2D34"/>
          <w:spacing w:val="-4"/>
        </w:rPr>
        <w:t> </w:t>
      </w:r>
      <w:r>
        <w:rPr>
          <w:color w:val="2B2D34"/>
        </w:rPr>
        <w:t>border:</w:t>
      </w:r>
      <w:r>
        <w:rPr>
          <w:color w:val="2B2D34"/>
          <w:spacing w:val="-3"/>
        </w:rPr>
        <w:t> </w:t>
      </w:r>
      <w:r>
        <w:rPr>
          <w:color w:val="2B2D34"/>
        </w:rPr>
        <w:t>integration</w:t>
      </w:r>
      <w:r>
        <w:rPr>
          <w:color w:val="2B2D34"/>
          <w:spacing w:val="-4"/>
        </w:rPr>
        <w:t> </w:t>
      </w:r>
      <w:r>
        <w:rPr>
          <w:color w:val="2B2D34"/>
        </w:rPr>
        <w:t>of</w:t>
      </w:r>
      <w:r>
        <w:rPr>
          <w:color w:val="2B2D34"/>
          <w:spacing w:val="-3"/>
        </w:rPr>
        <w:t> </w:t>
      </w:r>
      <w:r>
        <w:rPr>
          <w:color w:val="2B2D34"/>
        </w:rPr>
        <w:t>clinico-parasitological response,</w:t>
      </w:r>
      <w:r>
        <w:rPr>
          <w:color w:val="2B2D34"/>
          <w:spacing w:val="-2"/>
        </w:rPr>
        <w:t> </w:t>
      </w:r>
      <w:r>
        <w:rPr>
          <w:color w:val="2B2D34"/>
        </w:rPr>
        <w:t>systemic</w:t>
      </w:r>
      <w:r>
        <w:rPr>
          <w:color w:val="2B2D34"/>
          <w:spacing w:val="-2"/>
        </w:rPr>
        <w:t> </w:t>
      </w:r>
      <w:r>
        <w:rPr>
          <w:color w:val="2B2D34"/>
        </w:rPr>
        <w:t>drug</w:t>
      </w:r>
      <w:r>
        <w:rPr>
          <w:color w:val="2B2D34"/>
          <w:spacing w:val="-2"/>
        </w:rPr>
        <w:t> </w:t>
      </w:r>
      <w:r>
        <w:rPr>
          <w:color w:val="2B2D34"/>
        </w:rPr>
        <w:t>exposure,</w:t>
      </w:r>
      <w:r>
        <w:rPr>
          <w:color w:val="2B2D34"/>
          <w:spacing w:val="-1"/>
        </w:rPr>
        <w:t> </w:t>
      </w:r>
      <w:r>
        <w:rPr>
          <w:color w:val="2B2D34"/>
        </w:rPr>
        <w:t>and </w:t>
      </w:r>
      <w:r>
        <w:rPr>
          <w:i/>
          <w:color w:val="2B2D34"/>
        </w:rPr>
        <w:t>in</w:t>
      </w:r>
      <w:r>
        <w:rPr>
          <w:i/>
          <w:color w:val="2B2D34"/>
          <w:spacing w:val="-1"/>
        </w:rPr>
        <w:t> </w:t>
      </w:r>
      <w:r>
        <w:rPr>
          <w:i/>
          <w:color w:val="2B2D34"/>
        </w:rPr>
        <w:t>vitro</w:t>
      </w:r>
      <w:r>
        <w:rPr>
          <w:i/>
          <w:color w:val="2B2D34"/>
          <w:spacing w:val="-1"/>
        </w:rPr>
        <w:t> </w:t>
      </w:r>
      <w:r>
        <w:rPr>
          <w:color w:val="2B2D34"/>
        </w:rPr>
        <w:t>parasite</w:t>
      </w:r>
      <w:r>
        <w:rPr>
          <w:color w:val="2B2D34"/>
          <w:spacing w:val="-2"/>
        </w:rPr>
        <w:t> </w:t>
      </w:r>
      <w:r>
        <w:rPr>
          <w:color w:val="2B2D34"/>
        </w:rPr>
        <w:t>sensitivity.</w:t>
      </w:r>
      <w:r>
        <w:rPr>
          <w:color w:val="2B2D34"/>
          <w:spacing w:val="-1"/>
        </w:rPr>
        <w:t> </w:t>
      </w:r>
      <w:r>
        <w:rPr>
          <w:i/>
          <w:color w:val="2B2D34"/>
        </w:rPr>
        <w:t>Malaria</w:t>
      </w:r>
      <w:r>
        <w:rPr>
          <w:i/>
          <w:color w:val="2B2D34"/>
          <w:spacing w:val="-1"/>
        </w:rPr>
        <w:t> </w:t>
      </w:r>
      <w:r>
        <w:rPr>
          <w:i/>
          <w:color w:val="2B2D34"/>
        </w:rPr>
        <w:t>Journal</w:t>
      </w:r>
      <w:r>
        <w:rPr>
          <w:color w:val="2B2D34"/>
        </w:rPr>
        <w:t>,</w:t>
      </w:r>
      <w:r>
        <w:rPr>
          <w:color w:val="2B2D34"/>
          <w:spacing w:val="-1"/>
        </w:rPr>
        <w:t> </w:t>
      </w:r>
      <w:r>
        <w:rPr>
          <w:color w:val="2B2D34"/>
        </w:rPr>
        <w:t>12:</w:t>
      </w:r>
      <w:r>
        <w:rPr>
          <w:color w:val="2B2D34"/>
          <w:spacing w:val="-1"/>
        </w:rPr>
        <w:t> </w:t>
      </w:r>
      <w:r>
        <w:rPr>
          <w:color w:val="2B2D34"/>
        </w:rPr>
        <w:t>263- </w:t>
      </w:r>
      <w:r>
        <w:rPr>
          <w:color w:val="2B2D34"/>
          <w:spacing w:val="-4"/>
        </w:rPr>
        <w:t>274.</w:t>
      </w:r>
    </w:p>
    <w:p>
      <w:pPr>
        <w:spacing w:after="0" w:line="360" w:lineRule="auto"/>
        <w:sectPr>
          <w:pgSz w:w="11910" w:h="16840"/>
          <w:pgMar w:header="0" w:footer="1254" w:top="1340" w:bottom="1440" w:left="1180" w:right="580"/>
        </w:sectPr>
      </w:pPr>
    </w:p>
    <w:p>
      <w:pPr>
        <w:pStyle w:val="BodyText"/>
        <w:spacing w:line="360" w:lineRule="auto" w:before="76"/>
        <w:ind w:left="260" w:right="855"/>
      </w:pPr>
      <w:r>
        <w:rPr/>
        <w:t>National</w:t>
      </w:r>
      <w:r>
        <w:rPr>
          <w:spacing w:val="-1"/>
        </w:rPr>
        <w:t> </w:t>
      </w:r>
      <w:r>
        <w:rPr/>
        <w:t>Institute</w:t>
      </w:r>
      <w:r>
        <w:rPr>
          <w:spacing w:val="-4"/>
        </w:rPr>
        <w:t> </w:t>
      </w:r>
      <w:r>
        <w:rPr/>
        <w:t>of</w:t>
      </w:r>
      <w:r>
        <w:rPr>
          <w:spacing w:val="-3"/>
        </w:rPr>
        <w:t> </w:t>
      </w:r>
      <w:r>
        <w:rPr/>
        <w:t>Allergy</w:t>
      </w:r>
      <w:r>
        <w:rPr>
          <w:spacing w:val="-6"/>
        </w:rPr>
        <w:t> </w:t>
      </w:r>
      <w:r>
        <w:rPr/>
        <w:t>and</w:t>
      </w:r>
      <w:r>
        <w:rPr>
          <w:spacing w:val="-1"/>
        </w:rPr>
        <w:t> </w:t>
      </w:r>
      <w:r>
        <w:rPr/>
        <w:t>Infectious</w:t>
      </w:r>
      <w:r>
        <w:rPr>
          <w:spacing w:val="-3"/>
        </w:rPr>
        <w:t> </w:t>
      </w:r>
      <w:r>
        <w:rPr/>
        <w:t>Disease</w:t>
      </w:r>
      <w:r>
        <w:rPr>
          <w:spacing w:val="-3"/>
        </w:rPr>
        <w:t> </w:t>
      </w:r>
      <w:r>
        <w:rPr/>
        <w:t>-</w:t>
      </w:r>
      <w:r>
        <w:rPr>
          <w:spacing w:val="-4"/>
        </w:rPr>
        <w:t> </w:t>
      </w:r>
      <w:r>
        <w:rPr/>
        <w:t>NAID,</w:t>
      </w:r>
      <w:r>
        <w:rPr>
          <w:spacing w:val="-3"/>
        </w:rPr>
        <w:t> </w:t>
      </w:r>
      <w:r>
        <w:rPr/>
        <w:t>(2012).</w:t>
      </w:r>
      <w:r>
        <w:rPr>
          <w:spacing w:val="-1"/>
        </w:rPr>
        <w:t> </w:t>
      </w:r>
      <w:r>
        <w:rPr/>
        <w:t>Life</w:t>
      </w:r>
      <w:r>
        <w:rPr>
          <w:spacing w:val="-4"/>
        </w:rPr>
        <w:t> </w:t>
      </w:r>
      <w:r>
        <w:rPr/>
        <w:t>cycle</w:t>
      </w:r>
      <w:r>
        <w:rPr>
          <w:spacing w:val="-4"/>
        </w:rPr>
        <w:t> </w:t>
      </w:r>
      <w:r>
        <w:rPr/>
        <w:t>of</w:t>
      </w:r>
      <w:r>
        <w:rPr>
          <w:spacing w:val="-3"/>
        </w:rPr>
        <w:t> </w:t>
      </w:r>
      <w:r>
        <w:rPr/>
        <w:t>the</w:t>
      </w:r>
      <w:r>
        <w:rPr>
          <w:spacing w:val="-5"/>
        </w:rPr>
        <w:t> </w:t>
      </w:r>
      <w:r>
        <w:rPr/>
        <w:t>Malaria parasite. National Institute of Allergy and Infectious Disease. </w:t>
      </w:r>
      <w:hyperlink r:id="rId39">
        <w:r>
          <w:rPr>
            <w:u w:val="single"/>
          </w:rPr>
          <w:t>www.niaid.nih.gov/topics/malaria/pages/lifecycle.aspx</w:t>
        </w:r>
      </w:hyperlink>
      <w:r>
        <w:rPr/>
        <w:t>.</w:t>
      </w:r>
      <w:r>
        <w:rPr>
          <w:spacing w:val="80"/>
        </w:rPr>
        <w:t> </w:t>
      </w:r>
      <w:r>
        <w:rPr/>
        <w:t>Accessed 17</w:t>
      </w:r>
      <w:r>
        <w:rPr>
          <w:vertAlign w:val="superscript"/>
        </w:rPr>
        <w:t>th</w:t>
      </w:r>
      <w:r>
        <w:rPr>
          <w:vertAlign w:val="baseline"/>
        </w:rPr>
        <w:t> January 2014</w:t>
      </w:r>
    </w:p>
    <w:p>
      <w:pPr>
        <w:pStyle w:val="BodyText"/>
        <w:spacing w:before="138"/>
      </w:pPr>
    </w:p>
    <w:p>
      <w:pPr>
        <w:pStyle w:val="BodyText"/>
        <w:spacing w:line="360" w:lineRule="auto"/>
        <w:ind w:left="260" w:right="856"/>
        <w:jc w:val="both"/>
      </w:pPr>
      <w:r>
        <w:rPr/>
        <w:t>Noedl, H., Se, Y., Schaecher, K., Smith, B. L., Socheat, D. and Fukuda, M. M. (2008). Evidence of artemisinin-resistant malaria in western Cambodia. </w:t>
      </w:r>
      <w:r>
        <w:rPr>
          <w:i/>
        </w:rPr>
        <w:t>New England Journal of Medicine, </w:t>
      </w:r>
      <w:r>
        <w:rPr/>
        <w:t>359 (24): 2619–20.</w:t>
      </w:r>
    </w:p>
    <w:p>
      <w:pPr>
        <w:pStyle w:val="BodyText"/>
        <w:spacing w:before="139"/>
      </w:pPr>
    </w:p>
    <w:p>
      <w:pPr>
        <w:pStyle w:val="BodyText"/>
        <w:ind w:left="260"/>
        <w:jc w:val="both"/>
      </w:pPr>
      <w:r>
        <w:rPr/>
        <w:t>NPC (2007).</w:t>
      </w:r>
      <w:r>
        <w:rPr>
          <w:spacing w:val="59"/>
        </w:rPr>
        <w:t> </w:t>
      </w:r>
      <w:r>
        <w:rPr/>
        <w:t>National Population</w:t>
      </w:r>
      <w:r>
        <w:rPr>
          <w:spacing w:val="-1"/>
        </w:rPr>
        <w:t> </w:t>
      </w:r>
      <w:r>
        <w:rPr/>
        <w:t>Census 2006.</w:t>
      </w:r>
      <w:r>
        <w:rPr>
          <w:spacing w:val="-1"/>
        </w:rPr>
        <w:t> </w:t>
      </w:r>
      <w:r>
        <w:rPr/>
        <w:t>The</w:t>
      </w:r>
      <w:r>
        <w:rPr>
          <w:spacing w:val="-1"/>
        </w:rPr>
        <w:t> </w:t>
      </w:r>
      <w:r>
        <w:rPr/>
        <w:t>Nigeria</w:t>
      </w:r>
      <w:r>
        <w:rPr>
          <w:spacing w:val="-3"/>
        </w:rPr>
        <w:t> </w:t>
      </w:r>
      <w:r>
        <w:rPr/>
        <w:t>Population</w:t>
      </w:r>
      <w:r>
        <w:rPr>
          <w:spacing w:val="2"/>
        </w:rPr>
        <w:t> </w:t>
      </w:r>
      <w:r>
        <w:rPr/>
        <w:t>Commission, </w:t>
      </w:r>
      <w:r>
        <w:rPr>
          <w:spacing w:val="-2"/>
        </w:rPr>
        <w:t>Abuja.</w:t>
      </w:r>
    </w:p>
    <w:p>
      <w:pPr>
        <w:pStyle w:val="BodyText"/>
      </w:pPr>
    </w:p>
    <w:p>
      <w:pPr>
        <w:pStyle w:val="BodyText"/>
      </w:pPr>
    </w:p>
    <w:p>
      <w:pPr>
        <w:spacing w:line="360" w:lineRule="auto" w:before="0"/>
        <w:ind w:left="260" w:right="858" w:firstLine="0"/>
        <w:jc w:val="both"/>
        <w:rPr>
          <w:sz w:val="24"/>
        </w:rPr>
      </w:pPr>
      <w:r>
        <w:rPr>
          <w:sz w:val="24"/>
        </w:rPr>
        <w:t>Olasehinde,</w:t>
      </w:r>
      <w:r>
        <w:rPr>
          <w:spacing w:val="-2"/>
          <w:sz w:val="24"/>
        </w:rPr>
        <w:t> </w:t>
      </w:r>
      <w:r>
        <w:rPr>
          <w:sz w:val="24"/>
        </w:rPr>
        <w:t>G. I.,</w:t>
      </w:r>
      <w:r>
        <w:rPr>
          <w:spacing w:val="-1"/>
          <w:sz w:val="24"/>
        </w:rPr>
        <w:t> </w:t>
      </w:r>
      <w:r>
        <w:rPr>
          <w:sz w:val="24"/>
        </w:rPr>
        <w:t>Ojurongbe,</w:t>
      </w:r>
      <w:r>
        <w:rPr>
          <w:spacing w:val="-1"/>
          <w:sz w:val="24"/>
        </w:rPr>
        <w:t> </w:t>
      </w:r>
      <w:r>
        <w:rPr>
          <w:sz w:val="24"/>
        </w:rPr>
        <w:t>O.</w:t>
      </w:r>
      <w:r>
        <w:rPr>
          <w:spacing w:val="-2"/>
          <w:sz w:val="24"/>
        </w:rPr>
        <w:t> </w:t>
      </w:r>
      <w:r>
        <w:rPr>
          <w:sz w:val="24"/>
        </w:rPr>
        <w:t>O.,</w:t>
      </w:r>
      <w:r>
        <w:rPr>
          <w:spacing w:val="-2"/>
          <w:sz w:val="24"/>
        </w:rPr>
        <w:t> </w:t>
      </w:r>
      <w:r>
        <w:rPr>
          <w:sz w:val="24"/>
        </w:rPr>
        <w:t>Fagade,</w:t>
      </w:r>
      <w:r>
        <w:rPr>
          <w:spacing w:val="-1"/>
          <w:sz w:val="24"/>
        </w:rPr>
        <w:t> </w:t>
      </w:r>
      <w:r>
        <w:rPr>
          <w:sz w:val="24"/>
        </w:rPr>
        <w:t>E.</w:t>
      </w:r>
      <w:r>
        <w:rPr>
          <w:spacing w:val="-2"/>
          <w:sz w:val="24"/>
        </w:rPr>
        <w:t> </w:t>
      </w:r>
      <w:r>
        <w:rPr>
          <w:sz w:val="24"/>
        </w:rPr>
        <w:t>O.,</w:t>
      </w:r>
      <w:r>
        <w:rPr>
          <w:spacing w:val="-1"/>
          <w:sz w:val="24"/>
        </w:rPr>
        <w:t> </w:t>
      </w:r>
      <w:r>
        <w:rPr>
          <w:sz w:val="24"/>
        </w:rPr>
        <w:t>Ruchi,</w:t>
      </w:r>
      <w:r>
        <w:rPr>
          <w:spacing w:val="-1"/>
          <w:sz w:val="24"/>
        </w:rPr>
        <w:t> </w:t>
      </w:r>
      <w:r>
        <w:rPr>
          <w:sz w:val="24"/>
        </w:rPr>
        <w:t>S.,</w:t>
      </w:r>
      <w:r>
        <w:rPr>
          <w:spacing w:val="-4"/>
          <w:sz w:val="24"/>
        </w:rPr>
        <w:t> </w:t>
      </w:r>
      <w:r>
        <w:rPr>
          <w:sz w:val="24"/>
        </w:rPr>
        <w:t>Egwari, L.</w:t>
      </w:r>
      <w:r>
        <w:rPr>
          <w:spacing w:val="-1"/>
          <w:sz w:val="24"/>
        </w:rPr>
        <w:t> </w:t>
      </w:r>
      <w:r>
        <w:rPr>
          <w:sz w:val="24"/>
        </w:rPr>
        <w:t>O.,</w:t>
      </w:r>
      <w:r>
        <w:rPr>
          <w:spacing w:val="-2"/>
          <w:sz w:val="24"/>
        </w:rPr>
        <w:t> </w:t>
      </w:r>
      <w:r>
        <w:rPr>
          <w:sz w:val="24"/>
        </w:rPr>
        <w:t>Ajayi,</w:t>
      </w:r>
      <w:r>
        <w:rPr>
          <w:spacing w:val="-1"/>
          <w:sz w:val="24"/>
        </w:rPr>
        <w:t> </w:t>
      </w:r>
      <w:r>
        <w:rPr>
          <w:sz w:val="24"/>
        </w:rPr>
        <w:t>A.</w:t>
      </w:r>
      <w:r>
        <w:rPr>
          <w:spacing w:val="-2"/>
          <w:sz w:val="24"/>
        </w:rPr>
        <w:t> </w:t>
      </w:r>
      <w:r>
        <w:rPr>
          <w:sz w:val="24"/>
        </w:rPr>
        <w:t>A.</w:t>
      </w:r>
      <w:r>
        <w:rPr>
          <w:spacing w:val="-2"/>
          <w:sz w:val="24"/>
        </w:rPr>
        <w:t> </w:t>
      </w:r>
      <w:r>
        <w:rPr>
          <w:sz w:val="24"/>
        </w:rPr>
        <w:t>and Adeyeba, O. A. (2014). Detection of Molecular Markers of Antimalarial Drug Resistance in </w:t>
      </w:r>
      <w:r>
        <w:rPr>
          <w:i/>
          <w:sz w:val="24"/>
        </w:rPr>
        <w:t>Plasmodium Falciparum </w:t>
      </w:r>
      <w:r>
        <w:rPr>
          <w:sz w:val="24"/>
        </w:rPr>
        <w:t>from South-Western Nigeria.</w:t>
      </w:r>
      <w:r>
        <w:rPr>
          <w:spacing w:val="40"/>
          <w:sz w:val="24"/>
        </w:rPr>
        <w:t> </w:t>
      </w:r>
      <w:r>
        <w:rPr>
          <w:i/>
          <w:sz w:val="24"/>
        </w:rPr>
        <w:t>Covenant Journal of Physical and</w:t>
      </w:r>
      <w:r>
        <w:rPr>
          <w:i/>
          <w:spacing w:val="40"/>
          <w:sz w:val="24"/>
        </w:rPr>
        <w:t> </w:t>
      </w:r>
      <w:r>
        <w:rPr>
          <w:i/>
          <w:sz w:val="24"/>
        </w:rPr>
        <w:t>Life Sciences</w:t>
      </w:r>
      <w:r>
        <w:rPr>
          <w:sz w:val="24"/>
        </w:rPr>
        <w:t>, 1 (2): 61-75.</w:t>
      </w:r>
    </w:p>
    <w:p>
      <w:pPr>
        <w:pStyle w:val="BodyText"/>
        <w:spacing w:before="137"/>
      </w:pPr>
    </w:p>
    <w:p>
      <w:pPr>
        <w:spacing w:line="360" w:lineRule="auto" w:before="0"/>
        <w:ind w:left="260" w:right="1769" w:firstLine="0"/>
        <w:jc w:val="left"/>
        <w:rPr>
          <w:sz w:val="24"/>
        </w:rPr>
      </w:pPr>
      <w:r>
        <w:rPr>
          <w:sz w:val="24"/>
        </w:rPr>
        <w:t>Olliaro,</w:t>
      </w:r>
      <w:r>
        <w:rPr>
          <w:spacing w:val="-4"/>
          <w:sz w:val="24"/>
        </w:rPr>
        <w:t> </w:t>
      </w:r>
      <w:r>
        <w:rPr>
          <w:sz w:val="24"/>
        </w:rPr>
        <w:t>P.</w:t>
      </w:r>
      <w:r>
        <w:rPr>
          <w:spacing w:val="-4"/>
          <w:sz w:val="24"/>
        </w:rPr>
        <w:t> </w:t>
      </w:r>
      <w:r>
        <w:rPr>
          <w:sz w:val="24"/>
        </w:rPr>
        <w:t>and</w:t>
      </w:r>
      <w:r>
        <w:rPr>
          <w:spacing w:val="-4"/>
          <w:sz w:val="24"/>
        </w:rPr>
        <w:t> </w:t>
      </w:r>
      <w:r>
        <w:rPr>
          <w:sz w:val="24"/>
        </w:rPr>
        <w:t>Mussano,</w:t>
      </w:r>
      <w:r>
        <w:rPr>
          <w:spacing w:val="-4"/>
          <w:sz w:val="24"/>
        </w:rPr>
        <w:t> </w:t>
      </w:r>
      <w:r>
        <w:rPr>
          <w:sz w:val="24"/>
        </w:rPr>
        <w:t>P.</w:t>
      </w:r>
      <w:r>
        <w:rPr>
          <w:spacing w:val="-4"/>
          <w:sz w:val="24"/>
        </w:rPr>
        <w:t> </w:t>
      </w:r>
      <w:r>
        <w:rPr>
          <w:sz w:val="24"/>
        </w:rPr>
        <w:t>(2003).</w:t>
      </w:r>
      <w:r>
        <w:rPr>
          <w:spacing w:val="-4"/>
          <w:sz w:val="24"/>
        </w:rPr>
        <w:t> </w:t>
      </w:r>
      <w:r>
        <w:rPr>
          <w:sz w:val="24"/>
        </w:rPr>
        <w:t>Amodiaquine</w:t>
      </w:r>
      <w:r>
        <w:rPr>
          <w:spacing w:val="-3"/>
          <w:sz w:val="24"/>
        </w:rPr>
        <w:t> </w:t>
      </w:r>
      <w:r>
        <w:rPr>
          <w:sz w:val="24"/>
        </w:rPr>
        <w:t>for</w:t>
      </w:r>
      <w:r>
        <w:rPr>
          <w:spacing w:val="-5"/>
          <w:sz w:val="24"/>
        </w:rPr>
        <w:t> </w:t>
      </w:r>
      <w:r>
        <w:rPr>
          <w:sz w:val="24"/>
        </w:rPr>
        <w:t>treating</w:t>
      </w:r>
      <w:r>
        <w:rPr>
          <w:spacing w:val="-6"/>
          <w:sz w:val="24"/>
        </w:rPr>
        <w:t> </w:t>
      </w:r>
      <w:r>
        <w:rPr>
          <w:sz w:val="24"/>
        </w:rPr>
        <w:t>malaria.</w:t>
      </w:r>
      <w:r>
        <w:rPr>
          <w:spacing w:val="-2"/>
          <w:sz w:val="24"/>
        </w:rPr>
        <w:t> </w:t>
      </w:r>
      <w:r>
        <w:rPr>
          <w:i/>
          <w:sz w:val="24"/>
        </w:rPr>
        <w:t>Cochrane Database</w:t>
      </w:r>
      <w:r>
        <w:rPr>
          <w:i/>
          <w:spacing w:val="-2"/>
          <w:sz w:val="24"/>
        </w:rPr>
        <w:t> </w:t>
      </w:r>
      <w:r>
        <w:rPr>
          <w:i/>
          <w:sz w:val="24"/>
        </w:rPr>
        <w:t>Systematic</w:t>
      </w:r>
      <w:r>
        <w:rPr>
          <w:i/>
          <w:spacing w:val="-2"/>
          <w:sz w:val="24"/>
        </w:rPr>
        <w:t> </w:t>
      </w:r>
      <w:r>
        <w:rPr>
          <w:i/>
          <w:sz w:val="24"/>
        </w:rPr>
        <w:t>Reviews</w:t>
      </w:r>
      <w:r>
        <w:rPr>
          <w:sz w:val="24"/>
        </w:rPr>
        <w:t>, 2:</w:t>
      </w:r>
      <w:r>
        <w:rPr>
          <w:spacing w:val="-11"/>
          <w:sz w:val="24"/>
        </w:rPr>
        <w:t> </w:t>
      </w:r>
      <w:r>
        <w:rPr>
          <w:sz w:val="24"/>
        </w:rPr>
        <w:t>Art.</w:t>
      </w:r>
      <w:r>
        <w:rPr>
          <w:spacing w:val="-1"/>
          <w:sz w:val="24"/>
        </w:rPr>
        <w:t> </w:t>
      </w:r>
      <w:r>
        <w:rPr>
          <w:sz w:val="24"/>
        </w:rPr>
        <w:t>No.: CD000016.</w:t>
      </w:r>
      <w:r>
        <w:rPr>
          <w:spacing w:val="-1"/>
          <w:sz w:val="24"/>
        </w:rPr>
        <w:t> </w:t>
      </w:r>
      <w:r>
        <w:rPr>
          <w:sz w:val="24"/>
        </w:rPr>
        <w:t>DOI:</w:t>
      </w:r>
      <w:r>
        <w:rPr>
          <w:spacing w:val="1"/>
          <w:sz w:val="24"/>
        </w:rPr>
        <w:t> </w:t>
      </w:r>
      <w:r>
        <w:rPr>
          <w:spacing w:val="-2"/>
          <w:sz w:val="24"/>
        </w:rPr>
        <w:t>10.1002/14651858.</w:t>
      </w:r>
    </w:p>
    <w:p>
      <w:pPr>
        <w:pStyle w:val="BodyText"/>
        <w:spacing w:before="139"/>
      </w:pPr>
    </w:p>
    <w:p>
      <w:pPr>
        <w:spacing w:line="360" w:lineRule="auto" w:before="1"/>
        <w:ind w:left="260" w:right="855" w:firstLine="0"/>
        <w:jc w:val="left"/>
        <w:rPr>
          <w:sz w:val="24"/>
        </w:rPr>
      </w:pPr>
      <w:r>
        <w:rPr>
          <w:sz w:val="24"/>
        </w:rPr>
        <w:t>Opeskin,</w:t>
      </w:r>
      <w:r>
        <w:rPr>
          <w:spacing w:val="-3"/>
          <w:sz w:val="24"/>
        </w:rPr>
        <w:t> </w:t>
      </w:r>
      <w:r>
        <w:rPr>
          <w:sz w:val="24"/>
        </w:rPr>
        <w:t>B.</w:t>
      </w:r>
      <w:r>
        <w:rPr>
          <w:spacing w:val="-3"/>
          <w:sz w:val="24"/>
        </w:rPr>
        <w:t> </w:t>
      </w:r>
      <w:r>
        <w:rPr>
          <w:sz w:val="24"/>
        </w:rPr>
        <w:t>R.</w:t>
      </w:r>
      <w:r>
        <w:rPr>
          <w:spacing w:val="-3"/>
          <w:sz w:val="24"/>
        </w:rPr>
        <w:t> </w:t>
      </w:r>
      <w:r>
        <w:rPr>
          <w:sz w:val="24"/>
        </w:rPr>
        <w:t>(2009).</w:t>
      </w:r>
      <w:r>
        <w:rPr>
          <w:spacing w:val="-3"/>
          <w:sz w:val="24"/>
        </w:rPr>
        <w:t> </w:t>
      </w:r>
      <w:r>
        <w:rPr>
          <w:sz w:val="24"/>
        </w:rPr>
        <w:t>Malaria</w:t>
      </w:r>
      <w:r>
        <w:rPr>
          <w:spacing w:val="-3"/>
          <w:sz w:val="24"/>
        </w:rPr>
        <w:t> </w:t>
      </w:r>
      <w:r>
        <w:rPr>
          <w:sz w:val="24"/>
        </w:rPr>
        <w:t>in</w:t>
      </w:r>
      <w:r>
        <w:rPr>
          <w:spacing w:val="-3"/>
          <w:sz w:val="24"/>
        </w:rPr>
        <w:t> </w:t>
      </w:r>
      <w:r>
        <w:rPr>
          <w:sz w:val="24"/>
        </w:rPr>
        <w:t>Pacific</w:t>
      </w:r>
      <w:r>
        <w:rPr>
          <w:spacing w:val="-3"/>
          <w:sz w:val="24"/>
        </w:rPr>
        <w:t> </w:t>
      </w:r>
      <w:r>
        <w:rPr>
          <w:sz w:val="24"/>
        </w:rPr>
        <w:t>populations:</w:t>
      </w:r>
      <w:r>
        <w:rPr>
          <w:spacing w:val="-3"/>
          <w:sz w:val="24"/>
        </w:rPr>
        <w:t> </w:t>
      </w:r>
      <w:r>
        <w:rPr>
          <w:sz w:val="24"/>
        </w:rPr>
        <w:t>seen</w:t>
      </w:r>
      <w:r>
        <w:rPr>
          <w:spacing w:val="-3"/>
          <w:sz w:val="24"/>
        </w:rPr>
        <w:t> </w:t>
      </w:r>
      <w:r>
        <w:rPr>
          <w:sz w:val="24"/>
        </w:rPr>
        <w:t>but</w:t>
      </w:r>
      <w:r>
        <w:rPr>
          <w:spacing w:val="-3"/>
          <w:sz w:val="24"/>
        </w:rPr>
        <w:t> </w:t>
      </w:r>
      <w:r>
        <w:rPr>
          <w:sz w:val="24"/>
        </w:rPr>
        <w:t>not</w:t>
      </w:r>
      <w:r>
        <w:rPr>
          <w:spacing w:val="-3"/>
          <w:sz w:val="24"/>
        </w:rPr>
        <w:t> </w:t>
      </w:r>
      <w:r>
        <w:rPr>
          <w:sz w:val="24"/>
        </w:rPr>
        <w:t>heard?</w:t>
      </w:r>
      <w:r>
        <w:rPr>
          <w:spacing w:val="-1"/>
          <w:sz w:val="24"/>
        </w:rPr>
        <w:t> </w:t>
      </w:r>
      <w:r>
        <w:rPr>
          <w:i/>
          <w:sz w:val="24"/>
        </w:rPr>
        <w:t>Journal</w:t>
      </w:r>
      <w:r>
        <w:rPr>
          <w:i/>
          <w:spacing w:val="-3"/>
          <w:sz w:val="24"/>
        </w:rPr>
        <w:t> </w:t>
      </w:r>
      <w:r>
        <w:rPr>
          <w:i/>
          <w:sz w:val="24"/>
        </w:rPr>
        <w:t>of Population Research </w:t>
      </w:r>
      <w:r>
        <w:rPr>
          <w:sz w:val="24"/>
        </w:rPr>
        <w:t>26 (2): 175–199.</w:t>
      </w:r>
    </w:p>
    <w:p>
      <w:pPr>
        <w:pStyle w:val="BodyText"/>
        <w:spacing w:before="136"/>
      </w:pPr>
    </w:p>
    <w:p>
      <w:pPr>
        <w:spacing w:line="360" w:lineRule="auto" w:before="1"/>
        <w:ind w:left="260" w:right="855" w:firstLine="0"/>
        <w:jc w:val="left"/>
        <w:rPr>
          <w:sz w:val="24"/>
        </w:rPr>
      </w:pPr>
      <w:r>
        <w:rPr>
          <w:sz w:val="24"/>
        </w:rPr>
        <w:t>Oyedeji, S. I., Bassi, P. U., Awobode, H. O. and Olumese, P. E. (2005). Comparative assessment</w:t>
      </w:r>
      <w:r>
        <w:rPr>
          <w:spacing w:val="-3"/>
          <w:sz w:val="24"/>
        </w:rPr>
        <w:t> </w:t>
      </w:r>
      <w:r>
        <w:rPr>
          <w:sz w:val="24"/>
        </w:rPr>
        <w:t>of</w:t>
      </w:r>
      <w:r>
        <w:rPr>
          <w:spacing w:val="-4"/>
          <w:sz w:val="24"/>
        </w:rPr>
        <w:t> </w:t>
      </w:r>
      <w:r>
        <w:rPr>
          <w:i/>
          <w:sz w:val="24"/>
        </w:rPr>
        <w:t>Plasmodium</w:t>
      </w:r>
      <w:r>
        <w:rPr>
          <w:i/>
          <w:spacing w:val="-3"/>
          <w:sz w:val="24"/>
        </w:rPr>
        <w:t> </w:t>
      </w:r>
      <w:r>
        <w:rPr>
          <w:i/>
          <w:sz w:val="24"/>
        </w:rPr>
        <w:t>falciparum</w:t>
      </w:r>
      <w:r>
        <w:rPr>
          <w:i/>
          <w:spacing w:val="-3"/>
          <w:sz w:val="24"/>
        </w:rPr>
        <w:t> </w:t>
      </w:r>
      <w:r>
        <w:rPr>
          <w:sz w:val="24"/>
        </w:rPr>
        <w:t>sensitivity</w:t>
      </w:r>
      <w:r>
        <w:rPr>
          <w:spacing w:val="-9"/>
          <w:sz w:val="24"/>
        </w:rPr>
        <w:t> </w:t>
      </w:r>
      <w:r>
        <w:rPr>
          <w:sz w:val="24"/>
        </w:rPr>
        <w:t>to</w:t>
      </w:r>
      <w:r>
        <w:rPr>
          <w:spacing w:val="-3"/>
          <w:sz w:val="24"/>
        </w:rPr>
        <w:t> </w:t>
      </w:r>
      <w:r>
        <w:rPr>
          <w:sz w:val="24"/>
        </w:rPr>
        <w:t>chloroquine</w:t>
      </w:r>
      <w:r>
        <w:rPr>
          <w:spacing w:val="-3"/>
          <w:sz w:val="24"/>
        </w:rPr>
        <w:t> </w:t>
      </w:r>
      <w:r>
        <w:rPr>
          <w:sz w:val="24"/>
        </w:rPr>
        <w:t>and</w:t>
      </w:r>
      <w:r>
        <w:rPr>
          <w:spacing w:val="-3"/>
          <w:sz w:val="24"/>
        </w:rPr>
        <w:t> </w:t>
      </w:r>
      <w:r>
        <w:rPr>
          <w:sz w:val="24"/>
        </w:rPr>
        <w:t>amodiaquine</w:t>
      </w:r>
      <w:r>
        <w:rPr>
          <w:spacing w:val="-2"/>
          <w:sz w:val="24"/>
        </w:rPr>
        <w:t> </w:t>
      </w:r>
      <w:r>
        <w:rPr>
          <w:i/>
          <w:sz w:val="24"/>
        </w:rPr>
        <w:t>in</w:t>
      </w:r>
      <w:r>
        <w:rPr>
          <w:i/>
          <w:spacing w:val="-3"/>
          <w:sz w:val="24"/>
        </w:rPr>
        <w:t> </w:t>
      </w:r>
      <w:r>
        <w:rPr>
          <w:i/>
          <w:sz w:val="24"/>
        </w:rPr>
        <w:t>vitro</w:t>
      </w:r>
      <w:r>
        <w:rPr>
          <w:sz w:val="24"/>
        </w:rPr>
        <w:t>. </w:t>
      </w:r>
      <w:r>
        <w:rPr>
          <w:i/>
          <w:sz w:val="24"/>
        </w:rPr>
        <w:t>African Journal of Biotechnology</w:t>
      </w:r>
      <w:r>
        <w:rPr>
          <w:sz w:val="24"/>
        </w:rPr>
        <w:t>, 4(11): 1317-1320.</w:t>
      </w:r>
    </w:p>
    <w:p>
      <w:pPr>
        <w:pStyle w:val="BodyText"/>
        <w:spacing w:before="138"/>
      </w:pPr>
    </w:p>
    <w:p>
      <w:pPr>
        <w:pStyle w:val="BodyText"/>
        <w:spacing w:line="360" w:lineRule="auto"/>
        <w:ind w:left="260" w:right="855"/>
      </w:pPr>
      <w:r>
        <w:rPr/>
        <w:t>O’Meara,</w:t>
      </w:r>
      <w:r>
        <w:rPr>
          <w:spacing w:val="-3"/>
        </w:rPr>
        <w:t> </w:t>
      </w:r>
      <w:r>
        <w:rPr/>
        <w:t>W.</w:t>
      </w:r>
      <w:r>
        <w:rPr>
          <w:spacing w:val="-3"/>
        </w:rPr>
        <w:t> </w:t>
      </w:r>
      <w:r>
        <w:rPr/>
        <w:t>P.,</w:t>
      </w:r>
      <w:r>
        <w:rPr>
          <w:spacing w:val="-3"/>
        </w:rPr>
        <w:t> </w:t>
      </w:r>
      <w:r>
        <w:rPr/>
        <w:t>Mangeni,</w:t>
      </w:r>
      <w:r>
        <w:rPr>
          <w:spacing w:val="-3"/>
        </w:rPr>
        <w:t> </w:t>
      </w:r>
      <w:r>
        <w:rPr/>
        <w:t>J.</w:t>
      </w:r>
      <w:r>
        <w:rPr>
          <w:spacing w:val="-3"/>
        </w:rPr>
        <w:t> </w:t>
      </w:r>
      <w:r>
        <w:rPr/>
        <w:t>N.,</w:t>
      </w:r>
      <w:r>
        <w:rPr>
          <w:spacing w:val="-3"/>
        </w:rPr>
        <w:t> </w:t>
      </w:r>
      <w:r>
        <w:rPr/>
        <w:t>Steketee,</w:t>
      </w:r>
      <w:r>
        <w:rPr>
          <w:spacing w:val="-3"/>
        </w:rPr>
        <w:t> </w:t>
      </w:r>
      <w:r>
        <w:rPr/>
        <w:t>R.</w:t>
      </w:r>
      <w:r>
        <w:rPr>
          <w:spacing w:val="-3"/>
        </w:rPr>
        <w:t> </w:t>
      </w:r>
      <w:r>
        <w:rPr/>
        <w:t>and</w:t>
      </w:r>
      <w:r>
        <w:rPr>
          <w:spacing w:val="-2"/>
        </w:rPr>
        <w:t> </w:t>
      </w:r>
      <w:r>
        <w:rPr/>
        <w:t>Greenwood,</w:t>
      </w:r>
      <w:r>
        <w:rPr>
          <w:spacing w:val="-3"/>
        </w:rPr>
        <w:t> </w:t>
      </w:r>
      <w:r>
        <w:rPr/>
        <w:t>B.</w:t>
      </w:r>
      <w:r>
        <w:rPr>
          <w:spacing w:val="-1"/>
        </w:rPr>
        <w:t> </w:t>
      </w:r>
      <w:r>
        <w:rPr/>
        <w:t>(2010).</w:t>
      </w:r>
      <w:r>
        <w:rPr>
          <w:spacing w:val="-1"/>
        </w:rPr>
        <w:t> </w:t>
      </w:r>
      <w:r>
        <w:rPr/>
        <w:t>Changes</w:t>
      </w:r>
      <w:r>
        <w:rPr>
          <w:spacing w:val="-3"/>
        </w:rPr>
        <w:t> </w:t>
      </w:r>
      <w:r>
        <w:rPr/>
        <w:t>in</w:t>
      </w:r>
      <w:r>
        <w:rPr>
          <w:spacing w:val="-3"/>
        </w:rPr>
        <w:t> </w:t>
      </w:r>
      <w:r>
        <w:rPr/>
        <w:t>the burden of malaria in sub-Saharan Africa. </w:t>
      </w:r>
      <w:r>
        <w:rPr>
          <w:i/>
        </w:rPr>
        <w:t>Lancet Infectious Disease, </w:t>
      </w:r>
      <w:r>
        <w:rPr/>
        <w:t>10</w:t>
      </w:r>
      <w:r>
        <w:rPr>
          <w:b/>
        </w:rPr>
        <w:t>: </w:t>
      </w:r>
      <w:r>
        <w:rPr/>
        <w:t>545-555.</w:t>
      </w:r>
    </w:p>
    <w:p>
      <w:pPr>
        <w:pStyle w:val="BodyText"/>
        <w:spacing w:before="139"/>
      </w:pPr>
    </w:p>
    <w:p>
      <w:pPr>
        <w:pStyle w:val="BodyText"/>
        <w:spacing w:before="1"/>
        <w:ind w:left="260"/>
        <w:jc w:val="both"/>
      </w:pPr>
      <w:r>
        <w:rPr/>
        <w:t>Peters,</w:t>
      </w:r>
      <w:r>
        <w:rPr>
          <w:spacing w:val="-4"/>
        </w:rPr>
        <w:t> </w:t>
      </w:r>
      <w:r>
        <w:rPr/>
        <w:t>W.</w:t>
      </w:r>
      <w:r>
        <w:rPr>
          <w:spacing w:val="-1"/>
        </w:rPr>
        <w:t> </w:t>
      </w:r>
      <w:r>
        <w:rPr/>
        <w:t>(1970).</w:t>
      </w:r>
      <w:r>
        <w:rPr>
          <w:spacing w:val="-3"/>
        </w:rPr>
        <w:t> </w:t>
      </w:r>
      <w:r>
        <w:rPr/>
        <w:t>Chemotherapy</w:t>
      </w:r>
      <w:r>
        <w:rPr>
          <w:spacing w:val="-6"/>
        </w:rPr>
        <w:t> </w:t>
      </w:r>
      <w:r>
        <w:rPr/>
        <w:t>and Drug</w:t>
      </w:r>
      <w:r>
        <w:rPr>
          <w:spacing w:val="-4"/>
        </w:rPr>
        <w:t> </w:t>
      </w:r>
      <w:r>
        <w:rPr/>
        <w:t>Resistance</w:t>
      </w:r>
      <w:r>
        <w:rPr>
          <w:spacing w:val="-3"/>
        </w:rPr>
        <w:t> </w:t>
      </w:r>
      <w:r>
        <w:rPr/>
        <w:t>in</w:t>
      </w:r>
      <w:r>
        <w:rPr>
          <w:spacing w:val="-1"/>
        </w:rPr>
        <w:t> </w:t>
      </w:r>
      <w:r>
        <w:rPr/>
        <w:t>Malaria. London,</w:t>
      </w:r>
      <w:r>
        <w:rPr>
          <w:spacing w:val="1"/>
        </w:rPr>
        <w:t> </w:t>
      </w:r>
      <w:r>
        <w:rPr/>
        <w:t>Academic</w:t>
      </w:r>
      <w:r>
        <w:rPr>
          <w:spacing w:val="-2"/>
        </w:rPr>
        <w:t> Press,</w:t>
      </w:r>
    </w:p>
    <w:p>
      <w:pPr>
        <w:pStyle w:val="BodyText"/>
        <w:spacing w:before="136"/>
        <w:ind w:left="260"/>
      </w:pPr>
      <w:r>
        <w:rPr/>
        <w:t>pp. </w:t>
      </w:r>
      <w:r>
        <w:rPr>
          <w:spacing w:val="-2"/>
        </w:rPr>
        <w:t>540–601.</w:t>
      </w:r>
    </w:p>
    <w:p>
      <w:pPr>
        <w:pStyle w:val="BodyText"/>
      </w:pPr>
    </w:p>
    <w:p>
      <w:pPr>
        <w:pStyle w:val="BodyText"/>
        <w:spacing w:before="1"/>
      </w:pPr>
    </w:p>
    <w:p>
      <w:pPr>
        <w:spacing w:line="360" w:lineRule="auto" w:before="0"/>
        <w:ind w:left="260" w:right="1769" w:firstLine="24"/>
        <w:jc w:val="left"/>
        <w:rPr>
          <w:sz w:val="24"/>
        </w:rPr>
      </w:pPr>
      <w:r>
        <w:rPr>
          <w:sz w:val="24"/>
        </w:rPr>
        <w:t>Philips,</w:t>
      </w:r>
      <w:r>
        <w:rPr>
          <w:spacing w:val="-3"/>
          <w:sz w:val="24"/>
        </w:rPr>
        <w:t> </w:t>
      </w:r>
      <w:r>
        <w:rPr>
          <w:sz w:val="24"/>
        </w:rPr>
        <w:t>R.</w:t>
      </w:r>
      <w:r>
        <w:rPr>
          <w:spacing w:val="-6"/>
          <w:sz w:val="24"/>
        </w:rPr>
        <w:t> </w:t>
      </w:r>
      <w:r>
        <w:rPr>
          <w:sz w:val="24"/>
        </w:rPr>
        <w:t>S.</w:t>
      </w:r>
      <w:r>
        <w:rPr>
          <w:spacing w:val="-3"/>
          <w:sz w:val="24"/>
        </w:rPr>
        <w:t> </w:t>
      </w:r>
      <w:r>
        <w:rPr>
          <w:sz w:val="24"/>
        </w:rPr>
        <w:t>(2001).</w:t>
      </w:r>
      <w:r>
        <w:rPr>
          <w:spacing w:val="-3"/>
          <w:sz w:val="24"/>
        </w:rPr>
        <w:t> </w:t>
      </w:r>
      <w:r>
        <w:rPr>
          <w:sz w:val="24"/>
        </w:rPr>
        <w:t>Current</w:t>
      </w:r>
      <w:r>
        <w:rPr>
          <w:spacing w:val="-3"/>
          <w:sz w:val="24"/>
        </w:rPr>
        <w:t> </w:t>
      </w:r>
      <w:r>
        <w:rPr>
          <w:sz w:val="24"/>
        </w:rPr>
        <w:t>status</w:t>
      </w:r>
      <w:r>
        <w:rPr>
          <w:spacing w:val="-3"/>
          <w:sz w:val="24"/>
        </w:rPr>
        <w:t> </w:t>
      </w:r>
      <w:r>
        <w:rPr>
          <w:sz w:val="24"/>
        </w:rPr>
        <w:t>for</w:t>
      </w:r>
      <w:r>
        <w:rPr>
          <w:spacing w:val="-4"/>
          <w:sz w:val="24"/>
        </w:rPr>
        <w:t> </w:t>
      </w:r>
      <w:r>
        <w:rPr>
          <w:sz w:val="24"/>
        </w:rPr>
        <w:t>malaria</w:t>
      </w:r>
      <w:r>
        <w:rPr>
          <w:spacing w:val="-5"/>
          <w:sz w:val="24"/>
        </w:rPr>
        <w:t> </w:t>
      </w:r>
      <w:r>
        <w:rPr>
          <w:sz w:val="24"/>
        </w:rPr>
        <w:t>and</w:t>
      </w:r>
      <w:r>
        <w:rPr>
          <w:spacing w:val="-3"/>
          <w:sz w:val="24"/>
        </w:rPr>
        <w:t> </w:t>
      </w:r>
      <w:r>
        <w:rPr>
          <w:sz w:val="24"/>
        </w:rPr>
        <w:t>potential</w:t>
      </w:r>
      <w:r>
        <w:rPr>
          <w:spacing w:val="-3"/>
          <w:sz w:val="24"/>
        </w:rPr>
        <w:t> </w:t>
      </w:r>
      <w:r>
        <w:rPr>
          <w:sz w:val="24"/>
        </w:rPr>
        <w:t>for</w:t>
      </w:r>
      <w:r>
        <w:rPr>
          <w:spacing w:val="-4"/>
          <w:sz w:val="24"/>
        </w:rPr>
        <w:t> </w:t>
      </w:r>
      <w:r>
        <w:rPr>
          <w:sz w:val="24"/>
        </w:rPr>
        <w:t>control. </w:t>
      </w:r>
      <w:r>
        <w:rPr>
          <w:i/>
          <w:sz w:val="24"/>
        </w:rPr>
        <w:t>Clinical Microbiology Reviews, </w:t>
      </w:r>
      <w:r>
        <w:rPr>
          <w:sz w:val="24"/>
        </w:rPr>
        <w:t>14: 208-226.</w:t>
      </w:r>
    </w:p>
    <w:p>
      <w:pPr>
        <w:spacing w:after="0" w:line="360" w:lineRule="auto"/>
        <w:jc w:val="left"/>
        <w:rPr>
          <w:sz w:val="24"/>
        </w:rPr>
        <w:sectPr>
          <w:pgSz w:w="11910" w:h="16840"/>
          <w:pgMar w:header="0" w:footer="1254" w:top="1340" w:bottom="1440" w:left="1180" w:right="580"/>
        </w:sectPr>
      </w:pPr>
    </w:p>
    <w:p>
      <w:pPr>
        <w:pStyle w:val="BodyText"/>
        <w:spacing w:line="360" w:lineRule="auto" w:before="69"/>
        <w:ind w:left="260" w:right="855"/>
      </w:pPr>
      <w:r>
        <w:rPr>
          <w:color w:val="2B2D34"/>
        </w:rPr>
        <w:t>Phompradit, P., Wisedpanichkij, R., Muhamad, P., Chaijaroenkul, W., Na-Bangchang, K. (2011).</w:t>
      </w:r>
      <w:r>
        <w:rPr>
          <w:color w:val="2B2D34"/>
          <w:spacing w:val="-4"/>
        </w:rPr>
        <w:t> </w:t>
      </w:r>
      <w:r>
        <w:rPr>
          <w:color w:val="2B2D34"/>
        </w:rPr>
        <w:t>Molecular</w:t>
      </w:r>
      <w:r>
        <w:rPr>
          <w:color w:val="2B2D34"/>
          <w:spacing w:val="-4"/>
        </w:rPr>
        <w:t> </w:t>
      </w:r>
      <w:r>
        <w:rPr>
          <w:color w:val="2B2D34"/>
        </w:rPr>
        <w:t>analysis</w:t>
      </w:r>
      <w:r>
        <w:rPr>
          <w:color w:val="2B2D34"/>
          <w:spacing w:val="-4"/>
        </w:rPr>
        <w:t> </w:t>
      </w:r>
      <w:r>
        <w:rPr>
          <w:color w:val="2B2D34"/>
        </w:rPr>
        <w:t>of</w:t>
      </w:r>
      <w:r>
        <w:rPr>
          <w:color w:val="2B2D34"/>
          <w:spacing w:val="-4"/>
        </w:rPr>
        <w:t> </w:t>
      </w:r>
      <w:r>
        <w:rPr>
          <w:color w:val="2B2D34"/>
        </w:rPr>
        <w:t>pfatp6</w:t>
      </w:r>
      <w:r>
        <w:rPr>
          <w:color w:val="2B2D34"/>
          <w:spacing w:val="-4"/>
        </w:rPr>
        <w:t> </w:t>
      </w:r>
      <w:r>
        <w:rPr>
          <w:color w:val="2B2D34"/>
        </w:rPr>
        <w:t>and</w:t>
      </w:r>
      <w:r>
        <w:rPr>
          <w:color w:val="2B2D34"/>
          <w:spacing w:val="-4"/>
        </w:rPr>
        <w:t> </w:t>
      </w:r>
      <w:r>
        <w:rPr>
          <w:color w:val="2B2D34"/>
        </w:rPr>
        <w:t>pfmdr1</w:t>
      </w:r>
      <w:r>
        <w:rPr>
          <w:color w:val="2B2D34"/>
          <w:spacing w:val="-4"/>
        </w:rPr>
        <w:t> </w:t>
      </w:r>
      <w:r>
        <w:rPr>
          <w:color w:val="2B2D34"/>
        </w:rPr>
        <w:t>polymorphismsand</w:t>
      </w:r>
      <w:r>
        <w:rPr>
          <w:color w:val="2B2D34"/>
          <w:spacing w:val="-4"/>
        </w:rPr>
        <w:t> </w:t>
      </w:r>
      <w:r>
        <w:rPr>
          <w:color w:val="2B2D34"/>
        </w:rPr>
        <w:t>their</w:t>
      </w:r>
      <w:r>
        <w:rPr>
          <w:color w:val="2B2D34"/>
          <w:spacing w:val="-5"/>
        </w:rPr>
        <w:t> </w:t>
      </w:r>
      <w:r>
        <w:rPr>
          <w:color w:val="2B2D34"/>
        </w:rPr>
        <w:t>association</w:t>
      </w:r>
      <w:r>
        <w:rPr>
          <w:color w:val="2B2D34"/>
          <w:spacing w:val="-4"/>
        </w:rPr>
        <w:t> </w:t>
      </w:r>
      <w:r>
        <w:rPr>
          <w:color w:val="2B2D34"/>
        </w:rPr>
        <w:t>with </w:t>
      </w:r>
      <w:r>
        <w:rPr>
          <w:i/>
          <w:color w:val="2B2D34"/>
        </w:rPr>
        <w:t>in vitro </w:t>
      </w:r>
      <w:r>
        <w:rPr>
          <w:color w:val="2B2D34"/>
        </w:rPr>
        <w:t>sensitivity in </w:t>
      </w:r>
      <w:r>
        <w:rPr>
          <w:i/>
          <w:color w:val="2B2D34"/>
        </w:rPr>
        <w:t>Plasmodium falciparum </w:t>
      </w:r>
      <w:r>
        <w:rPr>
          <w:color w:val="2B2D34"/>
        </w:rPr>
        <w:t>isolates from the Thai-Myanmar border. </w:t>
      </w:r>
      <w:r>
        <w:rPr>
          <w:i/>
          <w:color w:val="2B2D34"/>
        </w:rPr>
        <w:t>Acta Tropics</w:t>
      </w:r>
      <w:r>
        <w:rPr>
          <w:color w:val="2B2D34"/>
        </w:rPr>
        <w:t>, 120:130-135.</w:t>
      </w:r>
    </w:p>
    <w:p>
      <w:pPr>
        <w:pStyle w:val="BodyText"/>
        <w:spacing w:before="139"/>
      </w:pPr>
    </w:p>
    <w:p>
      <w:pPr>
        <w:pStyle w:val="BodyText"/>
        <w:spacing w:line="360" w:lineRule="auto"/>
        <w:ind w:left="260" w:right="942"/>
      </w:pPr>
      <w:r>
        <w:rPr/>
        <w:t>Purfield, A., Nelson, A., Laoboonchai, A., Congpuong, K., McDaniel, P., Miller, R. S., Welch, K., Wongsrichanalai, C. and Meshnick, S. R. (2004). A new method for detection of pfmdr1</w:t>
      </w:r>
      <w:r>
        <w:rPr>
          <w:spacing w:val="-3"/>
        </w:rPr>
        <w:t> </w:t>
      </w:r>
      <w:r>
        <w:rPr/>
        <w:t>mutations</w:t>
      </w:r>
      <w:r>
        <w:rPr>
          <w:spacing w:val="-3"/>
        </w:rPr>
        <w:t> </w:t>
      </w:r>
      <w:r>
        <w:rPr/>
        <w:t>in</w:t>
      </w:r>
      <w:r>
        <w:rPr>
          <w:spacing w:val="-3"/>
        </w:rPr>
        <w:t> </w:t>
      </w:r>
      <w:r>
        <w:rPr/>
        <w:t>Plasmodium</w:t>
      </w:r>
      <w:r>
        <w:rPr>
          <w:spacing w:val="-3"/>
        </w:rPr>
        <w:t> </w:t>
      </w:r>
      <w:r>
        <w:rPr/>
        <w:t>falciparum</w:t>
      </w:r>
      <w:r>
        <w:rPr>
          <w:spacing w:val="-3"/>
        </w:rPr>
        <w:t> </w:t>
      </w:r>
      <w:r>
        <w:rPr/>
        <w:t>DNA</w:t>
      </w:r>
      <w:r>
        <w:rPr>
          <w:spacing w:val="-2"/>
        </w:rPr>
        <w:t> </w:t>
      </w:r>
      <w:r>
        <w:rPr/>
        <w:t>using</w:t>
      </w:r>
      <w:r>
        <w:rPr>
          <w:spacing w:val="-5"/>
        </w:rPr>
        <w:t> </w:t>
      </w:r>
      <w:r>
        <w:rPr/>
        <w:t>real-time</w:t>
      </w:r>
      <w:r>
        <w:rPr>
          <w:spacing w:val="-3"/>
        </w:rPr>
        <w:t> </w:t>
      </w:r>
      <w:r>
        <w:rPr/>
        <w:t>PCR.</w:t>
      </w:r>
      <w:r>
        <w:rPr>
          <w:spacing w:val="-2"/>
        </w:rPr>
        <w:t> </w:t>
      </w:r>
      <w:r>
        <w:rPr>
          <w:i/>
        </w:rPr>
        <w:t>Malaria</w:t>
      </w:r>
      <w:r>
        <w:rPr>
          <w:i/>
          <w:spacing w:val="-3"/>
        </w:rPr>
        <w:t> </w:t>
      </w:r>
      <w:r>
        <w:rPr>
          <w:i/>
        </w:rPr>
        <w:t>Journal</w:t>
      </w:r>
      <w:r>
        <w:rPr/>
        <w:t>,</w:t>
      </w:r>
      <w:r>
        <w:rPr>
          <w:spacing w:val="-3"/>
        </w:rPr>
        <w:t> </w:t>
      </w:r>
      <w:r>
        <w:rPr/>
        <w:t>3: </w:t>
      </w:r>
      <w:r>
        <w:rPr>
          <w:spacing w:val="-4"/>
        </w:rPr>
        <w:t>9-14</w:t>
      </w:r>
    </w:p>
    <w:p>
      <w:pPr>
        <w:pStyle w:val="BodyText"/>
        <w:spacing w:before="138"/>
      </w:pPr>
    </w:p>
    <w:p>
      <w:pPr>
        <w:pStyle w:val="BodyText"/>
        <w:spacing w:line="360" w:lineRule="auto"/>
        <w:ind w:left="260" w:right="855"/>
      </w:pPr>
      <w:r>
        <w:rPr/>
        <w:t>Reed, M. B., Saliba, K. J., Caruana, S. R., Kirk, K. and Cowman, A. F. (2000). Pgh1 modulates</w:t>
      </w:r>
      <w:r>
        <w:rPr>
          <w:spacing w:val="-4"/>
        </w:rPr>
        <w:t> </w:t>
      </w:r>
      <w:r>
        <w:rPr/>
        <w:t>sensitivity</w:t>
      </w:r>
      <w:r>
        <w:rPr>
          <w:spacing w:val="-9"/>
        </w:rPr>
        <w:t> </w:t>
      </w:r>
      <w:r>
        <w:rPr/>
        <w:t>and</w:t>
      </w:r>
      <w:r>
        <w:rPr>
          <w:spacing w:val="-2"/>
        </w:rPr>
        <w:t> </w:t>
      </w:r>
      <w:r>
        <w:rPr/>
        <w:t>resistance</w:t>
      </w:r>
      <w:r>
        <w:rPr>
          <w:spacing w:val="-5"/>
        </w:rPr>
        <w:t> </w:t>
      </w:r>
      <w:r>
        <w:rPr/>
        <w:t>to</w:t>
      </w:r>
      <w:r>
        <w:rPr>
          <w:spacing w:val="-4"/>
        </w:rPr>
        <w:t> </w:t>
      </w:r>
      <w:r>
        <w:rPr/>
        <w:t>multiple</w:t>
      </w:r>
      <w:r>
        <w:rPr>
          <w:spacing w:val="-5"/>
        </w:rPr>
        <w:t> </w:t>
      </w:r>
      <w:r>
        <w:rPr/>
        <w:t>antimalarials</w:t>
      </w:r>
      <w:r>
        <w:rPr>
          <w:spacing w:val="-4"/>
        </w:rPr>
        <w:t> </w:t>
      </w:r>
      <w:r>
        <w:rPr/>
        <w:t>in </w:t>
      </w:r>
      <w:r>
        <w:rPr>
          <w:i/>
        </w:rPr>
        <w:t>Plasmodium</w:t>
      </w:r>
      <w:r>
        <w:rPr>
          <w:i/>
          <w:spacing w:val="-4"/>
        </w:rPr>
        <w:t> </w:t>
      </w:r>
      <w:r>
        <w:rPr>
          <w:i/>
        </w:rPr>
        <w:t>falciparum</w:t>
      </w:r>
      <w:r>
        <w:rPr/>
        <w:t>. </w:t>
      </w:r>
      <w:r>
        <w:rPr>
          <w:i/>
        </w:rPr>
        <w:t>Nature</w:t>
      </w:r>
      <w:r>
        <w:rPr/>
        <w:t>, 403: 906-909.</w:t>
      </w:r>
    </w:p>
    <w:p>
      <w:pPr>
        <w:pStyle w:val="BodyText"/>
        <w:spacing w:before="138"/>
      </w:pPr>
    </w:p>
    <w:p>
      <w:pPr>
        <w:spacing w:line="360" w:lineRule="auto" w:before="0"/>
        <w:ind w:left="260" w:right="843" w:firstLine="0"/>
        <w:jc w:val="left"/>
        <w:rPr>
          <w:sz w:val="24"/>
        </w:rPr>
      </w:pPr>
      <w:r>
        <w:rPr>
          <w:sz w:val="24"/>
        </w:rPr>
        <w:t>Riley,</w:t>
      </w:r>
      <w:r>
        <w:rPr>
          <w:spacing w:val="-3"/>
          <w:sz w:val="24"/>
        </w:rPr>
        <w:t> </w:t>
      </w:r>
      <w:r>
        <w:rPr>
          <w:sz w:val="24"/>
        </w:rPr>
        <w:t>J.</w:t>
      </w:r>
      <w:r>
        <w:rPr>
          <w:spacing w:val="-3"/>
          <w:sz w:val="24"/>
        </w:rPr>
        <w:t> </w:t>
      </w:r>
      <w:r>
        <w:rPr>
          <w:sz w:val="24"/>
        </w:rPr>
        <w:t>F.</w:t>
      </w:r>
      <w:r>
        <w:rPr>
          <w:spacing w:val="-3"/>
          <w:sz w:val="24"/>
        </w:rPr>
        <w:t> </w:t>
      </w:r>
      <w:r>
        <w:rPr>
          <w:sz w:val="24"/>
        </w:rPr>
        <w:t>and</w:t>
      </w:r>
      <w:r>
        <w:rPr>
          <w:spacing w:val="-3"/>
          <w:sz w:val="24"/>
        </w:rPr>
        <w:t> </w:t>
      </w:r>
      <w:r>
        <w:rPr>
          <w:sz w:val="24"/>
        </w:rPr>
        <w:t>Peters,</w:t>
      </w:r>
      <w:r>
        <w:rPr>
          <w:spacing w:val="-3"/>
          <w:sz w:val="24"/>
        </w:rPr>
        <w:t> </w:t>
      </w:r>
      <w:r>
        <w:rPr>
          <w:sz w:val="24"/>
        </w:rPr>
        <w:t>W.</w:t>
      </w:r>
      <w:r>
        <w:rPr>
          <w:spacing w:val="-3"/>
          <w:sz w:val="24"/>
        </w:rPr>
        <w:t> </w:t>
      </w:r>
      <w:r>
        <w:rPr>
          <w:sz w:val="24"/>
        </w:rPr>
        <w:t>(1970).</w:t>
      </w:r>
      <w:r>
        <w:rPr>
          <w:spacing w:val="-2"/>
          <w:sz w:val="24"/>
        </w:rPr>
        <w:t> </w:t>
      </w:r>
      <w:r>
        <w:rPr>
          <w:sz w:val="24"/>
        </w:rPr>
        <w:t>The</w:t>
      </w:r>
      <w:r>
        <w:rPr>
          <w:spacing w:val="-3"/>
          <w:sz w:val="24"/>
        </w:rPr>
        <w:t> </w:t>
      </w:r>
      <w:r>
        <w:rPr>
          <w:sz w:val="24"/>
        </w:rPr>
        <w:t>antimalarial</w:t>
      </w:r>
      <w:r>
        <w:rPr>
          <w:spacing w:val="-3"/>
          <w:sz w:val="24"/>
        </w:rPr>
        <w:t> </w:t>
      </w:r>
      <w:r>
        <w:rPr>
          <w:sz w:val="24"/>
        </w:rPr>
        <w:t>activity</w:t>
      </w:r>
      <w:r>
        <w:rPr>
          <w:spacing w:val="-7"/>
          <w:sz w:val="24"/>
        </w:rPr>
        <w:t> </w:t>
      </w:r>
      <w:r>
        <w:rPr>
          <w:sz w:val="24"/>
        </w:rPr>
        <w:t>of</w:t>
      </w:r>
      <w:r>
        <w:rPr>
          <w:spacing w:val="-3"/>
          <w:sz w:val="24"/>
        </w:rPr>
        <w:t> </w:t>
      </w:r>
      <w:r>
        <w:rPr>
          <w:sz w:val="24"/>
        </w:rPr>
        <w:t>some</w:t>
      </w:r>
      <w:r>
        <w:rPr>
          <w:spacing w:val="-4"/>
          <w:sz w:val="24"/>
        </w:rPr>
        <w:t> </w:t>
      </w:r>
      <w:r>
        <w:rPr>
          <w:sz w:val="24"/>
        </w:rPr>
        <w:t>quinolone</w:t>
      </w:r>
      <w:r>
        <w:rPr>
          <w:spacing w:val="-4"/>
          <w:sz w:val="24"/>
        </w:rPr>
        <w:t> </w:t>
      </w:r>
      <w:r>
        <w:rPr>
          <w:sz w:val="24"/>
        </w:rPr>
        <w:t>esters.</w:t>
      </w:r>
      <w:r>
        <w:rPr>
          <w:spacing w:val="40"/>
          <w:sz w:val="24"/>
        </w:rPr>
        <w:t> </w:t>
      </w:r>
      <w:r>
        <w:rPr>
          <w:i/>
          <w:sz w:val="24"/>
        </w:rPr>
        <w:t>Annals Tropical Medicine Parasitology</w:t>
      </w:r>
      <w:r>
        <w:rPr>
          <w:sz w:val="24"/>
        </w:rPr>
        <w:t>, 64 (2): 209 – 222</w:t>
      </w:r>
    </w:p>
    <w:p>
      <w:pPr>
        <w:pStyle w:val="BodyText"/>
        <w:spacing w:before="139"/>
      </w:pPr>
    </w:p>
    <w:p>
      <w:pPr>
        <w:pStyle w:val="BodyText"/>
        <w:spacing w:before="1"/>
        <w:ind w:left="260"/>
        <w:jc w:val="both"/>
      </w:pPr>
      <w:r>
        <w:rPr/>
        <w:t>Russell,</w:t>
      </w:r>
      <w:r>
        <w:rPr>
          <w:spacing w:val="-2"/>
        </w:rPr>
        <w:t> </w:t>
      </w:r>
      <w:r>
        <w:rPr/>
        <w:t>B</w:t>
      </w:r>
      <w:r>
        <w:rPr>
          <w:spacing w:val="-4"/>
        </w:rPr>
        <w:t> </w:t>
      </w:r>
      <w:r>
        <w:rPr/>
        <w:t>.,</w:t>
      </w:r>
      <w:r>
        <w:rPr>
          <w:spacing w:val="-2"/>
        </w:rPr>
        <w:t> </w:t>
      </w:r>
      <w:r>
        <w:rPr/>
        <w:t>Malleret, B.,</w:t>
      </w:r>
      <w:r>
        <w:rPr>
          <w:spacing w:val="1"/>
        </w:rPr>
        <w:t> </w:t>
      </w:r>
      <w:r>
        <w:rPr/>
        <w:t>Suwanarusk,</w:t>
      </w:r>
      <w:r>
        <w:rPr>
          <w:spacing w:val="-2"/>
        </w:rPr>
        <w:t> </w:t>
      </w:r>
      <w:r>
        <w:rPr/>
        <w:t>R.,</w:t>
      </w:r>
      <w:r>
        <w:rPr>
          <w:spacing w:val="-2"/>
        </w:rPr>
        <w:t> </w:t>
      </w:r>
      <w:r>
        <w:rPr/>
        <w:t>Anthony, C.,</w:t>
      </w:r>
      <w:r>
        <w:rPr>
          <w:spacing w:val="-2"/>
        </w:rPr>
        <w:t> </w:t>
      </w:r>
      <w:r>
        <w:rPr/>
        <w:t>Kanlaya,</w:t>
      </w:r>
      <w:r>
        <w:rPr>
          <w:spacing w:val="-1"/>
        </w:rPr>
        <w:t> </w:t>
      </w:r>
      <w:r>
        <w:rPr/>
        <w:t>S., Lau, Y.</w:t>
      </w:r>
      <w:r>
        <w:rPr>
          <w:spacing w:val="-1"/>
        </w:rPr>
        <w:t> </w:t>
      </w:r>
      <w:r>
        <w:rPr/>
        <w:t>L.,</w:t>
      </w:r>
      <w:r>
        <w:rPr>
          <w:spacing w:val="-1"/>
        </w:rPr>
        <w:t> </w:t>
      </w:r>
      <w:r>
        <w:rPr>
          <w:spacing w:val="-2"/>
        </w:rPr>
        <w:t>Woodrow,</w:t>
      </w:r>
    </w:p>
    <w:p>
      <w:pPr>
        <w:spacing w:line="360" w:lineRule="auto" w:before="135"/>
        <w:ind w:left="260" w:right="2166" w:firstLine="0"/>
        <w:jc w:val="both"/>
        <w:rPr>
          <w:sz w:val="24"/>
        </w:rPr>
      </w:pPr>
      <w:r>
        <w:rPr>
          <w:sz w:val="24"/>
        </w:rPr>
        <w:t>C. J., Nosten, F., and Renia, L. (2013). Field </w:t>
      </w:r>
      <w:r>
        <w:rPr>
          <w:rFonts w:ascii="Cambria Math" w:hAnsi="Cambria Math"/>
          <w:sz w:val="24"/>
        </w:rPr>
        <w:t>‐ </w:t>
      </w:r>
      <w:r>
        <w:rPr>
          <w:sz w:val="24"/>
        </w:rPr>
        <w:t>based flow cytometry</w:t>
      </w:r>
      <w:r>
        <w:rPr>
          <w:spacing w:val="-4"/>
          <w:sz w:val="24"/>
        </w:rPr>
        <w:t> </w:t>
      </w:r>
      <w:r>
        <w:rPr>
          <w:sz w:val="24"/>
        </w:rPr>
        <w:t>for ex vivo characterization</w:t>
      </w:r>
      <w:r>
        <w:rPr>
          <w:spacing w:val="-5"/>
          <w:sz w:val="24"/>
        </w:rPr>
        <w:t> </w:t>
      </w:r>
      <w:r>
        <w:rPr>
          <w:sz w:val="24"/>
        </w:rPr>
        <w:t>of</w:t>
      </w:r>
      <w:r>
        <w:rPr>
          <w:spacing w:val="-5"/>
          <w:sz w:val="24"/>
        </w:rPr>
        <w:t> </w:t>
      </w:r>
      <w:r>
        <w:rPr>
          <w:i/>
          <w:sz w:val="24"/>
        </w:rPr>
        <w:t>Plasmodium</w:t>
      </w:r>
      <w:r>
        <w:rPr>
          <w:i/>
          <w:spacing w:val="-5"/>
          <w:sz w:val="24"/>
        </w:rPr>
        <w:t> </w:t>
      </w:r>
      <w:r>
        <w:rPr>
          <w:i/>
          <w:sz w:val="24"/>
        </w:rPr>
        <w:t>vivax</w:t>
      </w:r>
      <w:r>
        <w:rPr>
          <w:i/>
          <w:spacing w:val="-6"/>
          <w:sz w:val="24"/>
        </w:rPr>
        <w:t> </w:t>
      </w:r>
      <w:r>
        <w:rPr>
          <w:sz w:val="24"/>
        </w:rPr>
        <w:t>and</w:t>
      </w:r>
      <w:r>
        <w:rPr>
          <w:spacing w:val="-5"/>
          <w:sz w:val="24"/>
        </w:rPr>
        <w:t> </w:t>
      </w:r>
      <w:r>
        <w:rPr>
          <w:i/>
          <w:sz w:val="24"/>
        </w:rPr>
        <w:t>P.</w:t>
      </w:r>
      <w:r>
        <w:rPr>
          <w:i/>
          <w:spacing w:val="-5"/>
          <w:sz w:val="24"/>
        </w:rPr>
        <w:t> </w:t>
      </w:r>
      <w:r>
        <w:rPr>
          <w:i/>
          <w:sz w:val="24"/>
        </w:rPr>
        <w:t>falciparum</w:t>
      </w:r>
      <w:r>
        <w:rPr>
          <w:i/>
          <w:spacing w:val="-5"/>
          <w:sz w:val="24"/>
        </w:rPr>
        <w:t> </w:t>
      </w:r>
      <w:r>
        <w:rPr>
          <w:sz w:val="24"/>
        </w:rPr>
        <w:t>antimalarial</w:t>
      </w:r>
      <w:r>
        <w:rPr>
          <w:spacing w:val="-5"/>
          <w:sz w:val="24"/>
        </w:rPr>
        <w:t> </w:t>
      </w:r>
      <w:r>
        <w:rPr>
          <w:sz w:val="24"/>
        </w:rPr>
        <w:t>sensitivity. </w:t>
      </w:r>
      <w:r>
        <w:rPr>
          <w:i/>
          <w:sz w:val="24"/>
        </w:rPr>
        <w:t>Antimicrobial Agents and Chemotherapy</w:t>
      </w:r>
      <w:r>
        <w:rPr>
          <w:sz w:val="24"/>
        </w:rPr>
        <w:t>, 57 , 5170 </w:t>
      </w:r>
      <w:r>
        <w:rPr>
          <w:rFonts w:ascii="Cambria Math" w:hAnsi="Cambria Math"/>
          <w:sz w:val="24"/>
        </w:rPr>
        <w:t>‐</w:t>
      </w:r>
      <w:r>
        <w:rPr>
          <w:sz w:val="24"/>
        </w:rPr>
        <w:t>5174</w:t>
      </w:r>
    </w:p>
    <w:p>
      <w:pPr>
        <w:pStyle w:val="BodyText"/>
        <w:spacing w:before="141"/>
      </w:pPr>
    </w:p>
    <w:p>
      <w:pPr>
        <w:pStyle w:val="BodyText"/>
        <w:spacing w:line="360" w:lineRule="auto"/>
        <w:ind w:left="260" w:right="1477"/>
      </w:pPr>
      <w:r>
        <w:rPr/>
        <w:t>Saliba, K. J., Folb, P. I. and Smith, P. J. (1998). Role for the plasmodium falciparum digestive</w:t>
      </w:r>
      <w:r>
        <w:rPr>
          <w:spacing w:val="-5"/>
        </w:rPr>
        <w:t> </w:t>
      </w:r>
      <w:r>
        <w:rPr/>
        <w:t>vacuole</w:t>
      </w:r>
      <w:r>
        <w:rPr>
          <w:spacing w:val="-4"/>
        </w:rPr>
        <w:t> </w:t>
      </w:r>
      <w:r>
        <w:rPr/>
        <w:t>in</w:t>
      </w:r>
      <w:r>
        <w:rPr>
          <w:spacing w:val="-4"/>
        </w:rPr>
        <w:t> </w:t>
      </w:r>
      <w:r>
        <w:rPr/>
        <w:t>chloroquine</w:t>
      </w:r>
      <w:r>
        <w:rPr>
          <w:spacing w:val="-6"/>
        </w:rPr>
        <w:t> </w:t>
      </w:r>
      <w:r>
        <w:rPr/>
        <w:t>resistance.</w:t>
      </w:r>
      <w:r>
        <w:rPr>
          <w:spacing w:val="-3"/>
        </w:rPr>
        <w:t> </w:t>
      </w:r>
      <w:r>
        <w:rPr>
          <w:i/>
        </w:rPr>
        <w:t>Biochemical</w:t>
      </w:r>
      <w:r>
        <w:rPr>
          <w:i/>
          <w:spacing w:val="-4"/>
        </w:rPr>
        <w:t> </w:t>
      </w:r>
      <w:r>
        <w:rPr>
          <w:i/>
        </w:rPr>
        <w:t>Pharmacology</w:t>
      </w:r>
      <w:r>
        <w:rPr/>
        <w:t>,</w:t>
      </w:r>
      <w:r>
        <w:rPr>
          <w:spacing w:val="-4"/>
        </w:rPr>
        <w:t> </w:t>
      </w:r>
      <w:r>
        <w:rPr/>
        <w:t>56:</w:t>
      </w:r>
      <w:r>
        <w:rPr>
          <w:spacing w:val="-4"/>
        </w:rPr>
        <w:t> </w:t>
      </w:r>
      <w:r>
        <w:rPr/>
        <w:t>313–320.</w:t>
      </w:r>
    </w:p>
    <w:p>
      <w:pPr>
        <w:pStyle w:val="BodyText"/>
        <w:spacing w:before="136"/>
      </w:pPr>
    </w:p>
    <w:p>
      <w:pPr>
        <w:spacing w:line="360" w:lineRule="auto" w:before="1"/>
        <w:ind w:left="260" w:right="843" w:firstLine="0"/>
        <w:jc w:val="left"/>
        <w:rPr>
          <w:sz w:val="24"/>
        </w:rPr>
      </w:pPr>
      <w:r>
        <w:rPr>
          <w:sz w:val="24"/>
        </w:rPr>
        <w:t>Schalagenhauf, P. (2004). Malaria: from prehistory to present. </w:t>
      </w:r>
      <w:r>
        <w:rPr>
          <w:i/>
          <w:sz w:val="24"/>
        </w:rPr>
        <w:t>Infectious Disease Clinics of North America, </w:t>
      </w:r>
      <w:r>
        <w:rPr>
          <w:sz w:val="24"/>
        </w:rPr>
        <w:t>18: 189-205.</w:t>
      </w:r>
    </w:p>
    <w:p>
      <w:pPr>
        <w:pStyle w:val="BodyText"/>
        <w:spacing w:before="139"/>
      </w:pPr>
    </w:p>
    <w:p>
      <w:pPr>
        <w:pStyle w:val="BodyText"/>
        <w:spacing w:line="360" w:lineRule="auto"/>
        <w:ind w:left="260" w:right="855"/>
      </w:pPr>
      <w:r>
        <w:rPr/>
        <w:t>Sidhu,</w:t>
      </w:r>
      <w:r>
        <w:rPr>
          <w:spacing w:val="-4"/>
        </w:rPr>
        <w:t> </w:t>
      </w:r>
      <w:r>
        <w:rPr/>
        <w:t>A.</w:t>
      </w:r>
      <w:r>
        <w:rPr>
          <w:spacing w:val="-4"/>
        </w:rPr>
        <w:t> </w:t>
      </w:r>
      <w:r>
        <w:rPr/>
        <w:t>B.,</w:t>
      </w:r>
      <w:r>
        <w:rPr>
          <w:spacing w:val="-4"/>
        </w:rPr>
        <w:t> </w:t>
      </w:r>
      <w:r>
        <w:rPr/>
        <w:t>Verdier-Pinard,</w:t>
      </w:r>
      <w:r>
        <w:rPr>
          <w:spacing w:val="-4"/>
        </w:rPr>
        <w:t> </w:t>
      </w:r>
      <w:r>
        <w:rPr/>
        <w:t>D.</w:t>
      </w:r>
      <w:r>
        <w:rPr>
          <w:spacing w:val="-4"/>
        </w:rPr>
        <w:t> </w:t>
      </w:r>
      <w:r>
        <w:rPr/>
        <w:t>and</w:t>
      </w:r>
      <w:r>
        <w:rPr>
          <w:spacing w:val="-2"/>
        </w:rPr>
        <w:t> </w:t>
      </w:r>
      <w:r>
        <w:rPr/>
        <w:t>Fidock,</w:t>
      </w:r>
      <w:r>
        <w:rPr>
          <w:spacing w:val="-4"/>
        </w:rPr>
        <w:t> </w:t>
      </w:r>
      <w:r>
        <w:rPr/>
        <w:t>D.</w:t>
      </w:r>
      <w:r>
        <w:rPr>
          <w:spacing w:val="-2"/>
        </w:rPr>
        <w:t> </w:t>
      </w:r>
      <w:r>
        <w:rPr/>
        <w:t>A.</w:t>
      </w:r>
      <w:r>
        <w:rPr>
          <w:spacing w:val="-3"/>
        </w:rPr>
        <w:t> </w:t>
      </w:r>
      <w:r>
        <w:rPr/>
        <w:t>(2002).</w:t>
      </w:r>
      <w:r>
        <w:rPr>
          <w:spacing w:val="-4"/>
        </w:rPr>
        <w:t> </w:t>
      </w:r>
      <w:r>
        <w:rPr/>
        <w:t>Chloroquine</w:t>
      </w:r>
      <w:r>
        <w:rPr>
          <w:spacing w:val="-4"/>
        </w:rPr>
        <w:t> </w:t>
      </w:r>
      <w:r>
        <w:rPr/>
        <w:t>resistance</w:t>
      </w:r>
      <w:r>
        <w:rPr>
          <w:spacing w:val="-5"/>
        </w:rPr>
        <w:t> </w:t>
      </w:r>
      <w:r>
        <w:rPr/>
        <w:t>in</w:t>
      </w:r>
      <w:r>
        <w:rPr>
          <w:spacing w:val="-1"/>
        </w:rPr>
        <w:t> </w:t>
      </w:r>
      <w:r>
        <w:rPr>
          <w:i/>
        </w:rPr>
        <w:t>P. falciparum </w:t>
      </w:r>
      <w:r>
        <w:rPr/>
        <w:t>malaria parasites conferred by </w:t>
      </w:r>
      <w:r>
        <w:rPr>
          <w:i/>
        </w:rPr>
        <w:t>pfcrt </w:t>
      </w:r>
      <w:r>
        <w:rPr/>
        <w:t>mutations. </w:t>
      </w:r>
      <w:r>
        <w:rPr>
          <w:i/>
        </w:rPr>
        <w:t>Science</w:t>
      </w:r>
      <w:r>
        <w:rPr/>
        <w:t>, 298: 210-213.</w:t>
      </w:r>
    </w:p>
    <w:p>
      <w:pPr>
        <w:spacing w:after="0" w:line="360" w:lineRule="auto"/>
        <w:sectPr>
          <w:pgSz w:w="11910" w:h="16840"/>
          <w:pgMar w:header="0" w:footer="1254" w:top="1760" w:bottom="1440" w:left="1180" w:right="580"/>
        </w:sectPr>
      </w:pPr>
    </w:p>
    <w:p>
      <w:pPr>
        <w:pStyle w:val="BodyText"/>
        <w:spacing w:line="360" w:lineRule="auto" w:before="68"/>
        <w:ind w:left="260" w:right="855"/>
      </w:pPr>
      <w:r>
        <w:rPr/>
        <w:t>Sidhu,</w:t>
      </w:r>
      <w:r>
        <w:rPr>
          <w:spacing w:val="-3"/>
        </w:rPr>
        <w:t> </w:t>
      </w:r>
      <w:r>
        <w:rPr/>
        <w:t>A.</w:t>
      </w:r>
      <w:r>
        <w:rPr>
          <w:spacing w:val="-3"/>
        </w:rPr>
        <w:t> </w:t>
      </w:r>
      <w:r>
        <w:rPr/>
        <w:t>B.,</w:t>
      </w:r>
      <w:r>
        <w:rPr>
          <w:spacing w:val="-3"/>
        </w:rPr>
        <w:t> </w:t>
      </w:r>
      <w:r>
        <w:rPr/>
        <w:t>Valderramos,</w:t>
      </w:r>
      <w:r>
        <w:rPr>
          <w:spacing w:val="-3"/>
        </w:rPr>
        <w:t> </w:t>
      </w:r>
      <w:r>
        <w:rPr/>
        <w:t>S.</w:t>
      </w:r>
      <w:r>
        <w:rPr>
          <w:spacing w:val="-3"/>
        </w:rPr>
        <w:t> </w:t>
      </w:r>
      <w:r>
        <w:rPr/>
        <w:t>G.</w:t>
      </w:r>
      <w:r>
        <w:rPr>
          <w:spacing w:val="-3"/>
        </w:rPr>
        <w:t> </w:t>
      </w:r>
      <w:r>
        <w:rPr/>
        <w:t>and</w:t>
      </w:r>
      <w:r>
        <w:rPr>
          <w:spacing w:val="-3"/>
        </w:rPr>
        <w:t> </w:t>
      </w:r>
      <w:r>
        <w:rPr/>
        <w:t>Fidock,</w:t>
      </w:r>
      <w:r>
        <w:rPr>
          <w:spacing w:val="-3"/>
        </w:rPr>
        <w:t> </w:t>
      </w:r>
      <w:r>
        <w:rPr/>
        <w:t>D.</w:t>
      </w:r>
      <w:r>
        <w:rPr>
          <w:spacing w:val="-1"/>
        </w:rPr>
        <w:t> </w:t>
      </w:r>
      <w:r>
        <w:rPr/>
        <w:t>A.</w:t>
      </w:r>
      <w:r>
        <w:rPr>
          <w:spacing w:val="-3"/>
        </w:rPr>
        <w:t> </w:t>
      </w:r>
      <w:r>
        <w:rPr/>
        <w:t>(2005).</w:t>
      </w:r>
      <w:r>
        <w:rPr>
          <w:spacing w:val="-1"/>
        </w:rPr>
        <w:t> </w:t>
      </w:r>
      <w:r>
        <w:rPr/>
        <w:t>Pfmdr1</w:t>
      </w:r>
      <w:r>
        <w:rPr>
          <w:spacing w:val="-3"/>
        </w:rPr>
        <w:t> </w:t>
      </w:r>
      <w:r>
        <w:rPr/>
        <w:t>mutations</w:t>
      </w:r>
      <w:r>
        <w:rPr>
          <w:spacing w:val="-3"/>
        </w:rPr>
        <w:t> </w:t>
      </w:r>
      <w:r>
        <w:rPr/>
        <w:t>contribute</w:t>
      </w:r>
      <w:r>
        <w:rPr>
          <w:spacing w:val="-4"/>
        </w:rPr>
        <w:t> </w:t>
      </w:r>
      <w:r>
        <w:rPr/>
        <w:t>to quinine resistance and enhance mefloquine and artemisinin sensitivity in </w:t>
      </w:r>
      <w:r>
        <w:rPr>
          <w:i/>
        </w:rPr>
        <w:t>Plasmodium falciparum</w:t>
      </w:r>
      <w:r>
        <w:rPr/>
        <w:t>. </w:t>
      </w:r>
      <w:r>
        <w:rPr>
          <w:i/>
        </w:rPr>
        <w:t>Molecular Microbiology</w:t>
      </w:r>
      <w:r>
        <w:rPr/>
        <w:t>, 57: 913-926.</w:t>
      </w:r>
    </w:p>
    <w:p>
      <w:pPr>
        <w:pStyle w:val="BodyText"/>
        <w:spacing w:before="217"/>
      </w:pPr>
    </w:p>
    <w:p>
      <w:pPr>
        <w:spacing w:line="360" w:lineRule="auto" w:before="0"/>
        <w:ind w:left="260" w:right="855" w:firstLine="0"/>
        <w:jc w:val="left"/>
        <w:rPr>
          <w:sz w:val="24"/>
        </w:rPr>
      </w:pPr>
      <w:r>
        <w:rPr>
          <w:sz w:val="24"/>
        </w:rPr>
        <w:t>Sinden,</w:t>
      </w:r>
      <w:r>
        <w:rPr>
          <w:spacing w:val="-3"/>
          <w:sz w:val="24"/>
        </w:rPr>
        <w:t> </w:t>
      </w:r>
      <w:r>
        <w:rPr>
          <w:sz w:val="24"/>
        </w:rPr>
        <w:t>R.</w:t>
      </w:r>
      <w:r>
        <w:rPr>
          <w:spacing w:val="-3"/>
          <w:sz w:val="24"/>
        </w:rPr>
        <w:t> </w:t>
      </w:r>
      <w:r>
        <w:rPr>
          <w:sz w:val="24"/>
        </w:rPr>
        <w:t>E.</w:t>
      </w:r>
      <w:r>
        <w:rPr>
          <w:spacing w:val="-3"/>
          <w:sz w:val="24"/>
        </w:rPr>
        <w:t> </w:t>
      </w:r>
      <w:r>
        <w:rPr>
          <w:sz w:val="24"/>
        </w:rPr>
        <w:t>(1982).</w:t>
      </w:r>
      <w:r>
        <w:rPr>
          <w:spacing w:val="-4"/>
          <w:sz w:val="24"/>
        </w:rPr>
        <w:t> </w:t>
      </w:r>
      <w:r>
        <w:rPr>
          <w:sz w:val="24"/>
        </w:rPr>
        <w:t>Gametocytogenesis</w:t>
      </w:r>
      <w:r>
        <w:rPr>
          <w:spacing w:val="-3"/>
          <w:sz w:val="24"/>
        </w:rPr>
        <w:t> </w:t>
      </w:r>
      <w:r>
        <w:rPr>
          <w:sz w:val="24"/>
        </w:rPr>
        <w:t>of</w:t>
      </w:r>
      <w:r>
        <w:rPr>
          <w:spacing w:val="-3"/>
          <w:sz w:val="24"/>
        </w:rPr>
        <w:t> </w:t>
      </w:r>
      <w:r>
        <w:rPr>
          <w:i/>
          <w:sz w:val="24"/>
        </w:rPr>
        <w:t>Plasmodium</w:t>
      </w:r>
      <w:r>
        <w:rPr>
          <w:i/>
          <w:spacing w:val="-3"/>
          <w:sz w:val="24"/>
        </w:rPr>
        <w:t> </w:t>
      </w:r>
      <w:r>
        <w:rPr>
          <w:i/>
          <w:sz w:val="24"/>
        </w:rPr>
        <w:t>falciparum</w:t>
      </w:r>
      <w:r>
        <w:rPr>
          <w:i/>
          <w:spacing w:val="-3"/>
          <w:sz w:val="24"/>
        </w:rPr>
        <w:t> </w:t>
      </w:r>
      <w:r>
        <w:rPr>
          <w:i/>
          <w:sz w:val="24"/>
        </w:rPr>
        <w:t>in</w:t>
      </w:r>
      <w:r>
        <w:rPr>
          <w:i/>
          <w:spacing w:val="-3"/>
          <w:sz w:val="24"/>
        </w:rPr>
        <w:t> </w:t>
      </w:r>
      <w:r>
        <w:rPr>
          <w:i/>
          <w:sz w:val="24"/>
        </w:rPr>
        <w:t>vitro</w:t>
      </w:r>
      <w:r>
        <w:rPr>
          <w:sz w:val="24"/>
        </w:rPr>
        <w:t>:</w:t>
      </w:r>
      <w:r>
        <w:rPr>
          <w:spacing w:val="-3"/>
          <w:sz w:val="24"/>
        </w:rPr>
        <w:t> </w:t>
      </w:r>
      <w:r>
        <w:rPr>
          <w:sz w:val="24"/>
        </w:rPr>
        <w:t>an</w:t>
      </w:r>
      <w:r>
        <w:rPr>
          <w:spacing w:val="-3"/>
          <w:sz w:val="24"/>
        </w:rPr>
        <w:t> </w:t>
      </w:r>
      <w:r>
        <w:rPr>
          <w:sz w:val="24"/>
        </w:rPr>
        <w:t>electron microscopic study. </w:t>
      </w:r>
      <w:r>
        <w:rPr>
          <w:i/>
          <w:sz w:val="24"/>
        </w:rPr>
        <w:t>Parasitology</w:t>
      </w:r>
      <w:r>
        <w:rPr>
          <w:sz w:val="24"/>
        </w:rPr>
        <w:t>, 84(1): 1- 11.</w:t>
      </w:r>
    </w:p>
    <w:p>
      <w:pPr>
        <w:pStyle w:val="BodyText"/>
        <w:spacing w:before="138"/>
      </w:pPr>
    </w:p>
    <w:p>
      <w:pPr>
        <w:pStyle w:val="BodyText"/>
        <w:spacing w:line="360" w:lineRule="auto"/>
        <w:ind w:left="260" w:right="855"/>
      </w:pPr>
      <w:r>
        <w:rPr/>
        <w:t>Singh,</w:t>
      </w:r>
      <w:r>
        <w:rPr>
          <w:spacing w:val="-3"/>
        </w:rPr>
        <w:t> </w:t>
      </w:r>
      <w:r>
        <w:rPr/>
        <w:t>B.,</w:t>
      </w:r>
      <w:r>
        <w:rPr>
          <w:spacing w:val="-1"/>
        </w:rPr>
        <w:t> </w:t>
      </w:r>
      <w:r>
        <w:rPr/>
        <w:t>Lee,</w:t>
      </w:r>
      <w:r>
        <w:rPr>
          <w:spacing w:val="-3"/>
        </w:rPr>
        <w:t> </w:t>
      </w:r>
      <w:r>
        <w:rPr/>
        <w:t>K.</w:t>
      </w:r>
      <w:r>
        <w:rPr>
          <w:spacing w:val="-3"/>
        </w:rPr>
        <w:t> </w:t>
      </w:r>
      <w:r>
        <w:rPr/>
        <w:t>S.,</w:t>
      </w:r>
      <w:r>
        <w:rPr>
          <w:spacing w:val="-3"/>
        </w:rPr>
        <w:t> </w:t>
      </w:r>
      <w:r>
        <w:rPr/>
        <w:t>Matusop,</w:t>
      </w:r>
      <w:r>
        <w:rPr>
          <w:spacing w:val="-3"/>
        </w:rPr>
        <w:t> </w:t>
      </w:r>
      <w:r>
        <w:rPr/>
        <w:t>A.,</w:t>
      </w:r>
      <w:r>
        <w:rPr>
          <w:spacing w:val="-3"/>
        </w:rPr>
        <w:t> </w:t>
      </w:r>
      <w:r>
        <w:rPr/>
        <w:t>Radhakrishnan,</w:t>
      </w:r>
      <w:r>
        <w:rPr>
          <w:spacing w:val="-3"/>
        </w:rPr>
        <w:t> </w:t>
      </w:r>
      <w:r>
        <w:rPr/>
        <w:t>A.,</w:t>
      </w:r>
      <w:r>
        <w:rPr>
          <w:spacing w:val="-3"/>
        </w:rPr>
        <w:t> </w:t>
      </w:r>
      <w:r>
        <w:rPr/>
        <w:t>Shamsul,</w:t>
      </w:r>
      <w:r>
        <w:rPr>
          <w:spacing w:val="-3"/>
        </w:rPr>
        <w:t> </w:t>
      </w:r>
      <w:r>
        <w:rPr/>
        <w:t>S.</w:t>
      </w:r>
      <w:r>
        <w:rPr>
          <w:spacing w:val="-3"/>
        </w:rPr>
        <w:t> </w:t>
      </w:r>
      <w:r>
        <w:rPr/>
        <w:t>S.</w:t>
      </w:r>
      <w:r>
        <w:rPr>
          <w:spacing w:val="-3"/>
        </w:rPr>
        <w:t> </w:t>
      </w:r>
      <w:r>
        <w:rPr/>
        <w:t>G.,</w:t>
      </w:r>
      <w:r>
        <w:rPr>
          <w:spacing w:val="-3"/>
        </w:rPr>
        <w:t> </w:t>
      </w:r>
      <w:r>
        <w:rPr/>
        <w:t>Cox-Singh,</w:t>
      </w:r>
      <w:r>
        <w:rPr>
          <w:spacing w:val="-3"/>
        </w:rPr>
        <w:t> </w:t>
      </w:r>
      <w:r>
        <w:rPr/>
        <w:t>J., Thomas, A. and Conway, D. J. (2004). A large focus of naturally acquired </w:t>
      </w:r>
      <w:r>
        <w:rPr>
          <w:i/>
        </w:rPr>
        <w:t>Plasmodium knowlesi </w:t>
      </w:r>
      <w:r>
        <w:rPr/>
        <w:t>infections in human beings. </w:t>
      </w:r>
      <w:r>
        <w:rPr>
          <w:i/>
        </w:rPr>
        <w:t>Lancet</w:t>
      </w:r>
      <w:r>
        <w:rPr/>
        <w:t>, 363</w:t>
      </w:r>
      <w:r>
        <w:rPr>
          <w:b/>
        </w:rPr>
        <w:t>:</w:t>
      </w:r>
      <w:r>
        <w:rPr/>
        <w:t>1017-1024.</w:t>
      </w:r>
    </w:p>
    <w:p>
      <w:pPr>
        <w:pStyle w:val="BodyText"/>
        <w:spacing w:before="138"/>
      </w:pPr>
    </w:p>
    <w:p>
      <w:pPr>
        <w:spacing w:line="360" w:lineRule="auto" w:before="0"/>
        <w:ind w:left="260" w:right="855" w:firstLine="0"/>
        <w:jc w:val="left"/>
        <w:rPr>
          <w:sz w:val="24"/>
        </w:rPr>
      </w:pPr>
      <w:r>
        <w:rPr>
          <w:sz w:val="24"/>
        </w:rPr>
        <w:t>Slater,</w:t>
      </w:r>
      <w:r>
        <w:rPr>
          <w:spacing w:val="-4"/>
          <w:sz w:val="24"/>
        </w:rPr>
        <w:t> </w:t>
      </w:r>
      <w:r>
        <w:rPr>
          <w:sz w:val="24"/>
        </w:rPr>
        <w:t>A.</w:t>
      </w:r>
      <w:r>
        <w:rPr>
          <w:spacing w:val="-4"/>
          <w:sz w:val="24"/>
        </w:rPr>
        <w:t> </w:t>
      </w:r>
      <w:r>
        <w:rPr>
          <w:sz w:val="24"/>
        </w:rPr>
        <w:t>F.</w:t>
      </w:r>
      <w:r>
        <w:rPr>
          <w:spacing w:val="-4"/>
          <w:sz w:val="24"/>
        </w:rPr>
        <w:t> </w:t>
      </w:r>
      <w:r>
        <w:rPr>
          <w:sz w:val="24"/>
        </w:rPr>
        <w:t>(1993).</w:t>
      </w:r>
      <w:r>
        <w:rPr>
          <w:spacing w:val="-4"/>
          <w:sz w:val="24"/>
        </w:rPr>
        <w:t> </w:t>
      </w:r>
      <w:r>
        <w:rPr>
          <w:sz w:val="24"/>
        </w:rPr>
        <w:t>Chloroquine:</w:t>
      </w:r>
      <w:r>
        <w:rPr>
          <w:spacing w:val="-4"/>
          <w:sz w:val="24"/>
        </w:rPr>
        <w:t> </w:t>
      </w:r>
      <w:r>
        <w:rPr>
          <w:sz w:val="24"/>
        </w:rPr>
        <w:t>mechanism</w:t>
      </w:r>
      <w:r>
        <w:rPr>
          <w:spacing w:val="-4"/>
          <w:sz w:val="24"/>
        </w:rPr>
        <w:t> </w:t>
      </w:r>
      <w:r>
        <w:rPr>
          <w:sz w:val="24"/>
        </w:rPr>
        <w:t>of</w:t>
      </w:r>
      <w:r>
        <w:rPr>
          <w:spacing w:val="-4"/>
          <w:sz w:val="24"/>
        </w:rPr>
        <w:t> </w:t>
      </w:r>
      <w:r>
        <w:rPr>
          <w:sz w:val="24"/>
        </w:rPr>
        <w:t>drug</w:t>
      </w:r>
      <w:r>
        <w:rPr>
          <w:spacing w:val="-5"/>
          <w:sz w:val="24"/>
        </w:rPr>
        <w:t> </w:t>
      </w:r>
      <w:r>
        <w:rPr>
          <w:sz w:val="24"/>
        </w:rPr>
        <w:t>action</w:t>
      </w:r>
      <w:r>
        <w:rPr>
          <w:spacing w:val="-4"/>
          <w:sz w:val="24"/>
        </w:rPr>
        <w:t> </w:t>
      </w:r>
      <w:r>
        <w:rPr>
          <w:sz w:val="24"/>
        </w:rPr>
        <w:t>and</w:t>
      </w:r>
      <w:r>
        <w:rPr>
          <w:spacing w:val="-4"/>
          <w:sz w:val="24"/>
        </w:rPr>
        <w:t> </w:t>
      </w:r>
      <w:r>
        <w:rPr>
          <w:sz w:val="24"/>
        </w:rPr>
        <w:t>resistance</w:t>
      </w:r>
      <w:r>
        <w:rPr>
          <w:spacing w:val="-3"/>
          <w:sz w:val="24"/>
        </w:rPr>
        <w:t> </w:t>
      </w:r>
      <w:r>
        <w:rPr>
          <w:sz w:val="24"/>
        </w:rPr>
        <w:t>in </w:t>
      </w:r>
      <w:r>
        <w:rPr>
          <w:i/>
          <w:sz w:val="24"/>
        </w:rPr>
        <w:t>Plasmodium falciparum</w:t>
      </w:r>
      <w:r>
        <w:rPr>
          <w:sz w:val="24"/>
        </w:rPr>
        <w:t>. </w:t>
      </w:r>
      <w:r>
        <w:rPr>
          <w:i/>
          <w:sz w:val="24"/>
        </w:rPr>
        <w:t>Pharmacology and Therapeutics</w:t>
      </w:r>
      <w:r>
        <w:rPr>
          <w:sz w:val="24"/>
        </w:rPr>
        <w:t>, 57: 203–235.</w:t>
      </w:r>
    </w:p>
    <w:p>
      <w:pPr>
        <w:pStyle w:val="BodyText"/>
        <w:spacing w:before="139"/>
      </w:pPr>
    </w:p>
    <w:p>
      <w:pPr>
        <w:pStyle w:val="BodyText"/>
        <w:spacing w:line="360" w:lineRule="auto" w:before="1"/>
        <w:ind w:left="260" w:right="855"/>
      </w:pPr>
      <w:r>
        <w:rPr/>
        <w:t>Steketee,</w:t>
      </w:r>
      <w:r>
        <w:rPr>
          <w:spacing w:val="-4"/>
        </w:rPr>
        <w:t> </w:t>
      </w:r>
      <w:r>
        <w:rPr/>
        <w:t>R.</w:t>
      </w:r>
      <w:r>
        <w:rPr>
          <w:spacing w:val="-4"/>
        </w:rPr>
        <w:t> </w:t>
      </w:r>
      <w:r>
        <w:rPr/>
        <w:t>W.</w:t>
      </w:r>
      <w:r>
        <w:rPr>
          <w:spacing w:val="-4"/>
        </w:rPr>
        <w:t> </w:t>
      </w:r>
      <w:r>
        <w:rPr/>
        <w:t>and</w:t>
      </w:r>
      <w:r>
        <w:rPr>
          <w:spacing w:val="-4"/>
        </w:rPr>
        <w:t> </w:t>
      </w:r>
      <w:r>
        <w:rPr/>
        <w:t>Campbell,</w:t>
      </w:r>
      <w:r>
        <w:rPr>
          <w:spacing w:val="-4"/>
        </w:rPr>
        <w:t> </w:t>
      </w:r>
      <w:r>
        <w:rPr/>
        <w:t>C.</w:t>
      </w:r>
      <w:r>
        <w:rPr>
          <w:spacing w:val="-4"/>
        </w:rPr>
        <w:t> </w:t>
      </w:r>
      <w:r>
        <w:rPr/>
        <w:t>C.</w:t>
      </w:r>
      <w:r>
        <w:rPr>
          <w:spacing w:val="-4"/>
        </w:rPr>
        <w:t> </w:t>
      </w:r>
      <w:r>
        <w:rPr/>
        <w:t>(2010). Impact</w:t>
      </w:r>
      <w:r>
        <w:rPr>
          <w:spacing w:val="-4"/>
        </w:rPr>
        <w:t> </w:t>
      </w:r>
      <w:r>
        <w:rPr/>
        <w:t>of</w:t>
      </w:r>
      <w:r>
        <w:rPr>
          <w:spacing w:val="-4"/>
        </w:rPr>
        <w:t> </w:t>
      </w:r>
      <w:r>
        <w:rPr/>
        <w:t>national</w:t>
      </w:r>
      <w:r>
        <w:rPr>
          <w:spacing w:val="-4"/>
        </w:rPr>
        <w:t> </w:t>
      </w:r>
      <w:r>
        <w:rPr/>
        <w:t>malaria</w:t>
      </w:r>
      <w:r>
        <w:rPr>
          <w:spacing w:val="-3"/>
        </w:rPr>
        <w:t> </w:t>
      </w:r>
      <w:r>
        <w:rPr/>
        <w:t>control</w:t>
      </w:r>
      <w:r>
        <w:rPr>
          <w:spacing w:val="-4"/>
        </w:rPr>
        <w:t> </w:t>
      </w:r>
      <w:r>
        <w:rPr/>
        <w:t>scale-up programmes in Africa: magnitude and attribution of effects</w:t>
      </w:r>
      <w:r>
        <w:rPr>
          <w:b/>
        </w:rPr>
        <w:t>. </w:t>
      </w:r>
      <w:r>
        <w:rPr>
          <w:i/>
        </w:rPr>
        <w:t>Malaria Journal, </w:t>
      </w:r>
      <w:r>
        <w:rPr>
          <w:b/>
        </w:rPr>
        <w:t>9: </w:t>
      </w:r>
      <w:r>
        <w:rPr/>
        <w:t>299.</w:t>
      </w:r>
    </w:p>
    <w:p>
      <w:pPr>
        <w:pStyle w:val="BodyText"/>
        <w:spacing w:before="136"/>
      </w:pPr>
    </w:p>
    <w:p>
      <w:pPr>
        <w:spacing w:line="360" w:lineRule="auto" w:before="1"/>
        <w:ind w:left="260" w:right="971" w:firstLine="0"/>
        <w:jc w:val="left"/>
        <w:rPr>
          <w:sz w:val="24"/>
        </w:rPr>
      </w:pPr>
      <w:r>
        <w:rPr>
          <w:sz w:val="24"/>
        </w:rPr>
        <w:t>Sugioka,</w:t>
      </w:r>
      <w:r>
        <w:rPr>
          <w:spacing w:val="-3"/>
          <w:sz w:val="24"/>
        </w:rPr>
        <w:t> </w:t>
      </w:r>
      <w:r>
        <w:rPr>
          <w:sz w:val="24"/>
        </w:rPr>
        <w:t>K.,</w:t>
      </w:r>
      <w:r>
        <w:rPr>
          <w:spacing w:val="-3"/>
          <w:sz w:val="24"/>
        </w:rPr>
        <w:t> </w:t>
      </w:r>
      <w:r>
        <w:rPr>
          <w:sz w:val="24"/>
        </w:rPr>
        <w:t>Shimosegawa,</w:t>
      </w:r>
      <w:r>
        <w:rPr>
          <w:spacing w:val="-3"/>
          <w:sz w:val="24"/>
        </w:rPr>
        <w:t> </w:t>
      </w:r>
      <w:r>
        <w:rPr>
          <w:sz w:val="24"/>
        </w:rPr>
        <w:t>Y.</w:t>
      </w:r>
      <w:r>
        <w:rPr>
          <w:spacing w:val="-3"/>
          <w:sz w:val="24"/>
        </w:rPr>
        <w:t> </w:t>
      </w:r>
      <w:r>
        <w:rPr>
          <w:sz w:val="24"/>
        </w:rPr>
        <w:t>and</w:t>
      </w:r>
      <w:r>
        <w:rPr>
          <w:spacing w:val="-3"/>
          <w:sz w:val="24"/>
        </w:rPr>
        <w:t> </w:t>
      </w:r>
      <w:r>
        <w:rPr>
          <w:sz w:val="24"/>
        </w:rPr>
        <w:t>Nakano,</w:t>
      </w:r>
      <w:r>
        <w:rPr>
          <w:spacing w:val="-3"/>
          <w:sz w:val="24"/>
        </w:rPr>
        <w:t> </w:t>
      </w:r>
      <w:r>
        <w:rPr>
          <w:sz w:val="24"/>
        </w:rPr>
        <w:t>M.</w:t>
      </w:r>
      <w:r>
        <w:rPr>
          <w:spacing w:val="-3"/>
          <w:sz w:val="24"/>
        </w:rPr>
        <w:t> </w:t>
      </w:r>
      <w:r>
        <w:rPr>
          <w:sz w:val="24"/>
        </w:rPr>
        <w:t>(1987).</w:t>
      </w:r>
      <w:r>
        <w:rPr>
          <w:spacing w:val="-1"/>
          <w:sz w:val="24"/>
        </w:rPr>
        <w:t> </w:t>
      </w:r>
      <w:r>
        <w:rPr>
          <w:sz w:val="24"/>
        </w:rPr>
        <w:t>Estrogens</w:t>
      </w:r>
      <w:r>
        <w:rPr>
          <w:spacing w:val="-3"/>
          <w:sz w:val="24"/>
        </w:rPr>
        <w:t> </w:t>
      </w:r>
      <w:r>
        <w:rPr>
          <w:sz w:val="24"/>
        </w:rPr>
        <w:t>as</w:t>
      </w:r>
      <w:r>
        <w:rPr>
          <w:spacing w:val="-3"/>
          <w:sz w:val="24"/>
        </w:rPr>
        <w:t> </w:t>
      </w:r>
      <w:r>
        <w:rPr>
          <w:sz w:val="24"/>
        </w:rPr>
        <w:t>natural</w:t>
      </w:r>
      <w:r>
        <w:rPr>
          <w:spacing w:val="-3"/>
          <w:sz w:val="24"/>
        </w:rPr>
        <w:t> </w:t>
      </w:r>
      <w:r>
        <w:rPr>
          <w:sz w:val="24"/>
        </w:rPr>
        <w:t>antioxidants</w:t>
      </w:r>
      <w:r>
        <w:rPr>
          <w:spacing w:val="-3"/>
          <w:sz w:val="24"/>
        </w:rPr>
        <w:t> </w:t>
      </w:r>
      <w:r>
        <w:rPr>
          <w:sz w:val="24"/>
        </w:rPr>
        <w:t>of membrane phospholipid peroxidation. </w:t>
      </w:r>
      <w:r>
        <w:rPr>
          <w:i/>
          <w:sz w:val="24"/>
        </w:rPr>
        <w:t>Federation of European Biochemical Societies Letters, </w:t>
      </w:r>
      <w:r>
        <w:rPr>
          <w:sz w:val="24"/>
        </w:rPr>
        <w:t>210: 37–39.</w:t>
      </w:r>
    </w:p>
    <w:p>
      <w:pPr>
        <w:pStyle w:val="BodyText"/>
        <w:spacing w:before="138"/>
      </w:pPr>
    </w:p>
    <w:p>
      <w:pPr>
        <w:spacing w:line="362" w:lineRule="auto" w:before="0"/>
        <w:ind w:left="260" w:right="855" w:firstLine="0"/>
        <w:jc w:val="left"/>
        <w:rPr>
          <w:i/>
          <w:sz w:val="24"/>
        </w:rPr>
      </w:pPr>
      <w:r>
        <w:rPr>
          <w:sz w:val="24"/>
        </w:rPr>
        <w:t>Teklehaimanot,</w:t>
      </w:r>
      <w:r>
        <w:rPr>
          <w:spacing w:val="40"/>
          <w:sz w:val="24"/>
        </w:rPr>
        <w:t> </w:t>
      </w:r>
      <w:r>
        <w:rPr>
          <w:sz w:val="24"/>
        </w:rPr>
        <w:t>A.</w:t>
      </w:r>
      <w:r>
        <w:rPr>
          <w:spacing w:val="40"/>
          <w:sz w:val="24"/>
        </w:rPr>
        <w:t> </w:t>
      </w:r>
      <w:r>
        <w:rPr>
          <w:sz w:val="24"/>
        </w:rPr>
        <w:t>and</w:t>
      </w:r>
      <w:r>
        <w:rPr>
          <w:spacing w:val="40"/>
          <w:sz w:val="24"/>
        </w:rPr>
        <w:t> </w:t>
      </w:r>
      <w:r>
        <w:rPr>
          <w:sz w:val="24"/>
        </w:rPr>
        <w:t>Mejia,</w:t>
      </w:r>
      <w:r>
        <w:rPr>
          <w:spacing w:val="40"/>
          <w:sz w:val="24"/>
        </w:rPr>
        <w:t> </w:t>
      </w:r>
      <w:r>
        <w:rPr>
          <w:sz w:val="24"/>
        </w:rPr>
        <w:t>P.</w:t>
      </w:r>
      <w:r>
        <w:rPr>
          <w:spacing w:val="40"/>
          <w:sz w:val="24"/>
        </w:rPr>
        <w:t> </w:t>
      </w:r>
      <w:r>
        <w:rPr>
          <w:sz w:val="24"/>
        </w:rPr>
        <w:t>(2008).</w:t>
      </w:r>
      <w:r>
        <w:rPr>
          <w:spacing w:val="40"/>
          <w:sz w:val="24"/>
        </w:rPr>
        <w:t> </w:t>
      </w:r>
      <w:r>
        <w:rPr>
          <w:b/>
          <w:i/>
          <w:sz w:val="24"/>
        </w:rPr>
        <w:t>Malaria</w:t>
      </w:r>
      <w:r>
        <w:rPr>
          <w:b/>
          <w:i/>
          <w:spacing w:val="40"/>
          <w:sz w:val="24"/>
        </w:rPr>
        <w:t> </w:t>
      </w:r>
      <w:r>
        <w:rPr>
          <w:b/>
          <w:i/>
          <w:sz w:val="24"/>
        </w:rPr>
        <w:t>and</w:t>
      </w:r>
      <w:r>
        <w:rPr>
          <w:b/>
          <w:i/>
          <w:spacing w:val="40"/>
          <w:sz w:val="24"/>
        </w:rPr>
        <w:t> </w:t>
      </w:r>
      <w:r>
        <w:rPr>
          <w:b/>
          <w:i/>
          <w:sz w:val="24"/>
        </w:rPr>
        <w:t>Poverty</w:t>
      </w:r>
      <w:r>
        <w:rPr>
          <w:b/>
          <w:sz w:val="24"/>
        </w:rPr>
        <w:t>.</w:t>
      </w:r>
      <w:r>
        <w:rPr>
          <w:b/>
          <w:spacing w:val="40"/>
          <w:sz w:val="24"/>
        </w:rPr>
        <w:t> </w:t>
      </w:r>
      <w:r>
        <w:rPr>
          <w:sz w:val="24"/>
        </w:rPr>
        <w:t>New</w:t>
      </w:r>
      <w:r>
        <w:rPr>
          <w:spacing w:val="40"/>
          <w:sz w:val="24"/>
        </w:rPr>
        <w:t> </w:t>
      </w:r>
      <w:r>
        <w:rPr>
          <w:sz w:val="24"/>
        </w:rPr>
        <w:t>York,</w:t>
      </w:r>
      <w:r>
        <w:rPr>
          <w:spacing w:val="40"/>
          <w:sz w:val="24"/>
        </w:rPr>
        <w:t> </w:t>
      </w:r>
      <w:r>
        <w:rPr>
          <w:sz w:val="24"/>
        </w:rPr>
        <w:t>Academy</w:t>
      </w:r>
      <w:r>
        <w:rPr>
          <w:spacing w:val="40"/>
          <w:sz w:val="24"/>
        </w:rPr>
        <w:t> </w:t>
      </w:r>
      <w:r>
        <w:rPr>
          <w:sz w:val="24"/>
        </w:rPr>
        <w:t>of </w:t>
      </w:r>
      <w:r>
        <w:rPr>
          <w:spacing w:val="-2"/>
          <w:sz w:val="24"/>
        </w:rPr>
        <w:t>Sciences</w:t>
      </w:r>
      <w:r>
        <w:rPr>
          <w:i/>
          <w:spacing w:val="-2"/>
          <w:sz w:val="24"/>
        </w:rPr>
        <w:t>.</w:t>
      </w:r>
    </w:p>
    <w:p>
      <w:pPr>
        <w:pStyle w:val="BodyText"/>
        <w:spacing w:before="131"/>
        <w:rPr>
          <w:i/>
        </w:rPr>
      </w:pPr>
    </w:p>
    <w:p>
      <w:pPr>
        <w:pStyle w:val="BodyText"/>
        <w:spacing w:before="1"/>
        <w:ind w:left="260"/>
        <w:rPr>
          <w:i/>
        </w:rPr>
      </w:pPr>
      <w:r>
        <w:rPr/>
        <w:t>Trager,</w:t>
      </w:r>
      <w:r>
        <w:rPr>
          <w:spacing w:val="12"/>
        </w:rPr>
        <w:t> </w:t>
      </w:r>
      <w:r>
        <w:rPr/>
        <w:t>W.and</w:t>
      </w:r>
      <w:r>
        <w:rPr>
          <w:spacing w:val="14"/>
        </w:rPr>
        <w:t> </w:t>
      </w:r>
      <w:r>
        <w:rPr/>
        <w:t>Jensen,</w:t>
      </w:r>
      <w:r>
        <w:rPr>
          <w:spacing w:val="13"/>
        </w:rPr>
        <w:t> </w:t>
      </w:r>
      <w:r>
        <w:rPr/>
        <w:t>J.</w:t>
      </w:r>
      <w:r>
        <w:rPr>
          <w:spacing w:val="11"/>
        </w:rPr>
        <w:t> </w:t>
      </w:r>
      <w:r>
        <w:rPr/>
        <w:t>B.</w:t>
      </w:r>
      <w:r>
        <w:rPr>
          <w:spacing w:val="14"/>
        </w:rPr>
        <w:t> </w:t>
      </w:r>
      <w:r>
        <w:rPr/>
        <w:t>(1976).</w:t>
      </w:r>
      <w:r>
        <w:rPr>
          <w:spacing w:val="14"/>
        </w:rPr>
        <w:t> </w:t>
      </w:r>
      <w:r>
        <w:rPr/>
        <w:t>Human</w:t>
      </w:r>
      <w:r>
        <w:rPr>
          <w:spacing w:val="13"/>
        </w:rPr>
        <w:t> </w:t>
      </w:r>
      <w:r>
        <w:rPr/>
        <w:t>malaria</w:t>
      </w:r>
      <w:r>
        <w:rPr>
          <w:spacing w:val="12"/>
        </w:rPr>
        <w:t> </w:t>
      </w:r>
      <w:r>
        <w:rPr/>
        <w:t>parasites</w:t>
      </w:r>
      <w:r>
        <w:rPr>
          <w:spacing w:val="14"/>
        </w:rPr>
        <w:t> </w:t>
      </w:r>
      <w:r>
        <w:rPr/>
        <w:t>in</w:t>
      </w:r>
      <w:r>
        <w:rPr>
          <w:spacing w:val="14"/>
        </w:rPr>
        <w:t> </w:t>
      </w:r>
      <w:r>
        <w:rPr/>
        <w:t>continuous</w:t>
      </w:r>
      <w:r>
        <w:rPr>
          <w:spacing w:val="14"/>
        </w:rPr>
        <w:t> </w:t>
      </w:r>
      <w:r>
        <w:rPr/>
        <w:t>culture.</w:t>
      </w:r>
      <w:r>
        <w:rPr>
          <w:spacing w:val="18"/>
        </w:rPr>
        <w:t> </w:t>
      </w:r>
      <w:r>
        <w:rPr>
          <w:i/>
          <w:spacing w:val="-2"/>
        </w:rPr>
        <w:t>Science,</w:t>
      </w:r>
    </w:p>
    <w:p>
      <w:pPr>
        <w:pStyle w:val="BodyText"/>
        <w:spacing w:before="139"/>
        <w:ind w:left="260"/>
      </w:pPr>
      <w:r>
        <w:rPr/>
        <w:t>193: </w:t>
      </w:r>
      <w:r>
        <w:rPr>
          <w:spacing w:val="-2"/>
        </w:rPr>
        <w:t>673–675.</w:t>
      </w:r>
    </w:p>
    <w:p>
      <w:pPr>
        <w:pStyle w:val="BodyText"/>
      </w:pPr>
    </w:p>
    <w:p>
      <w:pPr>
        <w:pStyle w:val="BodyText"/>
      </w:pPr>
    </w:p>
    <w:p>
      <w:pPr>
        <w:pStyle w:val="BodyText"/>
        <w:spacing w:line="360" w:lineRule="auto"/>
        <w:ind w:left="260" w:right="855"/>
      </w:pPr>
      <w:r>
        <w:rPr/>
        <w:t>Uhlemann,</w:t>
      </w:r>
      <w:r>
        <w:rPr>
          <w:spacing w:val="-4"/>
        </w:rPr>
        <w:t> </w:t>
      </w:r>
      <w:r>
        <w:rPr/>
        <w:t>A.</w:t>
      </w:r>
      <w:r>
        <w:rPr>
          <w:spacing w:val="-4"/>
        </w:rPr>
        <w:t> </w:t>
      </w:r>
      <w:r>
        <w:rPr/>
        <w:t>C.,</w:t>
      </w:r>
      <w:r>
        <w:rPr>
          <w:spacing w:val="-4"/>
        </w:rPr>
        <w:t> </w:t>
      </w:r>
      <w:r>
        <w:rPr/>
        <w:t>Cameron,</w:t>
      </w:r>
      <w:r>
        <w:rPr>
          <w:spacing w:val="-4"/>
        </w:rPr>
        <w:t> </w:t>
      </w:r>
      <w:r>
        <w:rPr/>
        <w:t>A.,</w:t>
      </w:r>
      <w:r>
        <w:rPr>
          <w:spacing w:val="-4"/>
        </w:rPr>
        <w:t> </w:t>
      </w:r>
      <w:r>
        <w:rPr/>
        <w:t>Eckstein-Ludwig,</w:t>
      </w:r>
      <w:r>
        <w:rPr>
          <w:spacing w:val="-2"/>
        </w:rPr>
        <w:t> </w:t>
      </w:r>
      <w:r>
        <w:rPr/>
        <w:t>U.,</w:t>
      </w:r>
      <w:r>
        <w:rPr>
          <w:spacing w:val="40"/>
        </w:rPr>
        <w:t> </w:t>
      </w:r>
      <w:r>
        <w:rPr/>
        <w:t>Fischbarg,</w:t>
      </w:r>
      <w:r>
        <w:rPr>
          <w:spacing w:val="-4"/>
        </w:rPr>
        <w:t> </w:t>
      </w:r>
      <w:r>
        <w:rPr/>
        <w:t>J.,</w:t>
      </w:r>
      <w:r>
        <w:rPr>
          <w:spacing w:val="-2"/>
        </w:rPr>
        <w:t> </w:t>
      </w:r>
      <w:r>
        <w:rPr/>
        <w:t>Iserovich,</w:t>
      </w:r>
      <w:r>
        <w:rPr>
          <w:spacing w:val="-4"/>
        </w:rPr>
        <w:t> </w:t>
      </w:r>
      <w:r>
        <w:rPr/>
        <w:t>P.,</w:t>
      </w:r>
      <w:r>
        <w:rPr>
          <w:spacing w:val="-4"/>
        </w:rPr>
        <w:t> </w:t>
      </w:r>
      <w:r>
        <w:rPr/>
        <w:t>Zuniga,</w:t>
      </w:r>
      <w:r>
        <w:rPr>
          <w:spacing w:val="-2"/>
        </w:rPr>
        <w:t> </w:t>
      </w:r>
      <w:r>
        <w:rPr/>
        <w:t>F. A., East, M., Lee, A., Braddy, L., Haynes, R. K. and Krishna, S. (2005). A single amino acid residue can determine the sensitivity of SERCAs to artemisinins. </w:t>
      </w:r>
      <w:r>
        <w:rPr>
          <w:i/>
        </w:rPr>
        <w:t>Nature Structural and Molecular Biology</w:t>
      </w:r>
      <w:r>
        <w:rPr/>
        <w:t>, 12: 628-629.</w:t>
      </w:r>
    </w:p>
    <w:p>
      <w:pPr>
        <w:spacing w:after="0" w:line="360" w:lineRule="auto"/>
        <w:sectPr>
          <w:pgSz w:w="11910" w:h="16840"/>
          <w:pgMar w:header="0" w:footer="1254" w:top="1840" w:bottom="1440" w:left="1180" w:right="580"/>
        </w:sectPr>
      </w:pPr>
    </w:p>
    <w:p>
      <w:pPr>
        <w:pStyle w:val="BodyText"/>
        <w:spacing w:line="360" w:lineRule="auto" w:before="76"/>
        <w:ind w:left="260" w:right="858"/>
        <w:jc w:val="both"/>
      </w:pPr>
      <w:r>
        <w:rPr/>
        <w:t>Westling, J.,Yowell, C. A.,Majer, P., Erickson, J. W., Dame, J. B. and Dunn, B. M. (1997). </w:t>
      </w:r>
      <w:r>
        <w:rPr>
          <w:i/>
        </w:rPr>
        <w:t>Plasmodium falciparum</w:t>
      </w:r>
      <w:r>
        <w:rPr/>
        <w:t>, P. Vivax and P. Malariae: A Comparison of the Active Site Properties</w:t>
      </w:r>
      <w:r>
        <w:rPr>
          <w:spacing w:val="-1"/>
        </w:rPr>
        <w:t> </w:t>
      </w:r>
      <w:r>
        <w:rPr/>
        <w:t>of Plasmepsins Cloned</w:t>
      </w:r>
      <w:r>
        <w:rPr>
          <w:spacing w:val="-1"/>
        </w:rPr>
        <w:t> </w:t>
      </w:r>
      <w:r>
        <w:rPr/>
        <w:t>and Expressed from</w:t>
      </w:r>
      <w:r>
        <w:rPr>
          <w:spacing w:val="-1"/>
        </w:rPr>
        <w:t> </w:t>
      </w:r>
      <w:r>
        <w:rPr/>
        <w:t>Three</w:t>
      </w:r>
      <w:r>
        <w:rPr>
          <w:spacing w:val="-1"/>
        </w:rPr>
        <w:t> </w:t>
      </w:r>
      <w:r>
        <w:rPr/>
        <w:t>Different Species</w:t>
      </w:r>
      <w:r>
        <w:rPr>
          <w:spacing w:val="-1"/>
        </w:rPr>
        <w:t> </w:t>
      </w:r>
      <w:r>
        <w:rPr/>
        <w:t>of the</w:t>
      </w:r>
      <w:r>
        <w:rPr>
          <w:spacing w:val="-1"/>
        </w:rPr>
        <w:t> </w:t>
      </w:r>
      <w:r>
        <w:rPr/>
        <w:t>Malaria Parasite. </w:t>
      </w:r>
      <w:r>
        <w:rPr>
          <w:i/>
        </w:rPr>
        <w:t>Experimental Parasitology</w:t>
      </w:r>
      <w:r>
        <w:rPr/>
        <w:t>, 87 (3): 185–193.</w:t>
      </w:r>
    </w:p>
    <w:p>
      <w:pPr>
        <w:pStyle w:val="BodyText"/>
        <w:spacing w:before="137"/>
      </w:pPr>
    </w:p>
    <w:p>
      <w:pPr>
        <w:spacing w:before="0"/>
        <w:ind w:left="260" w:right="0" w:firstLine="0"/>
        <w:jc w:val="both"/>
        <w:rPr>
          <w:sz w:val="24"/>
        </w:rPr>
      </w:pPr>
      <w:r>
        <w:rPr>
          <w:sz w:val="24"/>
        </w:rPr>
        <w:t>WHO</w:t>
      </w:r>
      <w:r>
        <w:rPr>
          <w:spacing w:val="-4"/>
          <w:sz w:val="24"/>
        </w:rPr>
        <w:t> </w:t>
      </w:r>
      <w:r>
        <w:rPr>
          <w:sz w:val="24"/>
        </w:rPr>
        <w:t>(1993). </w:t>
      </w:r>
      <w:r>
        <w:rPr>
          <w:i/>
          <w:sz w:val="24"/>
        </w:rPr>
        <w:t>A global</w:t>
      </w:r>
      <w:r>
        <w:rPr>
          <w:i/>
          <w:spacing w:val="-1"/>
          <w:sz w:val="24"/>
        </w:rPr>
        <w:t> </w:t>
      </w:r>
      <w:r>
        <w:rPr>
          <w:i/>
          <w:sz w:val="24"/>
        </w:rPr>
        <w:t>strategy</w:t>
      </w:r>
      <w:r>
        <w:rPr>
          <w:i/>
          <w:spacing w:val="-2"/>
          <w:sz w:val="24"/>
        </w:rPr>
        <w:t> </w:t>
      </w:r>
      <w:r>
        <w:rPr>
          <w:i/>
          <w:sz w:val="24"/>
        </w:rPr>
        <w:t>for malaria control</w:t>
      </w:r>
      <w:r>
        <w:rPr>
          <w:sz w:val="24"/>
        </w:rPr>
        <w:t>.</w:t>
      </w:r>
      <w:r>
        <w:rPr>
          <w:spacing w:val="-1"/>
          <w:sz w:val="24"/>
        </w:rPr>
        <w:t> </w:t>
      </w:r>
      <w:r>
        <w:rPr>
          <w:sz w:val="24"/>
        </w:rPr>
        <w:t>Geneva, World Health </w:t>
      </w:r>
      <w:r>
        <w:rPr>
          <w:spacing w:val="-2"/>
          <w:sz w:val="24"/>
        </w:rPr>
        <w:t>Organisation.</w:t>
      </w:r>
    </w:p>
    <w:p>
      <w:pPr>
        <w:pStyle w:val="BodyText"/>
      </w:pPr>
    </w:p>
    <w:p>
      <w:pPr>
        <w:pStyle w:val="BodyText"/>
      </w:pPr>
    </w:p>
    <w:p>
      <w:pPr>
        <w:spacing w:line="362" w:lineRule="auto" w:before="0"/>
        <w:ind w:left="260" w:right="1769" w:firstLine="0"/>
        <w:jc w:val="left"/>
        <w:rPr>
          <w:i/>
          <w:sz w:val="24"/>
        </w:rPr>
      </w:pPr>
      <w:r>
        <w:rPr>
          <w:sz w:val="24"/>
        </w:rPr>
        <w:t>WHO</w:t>
      </w:r>
      <w:r>
        <w:rPr>
          <w:spacing w:val="-5"/>
          <w:sz w:val="24"/>
        </w:rPr>
        <w:t> </w:t>
      </w:r>
      <w:r>
        <w:rPr>
          <w:sz w:val="24"/>
        </w:rPr>
        <w:t>(2001).</w:t>
      </w:r>
      <w:r>
        <w:rPr>
          <w:spacing w:val="-4"/>
          <w:sz w:val="24"/>
        </w:rPr>
        <w:t> </w:t>
      </w:r>
      <w:r>
        <w:rPr>
          <w:sz w:val="24"/>
        </w:rPr>
        <w:t>Antimalarial</w:t>
      </w:r>
      <w:r>
        <w:rPr>
          <w:spacing w:val="-4"/>
          <w:sz w:val="24"/>
        </w:rPr>
        <w:t> </w:t>
      </w:r>
      <w:r>
        <w:rPr>
          <w:sz w:val="24"/>
        </w:rPr>
        <w:t>drug</w:t>
      </w:r>
      <w:r>
        <w:rPr>
          <w:spacing w:val="-5"/>
          <w:sz w:val="24"/>
        </w:rPr>
        <w:t> </w:t>
      </w:r>
      <w:r>
        <w:rPr>
          <w:sz w:val="24"/>
        </w:rPr>
        <w:t>combination</w:t>
      </w:r>
      <w:r>
        <w:rPr>
          <w:spacing w:val="-4"/>
          <w:sz w:val="24"/>
        </w:rPr>
        <w:t> </w:t>
      </w:r>
      <w:r>
        <w:rPr>
          <w:sz w:val="24"/>
        </w:rPr>
        <w:t>therapy.</w:t>
      </w:r>
      <w:r>
        <w:rPr>
          <w:spacing w:val="-1"/>
          <w:sz w:val="24"/>
        </w:rPr>
        <w:t> </w:t>
      </w:r>
      <w:r>
        <w:rPr>
          <w:i/>
          <w:sz w:val="24"/>
        </w:rPr>
        <w:t>Report</w:t>
      </w:r>
      <w:r>
        <w:rPr>
          <w:i/>
          <w:spacing w:val="-4"/>
          <w:sz w:val="24"/>
        </w:rPr>
        <w:t> </w:t>
      </w:r>
      <w:r>
        <w:rPr>
          <w:i/>
          <w:sz w:val="24"/>
        </w:rPr>
        <w:t>of</w:t>
      </w:r>
      <w:r>
        <w:rPr>
          <w:i/>
          <w:spacing w:val="-4"/>
          <w:sz w:val="24"/>
        </w:rPr>
        <w:t> </w:t>
      </w:r>
      <w:r>
        <w:rPr>
          <w:i/>
          <w:sz w:val="24"/>
        </w:rPr>
        <w:t>a</w:t>
      </w:r>
      <w:r>
        <w:rPr>
          <w:i/>
          <w:spacing w:val="-2"/>
          <w:sz w:val="24"/>
        </w:rPr>
        <w:t> </w:t>
      </w:r>
      <w:r>
        <w:rPr>
          <w:i/>
          <w:sz w:val="24"/>
        </w:rPr>
        <w:t>WHO</w:t>
      </w:r>
      <w:r>
        <w:rPr>
          <w:i/>
          <w:spacing w:val="-5"/>
          <w:sz w:val="24"/>
        </w:rPr>
        <w:t> </w:t>
      </w:r>
      <w:r>
        <w:rPr>
          <w:i/>
          <w:sz w:val="24"/>
        </w:rPr>
        <w:t>Technical Consultation. Geneva, </w:t>
      </w:r>
      <w:r>
        <w:rPr>
          <w:sz w:val="24"/>
        </w:rPr>
        <w:t>World Health Organisation,</w:t>
      </w:r>
      <w:r>
        <w:rPr>
          <w:spacing w:val="40"/>
          <w:sz w:val="24"/>
        </w:rPr>
        <w:t> </w:t>
      </w:r>
      <w:r>
        <w:rPr>
          <w:i/>
          <w:sz w:val="24"/>
        </w:rPr>
        <w:t>WHO/CDS/RBM/2001.35.</w:t>
      </w:r>
    </w:p>
    <w:p>
      <w:pPr>
        <w:pStyle w:val="BodyText"/>
        <w:spacing w:before="134"/>
        <w:rPr>
          <w:i/>
        </w:rPr>
      </w:pPr>
    </w:p>
    <w:p>
      <w:pPr>
        <w:spacing w:line="360" w:lineRule="auto" w:before="0"/>
        <w:ind w:left="260" w:right="0" w:firstLine="0"/>
        <w:jc w:val="left"/>
        <w:rPr>
          <w:sz w:val="24"/>
        </w:rPr>
      </w:pPr>
      <w:r>
        <w:rPr>
          <w:sz w:val="24"/>
        </w:rPr>
        <w:t>WHO</w:t>
      </w:r>
      <w:r>
        <w:rPr>
          <w:spacing w:val="-4"/>
          <w:sz w:val="24"/>
        </w:rPr>
        <w:t> </w:t>
      </w:r>
      <w:r>
        <w:rPr>
          <w:sz w:val="24"/>
        </w:rPr>
        <w:t>(2003).</w:t>
      </w:r>
      <w:r>
        <w:rPr>
          <w:spacing w:val="40"/>
          <w:sz w:val="24"/>
        </w:rPr>
        <w:t> </w:t>
      </w:r>
      <w:r>
        <w:rPr>
          <w:i/>
          <w:sz w:val="24"/>
        </w:rPr>
        <w:t>Assessment</w:t>
      </w:r>
      <w:r>
        <w:rPr>
          <w:i/>
          <w:spacing w:val="-3"/>
          <w:sz w:val="24"/>
        </w:rPr>
        <w:t> </w:t>
      </w:r>
      <w:r>
        <w:rPr>
          <w:i/>
          <w:sz w:val="24"/>
        </w:rPr>
        <w:t>and</w:t>
      </w:r>
      <w:r>
        <w:rPr>
          <w:i/>
          <w:spacing w:val="-3"/>
          <w:sz w:val="24"/>
        </w:rPr>
        <w:t> </w:t>
      </w:r>
      <w:r>
        <w:rPr>
          <w:i/>
          <w:sz w:val="24"/>
        </w:rPr>
        <w:t>monitoring</w:t>
      </w:r>
      <w:r>
        <w:rPr>
          <w:i/>
          <w:spacing w:val="-3"/>
          <w:sz w:val="24"/>
        </w:rPr>
        <w:t> </w:t>
      </w:r>
      <w:r>
        <w:rPr>
          <w:i/>
          <w:sz w:val="24"/>
        </w:rPr>
        <w:t>of</w:t>
      </w:r>
      <w:r>
        <w:rPr>
          <w:i/>
          <w:spacing w:val="-3"/>
          <w:sz w:val="24"/>
        </w:rPr>
        <w:t> </w:t>
      </w:r>
      <w:r>
        <w:rPr>
          <w:i/>
          <w:sz w:val="24"/>
        </w:rPr>
        <w:t>antimalarial</w:t>
      </w:r>
      <w:r>
        <w:rPr>
          <w:i/>
          <w:spacing w:val="-3"/>
          <w:sz w:val="24"/>
        </w:rPr>
        <w:t> </w:t>
      </w:r>
      <w:r>
        <w:rPr>
          <w:i/>
          <w:sz w:val="24"/>
        </w:rPr>
        <w:t>drug</w:t>
      </w:r>
      <w:r>
        <w:rPr>
          <w:i/>
          <w:spacing w:val="-3"/>
          <w:sz w:val="24"/>
        </w:rPr>
        <w:t> </w:t>
      </w:r>
      <w:r>
        <w:rPr>
          <w:i/>
          <w:sz w:val="24"/>
        </w:rPr>
        <w:t>efficacy</w:t>
      </w:r>
      <w:r>
        <w:rPr>
          <w:i/>
          <w:spacing w:val="-4"/>
          <w:sz w:val="24"/>
        </w:rPr>
        <w:t> </w:t>
      </w:r>
      <w:r>
        <w:rPr>
          <w:i/>
          <w:sz w:val="24"/>
        </w:rPr>
        <w:t>for</w:t>
      </w:r>
      <w:r>
        <w:rPr>
          <w:i/>
          <w:spacing w:val="-3"/>
          <w:sz w:val="24"/>
        </w:rPr>
        <w:t> </w:t>
      </w:r>
      <w:r>
        <w:rPr>
          <w:i/>
          <w:sz w:val="24"/>
        </w:rPr>
        <w:t>the</w:t>
      </w:r>
      <w:r>
        <w:rPr>
          <w:i/>
          <w:spacing w:val="-4"/>
          <w:sz w:val="24"/>
        </w:rPr>
        <w:t> </w:t>
      </w:r>
      <w:r>
        <w:rPr>
          <w:i/>
          <w:sz w:val="24"/>
        </w:rPr>
        <w:t>treatment</w:t>
      </w:r>
      <w:r>
        <w:rPr>
          <w:i/>
          <w:spacing w:val="-3"/>
          <w:sz w:val="24"/>
        </w:rPr>
        <w:t> </w:t>
      </w:r>
      <w:r>
        <w:rPr>
          <w:i/>
          <w:sz w:val="24"/>
        </w:rPr>
        <w:t>of uncomplicated falciparum malaria</w:t>
      </w:r>
      <w:r>
        <w:rPr>
          <w:sz w:val="24"/>
        </w:rPr>
        <w:t>. Geneva, World Health Organisation.</w:t>
      </w:r>
    </w:p>
    <w:p>
      <w:pPr>
        <w:pStyle w:val="BodyText"/>
        <w:spacing w:before="137"/>
      </w:pPr>
    </w:p>
    <w:p>
      <w:pPr>
        <w:spacing w:line="360" w:lineRule="auto" w:before="0"/>
        <w:ind w:left="260" w:right="855" w:firstLine="0"/>
        <w:jc w:val="left"/>
        <w:rPr>
          <w:sz w:val="24"/>
        </w:rPr>
      </w:pPr>
      <w:r>
        <w:rPr>
          <w:sz w:val="24"/>
        </w:rPr>
        <w:t>WHO</w:t>
      </w:r>
      <w:r>
        <w:rPr>
          <w:spacing w:val="-4"/>
          <w:sz w:val="24"/>
        </w:rPr>
        <w:t> </w:t>
      </w:r>
      <w:r>
        <w:rPr>
          <w:sz w:val="24"/>
        </w:rPr>
        <w:t>(2005)</w:t>
      </w:r>
      <w:r>
        <w:rPr>
          <w:i/>
          <w:sz w:val="24"/>
        </w:rPr>
        <w:t>.</w:t>
      </w:r>
      <w:r>
        <w:rPr>
          <w:i/>
          <w:spacing w:val="-3"/>
          <w:sz w:val="24"/>
        </w:rPr>
        <w:t> </w:t>
      </w:r>
      <w:r>
        <w:rPr>
          <w:sz w:val="24"/>
        </w:rPr>
        <w:t>Susceptibility</w:t>
      </w:r>
      <w:r>
        <w:rPr>
          <w:spacing w:val="-11"/>
          <w:sz w:val="24"/>
        </w:rPr>
        <w:t> </w:t>
      </w:r>
      <w:r>
        <w:rPr>
          <w:sz w:val="24"/>
        </w:rPr>
        <w:t>of</w:t>
      </w:r>
      <w:r>
        <w:rPr>
          <w:spacing w:val="-2"/>
          <w:sz w:val="24"/>
        </w:rPr>
        <w:t> </w:t>
      </w:r>
      <w:r>
        <w:rPr>
          <w:i/>
          <w:sz w:val="24"/>
        </w:rPr>
        <w:t>Plasmodium</w:t>
      </w:r>
      <w:r>
        <w:rPr>
          <w:i/>
          <w:spacing w:val="-3"/>
          <w:sz w:val="24"/>
        </w:rPr>
        <w:t> </w:t>
      </w:r>
      <w:r>
        <w:rPr>
          <w:i/>
          <w:sz w:val="24"/>
        </w:rPr>
        <w:t>falciparum</w:t>
      </w:r>
      <w:r>
        <w:rPr>
          <w:i/>
          <w:spacing w:val="-3"/>
          <w:sz w:val="24"/>
        </w:rPr>
        <w:t> </w:t>
      </w:r>
      <w:r>
        <w:rPr>
          <w:sz w:val="24"/>
        </w:rPr>
        <w:t>to</w:t>
      </w:r>
      <w:r>
        <w:rPr>
          <w:spacing w:val="-3"/>
          <w:sz w:val="24"/>
        </w:rPr>
        <w:t> </w:t>
      </w:r>
      <w:r>
        <w:rPr>
          <w:sz w:val="24"/>
        </w:rPr>
        <w:t>Antimalarial</w:t>
      </w:r>
      <w:r>
        <w:rPr>
          <w:spacing w:val="-3"/>
          <w:sz w:val="24"/>
        </w:rPr>
        <w:t> </w:t>
      </w:r>
      <w:r>
        <w:rPr>
          <w:sz w:val="24"/>
        </w:rPr>
        <w:t>Drugs</w:t>
      </w:r>
      <w:r>
        <w:rPr>
          <w:i/>
          <w:sz w:val="24"/>
        </w:rPr>
        <w:t>.</w:t>
      </w:r>
      <w:r>
        <w:rPr>
          <w:i/>
          <w:spacing w:val="-3"/>
          <w:sz w:val="24"/>
        </w:rPr>
        <w:t> </w:t>
      </w:r>
      <w:r>
        <w:rPr>
          <w:i/>
          <w:sz w:val="24"/>
        </w:rPr>
        <w:t>Report</w:t>
      </w:r>
      <w:r>
        <w:rPr>
          <w:i/>
          <w:spacing w:val="-3"/>
          <w:sz w:val="24"/>
        </w:rPr>
        <w:t> </w:t>
      </w:r>
      <w:r>
        <w:rPr>
          <w:i/>
          <w:sz w:val="24"/>
        </w:rPr>
        <w:t>on Global Monitoring 1996–2004</w:t>
      </w:r>
      <w:r>
        <w:rPr>
          <w:sz w:val="24"/>
        </w:rPr>
        <w:t>: Geneva, World Health Organisation.</w:t>
      </w:r>
    </w:p>
    <w:p>
      <w:pPr>
        <w:pStyle w:val="BodyText"/>
        <w:spacing w:before="140"/>
      </w:pPr>
    </w:p>
    <w:p>
      <w:pPr>
        <w:spacing w:line="360" w:lineRule="auto" w:before="0"/>
        <w:ind w:left="260" w:right="855" w:firstLine="0"/>
        <w:jc w:val="left"/>
        <w:rPr>
          <w:sz w:val="24"/>
        </w:rPr>
      </w:pPr>
      <w:r>
        <w:rPr>
          <w:sz w:val="24"/>
        </w:rPr>
        <w:t>WHO</w:t>
      </w:r>
      <w:r>
        <w:rPr>
          <w:spacing w:val="-4"/>
          <w:sz w:val="24"/>
        </w:rPr>
        <w:t> </w:t>
      </w:r>
      <w:r>
        <w:rPr>
          <w:sz w:val="24"/>
        </w:rPr>
        <w:t>(2006).</w:t>
      </w:r>
      <w:r>
        <w:rPr>
          <w:spacing w:val="-3"/>
          <w:sz w:val="24"/>
        </w:rPr>
        <w:t> </w:t>
      </w:r>
      <w:r>
        <w:rPr>
          <w:i/>
          <w:sz w:val="24"/>
        </w:rPr>
        <w:t>Guidelines</w:t>
      </w:r>
      <w:r>
        <w:rPr>
          <w:i/>
          <w:spacing w:val="-1"/>
          <w:sz w:val="24"/>
        </w:rPr>
        <w:t> </w:t>
      </w:r>
      <w:r>
        <w:rPr>
          <w:i/>
          <w:sz w:val="24"/>
        </w:rPr>
        <w:t>for</w:t>
      </w:r>
      <w:r>
        <w:rPr>
          <w:i/>
          <w:spacing w:val="-3"/>
          <w:sz w:val="24"/>
        </w:rPr>
        <w:t> </w:t>
      </w:r>
      <w:r>
        <w:rPr>
          <w:i/>
          <w:sz w:val="24"/>
        </w:rPr>
        <w:t>the</w:t>
      </w:r>
      <w:r>
        <w:rPr>
          <w:i/>
          <w:spacing w:val="-3"/>
          <w:sz w:val="24"/>
        </w:rPr>
        <w:t> </w:t>
      </w:r>
      <w:r>
        <w:rPr>
          <w:i/>
          <w:sz w:val="24"/>
        </w:rPr>
        <w:t>Treatment</w:t>
      </w:r>
      <w:r>
        <w:rPr>
          <w:i/>
          <w:spacing w:val="-3"/>
          <w:sz w:val="24"/>
        </w:rPr>
        <w:t> </w:t>
      </w:r>
      <w:r>
        <w:rPr>
          <w:i/>
          <w:sz w:val="24"/>
        </w:rPr>
        <w:t>of</w:t>
      </w:r>
      <w:r>
        <w:rPr>
          <w:i/>
          <w:spacing w:val="-3"/>
          <w:sz w:val="24"/>
        </w:rPr>
        <w:t> </w:t>
      </w:r>
      <w:r>
        <w:rPr>
          <w:i/>
          <w:sz w:val="24"/>
        </w:rPr>
        <w:t>Malaria,</w:t>
      </w:r>
      <w:r>
        <w:rPr>
          <w:i/>
          <w:spacing w:val="-3"/>
          <w:sz w:val="24"/>
        </w:rPr>
        <w:t> </w:t>
      </w:r>
      <w:r>
        <w:rPr>
          <w:i/>
          <w:sz w:val="24"/>
        </w:rPr>
        <w:t>2006</w:t>
      </w:r>
      <w:r>
        <w:rPr>
          <w:i/>
          <w:spacing w:val="-3"/>
          <w:sz w:val="24"/>
        </w:rPr>
        <w:t> </w:t>
      </w:r>
      <w:r>
        <w:rPr>
          <w:i/>
          <w:sz w:val="24"/>
        </w:rPr>
        <w:t>edn.</w:t>
      </w:r>
      <w:r>
        <w:rPr>
          <w:i/>
          <w:spacing w:val="-3"/>
          <w:sz w:val="24"/>
        </w:rPr>
        <w:t> </w:t>
      </w:r>
      <w:r>
        <w:rPr>
          <w:i/>
          <w:sz w:val="24"/>
        </w:rPr>
        <w:t>Geneva, </w:t>
      </w:r>
      <w:r>
        <w:rPr>
          <w:sz w:val="24"/>
        </w:rPr>
        <w:t>World</w:t>
      </w:r>
      <w:r>
        <w:rPr>
          <w:spacing w:val="-3"/>
          <w:sz w:val="24"/>
        </w:rPr>
        <w:t> </w:t>
      </w:r>
      <w:r>
        <w:rPr>
          <w:sz w:val="24"/>
        </w:rPr>
        <w:t>Health </w:t>
      </w:r>
      <w:r>
        <w:rPr>
          <w:spacing w:val="-2"/>
          <w:sz w:val="24"/>
        </w:rPr>
        <w:t>Organisation.</w:t>
      </w:r>
    </w:p>
    <w:p>
      <w:pPr>
        <w:pStyle w:val="BodyText"/>
        <w:spacing w:before="137"/>
      </w:pPr>
    </w:p>
    <w:p>
      <w:pPr>
        <w:spacing w:line="360" w:lineRule="auto" w:before="0"/>
        <w:ind w:left="260" w:right="855" w:firstLine="0"/>
        <w:jc w:val="left"/>
        <w:rPr>
          <w:i/>
          <w:sz w:val="24"/>
        </w:rPr>
      </w:pPr>
      <w:r>
        <w:rPr>
          <w:sz w:val="24"/>
        </w:rPr>
        <w:t>WHO</w:t>
      </w:r>
      <w:r>
        <w:rPr>
          <w:spacing w:val="-4"/>
          <w:sz w:val="24"/>
        </w:rPr>
        <w:t> </w:t>
      </w:r>
      <w:r>
        <w:rPr>
          <w:sz w:val="24"/>
        </w:rPr>
        <w:t>(2010a).</w:t>
      </w:r>
      <w:r>
        <w:rPr>
          <w:spacing w:val="40"/>
          <w:sz w:val="24"/>
        </w:rPr>
        <w:t> </w:t>
      </w:r>
      <w:r>
        <w:rPr>
          <w:i/>
          <w:sz w:val="24"/>
        </w:rPr>
        <w:t>Global</w:t>
      </w:r>
      <w:r>
        <w:rPr>
          <w:i/>
          <w:spacing w:val="-3"/>
          <w:sz w:val="24"/>
        </w:rPr>
        <w:t> </w:t>
      </w:r>
      <w:r>
        <w:rPr>
          <w:i/>
          <w:sz w:val="24"/>
        </w:rPr>
        <w:t>report</w:t>
      </w:r>
      <w:r>
        <w:rPr>
          <w:i/>
          <w:spacing w:val="-3"/>
          <w:sz w:val="24"/>
        </w:rPr>
        <w:t> </w:t>
      </w:r>
      <w:r>
        <w:rPr>
          <w:i/>
          <w:sz w:val="24"/>
        </w:rPr>
        <w:t>on</w:t>
      </w:r>
      <w:r>
        <w:rPr>
          <w:i/>
          <w:spacing w:val="-3"/>
          <w:sz w:val="24"/>
        </w:rPr>
        <w:t> </w:t>
      </w:r>
      <w:r>
        <w:rPr>
          <w:i/>
          <w:sz w:val="24"/>
        </w:rPr>
        <w:t>antimalarial</w:t>
      </w:r>
      <w:r>
        <w:rPr>
          <w:i/>
          <w:spacing w:val="-3"/>
          <w:sz w:val="24"/>
        </w:rPr>
        <w:t> </w:t>
      </w:r>
      <w:r>
        <w:rPr>
          <w:i/>
          <w:sz w:val="24"/>
        </w:rPr>
        <w:t>drug</w:t>
      </w:r>
      <w:r>
        <w:rPr>
          <w:i/>
          <w:spacing w:val="-3"/>
          <w:sz w:val="24"/>
        </w:rPr>
        <w:t> </w:t>
      </w:r>
      <w:r>
        <w:rPr>
          <w:i/>
          <w:sz w:val="24"/>
        </w:rPr>
        <w:t>efficacy</w:t>
      </w:r>
      <w:r>
        <w:rPr>
          <w:i/>
          <w:spacing w:val="-4"/>
          <w:sz w:val="24"/>
        </w:rPr>
        <w:t> </w:t>
      </w:r>
      <w:r>
        <w:rPr>
          <w:i/>
          <w:sz w:val="24"/>
        </w:rPr>
        <w:t>and</w:t>
      </w:r>
      <w:r>
        <w:rPr>
          <w:i/>
          <w:spacing w:val="-3"/>
          <w:sz w:val="24"/>
        </w:rPr>
        <w:t> </w:t>
      </w:r>
      <w:r>
        <w:rPr>
          <w:i/>
          <w:sz w:val="24"/>
        </w:rPr>
        <w:t>drug</w:t>
      </w:r>
      <w:r>
        <w:rPr>
          <w:i/>
          <w:spacing w:val="-3"/>
          <w:sz w:val="24"/>
        </w:rPr>
        <w:t> </w:t>
      </w:r>
      <w:r>
        <w:rPr>
          <w:i/>
          <w:sz w:val="24"/>
        </w:rPr>
        <w:t>resistance:</w:t>
      </w:r>
      <w:r>
        <w:rPr>
          <w:i/>
          <w:spacing w:val="-3"/>
          <w:sz w:val="24"/>
        </w:rPr>
        <w:t> </w:t>
      </w:r>
      <w:r>
        <w:rPr>
          <w:i/>
          <w:sz w:val="24"/>
        </w:rPr>
        <w:t>2000-2010</w:t>
      </w:r>
      <w:r>
        <w:rPr>
          <w:sz w:val="24"/>
        </w:rPr>
        <w:t>. Geneva, World Health Organisation</w:t>
      </w:r>
      <w:r>
        <w:rPr>
          <w:i/>
          <w:sz w:val="24"/>
        </w:rPr>
        <w:t>.</w:t>
      </w:r>
    </w:p>
    <w:p>
      <w:pPr>
        <w:pStyle w:val="BodyText"/>
        <w:spacing w:before="139"/>
        <w:rPr>
          <w:i/>
        </w:rPr>
      </w:pPr>
    </w:p>
    <w:p>
      <w:pPr>
        <w:spacing w:line="360" w:lineRule="auto" w:before="0"/>
        <w:ind w:left="260" w:right="971" w:firstLine="0"/>
        <w:jc w:val="left"/>
        <w:rPr>
          <w:sz w:val="24"/>
        </w:rPr>
      </w:pPr>
      <w:r>
        <w:rPr>
          <w:sz w:val="24"/>
        </w:rPr>
        <w:t>WHO</w:t>
      </w:r>
      <w:r>
        <w:rPr>
          <w:spacing w:val="-4"/>
          <w:sz w:val="24"/>
        </w:rPr>
        <w:t> </w:t>
      </w:r>
      <w:r>
        <w:rPr>
          <w:sz w:val="24"/>
        </w:rPr>
        <w:t>(2010b).</w:t>
      </w:r>
      <w:r>
        <w:rPr>
          <w:spacing w:val="-4"/>
          <w:sz w:val="24"/>
        </w:rPr>
        <w:t> </w:t>
      </w:r>
      <w:r>
        <w:rPr>
          <w:i/>
          <w:sz w:val="24"/>
        </w:rPr>
        <w:t>Guidelines</w:t>
      </w:r>
      <w:r>
        <w:rPr>
          <w:i/>
          <w:spacing w:val="-3"/>
          <w:sz w:val="24"/>
        </w:rPr>
        <w:t> </w:t>
      </w:r>
      <w:r>
        <w:rPr>
          <w:i/>
          <w:sz w:val="24"/>
        </w:rPr>
        <w:t>for</w:t>
      </w:r>
      <w:r>
        <w:rPr>
          <w:i/>
          <w:spacing w:val="-3"/>
          <w:sz w:val="24"/>
        </w:rPr>
        <w:t> </w:t>
      </w:r>
      <w:r>
        <w:rPr>
          <w:i/>
          <w:sz w:val="24"/>
        </w:rPr>
        <w:t>the</w:t>
      </w:r>
      <w:r>
        <w:rPr>
          <w:i/>
          <w:spacing w:val="-3"/>
          <w:sz w:val="24"/>
        </w:rPr>
        <w:t> </w:t>
      </w:r>
      <w:r>
        <w:rPr>
          <w:i/>
          <w:sz w:val="24"/>
        </w:rPr>
        <w:t>treatment</w:t>
      </w:r>
      <w:r>
        <w:rPr>
          <w:i/>
          <w:spacing w:val="-3"/>
          <w:sz w:val="24"/>
        </w:rPr>
        <w:t> </w:t>
      </w:r>
      <w:r>
        <w:rPr>
          <w:i/>
          <w:sz w:val="24"/>
        </w:rPr>
        <w:t>of</w:t>
      </w:r>
      <w:r>
        <w:rPr>
          <w:i/>
          <w:spacing w:val="-3"/>
          <w:sz w:val="24"/>
        </w:rPr>
        <w:t> </w:t>
      </w:r>
      <w:r>
        <w:rPr>
          <w:i/>
          <w:sz w:val="24"/>
        </w:rPr>
        <w:t>malaria,</w:t>
      </w:r>
      <w:r>
        <w:rPr>
          <w:i/>
          <w:spacing w:val="-3"/>
          <w:sz w:val="24"/>
        </w:rPr>
        <w:t> </w:t>
      </w:r>
      <w:r>
        <w:rPr>
          <w:i/>
          <w:sz w:val="24"/>
        </w:rPr>
        <w:t>second</w:t>
      </w:r>
      <w:r>
        <w:rPr>
          <w:i/>
          <w:spacing w:val="-2"/>
          <w:sz w:val="24"/>
        </w:rPr>
        <w:t> </w:t>
      </w:r>
      <w:r>
        <w:rPr>
          <w:i/>
          <w:sz w:val="24"/>
        </w:rPr>
        <w:t>edition</w:t>
      </w:r>
      <w:r>
        <w:rPr>
          <w:sz w:val="24"/>
        </w:rPr>
        <w:t>.</w:t>
      </w:r>
      <w:r>
        <w:rPr>
          <w:spacing w:val="40"/>
          <w:sz w:val="24"/>
        </w:rPr>
        <w:t> </w:t>
      </w:r>
      <w:r>
        <w:rPr>
          <w:sz w:val="24"/>
        </w:rPr>
        <w:t>Geneva,</w:t>
      </w:r>
      <w:r>
        <w:rPr>
          <w:spacing w:val="-3"/>
          <w:sz w:val="24"/>
        </w:rPr>
        <w:t> </w:t>
      </w:r>
      <w:r>
        <w:rPr>
          <w:sz w:val="24"/>
        </w:rPr>
        <w:t>World Health Organisation. </w:t>
      </w:r>
      <w:hyperlink r:id="rId40">
        <w:r>
          <w:rPr>
            <w:sz w:val="24"/>
          </w:rPr>
          <w:t>(http://www.who.int/m</w:t>
        </w:r>
      </w:hyperlink>
      <w:r>
        <w:rPr>
          <w:sz w:val="24"/>
        </w:rPr>
        <w:t>a</w:t>
      </w:r>
      <w:hyperlink r:id="rId40">
        <w:r>
          <w:rPr>
            <w:sz w:val="24"/>
          </w:rPr>
          <w:t>laria/publications/atoz/9789241547925/en/index.html).</w:t>
        </w:r>
      </w:hyperlink>
      <w:r>
        <w:rPr>
          <w:spacing w:val="35"/>
          <w:sz w:val="24"/>
        </w:rPr>
        <w:t> </w:t>
      </w:r>
      <w:r>
        <w:rPr>
          <w:sz w:val="24"/>
        </w:rPr>
        <w:t>194</w:t>
      </w:r>
      <w:r>
        <w:rPr>
          <w:spacing w:val="-13"/>
          <w:sz w:val="24"/>
        </w:rPr>
        <w:t> </w:t>
      </w:r>
      <w:r>
        <w:rPr>
          <w:sz w:val="24"/>
        </w:rPr>
        <w:t>pp.</w:t>
      </w:r>
    </w:p>
    <w:p>
      <w:pPr>
        <w:pStyle w:val="BodyText"/>
        <w:spacing w:before="139"/>
      </w:pPr>
    </w:p>
    <w:p>
      <w:pPr>
        <w:spacing w:line="360" w:lineRule="auto" w:before="0"/>
        <w:ind w:left="260" w:right="855" w:firstLine="0"/>
        <w:jc w:val="left"/>
        <w:rPr>
          <w:sz w:val="24"/>
        </w:rPr>
      </w:pPr>
      <w:r>
        <w:rPr>
          <w:sz w:val="24"/>
        </w:rPr>
        <w:t>WHO</w:t>
      </w:r>
      <w:r>
        <w:rPr>
          <w:spacing w:val="-5"/>
          <w:sz w:val="24"/>
        </w:rPr>
        <w:t> </w:t>
      </w:r>
      <w:r>
        <w:rPr>
          <w:sz w:val="24"/>
        </w:rPr>
        <w:t>(2012).</w:t>
      </w:r>
      <w:r>
        <w:rPr>
          <w:spacing w:val="-2"/>
          <w:sz w:val="24"/>
        </w:rPr>
        <w:t> </w:t>
      </w:r>
      <w:r>
        <w:rPr>
          <w:i/>
          <w:sz w:val="24"/>
        </w:rPr>
        <w:t>World</w:t>
      </w:r>
      <w:r>
        <w:rPr>
          <w:i/>
          <w:spacing w:val="-4"/>
          <w:sz w:val="24"/>
        </w:rPr>
        <w:t> </w:t>
      </w:r>
      <w:r>
        <w:rPr>
          <w:i/>
          <w:sz w:val="24"/>
        </w:rPr>
        <w:t>Malaria</w:t>
      </w:r>
      <w:r>
        <w:rPr>
          <w:i/>
          <w:spacing w:val="-4"/>
          <w:sz w:val="24"/>
        </w:rPr>
        <w:t> </w:t>
      </w:r>
      <w:r>
        <w:rPr>
          <w:i/>
          <w:sz w:val="24"/>
        </w:rPr>
        <w:t>Report</w:t>
      </w:r>
      <w:r>
        <w:rPr>
          <w:i/>
          <w:spacing w:val="-4"/>
          <w:sz w:val="24"/>
        </w:rPr>
        <w:t> </w:t>
      </w:r>
      <w:r>
        <w:rPr>
          <w:i/>
          <w:sz w:val="24"/>
        </w:rPr>
        <w:t>2011</w:t>
      </w:r>
      <w:r>
        <w:rPr>
          <w:sz w:val="24"/>
        </w:rPr>
        <w:t>.</w:t>
      </w:r>
      <w:r>
        <w:rPr>
          <w:spacing w:val="-4"/>
          <w:sz w:val="24"/>
        </w:rPr>
        <w:t> </w:t>
      </w:r>
      <w:r>
        <w:rPr>
          <w:sz w:val="24"/>
        </w:rPr>
        <w:t>Geneva:</w:t>
      </w:r>
      <w:r>
        <w:rPr>
          <w:spacing w:val="-4"/>
          <w:sz w:val="24"/>
        </w:rPr>
        <w:t> </w:t>
      </w:r>
      <w:r>
        <w:rPr>
          <w:sz w:val="24"/>
        </w:rPr>
        <w:t>World</w:t>
      </w:r>
      <w:r>
        <w:rPr>
          <w:spacing w:val="-4"/>
          <w:sz w:val="24"/>
        </w:rPr>
        <w:t> </w:t>
      </w:r>
      <w:r>
        <w:rPr>
          <w:sz w:val="24"/>
        </w:rPr>
        <w:t>Health</w:t>
      </w:r>
      <w:r>
        <w:rPr>
          <w:spacing w:val="-4"/>
          <w:sz w:val="24"/>
        </w:rPr>
        <w:t> </w:t>
      </w:r>
      <w:r>
        <w:rPr>
          <w:sz w:val="24"/>
        </w:rPr>
        <w:t>Organisation/Global Malaria Programme.</w:t>
      </w:r>
    </w:p>
    <w:p>
      <w:pPr>
        <w:pStyle w:val="BodyText"/>
        <w:spacing w:before="137"/>
      </w:pPr>
    </w:p>
    <w:p>
      <w:pPr>
        <w:spacing w:before="0"/>
        <w:ind w:left="260" w:right="0" w:firstLine="0"/>
        <w:jc w:val="left"/>
        <w:rPr>
          <w:i/>
          <w:sz w:val="24"/>
        </w:rPr>
      </w:pPr>
      <w:r>
        <w:rPr>
          <w:sz w:val="24"/>
        </w:rPr>
        <w:t>WHO</w:t>
      </w:r>
      <w:r>
        <w:rPr>
          <w:spacing w:val="-3"/>
          <w:sz w:val="24"/>
        </w:rPr>
        <w:t> </w:t>
      </w:r>
      <w:r>
        <w:rPr>
          <w:sz w:val="24"/>
        </w:rPr>
        <w:t>(2014).</w:t>
      </w:r>
      <w:r>
        <w:rPr>
          <w:spacing w:val="1"/>
          <w:sz w:val="24"/>
        </w:rPr>
        <w:t> </w:t>
      </w:r>
      <w:r>
        <w:rPr>
          <w:i/>
          <w:sz w:val="24"/>
        </w:rPr>
        <w:t>World</w:t>
      </w:r>
      <w:r>
        <w:rPr>
          <w:i/>
          <w:spacing w:val="-1"/>
          <w:sz w:val="24"/>
        </w:rPr>
        <w:t> </w:t>
      </w:r>
      <w:r>
        <w:rPr>
          <w:i/>
          <w:sz w:val="24"/>
        </w:rPr>
        <w:t>Malaria</w:t>
      </w:r>
      <w:r>
        <w:rPr>
          <w:i/>
          <w:spacing w:val="-1"/>
          <w:sz w:val="24"/>
        </w:rPr>
        <w:t> </w:t>
      </w:r>
      <w:r>
        <w:rPr>
          <w:i/>
          <w:sz w:val="24"/>
        </w:rPr>
        <w:t>Report</w:t>
      </w:r>
      <w:r>
        <w:rPr>
          <w:i/>
          <w:spacing w:val="-1"/>
          <w:sz w:val="24"/>
        </w:rPr>
        <w:t> </w:t>
      </w:r>
      <w:r>
        <w:rPr>
          <w:i/>
          <w:sz w:val="24"/>
        </w:rPr>
        <w:t>2014</w:t>
      </w:r>
      <w:r>
        <w:rPr>
          <w:sz w:val="24"/>
        </w:rPr>
        <w:t>.</w:t>
      </w:r>
      <w:r>
        <w:rPr>
          <w:spacing w:val="-1"/>
          <w:sz w:val="24"/>
        </w:rPr>
        <w:t> </w:t>
      </w:r>
      <w:r>
        <w:rPr>
          <w:sz w:val="24"/>
        </w:rPr>
        <w:t>Geneva,</w:t>
      </w:r>
      <w:r>
        <w:rPr>
          <w:spacing w:val="2"/>
          <w:sz w:val="24"/>
        </w:rPr>
        <w:t> </w:t>
      </w:r>
      <w:r>
        <w:rPr>
          <w:i/>
          <w:sz w:val="24"/>
        </w:rPr>
        <w:t>World</w:t>
      </w:r>
      <w:r>
        <w:rPr>
          <w:i/>
          <w:spacing w:val="-1"/>
          <w:sz w:val="24"/>
        </w:rPr>
        <w:t> </w:t>
      </w:r>
      <w:r>
        <w:rPr>
          <w:i/>
          <w:sz w:val="24"/>
        </w:rPr>
        <w:t>Health</w:t>
      </w:r>
      <w:r>
        <w:rPr>
          <w:i/>
          <w:spacing w:val="-1"/>
          <w:sz w:val="24"/>
        </w:rPr>
        <w:t> </w:t>
      </w:r>
      <w:r>
        <w:rPr>
          <w:i/>
          <w:spacing w:val="-2"/>
          <w:sz w:val="24"/>
        </w:rPr>
        <w:t>Organisation.</w:t>
      </w:r>
    </w:p>
    <w:p>
      <w:pPr>
        <w:spacing w:after="0"/>
        <w:jc w:val="left"/>
        <w:rPr>
          <w:sz w:val="24"/>
        </w:rPr>
        <w:sectPr>
          <w:pgSz w:w="11910" w:h="16840"/>
          <w:pgMar w:header="0" w:footer="1254" w:top="1340" w:bottom="1440" w:left="1180" w:right="580"/>
        </w:sectPr>
      </w:pPr>
    </w:p>
    <w:p>
      <w:pPr>
        <w:spacing w:before="69"/>
        <w:ind w:left="260" w:right="0" w:firstLine="0"/>
        <w:jc w:val="left"/>
        <w:rPr>
          <w:i/>
          <w:sz w:val="24"/>
        </w:rPr>
      </w:pPr>
      <w:r>
        <w:rPr>
          <w:sz w:val="24"/>
        </w:rPr>
        <w:t>Wiser,</w:t>
      </w:r>
      <w:r>
        <w:rPr>
          <w:spacing w:val="-1"/>
          <w:sz w:val="24"/>
        </w:rPr>
        <w:t> </w:t>
      </w:r>
      <w:r>
        <w:rPr>
          <w:sz w:val="24"/>
        </w:rPr>
        <w:t>M.</w:t>
      </w:r>
      <w:r>
        <w:rPr>
          <w:spacing w:val="-1"/>
          <w:sz w:val="24"/>
        </w:rPr>
        <w:t> </w:t>
      </w:r>
      <w:r>
        <w:rPr>
          <w:sz w:val="24"/>
        </w:rPr>
        <w:t>F.</w:t>
      </w:r>
      <w:r>
        <w:rPr>
          <w:spacing w:val="-1"/>
          <w:sz w:val="24"/>
        </w:rPr>
        <w:t> </w:t>
      </w:r>
      <w:r>
        <w:rPr>
          <w:sz w:val="24"/>
        </w:rPr>
        <w:t>(2003).</w:t>
      </w:r>
      <w:r>
        <w:rPr>
          <w:spacing w:val="-1"/>
          <w:sz w:val="24"/>
        </w:rPr>
        <w:t> </w:t>
      </w:r>
      <w:r>
        <w:rPr>
          <w:i/>
          <w:sz w:val="24"/>
        </w:rPr>
        <w:t>Mechanisms</w:t>
      </w:r>
      <w:r>
        <w:rPr>
          <w:i/>
          <w:spacing w:val="-1"/>
          <w:sz w:val="24"/>
        </w:rPr>
        <w:t> </w:t>
      </w:r>
      <w:r>
        <w:rPr>
          <w:i/>
          <w:sz w:val="24"/>
        </w:rPr>
        <w:t>of</w:t>
      </w:r>
      <w:r>
        <w:rPr>
          <w:i/>
          <w:spacing w:val="-1"/>
          <w:sz w:val="24"/>
        </w:rPr>
        <w:t> </w:t>
      </w:r>
      <w:r>
        <w:rPr>
          <w:i/>
          <w:sz w:val="24"/>
        </w:rPr>
        <w:t>Drug</w:t>
      </w:r>
      <w:r>
        <w:rPr>
          <w:i/>
          <w:spacing w:val="-1"/>
          <w:sz w:val="24"/>
        </w:rPr>
        <w:t> </w:t>
      </w:r>
      <w:r>
        <w:rPr>
          <w:i/>
          <w:sz w:val="24"/>
        </w:rPr>
        <w:t>Action</w:t>
      </w:r>
      <w:r>
        <w:rPr>
          <w:i/>
          <w:spacing w:val="-1"/>
          <w:sz w:val="24"/>
        </w:rPr>
        <w:t> </w:t>
      </w:r>
      <w:r>
        <w:rPr>
          <w:i/>
          <w:sz w:val="24"/>
        </w:rPr>
        <w:t>and</w:t>
      </w:r>
      <w:r>
        <w:rPr>
          <w:i/>
          <w:spacing w:val="-1"/>
          <w:sz w:val="24"/>
        </w:rPr>
        <w:t> </w:t>
      </w:r>
      <w:r>
        <w:rPr>
          <w:i/>
          <w:sz w:val="24"/>
        </w:rPr>
        <w:t>Resistance</w:t>
      </w:r>
      <w:r>
        <w:rPr>
          <w:i/>
          <w:spacing w:val="-1"/>
          <w:sz w:val="24"/>
        </w:rPr>
        <w:t> </w:t>
      </w:r>
      <w:r>
        <w:rPr>
          <w:i/>
          <w:sz w:val="24"/>
        </w:rPr>
        <w:t>(Focus</w:t>
      </w:r>
      <w:r>
        <w:rPr>
          <w:i/>
          <w:spacing w:val="-1"/>
          <w:sz w:val="24"/>
        </w:rPr>
        <w:t> </w:t>
      </w:r>
      <w:r>
        <w:rPr>
          <w:i/>
          <w:sz w:val="24"/>
        </w:rPr>
        <w:t>on </w:t>
      </w:r>
      <w:r>
        <w:rPr>
          <w:i/>
          <w:spacing w:val="-2"/>
          <w:sz w:val="24"/>
        </w:rPr>
        <w:t>Antimalarials).</w:t>
      </w:r>
    </w:p>
    <w:p>
      <w:pPr>
        <w:pStyle w:val="BodyText"/>
        <w:spacing w:before="139"/>
        <w:ind w:left="260"/>
      </w:pPr>
      <w:hyperlink r:id="rId41">
        <w:r>
          <w:rPr>
            <w:u w:val="single"/>
          </w:rPr>
          <w:t>http://www.tulane.edu/~wiser/protozoology/notes/drugs.html</w:t>
        </w:r>
      </w:hyperlink>
      <w:r>
        <w:rPr/>
        <w:t>.</w:t>
      </w:r>
      <w:r>
        <w:rPr>
          <w:spacing w:val="-5"/>
        </w:rPr>
        <w:t> </w:t>
      </w:r>
      <w:r>
        <w:rPr/>
        <w:t>Accessed</w:t>
      </w:r>
      <w:r>
        <w:rPr>
          <w:spacing w:val="-3"/>
        </w:rPr>
        <w:t> </w:t>
      </w:r>
      <w:r>
        <w:rPr/>
        <w:t>13</w:t>
      </w:r>
      <w:r>
        <w:rPr>
          <w:spacing w:val="-3"/>
        </w:rPr>
        <w:t> </w:t>
      </w:r>
      <w:r>
        <w:rPr/>
        <w:t>January,</w:t>
      </w:r>
      <w:r>
        <w:rPr>
          <w:spacing w:val="-2"/>
        </w:rPr>
        <w:t> 2014.</w:t>
      </w:r>
    </w:p>
    <w:p>
      <w:pPr>
        <w:pStyle w:val="BodyText"/>
      </w:pPr>
    </w:p>
    <w:p>
      <w:pPr>
        <w:pStyle w:val="BodyText"/>
      </w:pPr>
    </w:p>
    <w:p>
      <w:pPr>
        <w:spacing w:line="360" w:lineRule="auto" w:before="0"/>
        <w:ind w:left="260" w:right="855" w:firstLine="0"/>
        <w:jc w:val="left"/>
        <w:rPr>
          <w:sz w:val="24"/>
        </w:rPr>
      </w:pPr>
      <w:r>
        <w:rPr>
          <w:sz w:val="24"/>
        </w:rPr>
        <w:t>Worrall,</w:t>
      </w:r>
      <w:r>
        <w:rPr>
          <w:spacing w:val="-4"/>
          <w:sz w:val="24"/>
        </w:rPr>
        <w:t> </w:t>
      </w:r>
      <w:r>
        <w:rPr>
          <w:sz w:val="24"/>
        </w:rPr>
        <w:t>E.,</w:t>
      </w:r>
      <w:r>
        <w:rPr>
          <w:spacing w:val="-4"/>
          <w:sz w:val="24"/>
        </w:rPr>
        <w:t> </w:t>
      </w:r>
      <w:r>
        <w:rPr>
          <w:sz w:val="24"/>
        </w:rPr>
        <w:t>Basu,</w:t>
      </w:r>
      <w:r>
        <w:rPr>
          <w:spacing w:val="-4"/>
          <w:sz w:val="24"/>
        </w:rPr>
        <w:t> </w:t>
      </w:r>
      <w:r>
        <w:rPr>
          <w:sz w:val="24"/>
        </w:rPr>
        <w:t>S.,</w:t>
      </w:r>
      <w:r>
        <w:rPr>
          <w:spacing w:val="-4"/>
          <w:sz w:val="24"/>
        </w:rPr>
        <w:t> </w:t>
      </w:r>
      <w:r>
        <w:rPr>
          <w:sz w:val="24"/>
        </w:rPr>
        <w:t>and</w:t>
      </w:r>
      <w:r>
        <w:rPr>
          <w:spacing w:val="-2"/>
          <w:sz w:val="24"/>
        </w:rPr>
        <w:t> </w:t>
      </w:r>
      <w:r>
        <w:rPr>
          <w:sz w:val="24"/>
        </w:rPr>
        <w:t>Hanson,</w:t>
      </w:r>
      <w:r>
        <w:rPr>
          <w:spacing w:val="-4"/>
          <w:sz w:val="24"/>
        </w:rPr>
        <w:t> </w:t>
      </w:r>
      <w:r>
        <w:rPr>
          <w:sz w:val="24"/>
        </w:rPr>
        <w:t>K.</w:t>
      </w:r>
      <w:r>
        <w:rPr>
          <w:spacing w:val="-4"/>
          <w:sz w:val="24"/>
        </w:rPr>
        <w:t> </w:t>
      </w:r>
      <w:r>
        <w:rPr>
          <w:sz w:val="24"/>
        </w:rPr>
        <w:t>(2003).</w:t>
      </w:r>
      <w:r>
        <w:rPr>
          <w:spacing w:val="-3"/>
          <w:sz w:val="24"/>
        </w:rPr>
        <w:t> </w:t>
      </w:r>
      <w:r>
        <w:rPr>
          <w:i/>
          <w:sz w:val="24"/>
        </w:rPr>
        <w:t>The</w:t>
      </w:r>
      <w:r>
        <w:rPr>
          <w:i/>
          <w:spacing w:val="-3"/>
          <w:sz w:val="24"/>
        </w:rPr>
        <w:t> </w:t>
      </w:r>
      <w:r>
        <w:rPr>
          <w:i/>
          <w:sz w:val="24"/>
        </w:rPr>
        <w:t>relationship</w:t>
      </w:r>
      <w:r>
        <w:rPr>
          <w:i/>
          <w:spacing w:val="-4"/>
          <w:sz w:val="24"/>
        </w:rPr>
        <w:t> </w:t>
      </w:r>
      <w:r>
        <w:rPr>
          <w:i/>
          <w:sz w:val="24"/>
        </w:rPr>
        <w:t>between</w:t>
      </w:r>
      <w:r>
        <w:rPr>
          <w:i/>
          <w:spacing w:val="-4"/>
          <w:sz w:val="24"/>
        </w:rPr>
        <w:t> </w:t>
      </w:r>
      <w:r>
        <w:rPr>
          <w:i/>
          <w:sz w:val="24"/>
        </w:rPr>
        <w:t>socioeconomic</w:t>
      </w:r>
      <w:r>
        <w:rPr>
          <w:i/>
          <w:spacing w:val="-5"/>
          <w:sz w:val="24"/>
        </w:rPr>
        <w:t> </w:t>
      </w:r>
      <w:r>
        <w:rPr>
          <w:i/>
          <w:sz w:val="24"/>
        </w:rPr>
        <w:t>status and malaria: a review of the literature. SES and Malaria 1-46</w:t>
      </w:r>
      <w:r>
        <w:rPr>
          <w:sz w:val="24"/>
        </w:rPr>
        <w:t>. Accessed at </w:t>
      </w:r>
      <w:hyperlink r:id="rId42">
        <w:r>
          <w:rPr>
            <w:spacing w:val="-2"/>
            <w:sz w:val="24"/>
            <w:u w:val="single"/>
          </w:rPr>
          <w:t>http://siteresources.worldbank.org/INTMALARIA/Resources/SESMalariaBackgroundPaper.</w:t>
        </w:r>
      </w:hyperlink>
      <w:r>
        <w:rPr>
          <w:spacing w:val="-2"/>
          <w:sz w:val="24"/>
        </w:rPr>
        <w:t> </w:t>
      </w:r>
      <w:hyperlink r:id="rId42">
        <w:r>
          <w:rPr>
            <w:spacing w:val="-4"/>
            <w:sz w:val="24"/>
            <w:u w:val="single"/>
          </w:rPr>
          <w:t>pdf</w:t>
        </w:r>
      </w:hyperlink>
    </w:p>
    <w:p>
      <w:pPr>
        <w:pStyle w:val="BodyText"/>
        <w:spacing w:before="138"/>
      </w:pPr>
    </w:p>
    <w:p>
      <w:pPr>
        <w:spacing w:line="360" w:lineRule="auto" w:before="0"/>
        <w:ind w:left="260" w:right="843" w:firstLine="0"/>
        <w:jc w:val="left"/>
        <w:rPr>
          <w:sz w:val="24"/>
        </w:rPr>
      </w:pPr>
      <w:r>
        <w:rPr>
          <w:sz w:val="24"/>
        </w:rPr>
        <w:t>Worrall,</w:t>
      </w:r>
      <w:r>
        <w:rPr>
          <w:spacing w:val="-3"/>
          <w:sz w:val="24"/>
        </w:rPr>
        <w:t> </w:t>
      </w:r>
      <w:r>
        <w:rPr>
          <w:sz w:val="24"/>
        </w:rPr>
        <w:t>E.,</w:t>
      </w:r>
      <w:r>
        <w:rPr>
          <w:spacing w:val="-3"/>
          <w:sz w:val="24"/>
        </w:rPr>
        <w:t> </w:t>
      </w:r>
      <w:r>
        <w:rPr>
          <w:sz w:val="24"/>
        </w:rPr>
        <w:t>Basu,</w:t>
      </w:r>
      <w:r>
        <w:rPr>
          <w:spacing w:val="-3"/>
          <w:sz w:val="24"/>
        </w:rPr>
        <w:t> </w:t>
      </w:r>
      <w:r>
        <w:rPr>
          <w:sz w:val="24"/>
        </w:rPr>
        <w:t>S.</w:t>
      </w:r>
      <w:r>
        <w:rPr>
          <w:spacing w:val="-3"/>
          <w:sz w:val="24"/>
        </w:rPr>
        <w:t> </w:t>
      </w:r>
      <w:r>
        <w:rPr>
          <w:sz w:val="24"/>
        </w:rPr>
        <w:t>and</w:t>
      </w:r>
      <w:r>
        <w:rPr>
          <w:spacing w:val="-1"/>
          <w:sz w:val="24"/>
        </w:rPr>
        <w:t> </w:t>
      </w:r>
      <w:r>
        <w:rPr>
          <w:sz w:val="24"/>
        </w:rPr>
        <w:t>Hanson,</w:t>
      </w:r>
      <w:r>
        <w:rPr>
          <w:spacing w:val="-3"/>
          <w:sz w:val="24"/>
        </w:rPr>
        <w:t> </w:t>
      </w:r>
      <w:r>
        <w:rPr>
          <w:sz w:val="24"/>
        </w:rPr>
        <w:t>K.</w:t>
      </w:r>
      <w:r>
        <w:rPr>
          <w:spacing w:val="-3"/>
          <w:sz w:val="24"/>
        </w:rPr>
        <w:t> </w:t>
      </w:r>
      <w:r>
        <w:rPr>
          <w:sz w:val="24"/>
        </w:rPr>
        <w:t>(2005). Is</w:t>
      </w:r>
      <w:r>
        <w:rPr>
          <w:spacing w:val="-3"/>
          <w:sz w:val="24"/>
        </w:rPr>
        <w:t> </w:t>
      </w:r>
      <w:r>
        <w:rPr>
          <w:sz w:val="24"/>
        </w:rPr>
        <w:t>malaria</w:t>
      </w:r>
      <w:r>
        <w:rPr>
          <w:spacing w:val="-3"/>
          <w:sz w:val="24"/>
        </w:rPr>
        <w:t> </w:t>
      </w:r>
      <w:r>
        <w:rPr>
          <w:sz w:val="24"/>
        </w:rPr>
        <w:t>a</w:t>
      </w:r>
      <w:r>
        <w:rPr>
          <w:spacing w:val="-5"/>
          <w:sz w:val="24"/>
        </w:rPr>
        <w:t> </w:t>
      </w:r>
      <w:r>
        <w:rPr>
          <w:sz w:val="24"/>
        </w:rPr>
        <w:t>disease</w:t>
      </w:r>
      <w:r>
        <w:rPr>
          <w:spacing w:val="-4"/>
          <w:sz w:val="24"/>
        </w:rPr>
        <w:t> </w:t>
      </w:r>
      <w:r>
        <w:rPr>
          <w:sz w:val="24"/>
        </w:rPr>
        <w:t>of</w:t>
      </w:r>
      <w:r>
        <w:rPr>
          <w:spacing w:val="-3"/>
          <w:sz w:val="24"/>
        </w:rPr>
        <w:t> </w:t>
      </w:r>
      <w:r>
        <w:rPr>
          <w:sz w:val="24"/>
        </w:rPr>
        <w:t>poverty?</w:t>
      </w:r>
      <w:r>
        <w:rPr>
          <w:spacing w:val="-2"/>
          <w:sz w:val="24"/>
        </w:rPr>
        <w:t> </w:t>
      </w:r>
      <w:r>
        <w:rPr>
          <w:sz w:val="24"/>
        </w:rPr>
        <w:t>A</w:t>
      </w:r>
      <w:r>
        <w:rPr>
          <w:spacing w:val="-3"/>
          <w:sz w:val="24"/>
        </w:rPr>
        <w:t> </w:t>
      </w:r>
      <w:r>
        <w:rPr>
          <w:sz w:val="24"/>
        </w:rPr>
        <w:t>review</w:t>
      </w:r>
      <w:r>
        <w:rPr>
          <w:spacing w:val="-4"/>
          <w:sz w:val="24"/>
        </w:rPr>
        <w:t> </w:t>
      </w:r>
      <w:r>
        <w:rPr>
          <w:sz w:val="24"/>
        </w:rPr>
        <w:t>of</w:t>
      </w:r>
      <w:r>
        <w:rPr>
          <w:spacing w:val="-3"/>
          <w:sz w:val="24"/>
        </w:rPr>
        <w:t> </w:t>
      </w:r>
      <w:r>
        <w:rPr>
          <w:sz w:val="24"/>
        </w:rPr>
        <w:t>the literature. </w:t>
      </w:r>
      <w:r>
        <w:rPr>
          <w:i/>
          <w:sz w:val="24"/>
        </w:rPr>
        <w:t>Tropical Medicine and International Health, </w:t>
      </w:r>
      <w:r>
        <w:rPr>
          <w:sz w:val="24"/>
        </w:rPr>
        <w:t>10:1047-1059.</w:t>
      </w:r>
    </w:p>
    <w:p>
      <w:pPr>
        <w:pStyle w:val="BodyText"/>
        <w:spacing w:before="139"/>
      </w:pPr>
    </w:p>
    <w:p>
      <w:pPr>
        <w:spacing w:line="276" w:lineRule="auto" w:before="0"/>
        <w:ind w:left="260" w:right="855" w:firstLine="0"/>
        <w:jc w:val="left"/>
        <w:rPr>
          <w:sz w:val="24"/>
        </w:rPr>
      </w:pPr>
      <w:r>
        <w:rPr>
          <w:sz w:val="24"/>
        </w:rPr>
        <w:t>Yang, Z., Zhang, Z., Sun, X., Wan, W., Cui, L., Zhang, Z. Zhong, D., Yan, G. and Cui, L. (2007).</w:t>
      </w:r>
      <w:r>
        <w:rPr>
          <w:spacing w:val="-4"/>
          <w:sz w:val="24"/>
        </w:rPr>
        <w:t> </w:t>
      </w:r>
      <w:r>
        <w:rPr>
          <w:sz w:val="24"/>
        </w:rPr>
        <w:t>Molecular</w:t>
      </w:r>
      <w:r>
        <w:rPr>
          <w:spacing w:val="-4"/>
          <w:sz w:val="24"/>
        </w:rPr>
        <w:t> </w:t>
      </w:r>
      <w:r>
        <w:rPr>
          <w:sz w:val="24"/>
        </w:rPr>
        <w:t>analysis</w:t>
      </w:r>
      <w:r>
        <w:rPr>
          <w:spacing w:val="-4"/>
          <w:sz w:val="24"/>
        </w:rPr>
        <w:t> </w:t>
      </w:r>
      <w:r>
        <w:rPr>
          <w:sz w:val="24"/>
        </w:rPr>
        <w:t>of</w:t>
      </w:r>
      <w:r>
        <w:rPr>
          <w:spacing w:val="-4"/>
          <w:sz w:val="24"/>
        </w:rPr>
        <w:t> </w:t>
      </w:r>
      <w:r>
        <w:rPr>
          <w:sz w:val="24"/>
        </w:rPr>
        <w:t>chloroquine</w:t>
      </w:r>
      <w:r>
        <w:rPr>
          <w:spacing w:val="-5"/>
          <w:sz w:val="24"/>
        </w:rPr>
        <w:t> </w:t>
      </w:r>
      <w:r>
        <w:rPr>
          <w:sz w:val="24"/>
        </w:rPr>
        <w:t>resistance</w:t>
      </w:r>
      <w:r>
        <w:rPr>
          <w:spacing w:val="-5"/>
          <w:sz w:val="24"/>
        </w:rPr>
        <w:t> </w:t>
      </w:r>
      <w:r>
        <w:rPr>
          <w:sz w:val="24"/>
        </w:rPr>
        <w:t>in</w:t>
      </w:r>
      <w:r>
        <w:rPr>
          <w:spacing w:val="-4"/>
          <w:sz w:val="24"/>
        </w:rPr>
        <w:t> </w:t>
      </w:r>
      <w:r>
        <w:rPr>
          <w:i/>
          <w:sz w:val="24"/>
        </w:rPr>
        <w:t>Plasmodium</w:t>
      </w:r>
      <w:r>
        <w:rPr>
          <w:i/>
          <w:spacing w:val="-4"/>
          <w:sz w:val="24"/>
        </w:rPr>
        <w:t> </w:t>
      </w:r>
      <w:r>
        <w:rPr>
          <w:i/>
          <w:sz w:val="24"/>
        </w:rPr>
        <w:t>falciparum</w:t>
      </w:r>
      <w:r>
        <w:rPr>
          <w:i/>
          <w:spacing w:val="-4"/>
          <w:sz w:val="24"/>
        </w:rPr>
        <w:t> </w:t>
      </w:r>
      <w:r>
        <w:rPr>
          <w:sz w:val="24"/>
        </w:rPr>
        <w:t>in</w:t>
      </w:r>
      <w:r>
        <w:rPr>
          <w:spacing w:val="-4"/>
          <w:sz w:val="24"/>
        </w:rPr>
        <w:t> </w:t>
      </w:r>
      <w:r>
        <w:rPr>
          <w:sz w:val="24"/>
        </w:rPr>
        <w:t>Yunnan Province, China. </w:t>
      </w:r>
      <w:r>
        <w:rPr>
          <w:i/>
          <w:sz w:val="24"/>
        </w:rPr>
        <w:t>Tropical Medicine and International Health</w:t>
      </w:r>
      <w:r>
        <w:rPr>
          <w:sz w:val="24"/>
        </w:rPr>
        <w:t>, 12 (9): 1-10.</w:t>
      </w:r>
    </w:p>
    <w:p>
      <w:pPr>
        <w:pStyle w:val="BodyText"/>
      </w:pPr>
    </w:p>
    <w:p>
      <w:pPr>
        <w:pStyle w:val="BodyText"/>
        <w:spacing w:before="61"/>
      </w:pPr>
    </w:p>
    <w:p>
      <w:pPr>
        <w:spacing w:line="360" w:lineRule="auto" w:before="0"/>
        <w:ind w:left="260" w:right="855" w:firstLine="0"/>
        <w:jc w:val="left"/>
        <w:rPr>
          <w:sz w:val="24"/>
        </w:rPr>
      </w:pPr>
      <w:r>
        <w:rPr>
          <w:sz w:val="24"/>
        </w:rPr>
        <w:t>Yayon, A., Cabantchik, Z. I. and Ginsburg, H. (1984). Identification of the acidic compartment of </w:t>
      </w:r>
      <w:r>
        <w:rPr>
          <w:i/>
          <w:sz w:val="24"/>
        </w:rPr>
        <w:t>Plasmodium falciparum</w:t>
      </w:r>
      <w:r>
        <w:rPr>
          <w:sz w:val="24"/>
        </w:rPr>
        <w:t>-infected human erythrocytes as the target of the antimalarial</w:t>
      </w:r>
      <w:r>
        <w:rPr>
          <w:spacing w:val="-4"/>
          <w:sz w:val="24"/>
        </w:rPr>
        <w:t> </w:t>
      </w:r>
      <w:r>
        <w:rPr>
          <w:sz w:val="24"/>
        </w:rPr>
        <w:t>drug</w:t>
      </w:r>
      <w:r>
        <w:rPr>
          <w:spacing w:val="-7"/>
          <w:sz w:val="24"/>
        </w:rPr>
        <w:t> </w:t>
      </w:r>
      <w:r>
        <w:rPr>
          <w:sz w:val="24"/>
        </w:rPr>
        <w:t>chloroquine.</w:t>
      </w:r>
      <w:r>
        <w:rPr>
          <w:spacing w:val="-3"/>
          <w:sz w:val="24"/>
        </w:rPr>
        <w:t> </w:t>
      </w:r>
      <w:r>
        <w:rPr>
          <w:i/>
          <w:sz w:val="24"/>
        </w:rPr>
        <w:t>European</w:t>
      </w:r>
      <w:r>
        <w:rPr>
          <w:i/>
          <w:spacing w:val="-4"/>
          <w:sz w:val="24"/>
        </w:rPr>
        <w:t> </w:t>
      </w:r>
      <w:r>
        <w:rPr>
          <w:i/>
          <w:sz w:val="24"/>
        </w:rPr>
        <w:t>Molecular</w:t>
      </w:r>
      <w:r>
        <w:rPr>
          <w:i/>
          <w:spacing w:val="-4"/>
          <w:sz w:val="24"/>
        </w:rPr>
        <w:t> </w:t>
      </w:r>
      <w:r>
        <w:rPr>
          <w:i/>
          <w:sz w:val="24"/>
        </w:rPr>
        <w:t>Biology</w:t>
      </w:r>
      <w:r>
        <w:rPr>
          <w:i/>
          <w:spacing w:val="-5"/>
          <w:sz w:val="24"/>
        </w:rPr>
        <w:t> </w:t>
      </w:r>
      <w:r>
        <w:rPr>
          <w:i/>
          <w:sz w:val="24"/>
        </w:rPr>
        <w:t>Organisation</w:t>
      </w:r>
      <w:r>
        <w:rPr>
          <w:i/>
          <w:spacing w:val="-4"/>
          <w:sz w:val="24"/>
        </w:rPr>
        <w:t> </w:t>
      </w:r>
      <w:r>
        <w:rPr>
          <w:i/>
          <w:sz w:val="24"/>
        </w:rPr>
        <w:t>Journal</w:t>
      </w:r>
      <w:r>
        <w:rPr>
          <w:sz w:val="24"/>
        </w:rPr>
        <w:t>,</w:t>
      </w:r>
      <w:r>
        <w:rPr>
          <w:spacing w:val="-4"/>
          <w:sz w:val="24"/>
        </w:rPr>
        <w:t> </w:t>
      </w:r>
      <w:r>
        <w:rPr>
          <w:sz w:val="24"/>
        </w:rPr>
        <w:t>3:</w:t>
      </w:r>
      <w:r>
        <w:rPr>
          <w:spacing w:val="-4"/>
          <w:sz w:val="24"/>
        </w:rPr>
        <w:t> </w:t>
      </w:r>
      <w:r>
        <w:rPr>
          <w:sz w:val="24"/>
        </w:rPr>
        <w:t>2695– </w:t>
      </w:r>
      <w:r>
        <w:rPr>
          <w:spacing w:val="-2"/>
          <w:sz w:val="24"/>
        </w:rPr>
        <w:t>2700.</w:t>
      </w:r>
    </w:p>
    <w:p>
      <w:pPr>
        <w:spacing w:after="0" w:line="360" w:lineRule="auto"/>
        <w:jc w:val="left"/>
        <w:rPr>
          <w:sz w:val="24"/>
        </w:rPr>
        <w:sectPr>
          <w:pgSz w:w="11910" w:h="16840"/>
          <w:pgMar w:header="0" w:footer="1254" w:top="1760" w:bottom="1440" w:left="1180" w:right="580"/>
        </w:sectPr>
      </w:pPr>
    </w:p>
    <w:p>
      <w:pPr>
        <w:pStyle w:val="Heading1"/>
        <w:spacing w:line="480" w:lineRule="auto"/>
        <w:ind w:right="7384"/>
        <w:jc w:val="left"/>
      </w:pPr>
      <w:bookmarkStart w:name="_TOC_250000" w:id="48"/>
      <w:r>
        <w:rPr/>
        <w:t>APPENDIX I ETHICAL</w:t>
      </w:r>
      <w:r>
        <w:rPr>
          <w:spacing w:val="-15"/>
        </w:rPr>
        <w:t> </w:t>
      </w:r>
      <w:bookmarkEnd w:id="48"/>
      <w:r>
        <w:rPr/>
        <w:t>APPROVAL</w:t>
      </w:r>
    </w:p>
    <w:p>
      <w:pPr>
        <w:pStyle w:val="BodyText"/>
        <w:rPr>
          <w:b/>
          <w:sz w:val="20"/>
        </w:rPr>
      </w:pPr>
    </w:p>
    <w:p>
      <w:pPr>
        <w:pStyle w:val="BodyText"/>
        <w:spacing w:before="71"/>
        <w:rPr>
          <w:b/>
          <w:sz w:val="20"/>
        </w:rPr>
      </w:pPr>
      <w:r>
        <w:rPr/>
        <w:drawing>
          <wp:anchor distT="0" distB="0" distL="0" distR="0" allowOverlap="1" layoutInCell="1" locked="0" behindDoc="1" simplePos="0" relativeHeight="487595520">
            <wp:simplePos x="0" y="0"/>
            <wp:positionH relativeFrom="page">
              <wp:posOffset>914400</wp:posOffset>
            </wp:positionH>
            <wp:positionV relativeFrom="paragraph">
              <wp:posOffset>206827</wp:posOffset>
            </wp:positionV>
            <wp:extent cx="5379187" cy="7109745"/>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43" cstate="print"/>
                    <a:stretch>
                      <a:fillRect/>
                    </a:stretch>
                  </pic:blipFill>
                  <pic:spPr>
                    <a:xfrm>
                      <a:off x="0" y="0"/>
                      <a:ext cx="5379187" cy="7109745"/>
                    </a:xfrm>
                    <a:prstGeom prst="rect">
                      <a:avLst/>
                    </a:prstGeom>
                  </pic:spPr>
                </pic:pic>
              </a:graphicData>
            </a:graphic>
          </wp:anchor>
        </w:drawing>
      </w:r>
    </w:p>
    <w:p>
      <w:pPr>
        <w:spacing w:after="0"/>
        <w:rPr>
          <w:sz w:val="20"/>
        </w:rPr>
        <w:sectPr>
          <w:pgSz w:w="11910" w:h="16840"/>
          <w:pgMar w:header="0" w:footer="1254" w:top="1340" w:bottom="1440" w:left="1180" w:right="580"/>
        </w:sectPr>
      </w:pPr>
    </w:p>
    <w:p>
      <w:pPr>
        <w:spacing w:before="78"/>
        <w:ind w:left="260" w:right="0" w:firstLine="0"/>
        <w:jc w:val="left"/>
        <w:rPr>
          <w:b/>
          <w:sz w:val="24"/>
        </w:rPr>
      </w:pPr>
      <w:r>
        <w:rPr>
          <w:b/>
          <w:sz w:val="24"/>
        </w:rPr>
        <w:t>APPENDIX</w:t>
      </w:r>
      <w:r>
        <w:rPr>
          <w:b/>
          <w:spacing w:val="-4"/>
          <w:sz w:val="24"/>
        </w:rPr>
        <w:t> </w:t>
      </w:r>
      <w:r>
        <w:rPr>
          <w:b/>
          <w:spacing w:val="-5"/>
          <w:sz w:val="24"/>
        </w:rPr>
        <w:t>II</w:t>
      </w:r>
    </w:p>
    <w:p>
      <w:pPr>
        <w:pStyle w:val="BodyText"/>
        <w:rPr>
          <w:b/>
        </w:rPr>
      </w:pPr>
    </w:p>
    <w:p>
      <w:pPr>
        <w:pStyle w:val="BodyText"/>
        <w:spacing w:before="5"/>
        <w:rPr>
          <w:b/>
        </w:rPr>
      </w:pPr>
    </w:p>
    <w:p>
      <w:pPr>
        <w:spacing w:before="0"/>
        <w:ind w:left="260" w:right="0" w:firstLine="0"/>
        <w:jc w:val="left"/>
        <w:rPr>
          <w:b/>
          <w:sz w:val="24"/>
        </w:rPr>
      </w:pPr>
      <w:r>
        <w:rPr>
          <w:b/>
          <w:sz w:val="24"/>
        </w:rPr>
        <w:t>REVIEW</w:t>
      </w:r>
      <w:r>
        <w:rPr>
          <w:b/>
          <w:spacing w:val="-2"/>
          <w:sz w:val="24"/>
        </w:rPr>
        <w:t> </w:t>
      </w:r>
      <w:r>
        <w:rPr>
          <w:b/>
          <w:sz w:val="24"/>
        </w:rPr>
        <w:t>OF</w:t>
      </w:r>
      <w:r>
        <w:rPr>
          <w:b/>
          <w:spacing w:val="-4"/>
          <w:sz w:val="24"/>
        </w:rPr>
        <w:t> </w:t>
      </w:r>
      <w:r>
        <w:rPr>
          <w:b/>
          <w:sz w:val="24"/>
        </w:rPr>
        <w:t>MALARIA</w:t>
      </w:r>
      <w:r>
        <w:rPr>
          <w:b/>
          <w:spacing w:val="-2"/>
          <w:sz w:val="24"/>
        </w:rPr>
        <w:t> </w:t>
      </w:r>
      <w:r>
        <w:rPr>
          <w:b/>
          <w:sz w:val="24"/>
        </w:rPr>
        <w:t>TREATMENT</w:t>
      </w:r>
      <w:r>
        <w:rPr>
          <w:b/>
          <w:spacing w:val="-1"/>
          <w:sz w:val="24"/>
        </w:rPr>
        <w:t> </w:t>
      </w:r>
      <w:r>
        <w:rPr>
          <w:b/>
          <w:spacing w:val="-2"/>
          <w:sz w:val="24"/>
        </w:rPr>
        <w:t>RECORDS</w:t>
      </w:r>
    </w:p>
    <w:p>
      <w:pPr>
        <w:pStyle w:val="BodyText"/>
        <w:spacing w:before="138"/>
        <w:rPr>
          <w:b/>
        </w:rPr>
      </w:pPr>
    </w:p>
    <w:p>
      <w:pPr>
        <w:spacing w:before="0"/>
        <w:ind w:left="260" w:right="0" w:firstLine="0"/>
        <w:jc w:val="left"/>
        <w:rPr>
          <w:sz w:val="28"/>
        </w:rPr>
      </w:pPr>
      <w:r>
        <w:rPr>
          <w:sz w:val="28"/>
        </w:rPr>
        <w:t>Table</w:t>
      </w:r>
      <w:r>
        <w:rPr>
          <w:spacing w:val="-5"/>
          <w:sz w:val="28"/>
        </w:rPr>
        <w:t> </w:t>
      </w:r>
      <w:r>
        <w:rPr>
          <w:sz w:val="28"/>
        </w:rPr>
        <w:t>IIa:</w:t>
      </w:r>
      <w:r>
        <w:rPr>
          <w:spacing w:val="-2"/>
          <w:sz w:val="28"/>
        </w:rPr>
        <w:t> </w:t>
      </w:r>
      <w:r>
        <w:rPr>
          <w:sz w:val="28"/>
        </w:rPr>
        <w:t>Number</w:t>
      </w:r>
      <w:r>
        <w:rPr>
          <w:spacing w:val="-3"/>
          <w:sz w:val="28"/>
        </w:rPr>
        <w:t> </w:t>
      </w:r>
      <w:r>
        <w:rPr>
          <w:sz w:val="28"/>
        </w:rPr>
        <w:t>of</w:t>
      </w:r>
      <w:r>
        <w:rPr>
          <w:spacing w:val="-2"/>
          <w:sz w:val="28"/>
        </w:rPr>
        <w:t> </w:t>
      </w:r>
      <w:r>
        <w:rPr>
          <w:sz w:val="28"/>
        </w:rPr>
        <w:t>cases</w:t>
      </w:r>
      <w:r>
        <w:rPr>
          <w:spacing w:val="-2"/>
          <w:sz w:val="28"/>
        </w:rPr>
        <w:t> </w:t>
      </w:r>
      <w:r>
        <w:rPr>
          <w:sz w:val="28"/>
        </w:rPr>
        <w:t>by</w:t>
      </w:r>
      <w:r>
        <w:rPr>
          <w:spacing w:val="-5"/>
          <w:sz w:val="28"/>
        </w:rPr>
        <w:t> </w:t>
      </w:r>
      <w:r>
        <w:rPr>
          <w:sz w:val="28"/>
        </w:rPr>
        <w:t>age,</w:t>
      </w:r>
      <w:r>
        <w:rPr>
          <w:spacing w:val="-4"/>
          <w:sz w:val="28"/>
        </w:rPr>
        <w:t> </w:t>
      </w:r>
      <w:r>
        <w:rPr>
          <w:sz w:val="28"/>
        </w:rPr>
        <w:t>sex</w:t>
      </w:r>
      <w:r>
        <w:rPr>
          <w:spacing w:val="-2"/>
          <w:sz w:val="28"/>
        </w:rPr>
        <w:t> </w:t>
      </w:r>
      <w:r>
        <w:rPr>
          <w:sz w:val="28"/>
        </w:rPr>
        <w:t>and</w:t>
      </w:r>
      <w:r>
        <w:rPr>
          <w:spacing w:val="-1"/>
          <w:sz w:val="28"/>
        </w:rPr>
        <w:t> </w:t>
      </w:r>
      <w:r>
        <w:rPr>
          <w:spacing w:val="-2"/>
          <w:sz w:val="28"/>
        </w:rPr>
        <w:t>occupation</w:t>
      </w:r>
    </w:p>
    <w:p>
      <w:pPr>
        <w:pStyle w:val="BodyText"/>
        <w:spacing w:before="24"/>
        <w:rPr>
          <w:sz w:val="20"/>
        </w:rPr>
      </w:pPr>
    </w:p>
    <w:tbl>
      <w:tblPr>
        <w:tblW w:w="0" w:type="auto"/>
        <w:jc w:val="left"/>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02"/>
        <w:gridCol w:w="1259"/>
        <w:gridCol w:w="990"/>
        <w:gridCol w:w="997"/>
        <w:gridCol w:w="611"/>
        <w:gridCol w:w="611"/>
        <w:gridCol w:w="611"/>
        <w:gridCol w:w="364"/>
        <w:gridCol w:w="352"/>
        <w:gridCol w:w="352"/>
        <w:gridCol w:w="364"/>
        <w:gridCol w:w="342"/>
        <w:gridCol w:w="332"/>
      </w:tblGrid>
      <w:tr>
        <w:trPr>
          <w:trHeight w:val="322" w:hRule="atLeast"/>
        </w:trPr>
        <w:tc>
          <w:tcPr>
            <w:tcW w:w="1102" w:type="dxa"/>
            <w:vMerge w:val="restart"/>
          </w:tcPr>
          <w:p>
            <w:pPr>
              <w:pStyle w:val="TableParagraph"/>
              <w:spacing w:line="240" w:lineRule="auto" w:before="0"/>
              <w:ind w:left="107" w:right="315"/>
              <w:jc w:val="left"/>
              <w:rPr>
                <w:sz w:val="28"/>
              </w:rPr>
            </w:pPr>
            <w:r>
              <w:rPr>
                <w:sz w:val="28"/>
              </w:rPr>
              <w:t>No</w:t>
            </w:r>
            <w:r>
              <w:rPr>
                <w:spacing w:val="-18"/>
                <w:sz w:val="28"/>
              </w:rPr>
              <w:t> </w:t>
            </w:r>
            <w:r>
              <w:rPr>
                <w:sz w:val="28"/>
              </w:rPr>
              <w:t>of </w:t>
            </w:r>
            <w:r>
              <w:rPr>
                <w:spacing w:val="-2"/>
                <w:sz w:val="28"/>
              </w:rPr>
              <w:t>cases</w:t>
            </w:r>
          </w:p>
        </w:tc>
        <w:tc>
          <w:tcPr>
            <w:tcW w:w="3246" w:type="dxa"/>
            <w:gridSpan w:val="3"/>
          </w:tcPr>
          <w:p>
            <w:pPr>
              <w:pStyle w:val="TableParagraph"/>
              <w:spacing w:line="303" w:lineRule="exact" w:before="0"/>
              <w:ind w:left="106"/>
              <w:jc w:val="left"/>
              <w:rPr>
                <w:sz w:val="28"/>
              </w:rPr>
            </w:pPr>
            <w:r>
              <w:rPr>
                <w:sz w:val="28"/>
              </w:rPr>
              <w:t>Age</w:t>
            </w:r>
            <w:r>
              <w:rPr>
                <w:spacing w:val="-2"/>
                <w:sz w:val="28"/>
              </w:rPr>
              <w:t> group</w:t>
            </w:r>
          </w:p>
        </w:tc>
        <w:tc>
          <w:tcPr>
            <w:tcW w:w="1833" w:type="dxa"/>
            <w:gridSpan w:val="3"/>
          </w:tcPr>
          <w:p>
            <w:pPr>
              <w:pStyle w:val="TableParagraph"/>
              <w:spacing w:line="303" w:lineRule="exact" w:before="0"/>
              <w:ind w:left="103"/>
              <w:jc w:val="left"/>
              <w:rPr>
                <w:sz w:val="28"/>
              </w:rPr>
            </w:pPr>
            <w:r>
              <w:rPr>
                <w:spacing w:val="-5"/>
                <w:sz w:val="28"/>
              </w:rPr>
              <w:t>Sex</w:t>
            </w:r>
          </w:p>
        </w:tc>
        <w:tc>
          <w:tcPr>
            <w:tcW w:w="2106" w:type="dxa"/>
            <w:gridSpan w:val="6"/>
          </w:tcPr>
          <w:p>
            <w:pPr>
              <w:pStyle w:val="TableParagraph"/>
              <w:spacing w:line="303" w:lineRule="exact" w:before="0"/>
              <w:ind w:left="100"/>
              <w:jc w:val="left"/>
              <w:rPr>
                <w:sz w:val="28"/>
              </w:rPr>
            </w:pPr>
            <w:r>
              <w:rPr>
                <w:spacing w:val="-2"/>
                <w:sz w:val="28"/>
              </w:rPr>
              <w:t>Occupation</w:t>
            </w:r>
          </w:p>
        </w:tc>
      </w:tr>
      <w:tr>
        <w:trPr>
          <w:trHeight w:val="322" w:hRule="atLeast"/>
        </w:trPr>
        <w:tc>
          <w:tcPr>
            <w:tcW w:w="1102" w:type="dxa"/>
            <w:vMerge/>
            <w:tcBorders>
              <w:top w:val="nil"/>
            </w:tcBorders>
          </w:tcPr>
          <w:p>
            <w:pPr>
              <w:rPr>
                <w:sz w:val="2"/>
                <w:szCs w:val="2"/>
              </w:rPr>
            </w:pPr>
          </w:p>
        </w:tc>
        <w:tc>
          <w:tcPr>
            <w:tcW w:w="1259" w:type="dxa"/>
            <w:vMerge w:val="restart"/>
          </w:tcPr>
          <w:p>
            <w:pPr>
              <w:pStyle w:val="TableParagraph"/>
              <w:spacing w:line="314" w:lineRule="exact" w:before="0"/>
              <w:ind w:left="106"/>
              <w:jc w:val="left"/>
              <w:rPr>
                <w:sz w:val="28"/>
              </w:rPr>
            </w:pPr>
            <w:r>
              <w:rPr>
                <w:spacing w:val="-2"/>
                <w:sz w:val="28"/>
              </w:rPr>
              <w:t>Children</w:t>
            </w:r>
          </w:p>
        </w:tc>
        <w:tc>
          <w:tcPr>
            <w:tcW w:w="990" w:type="dxa"/>
            <w:vMerge w:val="restart"/>
          </w:tcPr>
          <w:p>
            <w:pPr>
              <w:pStyle w:val="TableParagraph"/>
              <w:spacing w:line="242" w:lineRule="auto" w:before="0"/>
              <w:ind w:left="103" w:right="84"/>
              <w:jc w:val="left"/>
              <w:rPr>
                <w:sz w:val="28"/>
              </w:rPr>
            </w:pPr>
            <w:r>
              <w:rPr>
                <w:spacing w:val="-2"/>
                <w:sz w:val="28"/>
              </w:rPr>
              <w:t>Young adult</w:t>
            </w:r>
          </w:p>
        </w:tc>
        <w:tc>
          <w:tcPr>
            <w:tcW w:w="997" w:type="dxa"/>
            <w:vMerge w:val="restart"/>
          </w:tcPr>
          <w:p>
            <w:pPr>
              <w:pStyle w:val="TableParagraph"/>
              <w:spacing w:line="314" w:lineRule="exact" w:before="0"/>
              <w:ind w:left="104"/>
              <w:jc w:val="left"/>
              <w:rPr>
                <w:sz w:val="28"/>
              </w:rPr>
            </w:pPr>
            <w:r>
              <w:rPr>
                <w:spacing w:val="-4"/>
                <w:sz w:val="28"/>
              </w:rPr>
              <w:t>Adult</w:t>
            </w:r>
          </w:p>
        </w:tc>
        <w:tc>
          <w:tcPr>
            <w:tcW w:w="611" w:type="dxa"/>
            <w:vMerge w:val="restart"/>
          </w:tcPr>
          <w:p>
            <w:pPr>
              <w:pStyle w:val="TableParagraph"/>
              <w:spacing w:line="314" w:lineRule="exact" w:before="0"/>
              <w:ind w:left="103"/>
              <w:jc w:val="left"/>
              <w:rPr>
                <w:sz w:val="28"/>
              </w:rPr>
            </w:pPr>
            <w:r>
              <w:rPr>
                <w:spacing w:val="-10"/>
                <w:sz w:val="28"/>
              </w:rPr>
              <w:t>M</w:t>
            </w:r>
          </w:p>
        </w:tc>
        <w:tc>
          <w:tcPr>
            <w:tcW w:w="1222" w:type="dxa"/>
            <w:gridSpan w:val="2"/>
          </w:tcPr>
          <w:p>
            <w:pPr>
              <w:pStyle w:val="TableParagraph"/>
              <w:spacing w:line="303" w:lineRule="exact" w:before="0"/>
              <w:ind w:left="5"/>
              <w:rPr>
                <w:sz w:val="28"/>
              </w:rPr>
            </w:pPr>
            <w:r>
              <w:rPr>
                <w:spacing w:val="-10"/>
                <w:sz w:val="28"/>
              </w:rPr>
              <w:t>F</w:t>
            </w:r>
          </w:p>
        </w:tc>
        <w:tc>
          <w:tcPr>
            <w:tcW w:w="364" w:type="dxa"/>
            <w:vMerge w:val="restart"/>
          </w:tcPr>
          <w:p>
            <w:pPr>
              <w:pStyle w:val="TableParagraph"/>
              <w:spacing w:line="223" w:lineRule="exact" w:before="0"/>
              <w:ind w:left="100"/>
              <w:jc w:val="left"/>
              <w:rPr>
                <w:sz w:val="20"/>
              </w:rPr>
            </w:pPr>
            <w:r>
              <w:rPr>
                <w:spacing w:val="-10"/>
                <w:sz w:val="20"/>
              </w:rPr>
              <w:t>A</w:t>
            </w:r>
          </w:p>
        </w:tc>
        <w:tc>
          <w:tcPr>
            <w:tcW w:w="352" w:type="dxa"/>
            <w:vMerge w:val="restart"/>
          </w:tcPr>
          <w:p>
            <w:pPr>
              <w:pStyle w:val="TableParagraph"/>
              <w:spacing w:line="223" w:lineRule="exact" w:before="0"/>
              <w:ind w:left="98"/>
              <w:jc w:val="left"/>
              <w:rPr>
                <w:sz w:val="20"/>
              </w:rPr>
            </w:pPr>
            <w:r>
              <w:rPr>
                <w:spacing w:val="-10"/>
                <w:sz w:val="20"/>
              </w:rPr>
              <w:t>B</w:t>
            </w:r>
          </w:p>
        </w:tc>
        <w:tc>
          <w:tcPr>
            <w:tcW w:w="352" w:type="dxa"/>
            <w:vMerge w:val="restart"/>
          </w:tcPr>
          <w:p>
            <w:pPr>
              <w:pStyle w:val="TableParagraph"/>
              <w:spacing w:line="223" w:lineRule="exact" w:before="0"/>
              <w:ind w:left="97"/>
              <w:jc w:val="left"/>
              <w:rPr>
                <w:sz w:val="20"/>
              </w:rPr>
            </w:pPr>
            <w:r>
              <w:rPr>
                <w:spacing w:val="-10"/>
                <w:sz w:val="20"/>
              </w:rPr>
              <w:t>C</w:t>
            </w:r>
          </w:p>
        </w:tc>
        <w:tc>
          <w:tcPr>
            <w:tcW w:w="364" w:type="dxa"/>
            <w:vMerge w:val="restart"/>
          </w:tcPr>
          <w:p>
            <w:pPr>
              <w:pStyle w:val="TableParagraph"/>
              <w:spacing w:line="223" w:lineRule="exact" w:before="0"/>
              <w:ind w:left="95"/>
              <w:jc w:val="left"/>
              <w:rPr>
                <w:sz w:val="20"/>
              </w:rPr>
            </w:pPr>
            <w:r>
              <w:rPr>
                <w:spacing w:val="-10"/>
                <w:sz w:val="20"/>
              </w:rPr>
              <w:t>D</w:t>
            </w:r>
          </w:p>
        </w:tc>
        <w:tc>
          <w:tcPr>
            <w:tcW w:w="342" w:type="dxa"/>
            <w:vMerge w:val="restart"/>
          </w:tcPr>
          <w:p>
            <w:pPr>
              <w:pStyle w:val="TableParagraph"/>
              <w:spacing w:line="223" w:lineRule="exact" w:before="0"/>
              <w:ind w:left="94"/>
              <w:jc w:val="left"/>
              <w:rPr>
                <w:sz w:val="20"/>
              </w:rPr>
            </w:pPr>
            <w:r>
              <w:rPr>
                <w:spacing w:val="-10"/>
                <w:sz w:val="20"/>
              </w:rPr>
              <w:t>E</w:t>
            </w:r>
          </w:p>
        </w:tc>
        <w:tc>
          <w:tcPr>
            <w:tcW w:w="332" w:type="dxa"/>
            <w:vMerge w:val="restart"/>
          </w:tcPr>
          <w:p>
            <w:pPr>
              <w:pStyle w:val="TableParagraph"/>
              <w:spacing w:line="223" w:lineRule="exact" w:before="0"/>
              <w:ind w:left="93"/>
              <w:jc w:val="left"/>
              <w:rPr>
                <w:sz w:val="20"/>
              </w:rPr>
            </w:pPr>
            <w:r>
              <w:rPr>
                <w:spacing w:val="-10"/>
                <w:sz w:val="20"/>
              </w:rPr>
              <w:t>F</w:t>
            </w:r>
          </w:p>
        </w:tc>
      </w:tr>
      <w:tr>
        <w:trPr>
          <w:trHeight w:val="320" w:hRule="atLeast"/>
        </w:trPr>
        <w:tc>
          <w:tcPr>
            <w:tcW w:w="1102" w:type="dxa"/>
            <w:vMerge/>
            <w:tcBorders>
              <w:top w:val="nil"/>
            </w:tcBorders>
          </w:tcPr>
          <w:p>
            <w:pPr>
              <w:rPr>
                <w:sz w:val="2"/>
                <w:szCs w:val="2"/>
              </w:rPr>
            </w:pPr>
          </w:p>
        </w:tc>
        <w:tc>
          <w:tcPr>
            <w:tcW w:w="1259" w:type="dxa"/>
            <w:vMerge/>
            <w:tcBorders>
              <w:top w:val="nil"/>
            </w:tcBorders>
          </w:tcPr>
          <w:p>
            <w:pPr>
              <w:rPr>
                <w:sz w:val="2"/>
                <w:szCs w:val="2"/>
              </w:rPr>
            </w:pPr>
          </w:p>
        </w:tc>
        <w:tc>
          <w:tcPr>
            <w:tcW w:w="990" w:type="dxa"/>
            <w:vMerge/>
            <w:tcBorders>
              <w:top w:val="nil"/>
            </w:tcBorders>
          </w:tcPr>
          <w:p>
            <w:pPr>
              <w:rPr>
                <w:sz w:val="2"/>
                <w:szCs w:val="2"/>
              </w:rPr>
            </w:pPr>
          </w:p>
        </w:tc>
        <w:tc>
          <w:tcPr>
            <w:tcW w:w="997" w:type="dxa"/>
            <w:vMerge/>
            <w:tcBorders>
              <w:top w:val="nil"/>
            </w:tcBorders>
          </w:tcPr>
          <w:p>
            <w:pPr>
              <w:rPr>
                <w:sz w:val="2"/>
                <w:szCs w:val="2"/>
              </w:rPr>
            </w:pPr>
          </w:p>
        </w:tc>
        <w:tc>
          <w:tcPr>
            <w:tcW w:w="611" w:type="dxa"/>
            <w:vMerge/>
            <w:tcBorders>
              <w:top w:val="nil"/>
            </w:tcBorders>
          </w:tcPr>
          <w:p>
            <w:pPr>
              <w:rPr>
                <w:sz w:val="2"/>
                <w:szCs w:val="2"/>
              </w:rPr>
            </w:pPr>
          </w:p>
        </w:tc>
        <w:tc>
          <w:tcPr>
            <w:tcW w:w="611" w:type="dxa"/>
          </w:tcPr>
          <w:p>
            <w:pPr>
              <w:pStyle w:val="TableParagraph"/>
              <w:spacing w:line="300" w:lineRule="exact" w:before="0"/>
              <w:ind w:left="102"/>
              <w:jc w:val="left"/>
              <w:rPr>
                <w:sz w:val="28"/>
              </w:rPr>
            </w:pPr>
            <w:r>
              <w:rPr>
                <w:spacing w:val="-10"/>
                <w:sz w:val="28"/>
              </w:rPr>
              <w:t>I</w:t>
            </w:r>
          </w:p>
        </w:tc>
        <w:tc>
          <w:tcPr>
            <w:tcW w:w="611" w:type="dxa"/>
          </w:tcPr>
          <w:p>
            <w:pPr>
              <w:pStyle w:val="TableParagraph"/>
              <w:spacing w:line="300" w:lineRule="exact" w:before="0"/>
              <w:ind w:left="101"/>
              <w:jc w:val="left"/>
              <w:rPr>
                <w:sz w:val="28"/>
              </w:rPr>
            </w:pPr>
            <w:r>
              <w:rPr>
                <w:spacing w:val="-5"/>
                <w:sz w:val="28"/>
              </w:rPr>
              <w:t>II</w:t>
            </w:r>
          </w:p>
        </w:tc>
        <w:tc>
          <w:tcPr>
            <w:tcW w:w="364" w:type="dxa"/>
            <w:vMerge/>
            <w:tcBorders>
              <w:top w:val="nil"/>
            </w:tcBorders>
          </w:tcPr>
          <w:p>
            <w:pPr>
              <w:rPr>
                <w:sz w:val="2"/>
                <w:szCs w:val="2"/>
              </w:rPr>
            </w:pPr>
          </w:p>
        </w:tc>
        <w:tc>
          <w:tcPr>
            <w:tcW w:w="352" w:type="dxa"/>
            <w:vMerge/>
            <w:tcBorders>
              <w:top w:val="nil"/>
            </w:tcBorders>
          </w:tcPr>
          <w:p>
            <w:pPr>
              <w:rPr>
                <w:sz w:val="2"/>
                <w:szCs w:val="2"/>
              </w:rPr>
            </w:pPr>
          </w:p>
        </w:tc>
        <w:tc>
          <w:tcPr>
            <w:tcW w:w="352" w:type="dxa"/>
            <w:vMerge/>
            <w:tcBorders>
              <w:top w:val="nil"/>
            </w:tcBorders>
          </w:tcPr>
          <w:p>
            <w:pPr>
              <w:rPr>
                <w:sz w:val="2"/>
                <w:szCs w:val="2"/>
              </w:rPr>
            </w:pPr>
          </w:p>
        </w:tc>
        <w:tc>
          <w:tcPr>
            <w:tcW w:w="364" w:type="dxa"/>
            <w:vMerge/>
            <w:tcBorders>
              <w:top w:val="nil"/>
            </w:tcBorders>
          </w:tcPr>
          <w:p>
            <w:pPr>
              <w:rPr>
                <w:sz w:val="2"/>
                <w:szCs w:val="2"/>
              </w:rPr>
            </w:pPr>
          </w:p>
        </w:tc>
        <w:tc>
          <w:tcPr>
            <w:tcW w:w="342" w:type="dxa"/>
            <w:vMerge/>
            <w:tcBorders>
              <w:top w:val="nil"/>
            </w:tcBorders>
          </w:tcPr>
          <w:p>
            <w:pPr>
              <w:rPr>
                <w:sz w:val="2"/>
                <w:szCs w:val="2"/>
              </w:rPr>
            </w:pPr>
          </w:p>
        </w:tc>
        <w:tc>
          <w:tcPr>
            <w:tcW w:w="332" w:type="dxa"/>
            <w:vMerge/>
            <w:tcBorders>
              <w:top w:val="nil"/>
            </w:tcBorders>
          </w:tcPr>
          <w:p>
            <w:pPr>
              <w:rPr>
                <w:sz w:val="2"/>
                <w:szCs w:val="2"/>
              </w:rPr>
            </w:pPr>
          </w:p>
        </w:tc>
      </w:tr>
      <w:tr>
        <w:trPr>
          <w:trHeight w:val="2574" w:hRule="atLeast"/>
        </w:trPr>
        <w:tc>
          <w:tcPr>
            <w:tcW w:w="1102" w:type="dxa"/>
          </w:tcPr>
          <w:p>
            <w:pPr>
              <w:pStyle w:val="TableParagraph"/>
              <w:spacing w:line="240" w:lineRule="auto" w:before="0"/>
              <w:jc w:val="left"/>
              <w:rPr>
                <w:sz w:val="20"/>
              </w:rPr>
            </w:pPr>
          </w:p>
        </w:tc>
        <w:tc>
          <w:tcPr>
            <w:tcW w:w="1259" w:type="dxa"/>
          </w:tcPr>
          <w:p>
            <w:pPr>
              <w:pStyle w:val="TableParagraph"/>
              <w:spacing w:line="240" w:lineRule="auto" w:before="0"/>
              <w:jc w:val="left"/>
              <w:rPr>
                <w:sz w:val="20"/>
              </w:rPr>
            </w:pPr>
          </w:p>
        </w:tc>
        <w:tc>
          <w:tcPr>
            <w:tcW w:w="990" w:type="dxa"/>
          </w:tcPr>
          <w:p>
            <w:pPr>
              <w:pStyle w:val="TableParagraph"/>
              <w:spacing w:line="240" w:lineRule="auto" w:before="0"/>
              <w:jc w:val="left"/>
              <w:rPr>
                <w:sz w:val="20"/>
              </w:rPr>
            </w:pPr>
          </w:p>
        </w:tc>
        <w:tc>
          <w:tcPr>
            <w:tcW w:w="997" w:type="dxa"/>
          </w:tcPr>
          <w:p>
            <w:pPr>
              <w:pStyle w:val="TableParagraph"/>
              <w:spacing w:line="240" w:lineRule="auto" w:before="0"/>
              <w:jc w:val="left"/>
              <w:rPr>
                <w:sz w:val="20"/>
              </w:rPr>
            </w:pPr>
          </w:p>
        </w:tc>
        <w:tc>
          <w:tcPr>
            <w:tcW w:w="611" w:type="dxa"/>
          </w:tcPr>
          <w:p>
            <w:pPr>
              <w:pStyle w:val="TableParagraph"/>
              <w:spacing w:line="240" w:lineRule="auto" w:before="0"/>
              <w:jc w:val="left"/>
              <w:rPr>
                <w:sz w:val="20"/>
              </w:rPr>
            </w:pPr>
          </w:p>
        </w:tc>
        <w:tc>
          <w:tcPr>
            <w:tcW w:w="611" w:type="dxa"/>
          </w:tcPr>
          <w:p>
            <w:pPr>
              <w:pStyle w:val="TableParagraph"/>
              <w:spacing w:line="240" w:lineRule="auto" w:before="0"/>
              <w:jc w:val="left"/>
              <w:rPr>
                <w:sz w:val="20"/>
              </w:rPr>
            </w:pPr>
          </w:p>
        </w:tc>
        <w:tc>
          <w:tcPr>
            <w:tcW w:w="611" w:type="dxa"/>
          </w:tcPr>
          <w:p>
            <w:pPr>
              <w:pStyle w:val="TableParagraph"/>
              <w:spacing w:line="240" w:lineRule="auto" w:before="0"/>
              <w:jc w:val="left"/>
              <w:rPr>
                <w:sz w:val="20"/>
              </w:rPr>
            </w:pPr>
          </w:p>
        </w:tc>
        <w:tc>
          <w:tcPr>
            <w:tcW w:w="364" w:type="dxa"/>
          </w:tcPr>
          <w:p>
            <w:pPr>
              <w:pStyle w:val="TableParagraph"/>
              <w:spacing w:line="240" w:lineRule="auto" w:before="0"/>
              <w:jc w:val="left"/>
              <w:rPr>
                <w:sz w:val="20"/>
              </w:rPr>
            </w:pPr>
          </w:p>
        </w:tc>
        <w:tc>
          <w:tcPr>
            <w:tcW w:w="352" w:type="dxa"/>
          </w:tcPr>
          <w:p>
            <w:pPr>
              <w:pStyle w:val="TableParagraph"/>
              <w:spacing w:line="240" w:lineRule="auto" w:before="0"/>
              <w:jc w:val="left"/>
              <w:rPr>
                <w:sz w:val="20"/>
              </w:rPr>
            </w:pPr>
          </w:p>
        </w:tc>
        <w:tc>
          <w:tcPr>
            <w:tcW w:w="352" w:type="dxa"/>
          </w:tcPr>
          <w:p>
            <w:pPr>
              <w:pStyle w:val="TableParagraph"/>
              <w:spacing w:line="240" w:lineRule="auto" w:before="0"/>
              <w:jc w:val="left"/>
              <w:rPr>
                <w:sz w:val="20"/>
              </w:rPr>
            </w:pPr>
          </w:p>
        </w:tc>
        <w:tc>
          <w:tcPr>
            <w:tcW w:w="364" w:type="dxa"/>
          </w:tcPr>
          <w:p>
            <w:pPr>
              <w:pStyle w:val="TableParagraph"/>
              <w:spacing w:line="240" w:lineRule="auto" w:before="0"/>
              <w:jc w:val="left"/>
              <w:rPr>
                <w:sz w:val="20"/>
              </w:rPr>
            </w:pPr>
          </w:p>
        </w:tc>
        <w:tc>
          <w:tcPr>
            <w:tcW w:w="342" w:type="dxa"/>
          </w:tcPr>
          <w:p>
            <w:pPr>
              <w:pStyle w:val="TableParagraph"/>
              <w:spacing w:line="240" w:lineRule="auto" w:before="0"/>
              <w:jc w:val="left"/>
              <w:rPr>
                <w:sz w:val="20"/>
              </w:rPr>
            </w:pPr>
          </w:p>
        </w:tc>
        <w:tc>
          <w:tcPr>
            <w:tcW w:w="332" w:type="dxa"/>
          </w:tcPr>
          <w:p>
            <w:pPr>
              <w:pStyle w:val="TableParagraph"/>
              <w:spacing w:line="240" w:lineRule="auto" w:before="0"/>
              <w:jc w:val="left"/>
              <w:rPr>
                <w:sz w:val="20"/>
              </w:rPr>
            </w:pPr>
          </w:p>
        </w:tc>
      </w:tr>
    </w:tbl>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4"/>
        <w:gridCol w:w="2771"/>
        <w:gridCol w:w="2329"/>
      </w:tblGrid>
      <w:tr>
        <w:trPr>
          <w:trHeight w:val="223" w:hRule="atLeast"/>
        </w:trPr>
        <w:tc>
          <w:tcPr>
            <w:tcW w:w="1904" w:type="dxa"/>
          </w:tcPr>
          <w:p>
            <w:pPr>
              <w:pStyle w:val="TableParagraph"/>
              <w:spacing w:line="203" w:lineRule="exact" w:before="0"/>
              <w:ind w:left="50"/>
              <w:jc w:val="left"/>
              <w:rPr>
                <w:b/>
                <w:sz w:val="20"/>
              </w:rPr>
            </w:pPr>
            <w:r>
              <w:rPr>
                <w:b/>
                <w:spacing w:val="-4"/>
                <w:sz w:val="20"/>
              </w:rPr>
              <w:t>Key:</w:t>
            </w:r>
          </w:p>
        </w:tc>
        <w:tc>
          <w:tcPr>
            <w:tcW w:w="5100" w:type="dxa"/>
            <w:gridSpan w:val="2"/>
          </w:tcPr>
          <w:p>
            <w:pPr>
              <w:pStyle w:val="TableParagraph"/>
              <w:spacing w:line="240" w:lineRule="auto" w:before="0"/>
              <w:jc w:val="left"/>
              <w:rPr>
                <w:sz w:val="14"/>
              </w:rPr>
            </w:pPr>
          </w:p>
        </w:tc>
      </w:tr>
      <w:tr>
        <w:trPr>
          <w:trHeight w:val="228" w:hRule="atLeast"/>
        </w:trPr>
        <w:tc>
          <w:tcPr>
            <w:tcW w:w="1904" w:type="dxa"/>
          </w:tcPr>
          <w:p>
            <w:pPr>
              <w:pStyle w:val="TableParagraph"/>
              <w:spacing w:line="208" w:lineRule="exact" w:before="0"/>
              <w:ind w:left="50"/>
              <w:jc w:val="left"/>
              <w:rPr>
                <w:sz w:val="20"/>
              </w:rPr>
            </w:pPr>
            <w:r>
              <w:rPr>
                <w:spacing w:val="-2"/>
                <w:sz w:val="20"/>
              </w:rPr>
              <w:t>A=Students</w:t>
            </w:r>
          </w:p>
        </w:tc>
        <w:tc>
          <w:tcPr>
            <w:tcW w:w="2771" w:type="dxa"/>
          </w:tcPr>
          <w:p>
            <w:pPr>
              <w:pStyle w:val="TableParagraph"/>
              <w:spacing w:line="208" w:lineRule="exact" w:before="0"/>
              <w:ind w:left="306"/>
              <w:jc w:val="left"/>
              <w:rPr>
                <w:sz w:val="20"/>
              </w:rPr>
            </w:pPr>
            <w:r>
              <w:rPr>
                <w:sz w:val="20"/>
              </w:rPr>
              <w:t>B=Civil</w:t>
            </w:r>
            <w:r>
              <w:rPr>
                <w:spacing w:val="-9"/>
                <w:sz w:val="20"/>
              </w:rPr>
              <w:t> </w:t>
            </w:r>
            <w:r>
              <w:rPr>
                <w:spacing w:val="-2"/>
                <w:sz w:val="20"/>
              </w:rPr>
              <w:t>Servants</w:t>
            </w:r>
          </w:p>
        </w:tc>
        <w:tc>
          <w:tcPr>
            <w:tcW w:w="2329" w:type="dxa"/>
          </w:tcPr>
          <w:p>
            <w:pPr>
              <w:pStyle w:val="TableParagraph"/>
              <w:spacing w:line="208" w:lineRule="exact" w:before="0"/>
              <w:ind w:left="415"/>
              <w:jc w:val="left"/>
              <w:rPr>
                <w:sz w:val="20"/>
              </w:rPr>
            </w:pPr>
            <w:r>
              <w:rPr>
                <w:spacing w:val="-2"/>
                <w:sz w:val="20"/>
              </w:rPr>
              <w:t>C=Business</w:t>
            </w:r>
          </w:p>
        </w:tc>
      </w:tr>
      <w:tr>
        <w:trPr>
          <w:trHeight w:val="230" w:hRule="atLeast"/>
        </w:trPr>
        <w:tc>
          <w:tcPr>
            <w:tcW w:w="1904" w:type="dxa"/>
          </w:tcPr>
          <w:p>
            <w:pPr>
              <w:pStyle w:val="TableParagraph"/>
              <w:spacing w:line="211" w:lineRule="exact" w:before="0"/>
              <w:ind w:left="50"/>
              <w:jc w:val="left"/>
              <w:rPr>
                <w:sz w:val="20"/>
              </w:rPr>
            </w:pPr>
            <w:r>
              <w:rPr>
                <w:spacing w:val="-2"/>
                <w:sz w:val="20"/>
              </w:rPr>
              <w:t>D=Housewife</w:t>
            </w:r>
          </w:p>
        </w:tc>
        <w:tc>
          <w:tcPr>
            <w:tcW w:w="2771" w:type="dxa"/>
          </w:tcPr>
          <w:p>
            <w:pPr>
              <w:pStyle w:val="TableParagraph"/>
              <w:spacing w:line="211" w:lineRule="exact" w:before="0"/>
              <w:ind w:left="306"/>
              <w:jc w:val="left"/>
              <w:rPr>
                <w:sz w:val="20"/>
              </w:rPr>
            </w:pPr>
            <w:r>
              <w:rPr>
                <w:spacing w:val="-2"/>
                <w:sz w:val="20"/>
              </w:rPr>
              <w:t>E=Farmer</w:t>
            </w:r>
          </w:p>
        </w:tc>
        <w:tc>
          <w:tcPr>
            <w:tcW w:w="2329" w:type="dxa"/>
          </w:tcPr>
          <w:p>
            <w:pPr>
              <w:pStyle w:val="TableParagraph"/>
              <w:spacing w:line="211" w:lineRule="exact" w:before="0"/>
              <w:ind w:left="415"/>
              <w:jc w:val="left"/>
              <w:rPr>
                <w:sz w:val="20"/>
              </w:rPr>
            </w:pPr>
            <w:r>
              <w:rPr>
                <w:spacing w:val="-2"/>
                <w:sz w:val="20"/>
              </w:rPr>
              <w:t>F=Unknown</w:t>
            </w:r>
          </w:p>
        </w:tc>
      </w:tr>
      <w:tr>
        <w:trPr>
          <w:trHeight w:val="230" w:hRule="atLeast"/>
        </w:trPr>
        <w:tc>
          <w:tcPr>
            <w:tcW w:w="1904" w:type="dxa"/>
          </w:tcPr>
          <w:p>
            <w:pPr>
              <w:pStyle w:val="TableParagraph"/>
              <w:spacing w:line="210" w:lineRule="exact" w:before="0"/>
              <w:ind w:left="50"/>
              <w:jc w:val="left"/>
              <w:rPr>
                <w:sz w:val="20"/>
              </w:rPr>
            </w:pPr>
            <w:r>
              <w:rPr>
                <w:sz w:val="20"/>
              </w:rPr>
              <w:t>I=Pregnant</w:t>
            </w:r>
            <w:r>
              <w:rPr>
                <w:spacing w:val="-9"/>
                <w:sz w:val="20"/>
              </w:rPr>
              <w:t> </w:t>
            </w:r>
            <w:r>
              <w:rPr>
                <w:spacing w:val="-2"/>
                <w:sz w:val="20"/>
              </w:rPr>
              <w:t>female</w:t>
            </w:r>
          </w:p>
        </w:tc>
        <w:tc>
          <w:tcPr>
            <w:tcW w:w="2771" w:type="dxa"/>
          </w:tcPr>
          <w:p>
            <w:pPr>
              <w:pStyle w:val="TableParagraph"/>
              <w:spacing w:line="210" w:lineRule="exact" w:before="0"/>
              <w:ind w:left="306"/>
              <w:jc w:val="left"/>
              <w:rPr>
                <w:sz w:val="20"/>
              </w:rPr>
            </w:pPr>
            <w:r>
              <w:rPr>
                <w:spacing w:val="-2"/>
                <w:sz w:val="20"/>
              </w:rPr>
              <w:t>II=Non-pregnant</w:t>
            </w:r>
            <w:r>
              <w:rPr>
                <w:spacing w:val="15"/>
                <w:sz w:val="20"/>
              </w:rPr>
              <w:t> </w:t>
            </w:r>
            <w:r>
              <w:rPr>
                <w:spacing w:val="-2"/>
                <w:sz w:val="20"/>
              </w:rPr>
              <w:t>female</w:t>
            </w:r>
          </w:p>
        </w:tc>
        <w:tc>
          <w:tcPr>
            <w:tcW w:w="2329" w:type="dxa"/>
          </w:tcPr>
          <w:p>
            <w:pPr>
              <w:pStyle w:val="TableParagraph"/>
              <w:spacing w:line="240" w:lineRule="auto" w:before="0"/>
              <w:jc w:val="left"/>
              <w:rPr>
                <w:sz w:val="16"/>
              </w:rPr>
            </w:pPr>
          </w:p>
        </w:tc>
      </w:tr>
      <w:tr>
        <w:trPr>
          <w:trHeight w:val="225" w:hRule="atLeast"/>
        </w:trPr>
        <w:tc>
          <w:tcPr>
            <w:tcW w:w="1904" w:type="dxa"/>
          </w:tcPr>
          <w:p>
            <w:pPr>
              <w:pStyle w:val="TableParagraph"/>
              <w:spacing w:line="205" w:lineRule="exact" w:before="0"/>
              <w:ind w:left="50"/>
              <w:jc w:val="left"/>
              <w:rPr>
                <w:sz w:val="20"/>
              </w:rPr>
            </w:pPr>
            <w:r>
              <w:rPr>
                <w:sz w:val="20"/>
              </w:rPr>
              <w:t>Children=</w:t>
            </w:r>
            <w:r>
              <w:rPr>
                <w:spacing w:val="-12"/>
                <w:sz w:val="20"/>
              </w:rPr>
              <w:t> </w:t>
            </w:r>
            <w:r>
              <w:rPr>
                <w:sz w:val="20"/>
              </w:rPr>
              <w:t>0-</w:t>
            </w:r>
            <w:r>
              <w:rPr>
                <w:spacing w:val="-2"/>
                <w:sz w:val="20"/>
              </w:rPr>
              <w:t>5years</w:t>
            </w:r>
          </w:p>
        </w:tc>
        <w:tc>
          <w:tcPr>
            <w:tcW w:w="2771" w:type="dxa"/>
          </w:tcPr>
          <w:p>
            <w:pPr>
              <w:pStyle w:val="TableParagraph"/>
              <w:spacing w:line="205" w:lineRule="exact" w:before="0"/>
              <w:ind w:left="306"/>
              <w:jc w:val="left"/>
              <w:rPr>
                <w:sz w:val="20"/>
              </w:rPr>
            </w:pPr>
            <w:r>
              <w:rPr>
                <w:sz w:val="20"/>
              </w:rPr>
              <w:t>Young</w:t>
            </w:r>
            <w:r>
              <w:rPr>
                <w:spacing w:val="-5"/>
                <w:sz w:val="20"/>
              </w:rPr>
              <w:t> </w:t>
            </w:r>
            <w:r>
              <w:rPr>
                <w:sz w:val="20"/>
              </w:rPr>
              <w:t>Adult=</w:t>
            </w:r>
            <w:r>
              <w:rPr>
                <w:spacing w:val="-5"/>
                <w:sz w:val="20"/>
              </w:rPr>
              <w:t> </w:t>
            </w:r>
            <w:r>
              <w:rPr>
                <w:sz w:val="20"/>
              </w:rPr>
              <w:t>6-18</w:t>
            </w:r>
            <w:r>
              <w:rPr>
                <w:spacing w:val="-2"/>
                <w:sz w:val="20"/>
              </w:rPr>
              <w:t> years</w:t>
            </w:r>
          </w:p>
        </w:tc>
        <w:tc>
          <w:tcPr>
            <w:tcW w:w="2329" w:type="dxa"/>
          </w:tcPr>
          <w:p>
            <w:pPr>
              <w:pStyle w:val="TableParagraph"/>
              <w:spacing w:line="205" w:lineRule="exact" w:before="0"/>
              <w:ind w:left="415"/>
              <w:jc w:val="left"/>
              <w:rPr>
                <w:sz w:val="20"/>
              </w:rPr>
            </w:pPr>
            <w:r>
              <w:rPr>
                <w:sz w:val="20"/>
              </w:rPr>
              <w:t>Adult</w:t>
            </w:r>
            <w:r>
              <w:rPr>
                <w:spacing w:val="-5"/>
                <w:sz w:val="20"/>
              </w:rPr>
              <w:t> </w:t>
            </w:r>
            <w:r>
              <w:rPr>
                <w:sz w:val="20"/>
              </w:rPr>
              <w:t>=</w:t>
            </w:r>
            <w:r>
              <w:rPr>
                <w:spacing w:val="-3"/>
                <w:sz w:val="20"/>
              </w:rPr>
              <w:t> </w:t>
            </w:r>
            <w:r>
              <w:rPr>
                <w:sz w:val="20"/>
              </w:rPr>
              <w:t>above</w:t>
            </w:r>
            <w:r>
              <w:rPr>
                <w:spacing w:val="-4"/>
                <w:sz w:val="20"/>
              </w:rPr>
              <w:t> </w:t>
            </w:r>
            <w:r>
              <w:rPr>
                <w:sz w:val="20"/>
              </w:rPr>
              <w:t>18</w:t>
            </w:r>
            <w:r>
              <w:rPr>
                <w:spacing w:val="-2"/>
                <w:sz w:val="20"/>
              </w:rPr>
              <w:t> years</w:t>
            </w:r>
          </w:p>
        </w:tc>
      </w:tr>
    </w:tbl>
    <w:p>
      <w:pPr>
        <w:pStyle w:val="BodyText"/>
        <w:rPr>
          <w:sz w:val="28"/>
        </w:rPr>
      </w:pPr>
    </w:p>
    <w:p>
      <w:pPr>
        <w:pStyle w:val="BodyText"/>
        <w:spacing w:before="174"/>
        <w:rPr>
          <w:sz w:val="28"/>
        </w:rPr>
      </w:pPr>
    </w:p>
    <w:p>
      <w:pPr>
        <w:spacing w:before="0"/>
        <w:ind w:left="812" w:right="0" w:firstLine="0"/>
        <w:jc w:val="left"/>
        <w:rPr>
          <w:b/>
          <w:sz w:val="24"/>
        </w:rPr>
      </w:pPr>
      <w:r>
        <w:rPr>
          <w:b/>
          <w:sz w:val="24"/>
        </w:rPr>
        <w:t>Table</w:t>
      </w:r>
      <w:r>
        <w:rPr>
          <w:b/>
          <w:spacing w:val="-2"/>
          <w:sz w:val="24"/>
        </w:rPr>
        <w:t> </w:t>
      </w:r>
      <w:r>
        <w:rPr>
          <w:b/>
          <w:sz w:val="24"/>
        </w:rPr>
        <w:t>IIb:</w:t>
      </w:r>
      <w:r>
        <w:rPr>
          <w:b/>
          <w:spacing w:val="-2"/>
          <w:sz w:val="24"/>
        </w:rPr>
        <w:t> </w:t>
      </w:r>
      <w:r>
        <w:rPr>
          <w:b/>
          <w:sz w:val="24"/>
        </w:rPr>
        <w:t>Number</w:t>
      </w:r>
      <w:r>
        <w:rPr>
          <w:b/>
          <w:spacing w:val="-1"/>
          <w:sz w:val="24"/>
        </w:rPr>
        <w:t> </w:t>
      </w:r>
      <w:r>
        <w:rPr>
          <w:b/>
          <w:sz w:val="24"/>
        </w:rPr>
        <w:t>of cases per</w:t>
      </w:r>
      <w:r>
        <w:rPr>
          <w:b/>
          <w:spacing w:val="-3"/>
          <w:sz w:val="24"/>
        </w:rPr>
        <w:t> </w:t>
      </w:r>
      <w:r>
        <w:rPr>
          <w:b/>
          <w:sz w:val="24"/>
        </w:rPr>
        <w:t>drug </w:t>
      </w:r>
      <w:r>
        <w:rPr>
          <w:b/>
          <w:spacing w:val="-2"/>
          <w:sz w:val="24"/>
        </w:rPr>
        <w:t>prescribed</w:t>
      </w:r>
    </w:p>
    <w:p>
      <w:pPr>
        <w:pStyle w:val="BodyText"/>
        <w:spacing w:before="13" w:after="1"/>
        <w:rPr>
          <w:b/>
          <w:sz w:val="20"/>
        </w:rPr>
      </w:pPr>
    </w:p>
    <w:tbl>
      <w:tblPr>
        <w:tblW w:w="0" w:type="auto"/>
        <w:jc w:val="left"/>
        <w:tblInd w:w="1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22"/>
        <w:gridCol w:w="922"/>
        <w:gridCol w:w="879"/>
        <w:gridCol w:w="905"/>
        <w:gridCol w:w="908"/>
        <w:gridCol w:w="906"/>
        <w:gridCol w:w="908"/>
        <w:gridCol w:w="784"/>
        <w:gridCol w:w="901"/>
      </w:tblGrid>
      <w:tr>
        <w:trPr>
          <w:trHeight w:val="205" w:hRule="atLeast"/>
        </w:trPr>
        <w:tc>
          <w:tcPr>
            <w:tcW w:w="8035" w:type="dxa"/>
            <w:gridSpan w:val="9"/>
          </w:tcPr>
          <w:p>
            <w:pPr>
              <w:pStyle w:val="TableParagraph"/>
              <w:spacing w:line="185" w:lineRule="exact" w:before="0"/>
              <w:ind w:left="23"/>
              <w:rPr>
                <w:sz w:val="18"/>
              </w:rPr>
            </w:pPr>
            <w:r>
              <w:rPr>
                <w:spacing w:val="-2"/>
                <w:sz w:val="18"/>
              </w:rPr>
              <w:t>Drugs</w:t>
            </w:r>
          </w:p>
        </w:tc>
      </w:tr>
      <w:tr>
        <w:trPr>
          <w:trHeight w:val="207" w:hRule="atLeast"/>
        </w:trPr>
        <w:tc>
          <w:tcPr>
            <w:tcW w:w="922" w:type="dxa"/>
          </w:tcPr>
          <w:p>
            <w:pPr>
              <w:pStyle w:val="TableParagraph"/>
              <w:spacing w:line="188" w:lineRule="exact" w:before="0"/>
              <w:ind w:left="107"/>
              <w:jc w:val="left"/>
              <w:rPr>
                <w:sz w:val="18"/>
              </w:rPr>
            </w:pPr>
            <w:r>
              <w:rPr>
                <w:spacing w:val="-10"/>
                <w:sz w:val="18"/>
              </w:rPr>
              <w:t>A</w:t>
            </w:r>
          </w:p>
        </w:tc>
        <w:tc>
          <w:tcPr>
            <w:tcW w:w="922" w:type="dxa"/>
          </w:tcPr>
          <w:p>
            <w:pPr>
              <w:pStyle w:val="TableParagraph"/>
              <w:spacing w:line="188" w:lineRule="exact" w:before="0"/>
              <w:ind w:left="106"/>
              <w:jc w:val="left"/>
              <w:rPr>
                <w:sz w:val="18"/>
              </w:rPr>
            </w:pPr>
            <w:r>
              <w:rPr>
                <w:spacing w:val="-10"/>
                <w:sz w:val="18"/>
              </w:rPr>
              <w:t>B</w:t>
            </w:r>
          </w:p>
        </w:tc>
        <w:tc>
          <w:tcPr>
            <w:tcW w:w="879" w:type="dxa"/>
          </w:tcPr>
          <w:p>
            <w:pPr>
              <w:pStyle w:val="TableParagraph"/>
              <w:spacing w:line="188" w:lineRule="exact" w:before="0"/>
              <w:ind w:left="104"/>
              <w:jc w:val="left"/>
              <w:rPr>
                <w:sz w:val="18"/>
              </w:rPr>
            </w:pPr>
            <w:r>
              <w:rPr>
                <w:spacing w:val="-10"/>
                <w:sz w:val="18"/>
              </w:rPr>
              <w:t>C</w:t>
            </w:r>
          </w:p>
        </w:tc>
        <w:tc>
          <w:tcPr>
            <w:tcW w:w="905" w:type="dxa"/>
          </w:tcPr>
          <w:p>
            <w:pPr>
              <w:pStyle w:val="TableParagraph"/>
              <w:spacing w:line="188" w:lineRule="exact" w:before="0"/>
              <w:ind w:left="106"/>
              <w:jc w:val="left"/>
              <w:rPr>
                <w:sz w:val="18"/>
              </w:rPr>
            </w:pPr>
            <w:r>
              <w:rPr>
                <w:spacing w:val="-10"/>
                <w:sz w:val="18"/>
              </w:rPr>
              <w:t>D</w:t>
            </w:r>
          </w:p>
        </w:tc>
        <w:tc>
          <w:tcPr>
            <w:tcW w:w="908" w:type="dxa"/>
          </w:tcPr>
          <w:p>
            <w:pPr>
              <w:pStyle w:val="TableParagraph"/>
              <w:spacing w:line="188" w:lineRule="exact" w:before="0"/>
              <w:ind w:left="106"/>
              <w:jc w:val="left"/>
              <w:rPr>
                <w:sz w:val="18"/>
              </w:rPr>
            </w:pPr>
            <w:r>
              <w:rPr>
                <w:spacing w:val="-10"/>
                <w:sz w:val="18"/>
              </w:rPr>
              <w:t>E</w:t>
            </w:r>
          </w:p>
        </w:tc>
        <w:tc>
          <w:tcPr>
            <w:tcW w:w="906" w:type="dxa"/>
          </w:tcPr>
          <w:p>
            <w:pPr>
              <w:pStyle w:val="TableParagraph"/>
              <w:spacing w:line="188" w:lineRule="exact" w:before="0"/>
              <w:ind w:left="105"/>
              <w:jc w:val="left"/>
              <w:rPr>
                <w:sz w:val="18"/>
              </w:rPr>
            </w:pPr>
            <w:r>
              <w:rPr>
                <w:spacing w:val="-10"/>
                <w:sz w:val="18"/>
              </w:rPr>
              <w:t>F</w:t>
            </w:r>
          </w:p>
        </w:tc>
        <w:tc>
          <w:tcPr>
            <w:tcW w:w="908" w:type="dxa"/>
          </w:tcPr>
          <w:p>
            <w:pPr>
              <w:pStyle w:val="TableParagraph"/>
              <w:spacing w:line="188" w:lineRule="exact" w:before="0"/>
              <w:ind w:left="104"/>
              <w:jc w:val="left"/>
              <w:rPr>
                <w:sz w:val="18"/>
              </w:rPr>
            </w:pPr>
            <w:r>
              <w:rPr>
                <w:spacing w:val="-10"/>
                <w:sz w:val="18"/>
              </w:rPr>
              <w:t>G</w:t>
            </w:r>
          </w:p>
        </w:tc>
        <w:tc>
          <w:tcPr>
            <w:tcW w:w="784" w:type="dxa"/>
          </w:tcPr>
          <w:p>
            <w:pPr>
              <w:pStyle w:val="TableParagraph"/>
              <w:spacing w:line="188" w:lineRule="exact" w:before="0"/>
              <w:ind w:left="103"/>
              <w:jc w:val="left"/>
              <w:rPr>
                <w:sz w:val="18"/>
              </w:rPr>
            </w:pPr>
            <w:r>
              <w:rPr>
                <w:spacing w:val="-10"/>
                <w:sz w:val="18"/>
              </w:rPr>
              <w:t>H</w:t>
            </w:r>
          </w:p>
        </w:tc>
        <w:tc>
          <w:tcPr>
            <w:tcW w:w="901" w:type="dxa"/>
          </w:tcPr>
          <w:p>
            <w:pPr>
              <w:pStyle w:val="TableParagraph"/>
              <w:spacing w:line="188" w:lineRule="exact" w:before="0"/>
              <w:ind w:left="102"/>
              <w:jc w:val="left"/>
              <w:rPr>
                <w:sz w:val="18"/>
              </w:rPr>
            </w:pPr>
            <w:r>
              <w:rPr>
                <w:spacing w:val="-10"/>
                <w:sz w:val="18"/>
              </w:rPr>
              <w:t>I</w:t>
            </w:r>
          </w:p>
        </w:tc>
      </w:tr>
      <w:tr>
        <w:trPr>
          <w:trHeight w:val="2070" w:hRule="atLeast"/>
        </w:trPr>
        <w:tc>
          <w:tcPr>
            <w:tcW w:w="922" w:type="dxa"/>
          </w:tcPr>
          <w:p>
            <w:pPr>
              <w:pStyle w:val="TableParagraph"/>
              <w:spacing w:line="240" w:lineRule="auto" w:before="0"/>
              <w:jc w:val="left"/>
              <w:rPr>
                <w:sz w:val="20"/>
              </w:rPr>
            </w:pPr>
          </w:p>
        </w:tc>
        <w:tc>
          <w:tcPr>
            <w:tcW w:w="922" w:type="dxa"/>
          </w:tcPr>
          <w:p>
            <w:pPr>
              <w:pStyle w:val="TableParagraph"/>
              <w:spacing w:line="240" w:lineRule="auto" w:before="0"/>
              <w:jc w:val="left"/>
              <w:rPr>
                <w:sz w:val="20"/>
              </w:rPr>
            </w:pPr>
          </w:p>
        </w:tc>
        <w:tc>
          <w:tcPr>
            <w:tcW w:w="879" w:type="dxa"/>
          </w:tcPr>
          <w:p>
            <w:pPr>
              <w:pStyle w:val="TableParagraph"/>
              <w:spacing w:line="240" w:lineRule="auto" w:before="0"/>
              <w:jc w:val="left"/>
              <w:rPr>
                <w:sz w:val="20"/>
              </w:rPr>
            </w:pPr>
          </w:p>
        </w:tc>
        <w:tc>
          <w:tcPr>
            <w:tcW w:w="905" w:type="dxa"/>
          </w:tcPr>
          <w:p>
            <w:pPr>
              <w:pStyle w:val="TableParagraph"/>
              <w:spacing w:line="240" w:lineRule="auto" w:before="0"/>
              <w:jc w:val="left"/>
              <w:rPr>
                <w:sz w:val="20"/>
              </w:rPr>
            </w:pPr>
          </w:p>
        </w:tc>
        <w:tc>
          <w:tcPr>
            <w:tcW w:w="908" w:type="dxa"/>
          </w:tcPr>
          <w:p>
            <w:pPr>
              <w:pStyle w:val="TableParagraph"/>
              <w:spacing w:line="240" w:lineRule="auto" w:before="0"/>
              <w:jc w:val="left"/>
              <w:rPr>
                <w:sz w:val="20"/>
              </w:rPr>
            </w:pPr>
          </w:p>
        </w:tc>
        <w:tc>
          <w:tcPr>
            <w:tcW w:w="906" w:type="dxa"/>
          </w:tcPr>
          <w:p>
            <w:pPr>
              <w:pStyle w:val="TableParagraph"/>
              <w:spacing w:line="240" w:lineRule="auto" w:before="0"/>
              <w:jc w:val="left"/>
              <w:rPr>
                <w:sz w:val="20"/>
              </w:rPr>
            </w:pPr>
          </w:p>
        </w:tc>
        <w:tc>
          <w:tcPr>
            <w:tcW w:w="908" w:type="dxa"/>
          </w:tcPr>
          <w:p>
            <w:pPr>
              <w:pStyle w:val="TableParagraph"/>
              <w:spacing w:line="240" w:lineRule="auto" w:before="0"/>
              <w:jc w:val="left"/>
              <w:rPr>
                <w:sz w:val="20"/>
              </w:rPr>
            </w:pPr>
          </w:p>
        </w:tc>
        <w:tc>
          <w:tcPr>
            <w:tcW w:w="784" w:type="dxa"/>
          </w:tcPr>
          <w:p>
            <w:pPr>
              <w:pStyle w:val="TableParagraph"/>
              <w:spacing w:line="240" w:lineRule="auto" w:before="0"/>
              <w:jc w:val="left"/>
              <w:rPr>
                <w:sz w:val="20"/>
              </w:rPr>
            </w:pPr>
          </w:p>
        </w:tc>
        <w:tc>
          <w:tcPr>
            <w:tcW w:w="901" w:type="dxa"/>
          </w:tcPr>
          <w:p>
            <w:pPr>
              <w:pStyle w:val="TableParagraph"/>
              <w:spacing w:line="240" w:lineRule="auto" w:before="0"/>
              <w:jc w:val="left"/>
              <w:rPr>
                <w:sz w:val="20"/>
              </w:rPr>
            </w:pPr>
          </w:p>
        </w:tc>
      </w:tr>
    </w:tbl>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4"/>
        <w:gridCol w:w="3000"/>
        <w:gridCol w:w="2593"/>
      </w:tblGrid>
      <w:tr>
        <w:trPr>
          <w:trHeight w:val="287" w:hRule="atLeast"/>
        </w:trPr>
        <w:tc>
          <w:tcPr>
            <w:tcW w:w="2514" w:type="dxa"/>
          </w:tcPr>
          <w:p>
            <w:pPr>
              <w:pStyle w:val="TableParagraph"/>
              <w:spacing w:line="266" w:lineRule="exact" w:before="0"/>
              <w:ind w:left="50"/>
              <w:jc w:val="left"/>
              <w:rPr>
                <w:b/>
                <w:sz w:val="24"/>
              </w:rPr>
            </w:pPr>
            <w:r>
              <w:rPr>
                <w:b/>
                <w:spacing w:val="-4"/>
                <w:sz w:val="24"/>
              </w:rPr>
              <w:t>Key:</w:t>
            </w:r>
          </w:p>
        </w:tc>
        <w:tc>
          <w:tcPr>
            <w:tcW w:w="5593" w:type="dxa"/>
            <w:gridSpan w:val="2"/>
          </w:tcPr>
          <w:p>
            <w:pPr>
              <w:pStyle w:val="TableParagraph"/>
              <w:spacing w:line="240" w:lineRule="auto" w:before="0"/>
              <w:jc w:val="left"/>
              <w:rPr>
                <w:sz w:val="20"/>
              </w:rPr>
            </w:pPr>
          </w:p>
        </w:tc>
      </w:tr>
      <w:tr>
        <w:trPr>
          <w:trHeight w:val="247" w:hRule="atLeast"/>
        </w:trPr>
        <w:tc>
          <w:tcPr>
            <w:tcW w:w="2514" w:type="dxa"/>
          </w:tcPr>
          <w:p>
            <w:pPr>
              <w:pStyle w:val="TableParagraph"/>
              <w:spacing w:line="215" w:lineRule="exact" w:before="13"/>
              <w:ind w:left="50"/>
              <w:jc w:val="left"/>
              <w:rPr>
                <w:sz w:val="20"/>
              </w:rPr>
            </w:pPr>
            <w:r>
              <w:rPr>
                <w:sz w:val="20"/>
              </w:rPr>
              <w:t>A=</w:t>
            </w:r>
            <w:r>
              <w:rPr>
                <w:spacing w:val="-4"/>
                <w:sz w:val="20"/>
              </w:rPr>
              <w:t> </w:t>
            </w:r>
            <w:r>
              <w:rPr>
                <w:spacing w:val="-2"/>
                <w:sz w:val="20"/>
              </w:rPr>
              <w:t>Chloroquine</w:t>
            </w:r>
          </w:p>
        </w:tc>
        <w:tc>
          <w:tcPr>
            <w:tcW w:w="3000" w:type="dxa"/>
          </w:tcPr>
          <w:p>
            <w:pPr>
              <w:pStyle w:val="TableParagraph"/>
              <w:spacing w:line="215" w:lineRule="exact" w:before="13"/>
              <w:ind w:left="416"/>
              <w:jc w:val="left"/>
              <w:rPr>
                <w:sz w:val="20"/>
              </w:rPr>
            </w:pPr>
            <w:r>
              <w:rPr>
                <w:sz w:val="20"/>
              </w:rPr>
              <w:t>B=</w:t>
            </w:r>
            <w:r>
              <w:rPr>
                <w:spacing w:val="-3"/>
                <w:sz w:val="20"/>
              </w:rPr>
              <w:t> </w:t>
            </w:r>
            <w:r>
              <w:rPr>
                <w:sz w:val="20"/>
              </w:rPr>
              <w:t>Coartal</w:t>
            </w:r>
            <w:r>
              <w:rPr>
                <w:spacing w:val="-3"/>
                <w:sz w:val="20"/>
              </w:rPr>
              <w:t> </w:t>
            </w:r>
            <w:r>
              <w:rPr>
                <w:sz w:val="20"/>
              </w:rPr>
              <w:t>forte</w:t>
            </w:r>
            <w:r>
              <w:rPr>
                <w:spacing w:val="-3"/>
                <w:sz w:val="20"/>
              </w:rPr>
              <w:t> </w:t>
            </w:r>
            <w:r>
              <w:rPr>
                <w:sz w:val="20"/>
              </w:rPr>
              <w:t>or </w:t>
            </w:r>
            <w:r>
              <w:rPr>
                <w:spacing w:val="-2"/>
                <w:sz w:val="20"/>
              </w:rPr>
              <w:t>Coartem</w:t>
            </w:r>
          </w:p>
        </w:tc>
        <w:tc>
          <w:tcPr>
            <w:tcW w:w="2593" w:type="dxa"/>
          </w:tcPr>
          <w:p>
            <w:pPr>
              <w:pStyle w:val="TableParagraph"/>
              <w:spacing w:line="215" w:lineRule="exact" w:before="13"/>
              <w:ind w:left="296"/>
              <w:jc w:val="left"/>
              <w:rPr>
                <w:sz w:val="20"/>
              </w:rPr>
            </w:pPr>
            <w:r>
              <w:rPr>
                <w:sz w:val="20"/>
              </w:rPr>
              <w:t>C=</w:t>
            </w:r>
            <w:r>
              <w:rPr>
                <w:spacing w:val="-5"/>
                <w:sz w:val="20"/>
              </w:rPr>
              <w:t> </w:t>
            </w:r>
            <w:r>
              <w:rPr>
                <w:sz w:val="20"/>
              </w:rPr>
              <w:t>Paluther</w:t>
            </w:r>
            <w:r>
              <w:rPr>
                <w:spacing w:val="-3"/>
                <w:sz w:val="20"/>
              </w:rPr>
              <w:t> </w:t>
            </w:r>
            <w:r>
              <w:rPr>
                <w:sz w:val="20"/>
              </w:rPr>
              <w:t>+</w:t>
            </w:r>
            <w:r>
              <w:rPr>
                <w:spacing w:val="-3"/>
                <w:sz w:val="20"/>
              </w:rPr>
              <w:t> </w:t>
            </w:r>
            <w:r>
              <w:rPr>
                <w:spacing w:val="-2"/>
                <w:sz w:val="20"/>
              </w:rPr>
              <w:t>Fansidar</w:t>
            </w:r>
          </w:p>
        </w:tc>
      </w:tr>
      <w:tr>
        <w:trPr>
          <w:trHeight w:val="229" w:hRule="atLeast"/>
        </w:trPr>
        <w:tc>
          <w:tcPr>
            <w:tcW w:w="2514" w:type="dxa"/>
          </w:tcPr>
          <w:p>
            <w:pPr>
              <w:pStyle w:val="TableParagraph"/>
              <w:spacing w:line="209" w:lineRule="exact" w:before="0"/>
              <w:ind w:left="50"/>
              <w:jc w:val="left"/>
              <w:rPr>
                <w:sz w:val="20"/>
              </w:rPr>
            </w:pPr>
            <w:r>
              <w:rPr>
                <w:sz w:val="20"/>
              </w:rPr>
              <w:t>D=</w:t>
            </w:r>
            <w:r>
              <w:rPr>
                <w:spacing w:val="-4"/>
                <w:sz w:val="20"/>
              </w:rPr>
              <w:t> </w:t>
            </w:r>
            <w:r>
              <w:rPr>
                <w:sz w:val="20"/>
              </w:rPr>
              <w:t>Paluther</w:t>
            </w:r>
            <w:r>
              <w:rPr>
                <w:spacing w:val="-4"/>
                <w:sz w:val="20"/>
              </w:rPr>
              <w:t> </w:t>
            </w:r>
            <w:r>
              <w:rPr>
                <w:sz w:val="20"/>
              </w:rPr>
              <w:t>+ </w:t>
            </w:r>
            <w:r>
              <w:rPr>
                <w:spacing w:val="-2"/>
                <w:sz w:val="20"/>
              </w:rPr>
              <w:t>Artesunate</w:t>
            </w:r>
          </w:p>
        </w:tc>
        <w:tc>
          <w:tcPr>
            <w:tcW w:w="3000" w:type="dxa"/>
          </w:tcPr>
          <w:p>
            <w:pPr>
              <w:pStyle w:val="TableParagraph"/>
              <w:spacing w:line="209" w:lineRule="exact" w:before="0"/>
              <w:ind w:left="416"/>
              <w:jc w:val="left"/>
              <w:rPr>
                <w:sz w:val="18"/>
              </w:rPr>
            </w:pPr>
            <w:r>
              <w:rPr>
                <w:sz w:val="20"/>
              </w:rPr>
              <w:t>E=</w:t>
            </w:r>
            <w:r>
              <w:rPr>
                <w:spacing w:val="-6"/>
                <w:sz w:val="20"/>
              </w:rPr>
              <w:t> </w:t>
            </w:r>
            <w:r>
              <w:rPr>
                <w:sz w:val="18"/>
              </w:rPr>
              <w:t>Artesunate</w:t>
            </w:r>
            <w:r>
              <w:rPr>
                <w:spacing w:val="42"/>
                <w:sz w:val="18"/>
              </w:rPr>
              <w:t> </w:t>
            </w:r>
            <w:r>
              <w:rPr>
                <w:sz w:val="18"/>
              </w:rPr>
              <w:t>+</w:t>
            </w:r>
            <w:r>
              <w:rPr>
                <w:spacing w:val="-1"/>
                <w:sz w:val="18"/>
              </w:rPr>
              <w:t> </w:t>
            </w:r>
            <w:r>
              <w:rPr>
                <w:spacing w:val="-2"/>
                <w:sz w:val="18"/>
              </w:rPr>
              <w:t>Fansidar</w:t>
            </w:r>
          </w:p>
        </w:tc>
        <w:tc>
          <w:tcPr>
            <w:tcW w:w="2593" w:type="dxa"/>
          </w:tcPr>
          <w:p>
            <w:pPr>
              <w:pStyle w:val="TableParagraph"/>
              <w:spacing w:line="195" w:lineRule="exact" w:before="14"/>
              <w:ind w:left="296"/>
              <w:jc w:val="left"/>
              <w:rPr>
                <w:sz w:val="18"/>
              </w:rPr>
            </w:pPr>
            <w:r>
              <w:rPr>
                <w:sz w:val="18"/>
              </w:rPr>
              <w:t>F=</w:t>
            </w:r>
            <w:r>
              <w:rPr>
                <w:spacing w:val="-3"/>
                <w:sz w:val="18"/>
              </w:rPr>
              <w:t> </w:t>
            </w:r>
            <w:r>
              <w:rPr>
                <w:sz w:val="18"/>
              </w:rPr>
              <w:t>Paluther +</w:t>
            </w:r>
            <w:r>
              <w:rPr>
                <w:spacing w:val="-1"/>
                <w:sz w:val="18"/>
              </w:rPr>
              <w:t> </w:t>
            </w:r>
            <w:r>
              <w:rPr>
                <w:spacing w:val="-2"/>
                <w:sz w:val="18"/>
              </w:rPr>
              <w:t>Quinine</w:t>
            </w:r>
          </w:p>
        </w:tc>
      </w:tr>
      <w:tr>
        <w:trPr>
          <w:trHeight w:val="203" w:hRule="atLeast"/>
        </w:trPr>
        <w:tc>
          <w:tcPr>
            <w:tcW w:w="2514" w:type="dxa"/>
          </w:tcPr>
          <w:p>
            <w:pPr>
              <w:pStyle w:val="TableParagraph"/>
              <w:spacing w:line="183" w:lineRule="exact" w:before="0"/>
              <w:ind w:left="50"/>
              <w:jc w:val="left"/>
              <w:rPr>
                <w:sz w:val="18"/>
              </w:rPr>
            </w:pPr>
            <w:r>
              <w:rPr>
                <w:sz w:val="18"/>
              </w:rPr>
              <w:t>G=</w:t>
            </w:r>
            <w:r>
              <w:rPr>
                <w:spacing w:val="-6"/>
                <w:sz w:val="18"/>
              </w:rPr>
              <w:t> </w:t>
            </w:r>
            <w:r>
              <w:rPr>
                <w:spacing w:val="-2"/>
                <w:sz w:val="18"/>
              </w:rPr>
              <w:t>Paluther</w:t>
            </w:r>
          </w:p>
        </w:tc>
        <w:tc>
          <w:tcPr>
            <w:tcW w:w="3000" w:type="dxa"/>
          </w:tcPr>
          <w:p>
            <w:pPr>
              <w:pStyle w:val="TableParagraph"/>
              <w:spacing w:line="183" w:lineRule="exact" w:before="0"/>
              <w:ind w:left="416"/>
              <w:jc w:val="left"/>
              <w:rPr>
                <w:sz w:val="18"/>
              </w:rPr>
            </w:pPr>
            <w:r>
              <w:rPr>
                <w:sz w:val="18"/>
              </w:rPr>
              <w:t>H=</w:t>
            </w:r>
            <w:r>
              <w:rPr>
                <w:spacing w:val="-2"/>
                <w:sz w:val="18"/>
              </w:rPr>
              <w:t> </w:t>
            </w:r>
            <w:r>
              <w:rPr>
                <w:sz w:val="18"/>
              </w:rPr>
              <w:t>Paluta</w:t>
            </w:r>
            <w:r>
              <w:rPr>
                <w:spacing w:val="-1"/>
                <w:sz w:val="18"/>
              </w:rPr>
              <w:t> </w:t>
            </w:r>
            <w:r>
              <w:rPr>
                <w:sz w:val="18"/>
              </w:rPr>
              <w:t>+</w:t>
            </w:r>
            <w:r>
              <w:rPr>
                <w:spacing w:val="-1"/>
                <w:sz w:val="18"/>
              </w:rPr>
              <w:t> </w:t>
            </w:r>
            <w:r>
              <w:rPr>
                <w:sz w:val="18"/>
              </w:rPr>
              <w:t>p-alaxin or </w:t>
            </w:r>
            <w:r>
              <w:rPr>
                <w:spacing w:val="-2"/>
                <w:sz w:val="18"/>
              </w:rPr>
              <w:t>Solatep</w:t>
            </w:r>
          </w:p>
        </w:tc>
        <w:tc>
          <w:tcPr>
            <w:tcW w:w="2593" w:type="dxa"/>
          </w:tcPr>
          <w:p>
            <w:pPr>
              <w:pStyle w:val="TableParagraph"/>
              <w:spacing w:line="183" w:lineRule="exact" w:before="0"/>
              <w:ind w:left="296"/>
              <w:jc w:val="left"/>
              <w:rPr>
                <w:sz w:val="18"/>
              </w:rPr>
            </w:pPr>
            <w:r>
              <w:rPr>
                <w:sz w:val="18"/>
              </w:rPr>
              <w:t>I=</w:t>
            </w:r>
            <w:r>
              <w:rPr>
                <w:spacing w:val="-1"/>
                <w:sz w:val="18"/>
              </w:rPr>
              <w:t> </w:t>
            </w:r>
            <w:r>
              <w:rPr>
                <w:sz w:val="18"/>
              </w:rPr>
              <w:t>Amodaquinine</w:t>
            </w:r>
            <w:r>
              <w:rPr>
                <w:spacing w:val="-1"/>
                <w:sz w:val="18"/>
              </w:rPr>
              <w:t> </w:t>
            </w:r>
            <w:r>
              <w:rPr>
                <w:sz w:val="18"/>
              </w:rPr>
              <w:t>+ </w:t>
            </w:r>
            <w:r>
              <w:rPr>
                <w:spacing w:val="-2"/>
                <w:sz w:val="18"/>
              </w:rPr>
              <w:t>Artesunate</w:t>
            </w:r>
          </w:p>
        </w:tc>
      </w:tr>
    </w:tbl>
    <w:p>
      <w:pPr>
        <w:spacing w:after="0" w:line="183" w:lineRule="exact"/>
        <w:jc w:val="left"/>
        <w:rPr>
          <w:sz w:val="18"/>
        </w:rPr>
        <w:sectPr>
          <w:pgSz w:w="11910" w:h="16840"/>
          <w:pgMar w:header="0" w:footer="1254" w:top="1340" w:bottom="1440" w:left="1180" w:right="580"/>
        </w:sectPr>
      </w:pPr>
    </w:p>
    <w:p>
      <w:pPr>
        <w:pStyle w:val="Heading1"/>
        <w:jc w:val="left"/>
      </w:pPr>
      <w:r>
        <w:rPr/>
        <w:t>APPENDIX</w:t>
      </w:r>
      <w:r>
        <w:rPr>
          <w:spacing w:val="-4"/>
        </w:rPr>
        <w:t> </w:t>
      </w:r>
      <w:r>
        <w:rPr>
          <w:spacing w:val="-5"/>
        </w:rPr>
        <w:t>III</w:t>
      </w:r>
    </w:p>
    <w:p>
      <w:pPr>
        <w:pStyle w:val="BodyText"/>
        <w:rPr>
          <w:b/>
        </w:rPr>
      </w:pPr>
    </w:p>
    <w:p>
      <w:pPr>
        <w:spacing w:before="0"/>
        <w:ind w:left="260" w:right="0" w:firstLine="0"/>
        <w:jc w:val="left"/>
        <w:rPr>
          <w:b/>
          <w:sz w:val="24"/>
        </w:rPr>
      </w:pPr>
      <w:r>
        <w:rPr>
          <w:b/>
          <w:sz w:val="24"/>
        </w:rPr>
        <w:t>PREPARATION</w:t>
      </w:r>
      <w:r>
        <w:rPr>
          <w:b/>
          <w:spacing w:val="-3"/>
          <w:sz w:val="24"/>
        </w:rPr>
        <w:t> </w:t>
      </w:r>
      <w:r>
        <w:rPr>
          <w:b/>
          <w:sz w:val="24"/>
        </w:rPr>
        <w:t>OF</w:t>
      </w:r>
      <w:r>
        <w:rPr>
          <w:b/>
          <w:spacing w:val="-4"/>
          <w:sz w:val="24"/>
        </w:rPr>
        <w:t> </w:t>
      </w:r>
      <w:r>
        <w:rPr>
          <w:b/>
          <w:spacing w:val="-2"/>
          <w:sz w:val="24"/>
        </w:rPr>
        <w:t>SOLUTIONS</w:t>
      </w:r>
    </w:p>
    <w:p>
      <w:pPr>
        <w:pStyle w:val="BodyText"/>
        <w:rPr>
          <w:b/>
        </w:rPr>
      </w:pPr>
    </w:p>
    <w:p>
      <w:pPr>
        <w:pStyle w:val="BodyText"/>
        <w:spacing w:before="272"/>
        <w:rPr>
          <w:b/>
        </w:rPr>
      </w:pPr>
    </w:p>
    <w:p>
      <w:pPr>
        <w:pStyle w:val="ListParagraph"/>
        <w:numPr>
          <w:ilvl w:val="0"/>
          <w:numId w:val="17"/>
        </w:numPr>
        <w:tabs>
          <w:tab w:pos="583" w:val="left" w:leader="none"/>
        </w:tabs>
        <w:spacing w:line="240" w:lineRule="auto" w:before="0" w:after="0"/>
        <w:ind w:left="583" w:right="0" w:hanging="323"/>
        <w:jc w:val="left"/>
        <w:rPr>
          <w:sz w:val="24"/>
        </w:rPr>
      </w:pPr>
      <w:r>
        <w:rPr>
          <w:sz w:val="24"/>
        </w:rPr>
        <w:t>Preparation</w:t>
      </w:r>
      <w:r>
        <w:rPr>
          <w:spacing w:val="-4"/>
          <w:sz w:val="24"/>
        </w:rPr>
        <w:t> </w:t>
      </w:r>
      <w:r>
        <w:rPr>
          <w:sz w:val="24"/>
        </w:rPr>
        <w:t>of</w:t>
      </w:r>
      <w:r>
        <w:rPr>
          <w:spacing w:val="-2"/>
          <w:sz w:val="24"/>
        </w:rPr>
        <w:t> Chloroquine</w:t>
      </w:r>
    </w:p>
    <w:p>
      <w:pPr>
        <w:pStyle w:val="BodyText"/>
      </w:pPr>
    </w:p>
    <w:p>
      <w:pPr>
        <w:pStyle w:val="BodyText"/>
        <w:spacing w:line="480" w:lineRule="auto"/>
        <w:ind w:left="260" w:right="861"/>
        <w:jc w:val="both"/>
      </w:pPr>
      <w:r>
        <w:rPr/>
        <w:t>The stock solution of chloroquine was prepared by dissolving 66.0mg of Chloroquine diphosphate (Formula Weight 515.9) in 100ml sterile distil water.</w:t>
      </w:r>
      <w:r>
        <w:rPr>
          <w:spacing w:val="80"/>
        </w:rPr>
        <w:t> </w:t>
      </w:r>
      <w:r>
        <w:rPr/>
        <w:t>The molar concentration of the stock solution was calculated and the working solution was obtained by diluting the stock solution 1/100 in distilled water.</w:t>
      </w:r>
    </w:p>
    <w:p>
      <w:pPr>
        <w:pStyle w:val="BodyText"/>
      </w:pPr>
    </w:p>
    <w:p>
      <w:pPr>
        <w:pStyle w:val="BodyText"/>
      </w:pPr>
    </w:p>
    <w:p>
      <w:pPr>
        <w:pStyle w:val="ListParagraph"/>
        <w:numPr>
          <w:ilvl w:val="0"/>
          <w:numId w:val="17"/>
        </w:numPr>
        <w:tabs>
          <w:tab w:pos="597" w:val="left" w:leader="none"/>
        </w:tabs>
        <w:spacing w:line="240" w:lineRule="auto" w:before="1" w:after="0"/>
        <w:ind w:left="597" w:right="0" w:hanging="337"/>
        <w:jc w:val="left"/>
        <w:rPr>
          <w:sz w:val="24"/>
        </w:rPr>
      </w:pPr>
      <w:r>
        <w:rPr>
          <w:sz w:val="24"/>
        </w:rPr>
        <w:t>Preparation</w:t>
      </w:r>
      <w:r>
        <w:rPr>
          <w:spacing w:val="-4"/>
          <w:sz w:val="24"/>
        </w:rPr>
        <w:t> </w:t>
      </w:r>
      <w:r>
        <w:rPr>
          <w:sz w:val="24"/>
        </w:rPr>
        <w:t>of</w:t>
      </w:r>
      <w:r>
        <w:rPr>
          <w:spacing w:val="-2"/>
          <w:sz w:val="24"/>
        </w:rPr>
        <w:t> Amodiaquine</w:t>
      </w:r>
    </w:p>
    <w:p>
      <w:pPr>
        <w:pStyle w:val="BodyText"/>
        <w:spacing w:line="480" w:lineRule="auto" w:before="276"/>
        <w:ind w:left="260" w:right="859"/>
        <w:jc w:val="both"/>
      </w:pPr>
      <w:r>
        <w:rPr/>
        <w:t>The stock solution of Amodiaquine was</w:t>
      </w:r>
      <w:r>
        <w:rPr>
          <w:spacing w:val="40"/>
        </w:rPr>
        <w:t> </w:t>
      </w:r>
      <w:r>
        <w:rPr/>
        <w:t>prepared by dissolving 11.9mg of Amodiaquine dihydrochloride (Formula Weight 464.8) in 100ml sterile distil water.</w:t>
      </w:r>
      <w:r>
        <w:rPr>
          <w:spacing w:val="40"/>
        </w:rPr>
        <w:t> </w:t>
      </w:r>
      <w:r>
        <w:rPr/>
        <w:t>The molar concentration of</w:t>
      </w:r>
      <w:r>
        <w:rPr>
          <w:spacing w:val="-1"/>
        </w:rPr>
        <w:t> </w:t>
      </w:r>
      <w:r>
        <w:rPr/>
        <w:t>the stock solution was</w:t>
      </w:r>
      <w:r>
        <w:rPr>
          <w:spacing w:val="80"/>
        </w:rPr>
        <w:t> </w:t>
      </w:r>
      <w:r>
        <w:rPr/>
        <w:t>calculated and the working</w:t>
      </w:r>
      <w:r>
        <w:rPr>
          <w:spacing w:val="-3"/>
        </w:rPr>
        <w:t> </w:t>
      </w:r>
      <w:r>
        <w:rPr/>
        <w:t>solution was obtained by diluting the stock solution 1/100 in distilled water.</w:t>
      </w:r>
    </w:p>
    <w:p>
      <w:pPr>
        <w:pStyle w:val="BodyText"/>
      </w:pPr>
    </w:p>
    <w:p>
      <w:pPr>
        <w:pStyle w:val="BodyText"/>
      </w:pPr>
    </w:p>
    <w:p>
      <w:pPr>
        <w:pStyle w:val="ListParagraph"/>
        <w:numPr>
          <w:ilvl w:val="0"/>
          <w:numId w:val="17"/>
        </w:numPr>
        <w:tabs>
          <w:tab w:pos="583" w:val="left" w:leader="none"/>
        </w:tabs>
        <w:spacing w:line="240" w:lineRule="auto" w:before="0" w:after="0"/>
        <w:ind w:left="583" w:right="0" w:hanging="323"/>
        <w:jc w:val="left"/>
        <w:rPr>
          <w:sz w:val="24"/>
        </w:rPr>
      </w:pPr>
      <w:r>
        <w:rPr>
          <w:sz w:val="24"/>
        </w:rPr>
        <w:t>Preparation</w:t>
      </w:r>
      <w:r>
        <w:rPr>
          <w:spacing w:val="-2"/>
          <w:sz w:val="24"/>
        </w:rPr>
        <w:t> </w:t>
      </w:r>
      <w:r>
        <w:rPr>
          <w:sz w:val="24"/>
        </w:rPr>
        <w:t>of </w:t>
      </w:r>
      <w:r>
        <w:rPr>
          <w:spacing w:val="-2"/>
          <w:sz w:val="24"/>
        </w:rPr>
        <w:t>Artesunate</w:t>
      </w:r>
    </w:p>
    <w:p>
      <w:pPr>
        <w:pStyle w:val="BodyText"/>
      </w:pPr>
    </w:p>
    <w:p>
      <w:pPr>
        <w:pStyle w:val="BodyText"/>
        <w:spacing w:line="480" w:lineRule="auto"/>
        <w:ind w:left="260" w:right="861"/>
        <w:jc w:val="both"/>
      </w:pPr>
      <w:r>
        <w:rPr/>
        <w:t>The stock solution of Artesunate was obtained by dissolving 49.2 mg of Artesunate (Formula Weight 384.4) in 100ml of pure methanol. The molar concentration of the stock solution was calculated.</w:t>
      </w:r>
      <w:r>
        <w:rPr>
          <w:spacing w:val="40"/>
        </w:rPr>
        <w:t> </w:t>
      </w:r>
      <w:r>
        <w:rPr/>
        <w:t>An intermediate solution was prepared by diluting the stock solution by 1/100 in pure methanol. The working solution was obtained by further diluting the intermediate solution by 1/100 in pure methanol.</w:t>
      </w:r>
    </w:p>
    <w:p>
      <w:pPr>
        <w:spacing w:after="0" w:line="480" w:lineRule="auto"/>
        <w:jc w:val="both"/>
        <w:sectPr>
          <w:pgSz w:w="11910" w:h="16840"/>
          <w:pgMar w:header="0" w:footer="1254" w:top="1340" w:bottom="1440" w:left="1180" w:right="580"/>
        </w:sectPr>
      </w:pPr>
    </w:p>
    <w:p>
      <w:pPr>
        <w:pStyle w:val="Heading1"/>
        <w:jc w:val="left"/>
      </w:pPr>
      <w:r>
        <w:rPr/>
        <w:t>APPENDIX</w:t>
      </w:r>
      <w:r>
        <w:rPr>
          <w:spacing w:val="-4"/>
        </w:rPr>
        <w:t> </w:t>
      </w:r>
      <w:r>
        <w:rPr>
          <w:spacing w:val="-5"/>
        </w:rPr>
        <w:t>IV</w:t>
      </w:r>
    </w:p>
    <w:p>
      <w:pPr>
        <w:pStyle w:val="BodyText"/>
        <w:spacing w:before="3"/>
        <w:rPr>
          <w:b/>
        </w:rPr>
      </w:pPr>
    </w:p>
    <w:p>
      <w:pPr>
        <w:pStyle w:val="Heading2"/>
        <w:jc w:val="left"/>
      </w:pPr>
      <w:r>
        <w:rPr/>
        <w:t>Layout</w:t>
      </w:r>
      <w:r>
        <w:rPr>
          <w:spacing w:val="-2"/>
        </w:rPr>
        <w:t> </w:t>
      </w:r>
      <w:r>
        <w:rPr/>
        <w:t>of</w:t>
      </w:r>
      <w:r>
        <w:rPr>
          <w:spacing w:val="-2"/>
        </w:rPr>
        <w:t> </w:t>
      </w:r>
      <w:r>
        <w:rPr/>
        <w:t>the</w:t>
      </w:r>
      <w:r>
        <w:rPr>
          <w:spacing w:val="-2"/>
        </w:rPr>
        <w:t> </w:t>
      </w:r>
      <w:r>
        <w:rPr/>
        <w:t>micro-culture</w:t>
      </w:r>
      <w:r>
        <w:rPr>
          <w:spacing w:val="-3"/>
        </w:rPr>
        <w:t> </w:t>
      </w:r>
      <w:r>
        <w:rPr>
          <w:spacing w:val="-2"/>
        </w:rPr>
        <w:t>plate</w:t>
      </w:r>
    </w:p>
    <w:p>
      <w:pPr>
        <w:pStyle w:val="BodyText"/>
        <w:rPr>
          <w:b/>
          <w:sz w:val="20"/>
        </w:rPr>
      </w:pPr>
    </w:p>
    <w:p>
      <w:pPr>
        <w:pStyle w:val="BodyText"/>
        <w:spacing w:before="206"/>
        <w:rPr>
          <w:b/>
          <w:sz w:val="20"/>
        </w:rPr>
      </w:pPr>
      <w:r>
        <w:rPr/>
        <w:drawing>
          <wp:anchor distT="0" distB="0" distL="0" distR="0" allowOverlap="1" layoutInCell="1" locked="0" behindDoc="1" simplePos="0" relativeHeight="487596032">
            <wp:simplePos x="0" y="0"/>
            <wp:positionH relativeFrom="page">
              <wp:posOffset>933450</wp:posOffset>
            </wp:positionH>
            <wp:positionV relativeFrom="paragraph">
              <wp:posOffset>292411</wp:posOffset>
            </wp:positionV>
            <wp:extent cx="5958683" cy="1922526"/>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44" cstate="print"/>
                    <a:stretch>
                      <a:fillRect/>
                    </a:stretch>
                  </pic:blipFill>
                  <pic:spPr>
                    <a:xfrm>
                      <a:off x="0" y="0"/>
                      <a:ext cx="5958683" cy="1922526"/>
                    </a:xfrm>
                    <a:prstGeom prst="rect">
                      <a:avLst/>
                    </a:prstGeom>
                  </pic:spPr>
                </pic:pic>
              </a:graphicData>
            </a:graphic>
          </wp:anchor>
        </w:drawing>
      </w:r>
    </w:p>
    <w:p>
      <w:pPr>
        <w:spacing w:line="360" w:lineRule="auto" w:before="125"/>
        <w:ind w:left="260" w:right="855" w:firstLine="0"/>
        <w:jc w:val="left"/>
        <w:rPr>
          <w:rFonts w:ascii="Calibri" w:hAnsi="Calibri"/>
          <w:sz w:val="18"/>
        </w:rPr>
      </w:pPr>
      <w:r>
        <w:rPr>
          <w:rFonts w:ascii="Calibri" w:hAnsi="Calibri"/>
          <w:sz w:val="18"/>
        </w:rPr>
        <w:t>Well</w:t>
      </w:r>
      <w:r>
        <w:rPr>
          <w:rFonts w:ascii="Calibri" w:hAnsi="Calibri"/>
          <w:spacing w:val="-3"/>
          <w:sz w:val="18"/>
        </w:rPr>
        <w:t> </w:t>
      </w:r>
      <w:r>
        <w:rPr>
          <w:rFonts w:ascii="Calibri" w:hAnsi="Calibri"/>
          <w:sz w:val="18"/>
        </w:rPr>
        <w:t>A</w:t>
      </w:r>
      <w:r>
        <w:rPr>
          <w:rFonts w:ascii="Calibri" w:hAnsi="Calibri"/>
          <w:spacing w:val="-4"/>
          <w:sz w:val="18"/>
        </w:rPr>
        <w:t> </w:t>
      </w:r>
      <w:r>
        <w:rPr>
          <w:rFonts w:ascii="Calibri" w:hAnsi="Calibri"/>
          <w:sz w:val="18"/>
        </w:rPr>
        <w:t>is</w:t>
      </w:r>
      <w:r>
        <w:rPr>
          <w:rFonts w:ascii="Calibri" w:hAnsi="Calibri"/>
          <w:spacing w:val="-4"/>
          <w:sz w:val="18"/>
        </w:rPr>
        <w:t> </w:t>
      </w:r>
      <w:r>
        <w:rPr>
          <w:rFonts w:ascii="Calibri" w:hAnsi="Calibri"/>
          <w:sz w:val="18"/>
        </w:rPr>
        <w:t>the</w:t>
      </w:r>
      <w:r>
        <w:rPr>
          <w:rFonts w:ascii="Calibri" w:hAnsi="Calibri"/>
          <w:spacing w:val="-3"/>
          <w:sz w:val="18"/>
        </w:rPr>
        <w:t> </w:t>
      </w:r>
      <w:r>
        <w:rPr>
          <w:rFonts w:ascii="Calibri" w:hAnsi="Calibri"/>
          <w:sz w:val="18"/>
        </w:rPr>
        <w:t>control.</w:t>
      </w:r>
      <w:r>
        <w:rPr>
          <w:rFonts w:ascii="Calibri" w:hAnsi="Calibri"/>
          <w:spacing w:val="-3"/>
          <w:sz w:val="18"/>
        </w:rPr>
        <w:t> </w:t>
      </w:r>
      <w:r>
        <w:rPr>
          <w:rFonts w:ascii="Calibri" w:hAnsi="Calibri"/>
          <w:sz w:val="18"/>
        </w:rPr>
        <w:t>Well</w:t>
      </w:r>
      <w:r>
        <w:rPr>
          <w:rFonts w:ascii="Calibri" w:hAnsi="Calibri"/>
          <w:spacing w:val="-3"/>
          <w:sz w:val="18"/>
        </w:rPr>
        <w:t> </w:t>
      </w:r>
      <w:r>
        <w:rPr>
          <w:rFonts w:ascii="Calibri" w:hAnsi="Calibri"/>
          <w:sz w:val="18"/>
        </w:rPr>
        <w:t>B</w:t>
      </w:r>
      <w:r>
        <w:rPr>
          <w:rFonts w:ascii="Calibri" w:hAnsi="Calibri"/>
          <w:spacing w:val="-2"/>
          <w:sz w:val="18"/>
        </w:rPr>
        <w:t> </w:t>
      </w:r>
      <w:r>
        <w:rPr>
          <w:rFonts w:ascii="Calibri" w:hAnsi="Calibri"/>
          <w:sz w:val="18"/>
        </w:rPr>
        <w:t>to</w:t>
      </w:r>
      <w:r>
        <w:rPr>
          <w:rFonts w:ascii="Calibri" w:hAnsi="Calibri"/>
          <w:spacing w:val="-2"/>
          <w:sz w:val="18"/>
        </w:rPr>
        <w:t> </w:t>
      </w:r>
      <w:r>
        <w:rPr>
          <w:rFonts w:ascii="Calibri" w:hAnsi="Calibri"/>
          <w:sz w:val="18"/>
        </w:rPr>
        <w:t>H</w:t>
      </w:r>
      <w:r>
        <w:rPr>
          <w:rFonts w:ascii="Calibri" w:hAnsi="Calibri"/>
          <w:spacing w:val="-2"/>
          <w:sz w:val="18"/>
        </w:rPr>
        <w:t> </w:t>
      </w:r>
      <w:r>
        <w:rPr>
          <w:rFonts w:ascii="Calibri" w:hAnsi="Calibri"/>
          <w:sz w:val="18"/>
        </w:rPr>
        <w:t>represent</w:t>
      </w:r>
      <w:r>
        <w:rPr>
          <w:rFonts w:ascii="Calibri" w:hAnsi="Calibri"/>
          <w:spacing w:val="-2"/>
          <w:sz w:val="18"/>
        </w:rPr>
        <w:t> </w:t>
      </w:r>
      <w:r>
        <w:rPr>
          <w:rFonts w:ascii="Calibri" w:hAnsi="Calibri"/>
          <w:sz w:val="18"/>
        </w:rPr>
        <w:t>drug</w:t>
      </w:r>
      <w:r>
        <w:rPr>
          <w:rFonts w:ascii="Calibri" w:hAnsi="Calibri"/>
          <w:spacing w:val="-3"/>
          <w:sz w:val="18"/>
        </w:rPr>
        <w:t> </w:t>
      </w:r>
      <w:r>
        <w:rPr>
          <w:rFonts w:ascii="Calibri" w:hAnsi="Calibri"/>
          <w:sz w:val="18"/>
        </w:rPr>
        <w:t>concentrations,</w:t>
      </w:r>
      <w:r>
        <w:rPr>
          <w:rFonts w:ascii="Calibri" w:hAnsi="Calibri"/>
          <w:spacing w:val="-2"/>
          <w:sz w:val="18"/>
        </w:rPr>
        <w:t> </w:t>
      </w:r>
      <w:r>
        <w:rPr>
          <w:rFonts w:ascii="Calibri" w:hAnsi="Calibri"/>
          <w:sz w:val="18"/>
        </w:rPr>
        <w:t>e.g.</w:t>
      </w:r>
      <w:r>
        <w:rPr>
          <w:rFonts w:ascii="Calibri" w:hAnsi="Calibri"/>
          <w:spacing w:val="-3"/>
          <w:sz w:val="18"/>
        </w:rPr>
        <w:t> </w:t>
      </w:r>
      <w:r>
        <w:rPr>
          <w:rFonts w:ascii="Calibri" w:hAnsi="Calibri"/>
          <w:sz w:val="18"/>
        </w:rPr>
        <w:t>Chloroquine:</w:t>
      </w:r>
      <w:r>
        <w:rPr>
          <w:rFonts w:ascii="Calibri" w:hAnsi="Calibri"/>
          <w:spacing w:val="-2"/>
          <w:sz w:val="18"/>
        </w:rPr>
        <w:t> </w:t>
      </w:r>
      <w:r>
        <w:rPr>
          <w:rFonts w:ascii="Calibri" w:hAnsi="Calibri"/>
          <w:sz w:val="18"/>
        </w:rPr>
        <w:t>0.2,</w:t>
      </w:r>
      <w:r>
        <w:rPr>
          <w:rFonts w:ascii="Calibri" w:hAnsi="Calibri"/>
          <w:spacing w:val="-2"/>
          <w:sz w:val="18"/>
        </w:rPr>
        <w:t> </w:t>
      </w:r>
      <w:r>
        <w:rPr>
          <w:rFonts w:ascii="Calibri" w:hAnsi="Calibri"/>
          <w:sz w:val="18"/>
        </w:rPr>
        <w:t>0.4,</w:t>
      </w:r>
      <w:r>
        <w:rPr>
          <w:rFonts w:ascii="Calibri" w:hAnsi="Calibri"/>
          <w:spacing w:val="-2"/>
          <w:sz w:val="18"/>
        </w:rPr>
        <w:t> </w:t>
      </w:r>
      <w:r>
        <w:rPr>
          <w:rFonts w:ascii="Calibri" w:hAnsi="Calibri"/>
          <w:sz w:val="18"/>
        </w:rPr>
        <w:t>0.8,</w:t>
      </w:r>
      <w:r>
        <w:rPr>
          <w:rFonts w:ascii="Calibri" w:hAnsi="Calibri"/>
          <w:spacing w:val="-2"/>
          <w:sz w:val="18"/>
        </w:rPr>
        <w:t> </w:t>
      </w:r>
      <w:r>
        <w:rPr>
          <w:rFonts w:ascii="Calibri" w:hAnsi="Calibri"/>
          <w:sz w:val="18"/>
        </w:rPr>
        <w:t>1.6,</w:t>
      </w:r>
      <w:r>
        <w:rPr>
          <w:rFonts w:ascii="Calibri" w:hAnsi="Calibri"/>
          <w:spacing w:val="-4"/>
          <w:sz w:val="18"/>
        </w:rPr>
        <w:t> </w:t>
      </w:r>
      <w:r>
        <w:rPr>
          <w:rFonts w:ascii="Calibri" w:hAnsi="Calibri"/>
          <w:sz w:val="18"/>
        </w:rPr>
        <w:t>3.2,</w:t>
      </w:r>
      <w:r>
        <w:rPr>
          <w:rFonts w:ascii="Calibri" w:hAnsi="Calibri"/>
          <w:spacing w:val="-2"/>
          <w:sz w:val="18"/>
        </w:rPr>
        <w:t> </w:t>
      </w:r>
      <w:r>
        <w:rPr>
          <w:rFonts w:ascii="Calibri" w:hAnsi="Calibri"/>
          <w:sz w:val="18"/>
        </w:rPr>
        <w:t>6.4</w:t>
      </w:r>
      <w:r>
        <w:rPr>
          <w:rFonts w:ascii="Calibri" w:hAnsi="Calibri"/>
          <w:spacing w:val="-2"/>
          <w:sz w:val="18"/>
        </w:rPr>
        <w:t> </w:t>
      </w:r>
      <w:r>
        <w:rPr>
          <w:rFonts w:ascii="Calibri" w:hAnsi="Calibri"/>
          <w:sz w:val="18"/>
        </w:rPr>
        <w:t>and</w:t>
      </w:r>
      <w:r>
        <w:rPr>
          <w:rFonts w:ascii="Calibri" w:hAnsi="Calibri"/>
          <w:spacing w:val="-3"/>
          <w:sz w:val="18"/>
        </w:rPr>
        <w:t> </w:t>
      </w:r>
      <w:r>
        <w:rPr>
          <w:rFonts w:ascii="Calibri" w:hAnsi="Calibri"/>
          <w:sz w:val="18"/>
        </w:rPr>
        <w:t>12.8 µmol per l blood.</w:t>
      </w:r>
    </w:p>
    <w:p>
      <w:pPr>
        <w:spacing w:after="0" w:line="360" w:lineRule="auto"/>
        <w:jc w:val="left"/>
        <w:rPr>
          <w:rFonts w:ascii="Calibri" w:hAnsi="Calibri"/>
          <w:sz w:val="18"/>
        </w:rPr>
        <w:sectPr>
          <w:pgSz w:w="11910" w:h="16840"/>
          <w:pgMar w:header="0" w:footer="1254" w:top="1340" w:bottom="1440" w:left="1180" w:right="580"/>
        </w:sectPr>
      </w:pPr>
    </w:p>
    <w:p>
      <w:pPr>
        <w:pStyle w:val="Heading1"/>
        <w:spacing w:before="61"/>
        <w:jc w:val="left"/>
      </w:pPr>
      <w:r>
        <w:rPr/>
        <w:t>APPENDIX</w:t>
      </w:r>
      <w:r>
        <w:rPr>
          <w:spacing w:val="-4"/>
        </w:rPr>
        <w:t> </w:t>
      </w:r>
      <w:r>
        <w:rPr>
          <w:spacing w:val="-10"/>
        </w:rPr>
        <w:t>V</w:t>
      </w:r>
    </w:p>
    <w:p>
      <w:pPr>
        <w:pStyle w:val="Heading2"/>
        <w:spacing w:before="242"/>
        <w:jc w:val="left"/>
      </w:pPr>
      <w:r>
        <w:rPr/>
        <w:t>BUFFER</w:t>
      </w:r>
      <w:r>
        <w:rPr>
          <w:spacing w:val="-1"/>
        </w:rPr>
        <w:t> </w:t>
      </w:r>
      <w:r>
        <w:rPr/>
        <w:t>AW1,</w:t>
      </w:r>
      <w:r>
        <w:rPr>
          <w:spacing w:val="-1"/>
        </w:rPr>
        <w:t> </w:t>
      </w:r>
      <w:r>
        <w:rPr/>
        <w:t>AW2,</w:t>
      </w:r>
      <w:r>
        <w:rPr>
          <w:spacing w:val="1"/>
        </w:rPr>
        <w:t> </w:t>
      </w:r>
      <w:r>
        <w:rPr/>
        <w:t>AL and</w:t>
      </w:r>
      <w:r>
        <w:rPr>
          <w:spacing w:val="-1"/>
        </w:rPr>
        <w:t> </w:t>
      </w:r>
      <w:r>
        <w:rPr/>
        <w:t>AE </w:t>
      </w:r>
      <w:r>
        <w:rPr>
          <w:spacing w:val="-2"/>
        </w:rPr>
        <w:t>SOLUTIONS</w:t>
      </w:r>
    </w:p>
    <w:p>
      <w:pPr>
        <w:pStyle w:val="BodyText"/>
        <w:rPr>
          <w:b/>
        </w:rPr>
      </w:pPr>
    </w:p>
    <w:p>
      <w:pPr>
        <w:pStyle w:val="BodyText"/>
        <w:spacing w:before="233"/>
        <w:rPr>
          <w:b/>
        </w:rPr>
      </w:pPr>
    </w:p>
    <w:p>
      <w:pPr>
        <w:pStyle w:val="BodyText"/>
        <w:spacing w:line="480" w:lineRule="auto"/>
        <w:ind w:left="260" w:right="856"/>
        <w:jc w:val="both"/>
      </w:pPr>
      <w:r>
        <w:rPr/>
        <w:t>Buffer AW1 and Buffer AW2 are supplied as concentrates. Buffer AW1 is supplied as 242</w:t>
      </w:r>
      <w:r>
        <w:rPr>
          <w:spacing w:val="40"/>
        </w:rPr>
        <w:t> </w:t>
      </w:r>
      <w:r>
        <w:rPr/>
        <w:t>ml Wash Buffer (1) Concentrate and Buffer AW2 as 324 ml Wash Buffer (2) Concentrate 1. Buffer AW1 is used to denature proteins. Buffer AW2 is 70% ethanol to wash salts out. Buffer AW1 contains guanidine hydrochloride. Buffer AW2 contains a qiagen concentrate.</w:t>
      </w:r>
    </w:p>
    <w:p>
      <w:pPr>
        <w:pStyle w:val="BodyText"/>
        <w:spacing w:before="140"/>
      </w:pPr>
    </w:p>
    <w:p>
      <w:pPr>
        <w:pStyle w:val="BodyText"/>
        <w:spacing w:line="480" w:lineRule="auto"/>
        <w:ind w:left="260" w:right="855"/>
        <w:jc w:val="both"/>
      </w:pPr>
      <w:r>
        <w:rPr/>
        <w:t>Buffer AL (216 ml Lysis Buffer) contains guanidine hydrochloride, which can form highly reactive compounds when combined with bleach.</w:t>
      </w:r>
    </w:p>
    <w:p>
      <w:pPr>
        <w:pStyle w:val="BodyText"/>
        <w:spacing w:before="274"/>
      </w:pPr>
    </w:p>
    <w:p>
      <w:pPr>
        <w:pStyle w:val="BodyText"/>
        <w:spacing w:line="480" w:lineRule="auto"/>
        <w:ind w:left="260" w:right="857"/>
        <w:jc w:val="both"/>
      </w:pPr>
      <w:r>
        <w:rPr/>
        <w:t>Buffer AE is 10 mMTris·Cl, 0.5 mM EDTA, pH 9.0. Elution with Buffer AE guaranteesoptimal recovery and stability of eluted DNA. For long-term storage of DNA, elution in Buffer AE is stronglyrecommended since DNA stored in water is subject to acid hydrolysis. Buffer AE shouldbe used at room temperature (15–25°C). Heating Buffer AE before elution is notnecessary.</w:t>
      </w:r>
    </w:p>
    <w:p>
      <w:pPr>
        <w:pStyle w:val="BodyText"/>
        <w:spacing w:before="140"/>
      </w:pPr>
    </w:p>
    <w:p>
      <w:pPr>
        <w:pStyle w:val="BodyText"/>
        <w:spacing w:line="480" w:lineRule="auto"/>
        <w:ind w:left="260" w:right="853"/>
        <w:jc w:val="both"/>
      </w:pPr>
      <w:r>
        <w:rPr>
          <w:color w:val="242424"/>
        </w:rPr>
        <w:t>A</w:t>
      </w:r>
      <w:r>
        <w:rPr>
          <w:color w:val="242424"/>
          <w:spacing w:val="-2"/>
        </w:rPr>
        <w:t> </w:t>
      </w:r>
      <w:r>
        <w:rPr>
          <w:b/>
          <w:color w:val="242424"/>
        </w:rPr>
        <w:t>lysis buffer</w:t>
      </w:r>
      <w:r>
        <w:rPr>
          <w:b/>
          <w:color w:val="242424"/>
          <w:spacing w:val="-1"/>
        </w:rPr>
        <w:t> </w:t>
      </w:r>
      <w:r>
        <w:rPr>
          <w:color w:val="242424"/>
        </w:rPr>
        <w:t>is a</w:t>
      </w:r>
      <w:r>
        <w:rPr>
          <w:color w:val="242424"/>
          <w:spacing w:val="-2"/>
        </w:rPr>
        <w:t> </w:t>
      </w:r>
      <w:r>
        <w:rPr>
          <w:color w:val="242424"/>
        </w:rPr>
        <w:t>buffer solution used for the purpose of lysing</w:t>
      </w:r>
      <w:r>
        <w:rPr>
          <w:color w:val="242424"/>
          <w:spacing w:val="-3"/>
        </w:rPr>
        <w:t> </w:t>
      </w:r>
      <w:r>
        <w:rPr>
          <w:color w:val="242424"/>
        </w:rPr>
        <w:t>cells for use in molecular biology</w:t>
      </w:r>
      <w:r>
        <w:rPr>
          <w:color w:val="242424"/>
          <w:spacing w:val="-7"/>
        </w:rPr>
        <w:t> </w:t>
      </w:r>
      <w:r>
        <w:rPr>
          <w:color w:val="242424"/>
        </w:rPr>
        <w:t>experiments that analyze the compounds of the cells (e.g. western blot). Most lysis buffers contain salts (e.g.Tris-HCl</w:t>
      </w:r>
      <w:r>
        <w:rPr>
          <w:color w:val="242424"/>
          <w:spacing w:val="-1"/>
        </w:rPr>
        <w:t> </w:t>
      </w:r>
      <w:r>
        <w:rPr>
          <w:color w:val="242424"/>
        </w:rPr>
        <w:t>or</w:t>
      </w:r>
      <w:r>
        <w:rPr>
          <w:color w:val="242424"/>
          <w:spacing w:val="-2"/>
        </w:rPr>
        <w:t> </w:t>
      </w:r>
      <w:r>
        <w:rPr>
          <w:color w:val="242424"/>
        </w:rPr>
        <w:t>EDTA) to regulate the acidity and osmolarity of the lysate, while detergents (such as Triton X-100 or SDS) are added to break up membrane structures. In studies like DNA fingerprinting</w:t>
      </w:r>
      <w:r>
        <w:rPr>
          <w:color w:val="242424"/>
          <w:spacing w:val="-4"/>
        </w:rPr>
        <w:t> </w:t>
      </w:r>
      <w:r>
        <w:rPr>
          <w:color w:val="242424"/>
        </w:rPr>
        <w:t>the lysis buffer is used for DNA isolation. Dish soap</w:t>
      </w:r>
      <w:r>
        <w:rPr>
          <w:color w:val="242424"/>
          <w:spacing w:val="-2"/>
        </w:rPr>
        <w:t> </w:t>
      </w:r>
      <w:r>
        <w:rPr>
          <w:color w:val="242424"/>
        </w:rPr>
        <w:t>can be used in a pinch to break down the cell and nuclear membranes, allowing the</w:t>
      </w:r>
      <w:r>
        <w:rPr>
          <w:color w:val="242424"/>
          <w:spacing w:val="40"/>
        </w:rPr>
        <w:t> </w:t>
      </w:r>
      <w:r>
        <w:rPr>
          <w:color w:val="242424"/>
        </w:rPr>
        <w:t>DNA to be released.</w:t>
      </w:r>
    </w:p>
    <w:p>
      <w:pPr>
        <w:spacing w:after="0" w:line="480" w:lineRule="auto"/>
        <w:jc w:val="both"/>
        <w:sectPr>
          <w:pgSz w:w="11910" w:h="16840"/>
          <w:pgMar w:header="0" w:footer="1254" w:top="1360" w:bottom="1440" w:left="1180" w:right="580"/>
        </w:sectPr>
      </w:pPr>
    </w:p>
    <w:p>
      <w:pPr>
        <w:spacing w:before="78"/>
        <w:ind w:left="260" w:right="0" w:firstLine="0"/>
        <w:jc w:val="left"/>
        <w:rPr>
          <w:b/>
          <w:sz w:val="24"/>
        </w:rPr>
      </w:pPr>
      <w:r>
        <w:rPr>
          <w:b/>
          <w:sz w:val="24"/>
        </w:rPr>
        <w:t>APPENDIX</w:t>
      </w:r>
      <w:r>
        <w:rPr>
          <w:b/>
          <w:spacing w:val="-4"/>
          <w:sz w:val="24"/>
        </w:rPr>
        <w:t> </w:t>
      </w:r>
      <w:r>
        <w:rPr>
          <w:b/>
          <w:spacing w:val="-5"/>
          <w:sz w:val="24"/>
        </w:rPr>
        <w:t>VI</w:t>
      </w:r>
    </w:p>
    <w:p>
      <w:pPr>
        <w:pStyle w:val="BodyText"/>
        <w:rPr>
          <w:b/>
        </w:rPr>
      </w:pPr>
    </w:p>
    <w:p>
      <w:pPr>
        <w:spacing w:before="0"/>
        <w:ind w:left="260" w:right="0" w:firstLine="0"/>
        <w:jc w:val="left"/>
        <w:rPr>
          <w:b/>
          <w:sz w:val="24"/>
        </w:rPr>
      </w:pPr>
      <w:r>
        <w:rPr>
          <w:b/>
          <w:sz w:val="24"/>
        </w:rPr>
        <w:t>SCHIZONT</w:t>
      </w:r>
      <w:r>
        <w:rPr>
          <w:b/>
          <w:spacing w:val="-2"/>
          <w:sz w:val="24"/>
        </w:rPr>
        <w:t> </w:t>
      </w:r>
      <w:r>
        <w:rPr>
          <w:b/>
          <w:sz w:val="24"/>
        </w:rPr>
        <w:t>MATURATION </w:t>
      </w:r>
      <w:r>
        <w:rPr>
          <w:b/>
          <w:spacing w:val="-2"/>
          <w:sz w:val="24"/>
        </w:rPr>
        <w:t>COUNTS</w:t>
      </w:r>
    </w:p>
    <w:p>
      <w:pPr>
        <w:pStyle w:val="BodyText"/>
        <w:spacing w:before="105"/>
        <w:rPr>
          <w:b/>
          <w:sz w:val="20"/>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5"/>
        <w:gridCol w:w="1480"/>
        <w:gridCol w:w="909"/>
        <w:gridCol w:w="801"/>
        <w:gridCol w:w="707"/>
        <w:gridCol w:w="691"/>
        <w:gridCol w:w="692"/>
        <w:gridCol w:w="725"/>
        <w:gridCol w:w="910"/>
        <w:gridCol w:w="757"/>
      </w:tblGrid>
      <w:tr>
        <w:trPr>
          <w:trHeight w:val="232" w:hRule="atLeast"/>
        </w:trPr>
        <w:tc>
          <w:tcPr>
            <w:tcW w:w="9807" w:type="dxa"/>
            <w:gridSpan w:val="10"/>
          </w:tcPr>
          <w:p>
            <w:pPr>
              <w:pStyle w:val="TableParagraph"/>
              <w:spacing w:line="213" w:lineRule="exact" w:before="0"/>
              <w:ind w:right="733"/>
              <w:rPr>
                <w:rFonts w:ascii="Calibri"/>
                <w:b/>
                <w:sz w:val="22"/>
              </w:rPr>
            </w:pPr>
            <w:r>
              <w:rPr>
                <w:rFonts w:ascii="Calibri"/>
                <w:b/>
                <w:sz w:val="22"/>
              </w:rPr>
              <w:t>Table</w:t>
            </w:r>
            <w:r>
              <w:rPr>
                <w:rFonts w:ascii="Calibri"/>
                <w:b/>
                <w:spacing w:val="-5"/>
                <w:sz w:val="22"/>
              </w:rPr>
              <w:t> </w:t>
            </w:r>
            <w:r>
              <w:rPr>
                <w:rFonts w:ascii="Calibri"/>
                <w:b/>
                <w:sz w:val="22"/>
              </w:rPr>
              <w:t>IV.1:</w:t>
            </w:r>
            <w:r>
              <w:rPr>
                <w:rFonts w:ascii="Calibri"/>
                <w:b/>
                <w:spacing w:val="-4"/>
                <w:sz w:val="22"/>
              </w:rPr>
              <w:t> </w:t>
            </w:r>
            <w:r>
              <w:rPr>
                <w:rFonts w:ascii="Calibri"/>
                <w:b/>
                <w:spacing w:val="-2"/>
                <w:sz w:val="22"/>
              </w:rPr>
              <w:t>Chloroquine</w:t>
            </w:r>
          </w:p>
        </w:tc>
      </w:tr>
      <w:tr>
        <w:trPr>
          <w:trHeight w:val="295" w:hRule="atLeast"/>
        </w:trPr>
        <w:tc>
          <w:tcPr>
            <w:tcW w:w="9807" w:type="dxa"/>
            <w:gridSpan w:val="10"/>
          </w:tcPr>
          <w:p>
            <w:pPr>
              <w:pStyle w:val="TableParagraph"/>
              <w:spacing w:line="20" w:lineRule="exact" w:before="0"/>
              <w:ind w:left="14"/>
              <w:jc w:val="left"/>
              <w:rPr>
                <w:sz w:val="2"/>
              </w:rPr>
            </w:pPr>
            <w:r>
              <w:rPr>
                <w:sz w:val="2"/>
              </w:rPr>
              <mc:AlternateContent>
                <mc:Choice Requires="wps">
                  <w:drawing>
                    <wp:inline distT="0" distB="0" distL="0" distR="0">
                      <wp:extent cx="5742305" cy="6350"/>
                      <wp:effectExtent l="0" t="0" r="0" b="0"/>
                      <wp:docPr id="41" name="Group 41"/>
                      <wp:cNvGraphicFramePr>
                        <a:graphicFrameLocks/>
                      </wp:cNvGraphicFramePr>
                      <a:graphic>
                        <a:graphicData uri="http://schemas.microsoft.com/office/word/2010/wordprocessingGroup">
                          <wpg:wgp>
                            <wpg:cNvPr id="41" name="Group 41"/>
                            <wpg:cNvGrpSpPr/>
                            <wpg:grpSpPr>
                              <a:xfrm>
                                <a:off x="0" y="0"/>
                                <a:ext cx="5742305" cy="6350"/>
                                <a:chExt cx="5742305" cy="6350"/>
                              </a:xfrm>
                            </wpg:grpSpPr>
                            <wps:wsp>
                              <wps:cNvPr id="42" name="Graphic 42"/>
                              <wps:cNvSpPr/>
                              <wps:spPr>
                                <a:xfrm>
                                  <a:off x="0" y="0"/>
                                  <a:ext cx="5742305" cy="6350"/>
                                </a:xfrm>
                                <a:custGeom>
                                  <a:avLst/>
                                  <a:gdLst/>
                                  <a:ahLst/>
                                  <a:cxnLst/>
                                  <a:rect l="l" t="t" r="r" b="b"/>
                                  <a:pathLst>
                                    <a:path w="5742305" h="6350">
                                      <a:moveTo>
                                        <a:pt x="5741797" y="0"/>
                                      </a:moveTo>
                                      <a:lnTo>
                                        <a:pt x="0" y="0"/>
                                      </a:lnTo>
                                      <a:lnTo>
                                        <a:pt x="0" y="6096"/>
                                      </a:lnTo>
                                      <a:lnTo>
                                        <a:pt x="5741797" y="6096"/>
                                      </a:lnTo>
                                      <a:lnTo>
                                        <a:pt x="57417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15pt;height:.5pt;mso-position-horizontal-relative:char;mso-position-vertical-relative:line" id="docshapegroup18" coordorigin="0,0" coordsize="9043,10">
                      <v:rect style="position:absolute;left:0;top:0;width:9043;height:10" id="docshape19" filled="true" fillcolor="#000000" stroked="false">
                        <v:fill type="solid"/>
                      </v:rect>
                    </v:group>
                  </w:pict>
                </mc:Fallback>
              </mc:AlternateContent>
            </w:r>
            <w:r>
              <w:rPr>
                <w:sz w:val="2"/>
              </w:rPr>
            </w:r>
          </w:p>
          <w:p>
            <w:pPr>
              <w:pStyle w:val="TableParagraph"/>
              <w:spacing w:line="255" w:lineRule="exact" w:before="0"/>
              <w:ind w:left="2489"/>
              <w:jc w:val="left"/>
              <w:rPr>
                <w:sz w:val="24"/>
              </w:rPr>
            </w:pPr>
            <w:r>
              <w:rPr>
                <w:sz w:val="24"/>
              </w:rPr>
              <w:t>Schizont</w:t>
            </w:r>
            <w:r>
              <w:rPr>
                <w:spacing w:val="-1"/>
                <w:sz w:val="24"/>
              </w:rPr>
              <w:t> </w:t>
            </w:r>
            <w:r>
              <w:rPr>
                <w:sz w:val="24"/>
              </w:rPr>
              <w:t>counts</w:t>
            </w:r>
            <w:r>
              <w:rPr>
                <w:spacing w:val="-1"/>
                <w:sz w:val="24"/>
              </w:rPr>
              <w:t> </w:t>
            </w:r>
            <w:r>
              <w:rPr>
                <w:sz w:val="24"/>
              </w:rPr>
              <w:t>(per</w:t>
            </w:r>
            <w:r>
              <w:rPr>
                <w:spacing w:val="-1"/>
                <w:sz w:val="24"/>
              </w:rPr>
              <w:t> </w:t>
            </w:r>
            <w:r>
              <w:rPr>
                <w:sz w:val="24"/>
              </w:rPr>
              <w:t>200</w:t>
            </w:r>
            <w:r>
              <w:rPr>
                <w:spacing w:val="-2"/>
                <w:sz w:val="24"/>
              </w:rPr>
              <w:t> </w:t>
            </w:r>
            <w:r>
              <w:rPr>
                <w:sz w:val="24"/>
              </w:rPr>
              <w:t>parasites)</w:t>
            </w:r>
            <w:r>
              <w:rPr>
                <w:spacing w:val="-1"/>
                <w:sz w:val="24"/>
              </w:rPr>
              <w:t> </w:t>
            </w:r>
            <w:r>
              <w:rPr>
                <w:sz w:val="24"/>
              </w:rPr>
              <w:t>in</w:t>
            </w:r>
            <w:r>
              <w:rPr>
                <w:spacing w:val="-1"/>
                <w:sz w:val="24"/>
              </w:rPr>
              <w:t> </w:t>
            </w:r>
            <w:r>
              <w:rPr>
                <w:spacing w:val="-4"/>
                <w:sz w:val="24"/>
              </w:rPr>
              <w:t>well</w:t>
            </w:r>
          </w:p>
        </w:tc>
      </w:tr>
      <w:tr>
        <w:trPr>
          <w:trHeight w:val="288" w:hRule="atLeast"/>
        </w:trPr>
        <w:tc>
          <w:tcPr>
            <w:tcW w:w="2135" w:type="dxa"/>
          </w:tcPr>
          <w:p>
            <w:pPr>
              <w:pStyle w:val="TableParagraph"/>
              <w:spacing w:line="240" w:lineRule="auto" w:before="0"/>
              <w:jc w:val="left"/>
              <w:rPr>
                <w:sz w:val="20"/>
              </w:rPr>
            </w:pPr>
          </w:p>
        </w:tc>
        <w:tc>
          <w:tcPr>
            <w:tcW w:w="1480" w:type="dxa"/>
          </w:tcPr>
          <w:p>
            <w:pPr>
              <w:pStyle w:val="TableParagraph"/>
              <w:ind w:left="107"/>
              <w:rPr>
                <w:sz w:val="24"/>
              </w:rPr>
            </w:pPr>
            <w:r>
              <w:rPr>
                <w:spacing w:val="-10"/>
                <w:sz w:val="24"/>
              </w:rPr>
              <w:t>A</w:t>
            </w:r>
          </w:p>
        </w:tc>
        <w:tc>
          <w:tcPr>
            <w:tcW w:w="909" w:type="dxa"/>
          </w:tcPr>
          <w:p>
            <w:pPr>
              <w:pStyle w:val="TableParagraph"/>
              <w:ind w:left="96" w:right="1"/>
              <w:rPr>
                <w:sz w:val="24"/>
              </w:rPr>
            </w:pPr>
            <w:r>
              <w:rPr>
                <w:spacing w:val="-10"/>
                <w:sz w:val="24"/>
              </w:rPr>
              <w:t>B</w:t>
            </w:r>
          </w:p>
        </w:tc>
        <w:tc>
          <w:tcPr>
            <w:tcW w:w="801" w:type="dxa"/>
          </w:tcPr>
          <w:p>
            <w:pPr>
              <w:pStyle w:val="TableParagraph"/>
              <w:ind w:left="24" w:right="1"/>
              <w:rPr>
                <w:sz w:val="24"/>
              </w:rPr>
            </w:pPr>
            <w:r>
              <w:rPr>
                <w:spacing w:val="-10"/>
                <w:sz w:val="24"/>
              </w:rPr>
              <w:t>C</w:t>
            </w:r>
          </w:p>
        </w:tc>
        <w:tc>
          <w:tcPr>
            <w:tcW w:w="707" w:type="dxa"/>
          </w:tcPr>
          <w:p>
            <w:pPr>
              <w:pStyle w:val="TableParagraph"/>
              <w:ind w:left="26"/>
              <w:rPr>
                <w:sz w:val="24"/>
              </w:rPr>
            </w:pPr>
            <w:r>
              <w:rPr>
                <w:spacing w:val="-10"/>
                <w:sz w:val="24"/>
              </w:rPr>
              <w:t>D</w:t>
            </w:r>
          </w:p>
        </w:tc>
        <w:tc>
          <w:tcPr>
            <w:tcW w:w="691" w:type="dxa"/>
          </w:tcPr>
          <w:p>
            <w:pPr>
              <w:pStyle w:val="TableParagraph"/>
              <w:ind w:left="10" w:right="3"/>
              <w:rPr>
                <w:sz w:val="24"/>
              </w:rPr>
            </w:pPr>
            <w:r>
              <w:rPr>
                <w:spacing w:val="-10"/>
                <w:sz w:val="24"/>
              </w:rPr>
              <w:t>E</w:t>
            </w:r>
          </w:p>
        </w:tc>
        <w:tc>
          <w:tcPr>
            <w:tcW w:w="692" w:type="dxa"/>
          </w:tcPr>
          <w:p>
            <w:pPr>
              <w:pStyle w:val="TableParagraph"/>
              <w:ind w:left="10" w:right="1"/>
              <w:rPr>
                <w:sz w:val="24"/>
              </w:rPr>
            </w:pPr>
            <w:r>
              <w:rPr>
                <w:spacing w:val="-10"/>
                <w:sz w:val="24"/>
              </w:rPr>
              <w:t>F</w:t>
            </w:r>
          </w:p>
        </w:tc>
        <w:tc>
          <w:tcPr>
            <w:tcW w:w="725" w:type="dxa"/>
          </w:tcPr>
          <w:p>
            <w:pPr>
              <w:pStyle w:val="TableParagraph"/>
              <w:ind w:left="3" w:right="19"/>
              <w:rPr>
                <w:sz w:val="24"/>
              </w:rPr>
            </w:pPr>
            <w:r>
              <w:rPr>
                <w:spacing w:val="-10"/>
                <w:sz w:val="24"/>
              </w:rPr>
              <w:t>G</w:t>
            </w:r>
          </w:p>
        </w:tc>
        <w:tc>
          <w:tcPr>
            <w:tcW w:w="910" w:type="dxa"/>
          </w:tcPr>
          <w:p>
            <w:pPr>
              <w:pStyle w:val="TableParagraph"/>
              <w:ind w:left="1" w:right="20"/>
              <w:rPr>
                <w:sz w:val="24"/>
              </w:rPr>
            </w:pPr>
            <w:r>
              <w:rPr>
                <w:spacing w:val="-10"/>
                <w:sz w:val="24"/>
              </w:rPr>
              <w:t>H</w:t>
            </w:r>
          </w:p>
        </w:tc>
        <w:tc>
          <w:tcPr>
            <w:tcW w:w="757" w:type="dxa"/>
          </w:tcPr>
          <w:p>
            <w:pPr>
              <w:pStyle w:val="TableParagraph"/>
              <w:spacing w:line="240" w:lineRule="auto" w:before="0"/>
              <w:jc w:val="left"/>
              <w:rPr>
                <w:sz w:val="20"/>
              </w:rPr>
            </w:pPr>
          </w:p>
        </w:tc>
      </w:tr>
      <w:tr>
        <w:trPr>
          <w:trHeight w:val="284" w:hRule="atLeast"/>
        </w:trPr>
        <w:tc>
          <w:tcPr>
            <w:tcW w:w="2135" w:type="dxa"/>
            <w:tcBorders>
              <w:bottom w:val="single" w:sz="4" w:space="0" w:color="000000"/>
            </w:tcBorders>
          </w:tcPr>
          <w:p>
            <w:pPr>
              <w:pStyle w:val="TableParagraph"/>
              <w:spacing w:line="264" w:lineRule="exact"/>
              <w:ind w:left="29" w:right="4"/>
              <w:rPr>
                <w:sz w:val="24"/>
              </w:rPr>
            </w:pPr>
            <w:r>
              <w:rPr>
                <w:sz w:val="24"/>
              </w:rPr>
              <w:t>Test</w:t>
            </w:r>
            <w:r>
              <w:rPr>
                <w:spacing w:val="-2"/>
                <w:sz w:val="24"/>
              </w:rPr>
              <w:t> Number</w:t>
            </w:r>
          </w:p>
        </w:tc>
        <w:tc>
          <w:tcPr>
            <w:tcW w:w="1480" w:type="dxa"/>
            <w:tcBorders>
              <w:bottom w:val="single" w:sz="4" w:space="0" w:color="000000"/>
            </w:tcBorders>
          </w:tcPr>
          <w:p>
            <w:pPr>
              <w:pStyle w:val="TableParagraph"/>
              <w:spacing w:line="264" w:lineRule="exact"/>
              <w:ind w:left="107" w:right="1"/>
              <w:rPr>
                <w:sz w:val="24"/>
              </w:rPr>
            </w:pPr>
            <w:r>
              <w:rPr>
                <w:spacing w:val="-2"/>
                <w:sz w:val="24"/>
              </w:rPr>
              <w:t>Control</w:t>
            </w:r>
          </w:p>
        </w:tc>
        <w:tc>
          <w:tcPr>
            <w:tcW w:w="909" w:type="dxa"/>
            <w:tcBorders>
              <w:bottom w:val="single" w:sz="4" w:space="0" w:color="000000"/>
            </w:tcBorders>
          </w:tcPr>
          <w:p>
            <w:pPr>
              <w:pStyle w:val="TableParagraph"/>
              <w:spacing w:line="264" w:lineRule="exact"/>
              <w:ind w:left="96"/>
              <w:rPr>
                <w:sz w:val="24"/>
              </w:rPr>
            </w:pPr>
            <w:r>
              <w:rPr>
                <w:spacing w:val="-5"/>
                <w:sz w:val="24"/>
              </w:rPr>
              <w:t>0.2</w:t>
            </w:r>
          </w:p>
        </w:tc>
        <w:tc>
          <w:tcPr>
            <w:tcW w:w="801" w:type="dxa"/>
            <w:tcBorders>
              <w:bottom w:val="single" w:sz="4" w:space="0" w:color="000000"/>
            </w:tcBorders>
          </w:tcPr>
          <w:p>
            <w:pPr>
              <w:pStyle w:val="TableParagraph"/>
              <w:spacing w:line="264" w:lineRule="exact"/>
              <w:ind w:left="24"/>
              <w:rPr>
                <w:sz w:val="24"/>
              </w:rPr>
            </w:pPr>
            <w:r>
              <w:rPr>
                <w:spacing w:val="-5"/>
                <w:sz w:val="24"/>
              </w:rPr>
              <w:t>0.4</w:t>
            </w:r>
          </w:p>
        </w:tc>
        <w:tc>
          <w:tcPr>
            <w:tcW w:w="707" w:type="dxa"/>
            <w:tcBorders>
              <w:bottom w:val="single" w:sz="4" w:space="0" w:color="000000"/>
            </w:tcBorders>
          </w:tcPr>
          <w:p>
            <w:pPr>
              <w:pStyle w:val="TableParagraph"/>
              <w:spacing w:line="264" w:lineRule="exact"/>
              <w:ind w:left="26" w:right="3"/>
              <w:rPr>
                <w:sz w:val="24"/>
              </w:rPr>
            </w:pPr>
            <w:r>
              <w:rPr>
                <w:spacing w:val="-5"/>
                <w:sz w:val="24"/>
              </w:rPr>
              <w:t>0.8</w:t>
            </w:r>
          </w:p>
        </w:tc>
        <w:tc>
          <w:tcPr>
            <w:tcW w:w="691" w:type="dxa"/>
            <w:tcBorders>
              <w:bottom w:val="single" w:sz="4" w:space="0" w:color="000000"/>
            </w:tcBorders>
          </w:tcPr>
          <w:p>
            <w:pPr>
              <w:pStyle w:val="TableParagraph"/>
              <w:spacing w:line="264" w:lineRule="exact"/>
              <w:ind w:left="10" w:right="3"/>
              <w:rPr>
                <w:sz w:val="24"/>
              </w:rPr>
            </w:pPr>
            <w:r>
              <w:rPr>
                <w:spacing w:val="-5"/>
                <w:sz w:val="24"/>
              </w:rPr>
              <w:t>1.6</w:t>
            </w:r>
          </w:p>
        </w:tc>
        <w:tc>
          <w:tcPr>
            <w:tcW w:w="692" w:type="dxa"/>
            <w:tcBorders>
              <w:bottom w:val="single" w:sz="4" w:space="0" w:color="000000"/>
            </w:tcBorders>
          </w:tcPr>
          <w:p>
            <w:pPr>
              <w:pStyle w:val="TableParagraph"/>
              <w:spacing w:line="264" w:lineRule="exact"/>
              <w:ind w:left="10" w:right="2"/>
              <w:rPr>
                <w:sz w:val="24"/>
              </w:rPr>
            </w:pPr>
            <w:r>
              <w:rPr>
                <w:spacing w:val="-5"/>
                <w:sz w:val="24"/>
              </w:rPr>
              <w:t>3.2</w:t>
            </w:r>
          </w:p>
        </w:tc>
        <w:tc>
          <w:tcPr>
            <w:tcW w:w="725" w:type="dxa"/>
            <w:tcBorders>
              <w:bottom w:val="single" w:sz="4" w:space="0" w:color="000000"/>
            </w:tcBorders>
          </w:tcPr>
          <w:p>
            <w:pPr>
              <w:pStyle w:val="TableParagraph"/>
              <w:spacing w:line="264" w:lineRule="exact"/>
              <w:ind w:right="19"/>
              <w:rPr>
                <w:sz w:val="24"/>
              </w:rPr>
            </w:pPr>
            <w:r>
              <w:rPr>
                <w:spacing w:val="-5"/>
                <w:sz w:val="24"/>
              </w:rPr>
              <w:t>6.4</w:t>
            </w:r>
          </w:p>
        </w:tc>
        <w:tc>
          <w:tcPr>
            <w:tcW w:w="910" w:type="dxa"/>
            <w:tcBorders>
              <w:bottom w:val="single" w:sz="4" w:space="0" w:color="000000"/>
            </w:tcBorders>
          </w:tcPr>
          <w:p>
            <w:pPr>
              <w:pStyle w:val="TableParagraph"/>
              <w:spacing w:line="264" w:lineRule="exact"/>
              <w:ind w:left="3" w:right="20"/>
              <w:rPr>
                <w:sz w:val="24"/>
              </w:rPr>
            </w:pPr>
            <w:r>
              <w:rPr>
                <w:spacing w:val="-4"/>
                <w:sz w:val="24"/>
              </w:rPr>
              <w:t>12.8</w:t>
            </w:r>
          </w:p>
        </w:tc>
        <w:tc>
          <w:tcPr>
            <w:tcW w:w="757" w:type="dxa"/>
          </w:tcPr>
          <w:p>
            <w:pPr>
              <w:pStyle w:val="TableParagraph"/>
              <w:spacing w:line="252" w:lineRule="exact" w:before="13"/>
              <w:ind w:left="115"/>
              <w:jc w:val="left"/>
              <w:rPr>
                <w:rFonts w:ascii="Calibri" w:hAnsi="Calibri"/>
                <w:sz w:val="22"/>
              </w:rPr>
            </w:pPr>
            <w:r>
              <w:rPr>
                <w:rFonts w:ascii="Calibri" w:hAnsi="Calibri"/>
                <w:spacing w:val="-2"/>
                <w:sz w:val="22"/>
              </w:rPr>
              <w:t>μmol/l</w:t>
            </w:r>
          </w:p>
        </w:tc>
      </w:tr>
      <w:tr>
        <w:trPr>
          <w:trHeight w:val="290" w:hRule="atLeast"/>
        </w:trPr>
        <w:tc>
          <w:tcPr>
            <w:tcW w:w="2135" w:type="dxa"/>
            <w:tcBorders>
              <w:top w:val="single" w:sz="4" w:space="0" w:color="000000"/>
            </w:tcBorders>
          </w:tcPr>
          <w:p>
            <w:pPr>
              <w:pStyle w:val="TableParagraph"/>
              <w:spacing w:before="3"/>
              <w:ind w:left="29"/>
              <w:rPr>
                <w:sz w:val="24"/>
              </w:rPr>
            </w:pPr>
            <w:r>
              <w:rPr>
                <w:spacing w:val="-10"/>
                <w:sz w:val="24"/>
              </w:rPr>
              <w:t>1</w:t>
            </w:r>
          </w:p>
        </w:tc>
        <w:tc>
          <w:tcPr>
            <w:tcW w:w="1480" w:type="dxa"/>
            <w:tcBorders>
              <w:top w:val="single" w:sz="4" w:space="0" w:color="000000"/>
            </w:tcBorders>
          </w:tcPr>
          <w:p>
            <w:pPr>
              <w:pStyle w:val="TableParagraph"/>
              <w:spacing w:before="3"/>
              <w:ind w:left="107"/>
              <w:rPr>
                <w:sz w:val="24"/>
              </w:rPr>
            </w:pPr>
            <w:r>
              <w:rPr>
                <w:spacing w:val="-5"/>
                <w:sz w:val="24"/>
              </w:rPr>
              <w:t>55</w:t>
            </w:r>
          </w:p>
        </w:tc>
        <w:tc>
          <w:tcPr>
            <w:tcW w:w="909" w:type="dxa"/>
            <w:tcBorders>
              <w:top w:val="single" w:sz="4" w:space="0" w:color="000000"/>
            </w:tcBorders>
          </w:tcPr>
          <w:p>
            <w:pPr>
              <w:pStyle w:val="TableParagraph"/>
              <w:spacing w:before="3"/>
              <w:ind w:left="96" w:right="2"/>
              <w:rPr>
                <w:sz w:val="24"/>
              </w:rPr>
            </w:pPr>
            <w:r>
              <w:rPr>
                <w:spacing w:val="-5"/>
                <w:sz w:val="24"/>
              </w:rPr>
              <w:t>40</w:t>
            </w:r>
          </w:p>
        </w:tc>
        <w:tc>
          <w:tcPr>
            <w:tcW w:w="801" w:type="dxa"/>
            <w:tcBorders>
              <w:top w:val="single" w:sz="4" w:space="0" w:color="000000"/>
            </w:tcBorders>
          </w:tcPr>
          <w:p>
            <w:pPr>
              <w:pStyle w:val="TableParagraph"/>
              <w:spacing w:before="3"/>
              <w:ind w:left="24" w:right="3"/>
              <w:rPr>
                <w:sz w:val="24"/>
              </w:rPr>
            </w:pPr>
            <w:r>
              <w:rPr>
                <w:spacing w:val="-5"/>
                <w:sz w:val="24"/>
              </w:rPr>
              <w:t>28</w:t>
            </w:r>
          </w:p>
        </w:tc>
        <w:tc>
          <w:tcPr>
            <w:tcW w:w="707" w:type="dxa"/>
            <w:tcBorders>
              <w:top w:val="single" w:sz="4" w:space="0" w:color="000000"/>
            </w:tcBorders>
          </w:tcPr>
          <w:p>
            <w:pPr>
              <w:pStyle w:val="TableParagraph"/>
              <w:spacing w:before="3"/>
              <w:ind w:left="26" w:right="1"/>
              <w:rPr>
                <w:sz w:val="24"/>
              </w:rPr>
            </w:pPr>
            <w:r>
              <w:rPr>
                <w:spacing w:val="-5"/>
                <w:sz w:val="24"/>
              </w:rPr>
              <w:t>17</w:t>
            </w:r>
          </w:p>
        </w:tc>
        <w:tc>
          <w:tcPr>
            <w:tcW w:w="691" w:type="dxa"/>
            <w:tcBorders>
              <w:top w:val="single" w:sz="4" w:space="0" w:color="000000"/>
            </w:tcBorders>
          </w:tcPr>
          <w:p>
            <w:pPr>
              <w:pStyle w:val="TableParagraph"/>
              <w:spacing w:before="3"/>
              <w:ind w:left="10"/>
              <w:rPr>
                <w:sz w:val="24"/>
              </w:rPr>
            </w:pPr>
            <w:r>
              <w:rPr>
                <w:spacing w:val="-5"/>
                <w:sz w:val="24"/>
              </w:rPr>
              <w:t>10</w:t>
            </w:r>
          </w:p>
        </w:tc>
        <w:tc>
          <w:tcPr>
            <w:tcW w:w="692" w:type="dxa"/>
            <w:tcBorders>
              <w:top w:val="single" w:sz="4" w:space="0" w:color="000000"/>
            </w:tcBorders>
          </w:tcPr>
          <w:p>
            <w:pPr>
              <w:pStyle w:val="TableParagraph"/>
              <w:spacing w:before="3"/>
              <w:ind w:left="10"/>
              <w:rPr>
                <w:sz w:val="24"/>
              </w:rPr>
            </w:pPr>
            <w:r>
              <w:rPr>
                <w:spacing w:val="-10"/>
                <w:sz w:val="24"/>
              </w:rPr>
              <w:t>3</w:t>
            </w:r>
          </w:p>
        </w:tc>
        <w:tc>
          <w:tcPr>
            <w:tcW w:w="725" w:type="dxa"/>
            <w:tcBorders>
              <w:top w:val="single" w:sz="4" w:space="0" w:color="000000"/>
            </w:tcBorders>
          </w:tcPr>
          <w:p>
            <w:pPr>
              <w:pStyle w:val="TableParagraph"/>
              <w:spacing w:before="3"/>
              <w:ind w:left="2" w:right="19"/>
              <w:rPr>
                <w:sz w:val="24"/>
              </w:rPr>
            </w:pPr>
            <w:r>
              <w:rPr>
                <w:spacing w:val="-10"/>
                <w:sz w:val="24"/>
              </w:rPr>
              <w:t>0</w:t>
            </w:r>
          </w:p>
        </w:tc>
        <w:tc>
          <w:tcPr>
            <w:tcW w:w="910" w:type="dxa"/>
            <w:tcBorders>
              <w:top w:val="single" w:sz="4" w:space="0" w:color="000000"/>
            </w:tcBorders>
          </w:tcPr>
          <w:p>
            <w:pPr>
              <w:pStyle w:val="TableParagraph"/>
              <w:spacing w:before="3"/>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10"/>
                <w:sz w:val="24"/>
              </w:rPr>
              <w:t>2</w:t>
            </w:r>
          </w:p>
        </w:tc>
        <w:tc>
          <w:tcPr>
            <w:tcW w:w="1480" w:type="dxa"/>
          </w:tcPr>
          <w:p>
            <w:pPr>
              <w:pStyle w:val="TableParagraph"/>
              <w:ind w:left="107"/>
              <w:rPr>
                <w:sz w:val="24"/>
              </w:rPr>
            </w:pPr>
            <w:r>
              <w:rPr>
                <w:spacing w:val="-5"/>
                <w:sz w:val="24"/>
              </w:rPr>
              <w:t>71</w:t>
            </w:r>
          </w:p>
        </w:tc>
        <w:tc>
          <w:tcPr>
            <w:tcW w:w="909" w:type="dxa"/>
          </w:tcPr>
          <w:p>
            <w:pPr>
              <w:pStyle w:val="TableParagraph"/>
              <w:ind w:left="96" w:right="2"/>
              <w:rPr>
                <w:sz w:val="24"/>
              </w:rPr>
            </w:pPr>
            <w:r>
              <w:rPr>
                <w:spacing w:val="-5"/>
                <w:sz w:val="24"/>
              </w:rPr>
              <w:t>60</w:t>
            </w:r>
          </w:p>
        </w:tc>
        <w:tc>
          <w:tcPr>
            <w:tcW w:w="801" w:type="dxa"/>
          </w:tcPr>
          <w:p>
            <w:pPr>
              <w:pStyle w:val="TableParagraph"/>
              <w:ind w:left="24" w:right="3"/>
              <w:rPr>
                <w:sz w:val="24"/>
              </w:rPr>
            </w:pPr>
            <w:r>
              <w:rPr>
                <w:spacing w:val="-5"/>
                <w:sz w:val="24"/>
              </w:rPr>
              <w:t>34</w:t>
            </w:r>
          </w:p>
        </w:tc>
        <w:tc>
          <w:tcPr>
            <w:tcW w:w="707" w:type="dxa"/>
          </w:tcPr>
          <w:p>
            <w:pPr>
              <w:pStyle w:val="TableParagraph"/>
              <w:ind w:left="26" w:right="1"/>
              <w:rPr>
                <w:sz w:val="24"/>
              </w:rPr>
            </w:pPr>
            <w:r>
              <w:rPr>
                <w:spacing w:val="-5"/>
                <w:sz w:val="24"/>
              </w:rPr>
              <w:t>22</w:t>
            </w:r>
          </w:p>
        </w:tc>
        <w:tc>
          <w:tcPr>
            <w:tcW w:w="691" w:type="dxa"/>
          </w:tcPr>
          <w:p>
            <w:pPr>
              <w:pStyle w:val="TableParagraph"/>
              <w:ind w:left="10"/>
              <w:rPr>
                <w:sz w:val="24"/>
              </w:rPr>
            </w:pPr>
            <w:r>
              <w:rPr>
                <w:spacing w:val="-5"/>
                <w:sz w:val="24"/>
              </w:rPr>
              <w:t>15</w:t>
            </w:r>
          </w:p>
        </w:tc>
        <w:tc>
          <w:tcPr>
            <w:tcW w:w="692" w:type="dxa"/>
          </w:tcPr>
          <w:p>
            <w:pPr>
              <w:pStyle w:val="TableParagraph"/>
              <w:ind w:left="10"/>
              <w:rPr>
                <w:sz w:val="24"/>
              </w:rPr>
            </w:pPr>
            <w:r>
              <w:rPr>
                <w:spacing w:val="-10"/>
                <w:sz w:val="24"/>
              </w:rPr>
              <w:t>4</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10"/>
                <w:sz w:val="24"/>
              </w:rPr>
              <w:t>3</w:t>
            </w:r>
          </w:p>
        </w:tc>
        <w:tc>
          <w:tcPr>
            <w:tcW w:w="1480" w:type="dxa"/>
          </w:tcPr>
          <w:p>
            <w:pPr>
              <w:pStyle w:val="TableParagraph"/>
              <w:ind w:left="107"/>
              <w:rPr>
                <w:sz w:val="24"/>
              </w:rPr>
            </w:pPr>
            <w:r>
              <w:rPr>
                <w:spacing w:val="-5"/>
                <w:sz w:val="24"/>
              </w:rPr>
              <w:t>65</w:t>
            </w:r>
          </w:p>
        </w:tc>
        <w:tc>
          <w:tcPr>
            <w:tcW w:w="909" w:type="dxa"/>
          </w:tcPr>
          <w:p>
            <w:pPr>
              <w:pStyle w:val="TableParagraph"/>
              <w:ind w:left="96" w:right="2"/>
              <w:rPr>
                <w:sz w:val="24"/>
              </w:rPr>
            </w:pPr>
            <w:r>
              <w:rPr>
                <w:spacing w:val="-5"/>
                <w:sz w:val="24"/>
              </w:rPr>
              <w:t>35</w:t>
            </w:r>
          </w:p>
        </w:tc>
        <w:tc>
          <w:tcPr>
            <w:tcW w:w="801" w:type="dxa"/>
          </w:tcPr>
          <w:p>
            <w:pPr>
              <w:pStyle w:val="TableParagraph"/>
              <w:ind w:left="24" w:right="3"/>
              <w:rPr>
                <w:sz w:val="24"/>
              </w:rPr>
            </w:pPr>
            <w:r>
              <w:rPr>
                <w:spacing w:val="-5"/>
                <w:sz w:val="24"/>
              </w:rPr>
              <w:t>21</w:t>
            </w:r>
          </w:p>
        </w:tc>
        <w:tc>
          <w:tcPr>
            <w:tcW w:w="707" w:type="dxa"/>
          </w:tcPr>
          <w:p>
            <w:pPr>
              <w:pStyle w:val="TableParagraph"/>
              <w:ind w:left="26" w:right="1"/>
              <w:rPr>
                <w:sz w:val="24"/>
              </w:rPr>
            </w:pPr>
            <w:r>
              <w:rPr>
                <w:spacing w:val="-5"/>
                <w:sz w:val="24"/>
              </w:rPr>
              <w:t>10</w:t>
            </w:r>
          </w:p>
        </w:tc>
        <w:tc>
          <w:tcPr>
            <w:tcW w:w="691" w:type="dxa"/>
          </w:tcPr>
          <w:p>
            <w:pPr>
              <w:pStyle w:val="TableParagraph"/>
              <w:ind w:left="10"/>
              <w:rPr>
                <w:sz w:val="24"/>
              </w:rPr>
            </w:pPr>
            <w:r>
              <w:rPr>
                <w:spacing w:val="-10"/>
                <w:sz w:val="24"/>
              </w:rPr>
              <w:t>4</w:t>
            </w:r>
          </w:p>
        </w:tc>
        <w:tc>
          <w:tcPr>
            <w:tcW w:w="692" w:type="dxa"/>
          </w:tcPr>
          <w:p>
            <w:pPr>
              <w:pStyle w:val="TableParagraph"/>
              <w:ind w:left="10"/>
              <w:rPr>
                <w:sz w:val="24"/>
              </w:rPr>
            </w:pPr>
            <w:r>
              <w:rPr>
                <w:spacing w:val="-10"/>
                <w:sz w:val="24"/>
              </w:rPr>
              <w:t>0</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10"/>
                <w:sz w:val="24"/>
              </w:rPr>
              <w:t>4</w:t>
            </w:r>
          </w:p>
        </w:tc>
        <w:tc>
          <w:tcPr>
            <w:tcW w:w="1480" w:type="dxa"/>
          </w:tcPr>
          <w:p>
            <w:pPr>
              <w:pStyle w:val="TableParagraph"/>
              <w:ind w:left="107"/>
              <w:rPr>
                <w:sz w:val="24"/>
              </w:rPr>
            </w:pPr>
            <w:r>
              <w:rPr>
                <w:spacing w:val="-5"/>
                <w:sz w:val="24"/>
              </w:rPr>
              <w:t>85</w:t>
            </w:r>
          </w:p>
        </w:tc>
        <w:tc>
          <w:tcPr>
            <w:tcW w:w="909" w:type="dxa"/>
          </w:tcPr>
          <w:p>
            <w:pPr>
              <w:pStyle w:val="TableParagraph"/>
              <w:ind w:left="96" w:right="2"/>
              <w:rPr>
                <w:sz w:val="24"/>
              </w:rPr>
            </w:pPr>
            <w:r>
              <w:rPr>
                <w:spacing w:val="-5"/>
                <w:sz w:val="24"/>
              </w:rPr>
              <w:t>53</w:t>
            </w:r>
          </w:p>
        </w:tc>
        <w:tc>
          <w:tcPr>
            <w:tcW w:w="801" w:type="dxa"/>
          </w:tcPr>
          <w:p>
            <w:pPr>
              <w:pStyle w:val="TableParagraph"/>
              <w:ind w:left="24" w:right="3"/>
              <w:rPr>
                <w:sz w:val="24"/>
              </w:rPr>
            </w:pPr>
            <w:r>
              <w:rPr>
                <w:spacing w:val="-5"/>
                <w:sz w:val="24"/>
              </w:rPr>
              <w:t>39</w:t>
            </w:r>
          </w:p>
        </w:tc>
        <w:tc>
          <w:tcPr>
            <w:tcW w:w="707" w:type="dxa"/>
          </w:tcPr>
          <w:p>
            <w:pPr>
              <w:pStyle w:val="TableParagraph"/>
              <w:ind w:left="26" w:right="1"/>
              <w:rPr>
                <w:sz w:val="24"/>
              </w:rPr>
            </w:pPr>
            <w:r>
              <w:rPr>
                <w:spacing w:val="-5"/>
                <w:sz w:val="24"/>
              </w:rPr>
              <w:t>17</w:t>
            </w:r>
          </w:p>
        </w:tc>
        <w:tc>
          <w:tcPr>
            <w:tcW w:w="691" w:type="dxa"/>
          </w:tcPr>
          <w:p>
            <w:pPr>
              <w:pStyle w:val="TableParagraph"/>
              <w:ind w:left="10"/>
              <w:rPr>
                <w:sz w:val="24"/>
              </w:rPr>
            </w:pPr>
            <w:r>
              <w:rPr>
                <w:spacing w:val="-10"/>
                <w:sz w:val="24"/>
              </w:rPr>
              <w:t>9</w:t>
            </w:r>
          </w:p>
        </w:tc>
        <w:tc>
          <w:tcPr>
            <w:tcW w:w="692" w:type="dxa"/>
          </w:tcPr>
          <w:p>
            <w:pPr>
              <w:pStyle w:val="TableParagraph"/>
              <w:ind w:left="10"/>
              <w:rPr>
                <w:sz w:val="24"/>
              </w:rPr>
            </w:pPr>
            <w:r>
              <w:rPr>
                <w:spacing w:val="-10"/>
                <w:sz w:val="24"/>
              </w:rPr>
              <w:t>3</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10"/>
                <w:sz w:val="24"/>
              </w:rPr>
              <w:t>5</w:t>
            </w:r>
          </w:p>
        </w:tc>
        <w:tc>
          <w:tcPr>
            <w:tcW w:w="1480" w:type="dxa"/>
          </w:tcPr>
          <w:p>
            <w:pPr>
              <w:pStyle w:val="TableParagraph"/>
              <w:ind w:left="107"/>
              <w:rPr>
                <w:sz w:val="24"/>
              </w:rPr>
            </w:pPr>
            <w:r>
              <w:rPr>
                <w:spacing w:val="-5"/>
                <w:sz w:val="24"/>
              </w:rPr>
              <w:t>74</w:t>
            </w:r>
          </w:p>
        </w:tc>
        <w:tc>
          <w:tcPr>
            <w:tcW w:w="909" w:type="dxa"/>
          </w:tcPr>
          <w:p>
            <w:pPr>
              <w:pStyle w:val="TableParagraph"/>
              <w:ind w:left="96" w:right="2"/>
              <w:rPr>
                <w:sz w:val="24"/>
              </w:rPr>
            </w:pPr>
            <w:r>
              <w:rPr>
                <w:spacing w:val="-5"/>
                <w:sz w:val="24"/>
              </w:rPr>
              <w:t>56</w:t>
            </w:r>
          </w:p>
        </w:tc>
        <w:tc>
          <w:tcPr>
            <w:tcW w:w="801" w:type="dxa"/>
          </w:tcPr>
          <w:p>
            <w:pPr>
              <w:pStyle w:val="TableParagraph"/>
              <w:ind w:left="24" w:right="3"/>
              <w:rPr>
                <w:sz w:val="24"/>
              </w:rPr>
            </w:pPr>
            <w:r>
              <w:rPr>
                <w:spacing w:val="-5"/>
                <w:sz w:val="24"/>
              </w:rPr>
              <w:t>36</w:t>
            </w:r>
          </w:p>
        </w:tc>
        <w:tc>
          <w:tcPr>
            <w:tcW w:w="707" w:type="dxa"/>
          </w:tcPr>
          <w:p>
            <w:pPr>
              <w:pStyle w:val="TableParagraph"/>
              <w:ind w:left="26" w:right="1"/>
              <w:rPr>
                <w:sz w:val="24"/>
              </w:rPr>
            </w:pPr>
            <w:r>
              <w:rPr>
                <w:spacing w:val="-5"/>
                <w:sz w:val="24"/>
              </w:rPr>
              <w:t>21</w:t>
            </w:r>
          </w:p>
        </w:tc>
        <w:tc>
          <w:tcPr>
            <w:tcW w:w="691" w:type="dxa"/>
          </w:tcPr>
          <w:p>
            <w:pPr>
              <w:pStyle w:val="TableParagraph"/>
              <w:ind w:left="10"/>
              <w:rPr>
                <w:sz w:val="24"/>
              </w:rPr>
            </w:pPr>
            <w:r>
              <w:rPr>
                <w:spacing w:val="-5"/>
                <w:sz w:val="24"/>
              </w:rPr>
              <w:t>11</w:t>
            </w:r>
          </w:p>
        </w:tc>
        <w:tc>
          <w:tcPr>
            <w:tcW w:w="692" w:type="dxa"/>
          </w:tcPr>
          <w:p>
            <w:pPr>
              <w:pStyle w:val="TableParagraph"/>
              <w:ind w:left="10"/>
              <w:rPr>
                <w:sz w:val="24"/>
              </w:rPr>
            </w:pPr>
            <w:r>
              <w:rPr>
                <w:spacing w:val="-10"/>
                <w:sz w:val="24"/>
              </w:rPr>
              <w:t>5</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10"/>
                <w:sz w:val="24"/>
              </w:rPr>
              <w:t>6</w:t>
            </w:r>
          </w:p>
        </w:tc>
        <w:tc>
          <w:tcPr>
            <w:tcW w:w="1480" w:type="dxa"/>
          </w:tcPr>
          <w:p>
            <w:pPr>
              <w:pStyle w:val="TableParagraph"/>
              <w:ind w:left="107"/>
              <w:rPr>
                <w:sz w:val="24"/>
              </w:rPr>
            </w:pPr>
            <w:r>
              <w:rPr>
                <w:spacing w:val="-5"/>
                <w:sz w:val="24"/>
              </w:rPr>
              <w:t>64</w:t>
            </w:r>
          </w:p>
        </w:tc>
        <w:tc>
          <w:tcPr>
            <w:tcW w:w="909" w:type="dxa"/>
          </w:tcPr>
          <w:p>
            <w:pPr>
              <w:pStyle w:val="TableParagraph"/>
              <w:ind w:left="96" w:right="2"/>
              <w:rPr>
                <w:sz w:val="24"/>
              </w:rPr>
            </w:pPr>
            <w:r>
              <w:rPr>
                <w:spacing w:val="-5"/>
                <w:sz w:val="24"/>
              </w:rPr>
              <w:t>31</w:t>
            </w:r>
          </w:p>
        </w:tc>
        <w:tc>
          <w:tcPr>
            <w:tcW w:w="801" w:type="dxa"/>
          </w:tcPr>
          <w:p>
            <w:pPr>
              <w:pStyle w:val="TableParagraph"/>
              <w:ind w:left="24" w:right="3"/>
              <w:rPr>
                <w:sz w:val="24"/>
              </w:rPr>
            </w:pPr>
            <w:r>
              <w:rPr>
                <w:spacing w:val="-5"/>
                <w:sz w:val="24"/>
              </w:rPr>
              <w:t>16</w:t>
            </w:r>
          </w:p>
        </w:tc>
        <w:tc>
          <w:tcPr>
            <w:tcW w:w="707" w:type="dxa"/>
          </w:tcPr>
          <w:p>
            <w:pPr>
              <w:pStyle w:val="TableParagraph"/>
              <w:ind w:left="26" w:right="1"/>
              <w:rPr>
                <w:sz w:val="24"/>
              </w:rPr>
            </w:pPr>
            <w:r>
              <w:rPr>
                <w:spacing w:val="-5"/>
                <w:sz w:val="24"/>
              </w:rPr>
              <w:t>11</w:t>
            </w:r>
          </w:p>
        </w:tc>
        <w:tc>
          <w:tcPr>
            <w:tcW w:w="691" w:type="dxa"/>
          </w:tcPr>
          <w:p>
            <w:pPr>
              <w:pStyle w:val="TableParagraph"/>
              <w:ind w:left="10"/>
              <w:rPr>
                <w:sz w:val="24"/>
              </w:rPr>
            </w:pPr>
            <w:r>
              <w:rPr>
                <w:spacing w:val="-10"/>
                <w:sz w:val="24"/>
              </w:rPr>
              <w:t>7</w:t>
            </w:r>
          </w:p>
        </w:tc>
        <w:tc>
          <w:tcPr>
            <w:tcW w:w="692" w:type="dxa"/>
          </w:tcPr>
          <w:p>
            <w:pPr>
              <w:pStyle w:val="TableParagraph"/>
              <w:ind w:left="10"/>
              <w:rPr>
                <w:sz w:val="24"/>
              </w:rPr>
            </w:pPr>
            <w:r>
              <w:rPr>
                <w:spacing w:val="-10"/>
                <w:sz w:val="24"/>
              </w:rPr>
              <w:t>2</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10"/>
                <w:sz w:val="24"/>
              </w:rPr>
              <w:t>7</w:t>
            </w:r>
          </w:p>
        </w:tc>
        <w:tc>
          <w:tcPr>
            <w:tcW w:w="1480" w:type="dxa"/>
          </w:tcPr>
          <w:p>
            <w:pPr>
              <w:pStyle w:val="TableParagraph"/>
              <w:ind w:left="107"/>
              <w:rPr>
                <w:sz w:val="24"/>
              </w:rPr>
            </w:pPr>
            <w:r>
              <w:rPr>
                <w:spacing w:val="-5"/>
                <w:sz w:val="24"/>
              </w:rPr>
              <w:t>51</w:t>
            </w:r>
          </w:p>
        </w:tc>
        <w:tc>
          <w:tcPr>
            <w:tcW w:w="909" w:type="dxa"/>
          </w:tcPr>
          <w:p>
            <w:pPr>
              <w:pStyle w:val="TableParagraph"/>
              <w:ind w:left="96" w:right="2"/>
              <w:rPr>
                <w:sz w:val="24"/>
              </w:rPr>
            </w:pPr>
            <w:r>
              <w:rPr>
                <w:spacing w:val="-5"/>
                <w:sz w:val="24"/>
              </w:rPr>
              <w:t>35</w:t>
            </w:r>
          </w:p>
        </w:tc>
        <w:tc>
          <w:tcPr>
            <w:tcW w:w="801" w:type="dxa"/>
          </w:tcPr>
          <w:p>
            <w:pPr>
              <w:pStyle w:val="TableParagraph"/>
              <w:ind w:left="24" w:right="3"/>
              <w:rPr>
                <w:sz w:val="24"/>
              </w:rPr>
            </w:pPr>
            <w:r>
              <w:rPr>
                <w:spacing w:val="-5"/>
                <w:sz w:val="24"/>
              </w:rPr>
              <w:t>20</w:t>
            </w:r>
          </w:p>
        </w:tc>
        <w:tc>
          <w:tcPr>
            <w:tcW w:w="707" w:type="dxa"/>
          </w:tcPr>
          <w:p>
            <w:pPr>
              <w:pStyle w:val="TableParagraph"/>
              <w:ind w:left="26" w:right="1"/>
              <w:rPr>
                <w:sz w:val="24"/>
              </w:rPr>
            </w:pPr>
            <w:r>
              <w:rPr>
                <w:spacing w:val="-5"/>
                <w:sz w:val="24"/>
              </w:rPr>
              <w:t>18</w:t>
            </w:r>
          </w:p>
        </w:tc>
        <w:tc>
          <w:tcPr>
            <w:tcW w:w="691" w:type="dxa"/>
          </w:tcPr>
          <w:p>
            <w:pPr>
              <w:pStyle w:val="TableParagraph"/>
              <w:ind w:left="10"/>
              <w:rPr>
                <w:sz w:val="24"/>
              </w:rPr>
            </w:pPr>
            <w:r>
              <w:rPr>
                <w:spacing w:val="-5"/>
                <w:sz w:val="24"/>
              </w:rPr>
              <w:t>14</w:t>
            </w:r>
          </w:p>
        </w:tc>
        <w:tc>
          <w:tcPr>
            <w:tcW w:w="692" w:type="dxa"/>
          </w:tcPr>
          <w:p>
            <w:pPr>
              <w:pStyle w:val="TableParagraph"/>
              <w:ind w:left="10"/>
              <w:rPr>
                <w:sz w:val="24"/>
              </w:rPr>
            </w:pPr>
            <w:r>
              <w:rPr>
                <w:spacing w:val="-5"/>
                <w:sz w:val="24"/>
              </w:rPr>
              <w:t>10</w:t>
            </w:r>
          </w:p>
        </w:tc>
        <w:tc>
          <w:tcPr>
            <w:tcW w:w="725" w:type="dxa"/>
          </w:tcPr>
          <w:p>
            <w:pPr>
              <w:pStyle w:val="TableParagraph"/>
              <w:ind w:left="2" w:right="19"/>
              <w:rPr>
                <w:sz w:val="24"/>
              </w:rPr>
            </w:pPr>
            <w:r>
              <w:rPr>
                <w:spacing w:val="-10"/>
                <w:sz w:val="24"/>
              </w:rPr>
              <w:t>4</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10"/>
                <w:sz w:val="24"/>
              </w:rPr>
              <w:t>8</w:t>
            </w:r>
          </w:p>
        </w:tc>
        <w:tc>
          <w:tcPr>
            <w:tcW w:w="1480" w:type="dxa"/>
          </w:tcPr>
          <w:p>
            <w:pPr>
              <w:pStyle w:val="TableParagraph"/>
              <w:ind w:left="107"/>
              <w:rPr>
                <w:sz w:val="24"/>
              </w:rPr>
            </w:pPr>
            <w:r>
              <w:rPr>
                <w:spacing w:val="-5"/>
                <w:sz w:val="24"/>
              </w:rPr>
              <w:t>67</w:t>
            </w:r>
          </w:p>
        </w:tc>
        <w:tc>
          <w:tcPr>
            <w:tcW w:w="909" w:type="dxa"/>
          </w:tcPr>
          <w:p>
            <w:pPr>
              <w:pStyle w:val="TableParagraph"/>
              <w:ind w:left="96" w:right="2"/>
              <w:rPr>
                <w:sz w:val="24"/>
              </w:rPr>
            </w:pPr>
            <w:r>
              <w:rPr>
                <w:spacing w:val="-5"/>
                <w:sz w:val="24"/>
              </w:rPr>
              <w:t>42</w:t>
            </w:r>
          </w:p>
        </w:tc>
        <w:tc>
          <w:tcPr>
            <w:tcW w:w="801" w:type="dxa"/>
          </w:tcPr>
          <w:p>
            <w:pPr>
              <w:pStyle w:val="TableParagraph"/>
              <w:ind w:left="24" w:right="3"/>
              <w:rPr>
                <w:sz w:val="24"/>
              </w:rPr>
            </w:pPr>
            <w:r>
              <w:rPr>
                <w:spacing w:val="-5"/>
                <w:sz w:val="24"/>
              </w:rPr>
              <w:t>30</w:t>
            </w:r>
          </w:p>
        </w:tc>
        <w:tc>
          <w:tcPr>
            <w:tcW w:w="707" w:type="dxa"/>
          </w:tcPr>
          <w:p>
            <w:pPr>
              <w:pStyle w:val="TableParagraph"/>
              <w:ind w:left="26" w:right="1"/>
              <w:rPr>
                <w:sz w:val="24"/>
              </w:rPr>
            </w:pPr>
            <w:r>
              <w:rPr>
                <w:spacing w:val="-5"/>
                <w:sz w:val="24"/>
              </w:rPr>
              <w:t>20</w:t>
            </w:r>
          </w:p>
        </w:tc>
        <w:tc>
          <w:tcPr>
            <w:tcW w:w="691" w:type="dxa"/>
          </w:tcPr>
          <w:p>
            <w:pPr>
              <w:pStyle w:val="TableParagraph"/>
              <w:ind w:left="10"/>
              <w:rPr>
                <w:sz w:val="24"/>
              </w:rPr>
            </w:pPr>
            <w:r>
              <w:rPr>
                <w:spacing w:val="-10"/>
                <w:sz w:val="24"/>
              </w:rPr>
              <w:t>9</w:t>
            </w:r>
          </w:p>
        </w:tc>
        <w:tc>
          <w:tcPr>
            <w:tcW w:w="692" w:type="dxa"/>
          </w:tcPr>
          <w:p>
            <w:pPr>
              <w:pStyle w:val="TableParagraph"/>
              <w:ind w:left="10"/>
              <w:rPr>
                <w:sz w:val="24"/>
              </w:rPr>
            </w:pPr>
            <w:r>
              <w:rPr>
                <w:spacing w:val="-10"/>
                <w:sz w:val="24"/>
              </w:rPr>
              <w:t>6</w:t>
            </w:r>
          </w:p>
        </w:tc>
        <w:tc>
          <w:tcPr>
            <w:tcW w:w="725" w:type="dxa"/>
          </w:tcPr>
          <w:p>
            <w:pPr>
              <w:pStyle w:val="TableParagraph"/>
              <w:ind w:left="2" w:right="19"/>
              <w:rPr>
                <w:sz w:val="24"/>
              </w:rPr>
            </w:pPr>
            <w:r>
              <w:rPr>
                <w:spacing w:val="-10"/>
                <w:sz w:val="24"/>
              </w:rPr>
              <w:t>3</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10"/>
                <w:sz w:val="24"/>
              </w:rPr>
              <w:t>9</w:t>
            </w:r>
          </w:p>
        </w:tc>
        <w:tc>
          <w:tcPr>
            <w:tcW w:w="1480" w:type="dxa"/>
          </w:tcPr>
          <w:p>
            <w:pPr>
              <w:pStyle w:val="TableParagraph"/>
              <w:ind w:left="107"/>
              <w:rPr>
                <w:sz w:val="24"/>
              </w:rPr>
            </w:pPr>
            <w:r>
              <w:rPr>
                <w:spacing w:val="-5"/>
                <w:sz w:val="24"/>
              </w:rPr>
              <w:t>54</w:t>
            </w:r>
          </w:p>
        </w:tc>
        <w:tc>
          <w:tcPr>
            <w:tcW w:w="909" w:type="dxa"/>
          </w:tcPr>
          <w:p>
            <w:pPr>
              <w:pStyle w:val="TableParagraph"/>
              <w:ind w:left="96" w:right="2"/>
              <w:rPr>
                <w:sz w:val="24"/>
              </w:rPr>
            </w:pPr>
            <w:r>
              <w:rPr>
                <w:spacing w:val="-5"/>
                <w:sz w:val="24"/>
              </w:rPr>
              <w:t>38</w:t>
            </w:r>
          </w:p>
        </w:tc>
        <w:tc>
          <w:tcPr>
            <w:tcW w:w="801" w:type="dxa"/>
          </w:tcPr>
          <w:p>
            <w:pPr>
              <w:pStyle w:val="TableParagraph"/>
              <w:ind w:left="24" w:right="3"/>
              <w:rPr>
                <w:sz w:val="24"/>
              </w:rPr>
            </w:pPr>
            <w:r>
              <w:rPr>
                <w:spacing w:val="-5"/>
                <w:sz w:val="24"/>
              </w:rPr>
              <w:t>23</w:t>
            </w:r>
          </w:p>
        </w:tc>
        <w:tc>
          <w:tcPr>
            <w:tcW w:w="707" w:type="dxa"/>
          </w:tcPr>
          <w:p>
            <w:pPr>
              <w:pStyle w:val="TableParagraph"/>
              <w:ind w:left="26" w:right="1"/>
              <w:rPr>
                <w:sz w:val="24"/>
              </w:rPr>
            </w:pPr>
            <w:r>
              <w:rPr>
                <w:spacing w:val="-5"/>
                <w:sz w:val="24"/>
              </w:rPr>
              <w:t>18</w:t>
            </w:r>
          </w:p>
        </w:tc>
        <w:tc>
          <w:tcPr>
            <w:tcW w:w="691" w:type="dxa"/>
          </w:tcPr>
          <w:p>
            <w:pPr>
              <w:pStyle w:val="TableParagraph"/>
              <w:ind w:left="10"/>
              <w:rPr>
                <w:sz w:val="24"/>
              </w:rPr>
            </w:pPr>
            <w:r>
              <w:rPr>
                <w:spacing w:val="-5"/>
                <w:sz w:val="24"/>
              </w:rPr>
              <w:t>10</w:t>
            </w:r>
          </w:p>
        </w:tc>
        <w:tc>
          <w:tcPr>
            <w:tcW w:w="692" w:type="dxa"/>
          </w:tcPr>
          <w:p>
            <w:pPr>
              <w:pStyle w:val="TableParagraph"/>
              <w:ind w:left="10"/>
              <w:rPr>
                <w:sz w:val="24"/>
              </w:rPr>
            </w:pPr>
            <w:r>
              <w:rPr>
                <w:spacing w:val="-10"/>
                <w:sz w:val="24"/>
              </w:rPr>
              <w:t>4</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5"/>
                <w:sz w:val="24"/>
              </w:rPr>
              <w:t>10</w:t>
            </w:r>
          </w:p>
        </w:tc>
        <w:tc>
          <w:tcPr>
            <w:tcW w:w="1480" w:type="dxa"/>
          </w:tcPr>
          <w:p>
            <w:pPr>
              <w:pStyle w:val="TableParagraph"/>
              <w:ind w:left="107"/>
              <w:rPr>
                <w:sz w:val="24"/>
              </w:rPr>
            </w:pPr>
            <w:r>
              <w:rPr>
                <w:spacing w:val="-5"/>
                <w:sz w:val="24"/>
              </w:rPr>
              <w:t>98</w:t>
            </w:r>
          </w:p>
        </w:tc>
        <w:tc>
          <w:tcPr>
            <w:tcW w:w="909" w:type="dxa"/>
          </w:tcPr>
          <w:p>
            <w:pPr>
              <w:pStyle w:val="TableParagraph"/>
              <w:ind w:left="96" w:right="2"/>
              <w:rPr>
                <w:sz w:val="24"/>
              </w:rPr>
            </w:pPr>
            <w:r>
              <w:rPr>
                <w:spacing w:val="-5"/>
                <w:sz w:val="24"/>
              </w:rPr>
              <w:t>73</w:t>
            </w:r>
          </w:p>
        </w:tc>
        <w:tc>
          <w:tcPr>
            <w:tcW w:w="801" w:type="dxa"/>
          </w:tcPr>
          <w:p>
            <w:pPr>
              <w:pStyle w:val="TableParagraph"/>
              <w:ind w:left="24" w:right="3"/>
              <w:rPr>
                <w:sz w:val="24"/>
              </w:rPr>
            </w:pPr>
            <w:r>
              <w:rPr>
                <w:spacing w:val="-5"/>
                <w:sz w:val="24"/>
              </w:rPr>
              <w:t>56</w:t>
            </w:r>
          </w:p>
        </w:tc>
        <w:tc>
          <w:tcPr>
            <w:tcW w:w="707" w:type="dxa"/>
          </w:tcPr>
          <w:p>
            <w:pPr>
              <w:pStyle w:val="TableParagraph"/>
              <w:ind w:left="26" w:right="1"/>
              <w:rPr>
                <w:sz w:val="24"/>
              </w:rPr>
            </w:pPr>
            <w:r>
              <w:rPr>
                <w:spacing w:val="-5"/>
                <w:sz w:val="24"/>
              </w:rPr>
              <w:t>39</w:t>
            </w:r>
          </w:p>
        </w:tc>
        <w:tc>
          <w:tcPr>
            <w:tcW w:w="691" w:type="dxa"/>
          </w:tcPr>
          <w:p>
            <w:pPr>
              <w:pStyle w:val="TableParagraph"/>
              <w:ind w:left="10"/>
              <w:rPr>
                <w:sz w:val="24"/>
              </w:rPr>
            </w:pPr>
            <w:r>
              <w:rPr>
                <w:spacing w:val="-5"/>
                <w:sz w:val="24"/>
              </w:rPr>
              <w:t>20</w:t>
            </w:r>
          </w:p>
        </w:tc>
        <w:tc>
          <w:tcPr>
            <w:tcW w:w="692" w:type="dxa"/>
          </w:tcPr>
          <w:p>
            <w:pPr>
              <w:pStyle w:val="TableParagraph"/>
              <w:ind w:left="10"/>
              <w:rPr>
                <w:sz w:val="24"/>
              </w:rPr>
            </w:pPr>
            <w:r>
              <w:rPr>
                <w:spacing w:val="-5"/>
                <w:sz w:val="24"/>
              </w:rPr>
              <w:t>10</w:t>
            </w:r>
          </w:p>
        </w:tc>
        <w:tc>
          <w:tcPr>
            <w:tcW w:w="725" w:type="dxa"/>
          </w:tcPr>
          <w:p>
            <w:pPr>
              <w:pStyle w:val="TableParagraph"/>
              <w:ind w:left="2" w:right="19"/>
              <w:rPr>
                <w:sz w:val="24"/>
              </w:rPr>
            </w:pPr>
            <w:r>
              <w:rPr>
                <w:spacing w:val="-10"/>
                <w:sz w:val="24"/>
              </w:rPr>
              <w:t>4</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5"/>
                <w:sz w:val="24"/>
              </w:rPr>
              <w:t>11</w:t>
            </w:r>
          </w:p>
        </w:tc>
        <w:tc>
          <w:tcPr>
            <w:tcW w:w="1480" w:type="dxa"/>
          </w:tcPr>
          <w:p>
            <w:pPr>
              <w:pStyle w:val="TableParagraph"/>
              <w:ind w:left="107"/>
              <w:rPr>
                <w:sz w:val="24"/>
              </w:rPr>
            </w:pPr>
            <w:r>
              <w:rPr>
                <w:spacing w:val="-5"/>
                <w:sz w:val="24"/>
              </w:rPr>
              <w:t>69</w:t>
            </w:r>
          </w:p>
        </w:tc>
        <w:tc>
          <w:tcPr>
            <w:tcW w:w="909" w:type="dxa"/>
          </w:tcPr>
          <w:p>
            <w:pPr>
              <w:pStyle w:val="TableParagraph"/>
              <w:ind w:left="96" w:right="2"/>
              <w:rPr>
                <w:sz w:val="24"/>
              </w:rPr>
            </w:pPr>
            <w:r>
              <w:rPr>
                <w:spacing w:val="-5"/>
                <w:sz w:val="24"/>
              </w:rPr>
              <w:t>50</w:t>
            </w:r>
          </w:p>
        </w:tc>
        <w:tc>
          <w:tcPr>
            <w:tcW w:w="801" w:type="dxa"/>
          </w:tcPr>
          <w:p>
            <w:pPr>
              <w:pStyle w:val="TableParagraph"/>
              <w:ind w:left="24" w:right="3"/>
              <w:rPr>
                <w:sz w:val="24"/>
              </w:rPr>
            </w:pPr>
            <w:r>
              <w:rPr>
                <w:spacing w:val="-5"/>
                <w:sz w:val="24"/>
              </w:rPr>
              <w:t>36</w:t>
            </w:r>
          </w:p>
        </w:tc>
        <w:tc>
          <w:tcPr>
            <w:tcW w:w="707" w:type="dxa"/>
          </w:tcPr>
          <w:p>
            <w:pPr>
              <w:pStyle w:val="TableParagraph"/>
              <w:ind w:left="26" w:right="1"/>
              <w:rPr>
                <w:sz w:val="24"/>
              </w:rPr>
            </w:pPr>
            <w:r>
              <w:rPr>
                <w:spacing w:val="-5"/>
                <w:sz w:val="24"/>
              </w:rPr>
              <w:t>21</w:t>
            </w:r>
          </w:p>
        </w:tc>
        <w:tc>
          <w:tcPr>
            <w:tcW w:w="691" w:type="dxa"/>
          </w:tcPr>
          <w:p>
            <w:pPr>
              <w:pStyle w:val="TableParagraph"/>
              <w:ind w:left="10"/>
              <w:rPr>
                <w:sz w:val="24"/>
              </w:rPr>
            </w:pPr>
            <w:r>
              <w:rPr>
                <w:spacing w:val="-5"/>
                <w:sz w:val="24"/>
              </w:rPr>
              <w:t>18</w:t>
            </w:r>
          </w:p>
        </w:tc>
        <w:tc>
          <w:tcPr>
            <w:tcW w:w="692" w:type="dxa"/>
          </w:tcPr>
          <w:p>
            <w:pPr>
              <w:pStyle w:val="TableParagraph"/>
              <w:ind w:left="10"/>
              <w:rPr>
                <w:sz w:val="24"/>
              </w:rPr>
            </w:pPr>
            <w:r>
              <w:rPr>
                <w:spacing w:val="-10"/>
                <w:sz w:val="24"/>
              </w:rPr>
              <w:t>7</w:t>
            </w:r>
          </w:p>
        </w:tc>
        <w:tc>
          <w:tcPr>
            <w:tcW w:w="725" w:type="dxa"/>
          </w:tcPr>
          <w:p>
            <w:pPr>
              <w:pStyle w:val="TableParagraph"/>
              <w:ind w:left="2" w:right="19"/>
              <w:rPr>
                <w:sz w:val="24"/>
              </w:rPr>
            </w:pPr>
            <w:r>
              <w:rPr>
                <w:spacing w:val="-10"/>
                <w:sz w:val="24"/>
              </w:rPr>
              <w:t>3</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5"/>
                <w:sz w:val="24"/>
              </w:rPr>
              <w:t>12</w:t>
            </w:r>
          </w:p>
        </w:tc>
        <w:tc>
          <w:tcPr>
            <w:tcW w:w="1480" w:type="dxa"/>
          </w:tcPr>
          <w:p>
            <w:pPr>
              <w:pStyle w:val="TableParagraph"/>
              <w:ind w:left="107"/>
              <w:rPr>
                <w:sz w:val="24"/>
              </w:rPr>
            </w:pPr>
            <w:r>
              <w:rPr>
                <w:spacing w:val="-5"/>
                <w:sz w:val="24"/>
              </w:rPr>
              <w:t>67</w:t>
            </w:r>
          </w:p>
        </w:tc>
        <w:tc>
          <w:tcPr>
            <w:tcW w:w="909" w:type="dxa"/>
          </w:tcPr>
          <w:p>
            <w:pPr>
              <w:pStyle w:val="TableParagraph"/>
              <w:ind w:left="96" w:right="2"/>
              <w:rPr>
                <w:sz w:val="24"/>
              </w:rPr>
            </w:pPr>
            <w:r>
              <w:rPr>
                <w:spacing w:val="-5"/>
                <w:sz w:val="24"/>
              </w:rPr>
              <w:t>49</w:t>
            </w:r>
          </w:p>
        </w:tc>
        <w:tc>
          <w:tcPr>
            <w:tcW w:w="801" w:type="dxa"/>
          </w:tcPr>
          <w:p>
            <w:pPr>
              <w:pStyle w:val="TableParagraph"/>
              <w:ind w:left="24" w:right="3"/>
              <w:rPr>
                <w:sz w:val="24"/>
              </w:rPr>
            </w:pPr>
            <w:r>
              <w:rPr>
                <w:spacing w:val="-5"/>
                <w:sz w:val="24"/>
              </w:rPr>
              <w:t>30</w:t>
            </w:r>
          </w:p>
        </w:tc>
        <w:tc>
          <w:tcPr>
            <w:tcW w:w="707" w:type="dxa"/>
          </w:tcPr>
          <w:p>
            <w:pPr>
              <w:pStyle w:val="TableParagraph"/>
              <w:ind w:left="26" w:right="1"/>
              <w:rPr>
                <w:sz w:val="24"/>
              </w:rPr>
            </w:pPr>
            <w:r>
              <w:rPr>
                <w:spacing w:val="-5"/>
                <w:sz w:val="24"/>
              </w:rPr>
              <w:t>21</w:t>
            </w:r>
          </w:p>
        </w:tc>
        <w:tc>
          <w:tcPr>
            <w:tcW w:w="691" w:type="dxa"/>
          </w:tcPr>
          <w:p>
            <w:pPr>
              <w:pStyle w:val="TableParagraph"/>
              <w:ind w:left="10"/>
              <w:rPr>
                <w:sz w:val="24"/>
              </w:rPr>
            </w:pPr>
            <w:r>
              <w:rPr>
                <w:spacing w:val="-5"/>
                <w:sz w:val="24"/>
              </w:rPr>
              <w:t>16</w:t>
            </w:r>
          </w:p>
        </w:tc>
        <w:tc>
          <w:tcPr>
            <w:tcW w:w="692" w:type="dxa"/>
          </w:tcPr>
          <w:p>
            <w:pPr>
              <w:pStyle w:val="TableParagraph"/>
              <w:ind w:left="10"/>
              <w:rPr>
                <w:sz w:val="24"/>
              </w:rPr>
            </w:pPr>
            <w:r>
              <w:rPr>
                <w:spacing w:val="-10"/>
                <w:sz w:val="24"/>
              </w:rPr>
              <w:t>9</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5"/>
                <w:sz w:val="24"/>
              </w:rPr>
              <w:t>13</w:t>
            </w:r>
          </w:p>
        </w:tc>
        <w:tc>
          <w:tcPr>
            <w:tcW w:w="1480" w:type="dxa"/>
          </w:tcPr>
          <w:p>
            <w:pPr>
              <w:pStyle w:val="TableParagraph"/>
              <w:ind w:left="107"/>
              <w:rPr>
                <w:sz w:val="24"/>
              </w:rPr>
            </w:pPr>
            <w:r>
              <w:rPr>
                <w:spacing w:val="-5"/>
                <w:sz w:val="24"/>
              </w:rPr>
              <w:t>148</w:t>
            </w:r>
          </w:p>
        </w:tc>
        <w:tc>
          <w:tcPr>
            <w:tcW w:w="909" w:type="dxa"/>
          </w:tcPr>
          <w:p>
            <w:pPr>
              <w:pStyle w:val="TableParagraph"/>
              <w:ind w:left="96" w:right="2"/>
              <w:rPr>
                <w:sz w:val="24"/>
              </w:rPr>
            </w:pPr>
            <w:r>
              <w:rPr>
                <w:spacing w:val="-5"/>
                <w:sz w:val="24"/>
              </w:rPr>
              <w:t>60</w:t>
            </w:r>
          </w:p>
        </w:tc>
        <w:tc>
          <w:tcPr>
            <w:tcW w:w="801" w:type="dxa"/>
          </w:tcPr>
          <w:p>
            <w:pPr>
              <w:pStyle w:val="TableParagraph"/>
              <w:ind w:left="24" w:right="3"/>
              <w:rPr>
                <w:sz w:val="24"/>
              </w:rPr>
            </w:pPr>
            <w:r>
              <w:rPr>
                <w:spacing w:val="-5"/>
                <w:sz w:val="24"/>
              </w:rPr>
              <w:t>32</w:t>
            </w:r>
          </w:p>
        </w:tc>
        <w:tc>
          <w:tcPr>
            <w:tcW w:w="707" w:type="dxa"/>
          </w:tcPr>
          <w:p>
            <w:pPr>
              <w:pStyle w:val="TableParagraph"/>
              <w:ind w:left="26" w:right="1"/>
              <w:rPr>
                <w:sz w:val="24"/>
              </w:rPr>
            </w:pPr>
            <w:r>
              <w:rPr>
                <w:spacing w:val="-5"/>
                <w:sz w:val="24"/>
              </w:rPr>
              <w:t>12</w:t>
            </w:r>
          </w:p>
        </w:tc>
        <w:tc>
          <w:tcPr>
            <w:tcW w:w="691" w:type="dxa"/>
          </w:tcPr>
          <w:p>
            <w:pPr>
              <w:pStyle w:val="TableParagraph"/>
              <w:ind w:left="10"/>
              <w:rPr>
                <w:sz w:val="24"/>
              </w:rPr>
            </w:pPr>
            <w:r>
              <w:rPr>
                <w:spacing w:val="-10"/>
                <w:sz w:val="24"/>
              </w:rPr>
              <w:t>0</w:t>
            </w:r>
          </w:p>
        </w:tc>
        <w:tc>
          <w:tcPr>
            <w:tcW w:w="692" w:type="dxa"/>
          </w:tcPr>
          <w:p>
            <w:pPr>
              <w:pStyle w:val="TableParagraph"/>
              <w:ind w:left="10"/>
              <w:rPr>
                <w:sz w:val="24"/>
              </w:rPr>
            </w:pPr>
            <w:r>
              <w:rPr>
                <w:spacing w:val="-10"/>
                <w:sz w:val="24"/>
              </w:rPr>
              <w:t>0</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5"/>
                <w:sz w:val="24"/>
              </w:rPr>
              <w:t>14</w:t>
            </w:r>
          </w:p>
        </w:tc>
        <w:tc>
          <w:tcPr>
            <w:tcW w:w="1480" w:type="dxa"/>
          </w:tcPr>
          <w:p>
            <w:pPr>
              <w:pStyle w:val="TableParagraph"/>
              <w:ind w:left="107"/>
              <w:rPr>
                <w:sz w:val="24"/>
              </w:rPr>
            </w:pPr>
            <w:r>
              <w:rPr>
                <w:spacing w:val="-5"/>
                <w:sz w:val="24"/>
              </w:rPr>
              <w:t>86</w:t>
            </w:r>
          </w:p>
        </w:tc>
        <w:tc>
          <w:tcPr>
            <w:tcW w:w="909" w:type="dxa"/>
          </w:tcPr>
          <w:p>
            <w:pPr>
              <w:pStyle w:val="TableParagraph"/>
              <w:ind w:left="96" w:right="2"/>
              <w:rPr>
                <w:sz w:val="24"/>
              </w:rPr>
            </w:pPr>
            <w:r>
              <w:rPr>
                <w:spacing w:val="-5"/>
                <w:sz w:val="24"/>
              </w:rPr>
              <w:t>52</w:t>
            </w:r>
          </w:p>
        </w:tc>
        <w:tc>
          <w:tcPr>
            <w:tcW w:w="801" w:type="dxa"/>
          </w:tcPr>
          <w:p>
            <w:pPr>
              <w:pStyle w:val="TableParagraph"/>
              <w:ind w:left="24" w:right="3"/>
              <w:rPr>
                <w:sz w:val="24"/>
              </w:rPr>
            </w:pPr>
            <w:r>
              <w:rPr>
                <w:spacing w:val="-5"/>
                <w:sz w:val="24"/>
              </w:rPr>
              <w:t>34</w:t>
            </w:r>
          </w:p>
        </w:tc>
        <w:tc>
          <w:tcPr>
            <w:tcW w:w="707" w:type="dxa"/>
          </w:tcPr>
          <w:p>
            <w:pPr>
              <w:pStyle w:val="TableParagraph"/>
              <w:ind w:left="26" w:right="1"/>
              <w:rPr>
                <w:sz w:val="24"/>
              </w:rPr>
            </w:pPr>
            <w:r>
              <w:rPr>
                <w:spacing w:val="-5"/>
                <w:sz w:val="24"/>
              </w:rPr>
              <w:t>12</w:t>
            </w:r>
          </w:p>
        </w:tc>
        <w:tc>
          <w:tcPr>
            <w:tcW w:w="691" w:type="dxa"/>
          </w:tcPr>
          <w:p>
            <w:pPr>
              <w:pStyle w:val="TableParagraph"/>
              <w:ind w:left="10"/>
              <w:rPr>
                <w:sz w:val="24"/>
              </w:rPr>
            </w:pPr>
            <w:r>
              <w:rPr>
                <w:spacing w:val="-10"/>
                <w:sz w:val="24"/>
              </w:rPr>
              <w:t>2</w:t>
            </w:r>
          </w:p>
        </w:tc>
        <w:tc>
          <w:tcPr>
            <w:tcW w:w="692" w:type="dxa"/>
          </w:tcPr>
          <w:p>
            <w:pPr>
              <w:pStyle w:val="TableParagraph"/>
              <w:ind w:left="10"/>
              <w:rPr>
                <w:sz w:val="24"/>
              </w:rPr>
            </w:pPr>
            <w:r>
              <w:rPr>
                <w:spacing w:val="-10"/>
                <w:sz w:val="24"/>
              </w:rPr>
              <w:t>0</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5"/>
                <w:sz w:val="24"/>
              </w:rPr>
              <w:t>15</w:t>
            </w:r>
          </w:p>
        </w:tc>
        <w:tc>
          <w:tcPr>
            <w:tcW w:w="1480" w:type="dxa"/>
          </w:tcPr>
          <w:p>
            <w:pPr>
              <w:pStyle w:val="TableParagraph"/>
              <w:ind w:left="107"/>
              <w:rPr>
                <w:sz w:val="24"/>
              </w:rPr>
            </w:pPr>
            <w:r>
              <w:rPr>
                <w:spacing w:val="-5"/>
                <w:sz w:val="24"/>
              </w:rPr>
              <w:t>176</w:t>
            </w:r>
          </w:p>
        </w:tc>
        <w:tc>
          <w:tcPr>
            <w:tcW w:w="909" w:type="dxa"/>
          </w:tcPr>
          <w:p>
            <w:pPr>
              <w:pStyle w:val="TableParagraph"/>
              <w:ind w:left="96" w:right="2"/>
              <w:rPr>
                <w:sz w:val="24"/>
              </w:rPr>
            </w:pPr>
            <w:r>
              <w:rPr>
                <w:spacing w:val="-5"/>
                <w:sz w:val="24"/>
              </w:rPr>
              <w:t>60</w:t>
            </w:r>
          </w:p>
        </w:tc>
        <w:tc>
          <w:tcPr>
            <w:tcW w:w="801" w:type="dxa"/>
          </w:tcPr>
          <w:p>
            <w:pPr>
              <w:pStyle w:val="TableParagraph"/>
              <w:ind w:left="24" w:right="3"/>
              <w:rPr>
                <w:sz w:val="24"/>
              </w:rPr>
            </w:pPr>
            <w:r>
              <w:rPr>
                <w:spacing w:val="-5"/>
                <w:sz w:val="24"/>
              </w:rPr>
              <w:t>32</w:t>
            </w:r>
          </w:p>
        </w:tc>
        <w:tc>
          <w:tcPr>
            <w:tcW w:w="707" w:type="dxa"/>
          </w:tcPr>
          <w:p>
            <w:pPr>
              <w:pStyle w:val="TableParagraph"/>
              <w:ind w:left="26" w:right="1"/>
              <w:rPr>
                <w:sz w:val="24"/>
              </w:rPr>
            </w:pPr>
            <w:r>
              <w:rPr>
                <w:spacing w:val="-5"/>
                <w:sz w:val="24"/>
              </w:rPr>
              <w:t>18</w:t>
            </w:r>
          </w:p>
        </w:tc>
        <w:tc>
          <w:tcPr>
            <w:tcW w:w="691" w:type="dxa"/>
          </w:tcPr>
          <w:p>
            <w:pPr>
              <w:pStyle w:val="TableParagraph"/>
              <w:ind w:left="10"/>
              <w:rPr>
                <w:sz w:val="24"/>
              </w:rPr>
            </w:pPr>
            <w:r>
              <w:rPr>
                <w:spacing w:val="-10"/>
                <w:sz w:val="24"/>
              </w:rPr>
              <w:t>6</w:t>
            </w:r>
          </w:p>
        </w:tc>
        <w:tc>
          <w:tcPr>
            <w:tcW w:w="692" w:type="dxa"/>
          </w:tcPr>
          <w:p>
            <w:pPr>
              <w:pStyle w:val="TableParagraph"/>
              <w:ind w:left="10"/>
              <w:rPr>
                <w:sz w:val="24"/>
              </w:rPr>
            </w:pPr>
            <w:r>
              <w:rPr>
                <w:spacing w:val="-10"/>
                <w:sz w:val="24"/>
              </w:rPr>
              <w:t>0</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5"/>
                <w:sz w:val="24"/>
              </w:rPr>
              <w:t>16</w:t>
            </w:r>
          </w:p>
        </w:tc>
        <w:tc>
          <w:tcPr>
            <w:tcW w:w="1480" w:type="dxa"/>
          </w:tcPr>
          <w:p>
            <w:pPr>
              <w:pStyle w:val="TableParagraph"/>
              <w:ind w:left="107"/>
              <w:rPr>
                <w:sz w:val="24"/>
              </w:rPr>
            </w:pPr>
            <w:r>
              <w:rPr>
                <w:spacing w:val="-5"/>
                <w:sz w:val="24"/>
              </w:rPr>
              <w:t>74</w:t>
            </w:r>
          </w:p>
        </w:tc>
        <w:tc>
          <w:tcPr>
            <w:tcW w:w="909" w:type="dxa"/>
          </w:tcPr>
          <w:p>
            <w:pPr>
              <w:pStyle w:val="TableParagraph"/>
              <w:ind w:left="96" w:right="2"/>
              <w:rPr>
                <w:sz w:val="24"/>
              </w:rPr>
            </w:pPr>
            <w:r>
              <w:rPr>
                <w:spacing w:val="-5"/>
                <w:sz w:val="24"/>
              </w:rPr>
              <w:t>50</w:t>
            </w:r>
          </w:p>
        </w:tc>
        <w:tc>
          <w:tcPr>
            <w:tcW w:w="801" w:type="dxa"/>
          </w:tcPr>
          <w:p>
            <w:pPr>
              <w:pStyle w:val="TableParagraph"/>
              <w:ind w:left="24" w:right="3"/>
              <w:rPr>
                <w:sz w:val="24"/>
              </w:rPr>
            </w:pPr>
            <w:r>
              <w:rPr>
                <w:spacing w:val="-5"/>
                <w:sz w:val="24"/>
              </w:rPr>
              <w:t>24</w:t>
            </w:r>
          </w:p>
        </w:tc>
        <w:tc>
          <w:tcPr>
            <w:tcW w:w="707" w:type="dxa"/>
          </w:tcPr>
          <w:p>
            <w:pPr>
              <w:pStyle w:val="TableParagraph"/>
              <w:ind w:left="26" w:right="1"/>
              <w:rPr>
                <w:sz w:val="24"/>
              </w:rPr>
            </w:pPr>
            <w:r>
              <w:rPr>
                <w:spacing w:val="-5"/>
                <w:sz w:val="24"/>
              </w:rPr>
              <w:t>10</w:t>
            </w:r>
          </w:p>
        </w:tc>
        <w:tc>
          <w:tcPr>
            <w:tcW w:w="691" w:type="dxa"/>
          </w:tcPr>
          <w:p>
            <w:pPr>
              <w:pStyle w:val="TableParagraph"/>
              <w:ind w:left="10"/>
              <w:rPr>
                <w:sz w:val="24"/>
              </w:rPr>
            </w:pPr>
            <w:r>
              <w:rPr>
                <w:spacing w:val="-10"/>
                <w:sz w:val="24"/>
              </w:rPr>
              <w:t>2</w:t>
            </w:r>
          </w:p>
        </w:tc>
        <w:tc>
          <w:tcPr>
            <w:tcW w:w="692" w:type="dxa"/>
          </w:tcPr>
          <w:p>
            <w:pPr>
              <w:pStyle w:val="TableParagraph"/>
              <w:ind w:left="10"/>
              <w:rPr>
                <w:sz w:val="24"/>
              </w:rPr>
            </w:pPr>
            <w:r>
              <w:rPr>
                <w:spacing w:val="-10"/>
                <w:sz w:val="24"/>
              </w:rPr>
              <w:t>0</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7" w:hRule="atLeast"/>
        </w:trPr>
        <w:tc>
          <w:tcPr>
            <w:tcW w:w="2135" w:type="dxa"/>
          </w:tcPr>
          <w:p>
            <w:pPr>
              <w:pStyle w:val="TableParagraph"/>
              <w:ind w:left="29"/>
              <w:rPr>
                <w:sz w:val="24"/>
              </w:rPr>
            </w:pPr>
            <w:r>
              <w:rPr>
                <w:spacing w:val="-5"/>
                <w:sz w:val="24"/>
              </w:rPr>
              <w:t>17</w:t>
            </w:r>
          </w:p>
        </w:tc>
        <w:tc>
          <w:tcPr>
            <w:tcW w:w="1480" w:type="dxa"/>
          </w:tcPr>
          <w:p>
            <w:pPr>
              <w:pStyle w:val="TableParagraph"/>
              <w:ind w:left="107"/>
              <w:rPr>
                <w:sz w:val="24"/>
              </w:rPr>
            </w:pPr>
            <w:r>
              <w:rPr>
                <w:spacing w:val="-5"/>
                <w:sz w:val="24"/>
              </w:rPr>
              <w:t>97</w:t>
            </w:r>
          </w:p>
        </w:tc>
        <w:tc>
          <w:tcPr>
            <w:tcW w:w="909" w:type="dxa"/>
          </w:tcPr>
          <w:p>
            <w:pPr>
              <w:pStyle w:val="TableParagraph"/>
              <w:ind w:left="96" w:right="2"/>
              <w:rPr>
                <w:sz w:val="24"/>
              </w:rPr>
            </w:pPr>
            <w:r>
              <w:rPr>
                <w:spacing w:val="-5"/>
                <w:sz w:val="24"/>
              </w:rPr>
              <w:t>54</w:t>
            </w:r>
          </w:p>
        </w:tc>
        <w:tc>
          <w:tcPr>
            <w:tcW w:w="801" w:type="dxa"/>
          </w:tcPr>
          <w:p>
            <w:pPr>
              <w:pStyle w:val="TableParagraph"/>
              <w:ind w:left="24" w:right="3"/>
              <w:rPr>
                <w:sz w:val="24"/>
              </w:rPr>
            </w:pPr>
            <w:r>
              <w:rPr>
                <w:spacing w:val="-5"/>
                <w:sz w:val="24"/>
              </w:rPr>
              <w:t>32</w:t>
            </w:r>
          </w:p>
        </w:tc>
        <w:tc>
          <w:tcPr>
            <w:tcW w:w="707" w:type="dxa"/>
          </w:tcPr>
          <w:p>
            <w:pPr>
              <w:pStyle w:val="TableParagraph"/>
              <w:ind w:left="26" w:right="1"/>
              <w:rPr>
                <w:sz w:val="24"/>
              </w:rPr>
            </w:pPr>
            <w:r>
              <w:rPr>
                <w:spacing w:val="-5"/>
                <w:sz w:val="24"/>
              </w:rPr>
              <w:t>24</w:t>
            </w:r>
          </w:p>
        </w:tc>
        <w:tc>
          <w:tcPr>
            <w:tcW w:w="691" w:type="dxa"/>
          </w:tcPr>
          <w:p>
            <w:pPr>
              <w:pStyle w:val="TableParagraph"/>
              <w:ind w:left="10"/>
              <w:rPr>
                <w:sz w:val="24"/>
              </w:rPr>
            </w:pPr>
            <w:r>
              <w:rPr>
                <w:spacing w:val="-5"/>
                <w:sz w:val="24"/>
              </w:rPr>
              <w:t>12</w:t>
            </w:r>
          </w:p>
        </w:tc>
        <w:tc>
          <w:tcPr>
            <w:tcW w:w="692" w:type="dxa"/>
          </w:tcPr>
          <w:p>
            <w:pPr>
              <w:pStyle w:val="TableParagraph"/>
              <w:ind w:left="10"/>
              <w:rPr>
                <w:sz w:val="24"/>
              </w:rPr>
            </w:pPr>
            <w:r>
              <w:rPr>
                <w:spacing w:val="-10"/>
                <w:sz w:val="24"/>
              </w:rPr>
              <w:t>0</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5"/>
                <w:sz w:val="24"/>
              </w:rPr>
              <w:t>18</w:t>
            </w:r>
          </w:p>
        </w:tc>
        <w:tc>
          <w:tcPr>
            <w:tcW w:w="1480" w:type="dxa"/>
          </w:tcPr>
          <w:p>
            <w:pPr>
              <w:pStyle w:val="TableParagraph"/>
              <w:ind w:left="107"/>
              <w:rPr>
                <w:sz w:val="24"/>
              </w:rPr>
            </w:pPr>
            <w:r>
              <w:rPr>
                <w:spacing w:val="-5"/>
                <w:sz w:val="24"/>
              </w:rPr>
              <w:t>74</w:t>
            </w:r>
          </w:p>
        </w:tc>
        <w:tc>
          <w:tcPr>
            <w:tcW w:w="909" w:type="dxa"/>
          </w:tcPr>
          <w:p>
            <w:pPr>
              <w:pStyle w:val="TableParagraph"/>
              <w:ind w:left="96" w:right="2"/>
              <w:rPr>
                <w:sz w:val="24"/>
              </w:rPr>
            </w:pPr>
            <w:r>
              <w:rPr>
                <w:spacing w:val="-5"/>
                <w:sz w:val="24"/>
              </w:rPr>
              <w:t>42</w:t>
            </w:r>
          </w:p>
        </w:tc>
        <w:tc>
          <w:tcPr>
            <w:tcW w:w="801" w:type="dxa"/>
          </w:tcPr>
          <w:p>
            <w:pPr>
              <w:pStyle w:val="TableParagraph"/>
              <w:ind w:left="24" w:right="3"/>
              <w:rPr>
                <w:sz w:val="24"/>
              </w:rPr>
            </w:pPr>
            <w:r>
              <w:rPr>
                <w:spacing w:val="-5"/>
                <w:sz w:val="24"/>
              </w:rPr>
              <w:t>20</w:t>
            </w:r>
          </w:p>
        </w:tc>
        <w:tc>
          <w:tcPr>
            <w:tcW w:w="707" w:type="dxa"/>
          </w:tcPr>
          <w:p>
            <w:pPr>
              <w:pStyle w:val="TableParagraph"/>
              <w:ind w:left="26" w:right="1"/>
              <w:rPr>
                <w:sz w:val="24"/>
              </w:rPr>
            </w:pPr>
            <w:r>
              <w:rPr>
                <w:spacing w:val="-5"/>
                <w:sz w:val="24"/>
              </w:rPr>
              <w:t>10</w:t>
            </w:r>
          </w:p>
        </w:tc>
        <w:tc>
          <w:tcPr>
            <w:tcW w:w="691" w:type="dxa"/>
          </w:tcPr>
          <w:p>
            <w:pPr>
              <w:pStyle w:val="TableParagraph"/>
              <w:ind w:left="10"/>
              <w:rPr>
                <w:sz w:val="24"/>
              </w:rPr>
            </w:pPr>
            <w:r>
              <w:rPr>
                <w:spacing w:val="-10"/>
                <w:sz w:val="24"/>
              </w:rPr>
              <w:t>2</w:t>
            </w:r>
          </w:p>
        </w:tc>
        <w:tc>
          <w:tcPr>
            <w:tcW w:w="692" w:type="dxa"/>
          </w:tcPr>
          <w:p>
            <w:pPr>
              <w:pStyle w:val="TableParagraph"/>
              <w:ind w:left="10"/>
              <w:rPr>
                <w:sz w:val="24"/>
              </w:rPr>
            </w:pPr>
            <w:r>
              <w:rPr>
                <w:spacing w:val="-10"/>
                <w:sz w:val="24"/>
              </w:rPr>
              <w:t>0</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8" w:hRule="atLeast"/>
        </w:trPr>
        <w:tc>
          <w:tcPr>
            <w:tcW w:w="2135" w:type="dxa"/>
          </w:tcPr>
          <w:p>
            <w:pPr>
              <w:pStyle w:val="TableParagraph"/>
              <w:ind w:left="29"/>
              <w:rPr>
                <w:sz w:val="24"/>
              </w:rPr>
            </w:pPr>
            <w:r>
              <w:rPr>
                <w:spacing w:val="-5"/>
                <w:sz w:val="24"/>
              </w:rPr>
              <w:t>19</w:t>
            </w:r>
          </w:p>
        </w:tc>
        <w:tc>
          <w:tcPr>
            <w:tcW w:w="1480" w:type="dxa"/>
          </w:tcPr>
          <w:p>
            <w:pPr>
              <w:pStyle w:val="TableParagraph"/>
              <w:ind w:left="107"/>
              <w:rPr>
                <w:sz w:val="24"/>
              </w:rPr>
            </w:pPr>
            <w:r>
              <w:rPr>
                <w:spacing w:val="-5"/>
                <w:sz w:val="24"/>
              </w:rPr>
              <w:t>160</w:t>
            </w:r>
          </w:p>
        </w:tc>
        <w:tc>
          <w:tcPr>
            <w:tcW w:w="909" w:type="dxa"/>
          </w:tcPr>
          <w:p>
            <w:pPr>
              <w:pStyle w:val="TableParagraph"/>
              <w:ind w:left="96" w:right="2"/>
              <w:rPr>
                <w:sz w:val="24"/>
              </w:rPr>
            </w:pPr>
            <w:r>
              <w:rPr>
                <w:spacing w:val="-5"/>
                <w:sz w:val="24"/>
              </w:rPr>
              <w:t>132</w:t>
            </w:r>
          </w:p>
        </w:tc>
        <w:tc>
          <w:tcPr>
            <w:tcW w:w="801" w:type="dxa"/>
          </w:tcPr>
          <w:p>
            <w:pPr>
              <w:pStyle w:val="TableParagraph"/>
              <w:ind w:left="24" w:right="3"/>
              <w:rPr>
                <w:sz w:val="24"/>
              </w:rPr>
            </w:pPr>
            <w:r>
              <w:rPr>
                <w:spacing w:val="-5"/>
                <w:sz w:val="24"/>
              </w:rPr>
              <w:t>102</w:t>
            </w:r>
          </w:p>
        </w:tc>
        <w:tc>
          <w:tcPr>
            <w:tcW w:w="707" w:type="dxa"/>
          </w:tcPr>
          <w:p>
            <w:pPr>
              <w:pStyle w:val="TableParagraph"/>
              <w:ind w:left="26" w:right="1"/>
              <w:rPr>
                <w:sz w:val="24"/>
              </w:rPr>
            </w:pPr>
            <w:r>
              <w:rPr>
                <w:spacing w:val="-5"/>
                <w:sz w:val="24"/>
              </w:rPr>
              <w:t>48</w:t>
            </w:r>
          </w:p>
        </w:tc>
        <w:tc>
          <w:tcPr>
            <w:tcW w:w="691" w:type="dxa"/>
          </w:tcPr>
          <w:p>
            <w:pPr>
              <w:pStyle w:val="TableParagraph"/>
              <w:ind w:left="10"/>
              <w:rPr>
                <w:sz w:val="24"/>
              </w:rPr>
            </w:pPr>
            <w:r>
              <w:rPr>
                <w:spacing w:val="-5"/>
                <w:sz w:val="24"/>
              </w:rPr>
              <w:t>14</w:t>
            </w:r>
          </w:p>
        </w:tc>
        <w:tc>
          <w:tcPr>
            <w:tcW w:w="692" w:type="dxa"/>
          </w:tcPr>
          <w:p>
            <w:pPr>
              <w:pStyle w:val="TableParagraph"/>
              <w:ind w:left="10"/>
              <w:rPr>
                <w:sz w:val="24"/>
              </w:rPr>
            </w:pPr>
            <w:r>
              <w:rPr>
                <w:spacing w:val="-10"/>
                <w:sz w:val="24"/>
              </w:rPr>
              <w:t>2</w:t>
            </w:r>
          </w:p>
        </w:tc>
        <w:tc>
          <w:tcPr>
            <w:tcW w:w="725" w:type="dxa"/>
          </w:tcPr>
          <w:p>
            <w:pPr>
              <w:pStyle w:val="TableParagraph"/>
              <w:ind w:left="2" w:right="19"/>
              <w:rPr>
                <w:sz w:val="24"/>
              </w:rPr>
            </w:pPr>
            <w:r>
              <w:rPr>
                <w:spacing w:val="-10"/>
                <w:sz w:val="24"/>
              </w:rPr>
              <w:t>0</w:t>
            </w:r>
          </w:p>
        </w:tc>
        <w:tc>
          <w:tcPr>
            <w:tcW w:w="910" w:type="dxa"/>
          </w:tcPr>
          <w:p>
            <w:pPr>
              <w:pStyle w:val="TableParagraph"/>
              <w:ind w:right="20"/>
              <w:rPr>
                <w:sz w:val="24"/>
              </w:rPr>
            </w:pPr>
            <w:r>
              <w:rPr>
                <w:spacing w:val="-10"/>
                <w:sz w:val="24"/>
              </w:rPr>
              <w:t>0</w:t>
            </w:r>
          </w:p>
        </w:tc>
        <w:tc>
          <w:tcPr>
            <w:tcW w:w="757" w:type="dxa"/>
          </w:tcPr>
          <w:p>
            <w:pPr>
              <w:pStyle w:val="TableParagraph"/>
              <w:spacing w:line="240" w:lineRule="auto" w:before="0"/>
              <w:jc w:val="left"/>
              <w:rPr>
                <w:sz w:val="20"/>
              </w:rPr>
            </w:pPr>
          </w:p>
        </w:tc>
      </w:tr>
      <w:tr>
        <w:trPr>
          <w:trHeight w:val="284" w:hRule="atLeast"/>
        </w:trPr>
        <w:tc>
          <w:tcPr>
            <w:tcW w:w="2135" w:type="dxa"/>
            <w:tcBorders>
              <w:bottom w:val="single" w:sz="4" w:space="0" w:color="000000"/>
            </w:tcBorders>
          </w:tcPr>
          <w:p>
            <w:pPr>
              <w:pStyle w:val="TableParagraph"/>
              <w:spacing w:line="264" w:lineRule="exact"/>
              <w:ind w:left="29"/>
              <w:rPr>
                <w:sz w:val="24"/>
              </w:rPr>
            </w:pPr>
            <w:r>
              <w:rPr>
                <w:spacing w:val="-5"/>
                <w:sz w:val="24"/>
              </w:rPr>
              <w:t>20</w:t>
            </w:r>
          </w:p>
        </w:tc>
        <w:tc>
          <w:tcPr>
            <w:tcW w:w="1480" w:type="dxa"/>
            <w:tcBorders>
              <w:bottom w:val="single" w:sz="4" w:space="0" w:color="000000"/>
            </w:tcBorders>
          </w:tcPr>
          <w:p>
            <w:pPr>
              <w:pStyle w:val="TableParagraph"/>
              <w:spacing w:line="264" w:lineRule="exact"/>
              <w:ind w:left="107"/>
              <w:rPr>
                <w:sz w:val="24"/>
              </w:rPr>
            </w:pPr>
            <w:r>
              <w:rPr>
                <w:spacing w:val="-5"/>
                <w:sz w:val="24"/>
              </w:rPr>
              <w:t>200</w:t>
            </w:r>
          </w:p>
        </w:tc>
        <w:tc>
          <w:tcPr>
            <w:tcW w:w="909" w:type="dxa"/>
            <w:tcBorders>
              <w:bottom w:val="single" w:sz="4" w:space="0" w:color="000000"/>
            </w:tcBorders>
          </w:tcPr>
          <w:p>
            <w:pPr>
              <w:pStyle w:val="TableParagraph"/>
              <w:spacing w:line="264" w:lineRule="exact"/>
              <w:ind w:left="96" w:right="2"/>
              <w:rPr>
                <w:sz w:val="24"/>
              </w:rPr>
            </w:pPr>
            <w:r>
              <w:rPr>
                <w:spacing w:val="-5"/>
                <w:sz w:val="24"/>
              </w:rPr>
              <w:t>110</w:t>
            </w:r>
          </w:p>
        </w:tc>
        <w:tc>
          <w:tcPr>
            <w:tcW w:w="801" w:type="dxa"/>
            <w:tcBorders>
              <w:bottom w:val="single" w:sz="4" w:space="0" w:color="000000"/>
            </w:tcBorders>
          </w:tcPr>
          <w:p>
            <w:pPr>
              <w:pStyle w:val="TableParagraph"/>
              <w:spacing w:line="264" w:lineRule="exact"/>
              <w:ind w:left="24" w:right="3"/>
              <w:rPr>
                <w:sz w:val="24"/>
              </w:rPr>
            </w:pPr>
            <w:r>
              <w:rPr>
                <w:spacing w:val="-5"/>
                <w:sz w:val="24"/>
              </w:rPr>
              <w:t>26</w:t>
            </w:r>
          </w:p>
        </w:tc>
        <w:tc>
          <w:tcPr>
            <w:tcW w:w="707" w:type="dxa"/>
            <w:tcBorders>
              <w:bottom w:val="single" w:sz="4" w:space="0" w:color="000000"/>
            </w:tcBorders>
          </w:tcPr>
          <w:p>
            <w:pPr>
              <w:pStyle w:val="TableParagraph"/>
              <w:spacing w:line="264" w:lineRule="exact"/>
              <w:ind w:left="26" w:right="1"/>
              <w:rPr>
                <w:sz w:val="24"/>
              </w:rPr>
            </w:pPr>
            <w:r>
              <w:rPr>
                <w:spacing w:val="-5"/>
                <w:sz w:val="24"/>
              </w:rPr>
              <w:t>26</w:t>
            </w:r>
          </w:p>
        </w:tc>
        <w:tc>
          <w:tcPr>
            <w:tcW w:w="691" w:type="dxa"/>
            <w:tcBorders>
              <w:bottom w:val="single" w:sz="4" w:space="0" w:color="000000"/>
            </w:tcBorders>
          </w:tcPr>
          <w:p>
            <w:pPr>
              <w:pStyle w:val="TableParagraph"/>
              <w:spacing w:line="264" w:lineRule="exact"/>
              <w:ind w:left="10"/>
              <w:rPr>
                <w:sz w:val="24"/>
              </w:rPr>
            </w:pPr>
            <w:r>
              <w:rPr>
                <w:spacing w:val="-5"/>
                <w:sz w:val="24"/>
              </w:rPr>
              <w:t>12</w:t>
            </w:r>
          </w:p>
        </w:tc>
        <w:tc>
          <w:tcPr>
            <w:tcW w:w="692" w:type="dxa"/>
            <w:tcBorders>
              <w:bottom w:val="single" w:sz="4" w:space="0" w:color="000000"/>
            </w:tcBorders>
          </w:tcPr>
          <w:p>
            <w:pPr>
              <w:pStyle w:val="TableParagraph"/>
              <w:spacing w:line="264" w:lineRule="exact"/>
              <w:ind w:left="10"/>
              <w:rPr>
                <w:sz w:val="24"/>
              </w:rPr>
            </w:pPr>
            <w:r>
              <w:rPr>
                <w:spacing w:val="-10"/>
                <w:sz w:val="24"/>
              </w:rPr>
              <w:t>0</w:t>
            </w:r>
          </w:p>
        </w:tc>
        <w:tc>
          <w:tcPr>
            <w:tcW w:w="725" w:type="dxa"/>
            <w:tcBorders>
              <w:bottom w:val="single" w:sz="4" w:space="0" w:color="000000"/>
            </w:tcBorders>
          </w:tcPr>
          <w:p>
            <w:pPr>
              <w:pStyle w:val="TableParagraph"/>
              <w:spacing w:line="264" w:lineRule="exact"/>
              <w:ind w:left="2" w:right="19"/>
              <w:rPr>
                <w:sz w:val="24"/>
              </w:rPr>
            </w:pPr>
            <w:r>
              <w:rPr>
                <w:spacing w:val="-10"/>
                <w:sz w:val="24"/>
              </w:rPr>
              <w:t>0</w:t>
            </w:r>
          </w:p>
        </w:tc>
        <w:tc>
          <w:tcPr>
            <w:tcW w:w="910" w:type="dxa"/>
            <w:tcBorders>
              <w:bottom w:val="single" w:sz="4" w:space="0" w:color="000000"/>
            </w:tcBorders>
          </w:tcPr>
          <w:p>
            <w:pPr>
              <w:pStyle w:val="TableParagraph"/>
              <w:spacing w:line="264" w:lineRule="exact"/>
              <w:ind w:right="20"/>
              <w:rPr>
                <w:sz w:val="24"/>
              </w:rPr>
            </w:pPr>
            <w:r>
              <w:rPr>
                <w:spacing w:val="-10"/>
                <w:sz w:val="24"/>
              </w:rPr>
              <w:t>0</w:t>
            </w:r>
          </w:p>
        </w:tc>
        <w:tc>
          <w:tcPr>
            <w:tcW w:w="757" w:type="dxa"/>
          </w:tcPr>
          <w:p>
            <w:pPr>
              <w:pStyle w:val="TableParagraph"/>
              <w:spacing w:line="240" w:lineRule="auto" w:before="0"/>
              <w:jc w:val="left"/>
              <w:rPr>
                <w:sz w:val="20"/>
              </w:rPr>
            </w:pPr>
          </w:p>
        </w:tc>
      </w:tr>
    </w:tbl>
    <w:p>
      <w:pPr>
        <w:spacing w:after="0" w:line="240" w:lineRule="auto"/>
        <w:jc w:val="left"/>
        <w:rPr>
          <w:sz w:val="20"/>
        </w:rPr>
        <w:sectPr>
          <w:pgSz w:w="11910" w:h="16840"/>
          <w:pgMar w:header="0" w:footer="1254" w:top="1340" w:bottom="1440" w:left="1180" w:right="580"/>
        </w:sectPr>
      </w:pPr>
    </w:p>
    <w:p>
      <w:pPr>
        <w:pStyle w:val="BodyText"/>
        <w:spacing w:before="5"/>
        <w:rPr>
          <w:b/>
          <w:sz w:val="9"/>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3"/>
        <w:gridCol w:w="1308"/>
        <w:gridCol w:w="885"/>
        <w:gridCol w:w="829"/>
        <w:gridCol w:w="829"/>
        <w:gridCol w:w="829"/>
        <w:gridCol w:w="829"/>
        <w:gridCol w:w="829"/>
        <w:gridCol w:w="829"/>
        <w:gridCol w:w="759"/>
      </w:tblGrid>
      <w:tr>
        <w:trPr>
          <w:trHeight w:val="232" w:hRule="atLeast"/>
        </w:trPr>
        <w:tc>
          <w:tcPr>
            <w:tcW w:w="9819" w:type="dxa"/>
            <w:gridSpan w:val="10"/>
          </w:tcPr>
          <w:p>
            <w:pPr>
              <w:pStyle w:val="TableParagraph"/>
              <w:spacing w:line="213" w:lineRule="exact" w:before="0"/>
              <w:ind w:right="743"/>
              <w:rPr>
                <w:rFonts w:ascii="Calibri"/>
                <w:b/>
                <w:sz w:val="22"/>
              </w:rPr>
            </w:pPr>
            <w:r>
              <w:rPr>
                <w:rFonts w:ascii="Calibri"/>
                <w:b/>
                <w:sz w:val="22"/>
              </w:rPr>
              <w:t>Table</w:t>
            </w:r>
            <w:r>
              <w:rPr>
                <w:rFonts w:ascii="Calibri"/>
                <w:b/>
                <w:spacing w:val="-5"/>
                <w:sz w:val="22"/>
              </w:rPr>
              <w:t> </w:t>
            </w:r>
            <w:r>
              <w:rPr>
                <w:rFonts w:ascii="Calibri"/>
                <w:b/>
                <w:sz w:val="22"/>
              </w:rPr>
              <w:t>IV.2:</w:t>
            </w:r>
            <w:r>
              <w:rPr>
                <w:rFonts w:ascii="Calibri"/>
                <w:b/>
                <w:spacing w:val="-4"/>
                <w:sz w:val="22"/>
              </w:rPr>
              <w:t> </w:t>
            </w:r>
            <w:r>
              <w:rPr>
                <w:rFonts w:ascii="Calibri"/>
                <w:b/>
                <w:spacing w:val="-2"/>
                <w:sz w:val="22"/>
              </w:rPr>
              <w:t>Amodiaquine</w:t>
            </w:r>
          </w:p>
        </w:tc>
      </w:tr>
      <w:tr>
        <w:trPr>
          <w:trHeight w:val="295" w:hRule="atLeast"/>
        </w:trPr>
        <w:tc>
          <w:tcPr>
            <w:tcW w:w="9819" w:type="dxa"/>
            <w:gridSpan w:val="10"/>
          </w:tcPr>
          <w:p>
            <w:pPr>
              <w:pStyle w:val="TableParagraph"/>
              <w:spacing w:line="20" w:lineRule="exact" w:before="0"/>
              <w:ind w:left="14"/>
              <w:jc w:val="left"/>
              <w:rPr>
                <w:sz w:val="2"/>
              </w:rPr>
            </w:pPr>
            <w:r>
              <w:rPr>
                <w:sz w:val="2"/>
              </w:rPr>
              <mc:AlternateContent>
                <mc:Choice Requires="wps">
                  <w:drawing>
                    <wp:inline distT="0" distB="0" distL="0" distR="0">
                      <wp:extent cx="5740400" cy="6350"/>
                      <wp:effectExtent l="0" t="0" r="0" b="0"/>
                      <wp:docPr id="43" name="Group 43"/>
                      <wp:cNvGraphicFramePr>
                        <a:graphicFrameLocks/>
                      </wp:cNvGraphicFramePr>
                      <a:graphic>
                        <a:graphicData uri="http://schemas.microsoft.com/office/word/2010/wordprocessingGroup">
                          <wpg:wgp>
                            <wpg:cNvPr id="43" name="Group 43"/>
                            <wpg:cNvGrpSpPr/>
                            <wpg:grpSpPr>
                              <a:xfrm>
                                <a:off x="0" y="0"/>
                                <a:ext cx="5740400" cy="6350"/>
                                <a:chExt cx="5740400" cy="6350"/>
                              </a:xfrm>
                            </wpg:grpSpPr>
                            <wps:wsp>
                              <wps:cNvPr id="44" name="Graphic 44"/>
                              <wps:cNvSpPr/>
                              <wps:spPr>
                                <a:xfrm>
                                  <a:off x="0" y="0"/>
                                  <a:ext cx="5740400" cy="6350"/>
                                </a:xfrm>
                                <a:custGeom>
                                  <a:avLst/>
                                  <a:gdLst/>
                                  <a:ahLst/>
                                  <a:cxnLst/>
                                  <a:rect l="l" t="t" r="r" b="b"/>
                                  <a:pathLst>
                                    <a:path w="5740400" h="6350">
                                      <a:moveTo>
                                        <a:pt x="5740273" y="0"/>
                                      </a:moveTo>
                                      <a:lnTo>
                                        <a:pt x="0" y="0"/>
                                      </a:lnTo>
                                      <a:lnTo>
                                        <a:pt x="0" y="6096"/>
                                      </a:lnTo>
                                      <a:lnTo>
                                        <a:pt x="5740273" y="6096"/>
                                      </a:lnTo>
                                      <a:lnTo>
                                        <a:pt x="57402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pt;height:.5pt;mso-position-horizontal-relative:char;mso-position-vertical-relative:line" id="docshapegroup20" coordorigin="0,0" coordsize="9040,10">
                      <v:rect style="position:absolute;left:0;top:0;width:9040;height:10" id="docshape21" filled="true" fillcolor="#000000" stroked="false">
                        <v:fill type="solid"/>
                      </v:rect>
                    </v:group>
                  </w:pict>
                </mc:Fallback>
              </mc:AlternateContent>
            </w:r>
            <w:r>
              <w:rPr>
                <w:sz w:val="2"/>
              </w:rPr>
            </w:r>
          </w:p>
          <w:p>
            <w:pPr>
              <w:pStyle w:val="TableParagraph"/>
              <w:spacing w:line="255" w:lineRule="exact" w:before="0"/>
              <w:ind w:left="2489"/>
              <w:jc w:val="left"/>
              <w:rPr>
                <w:sz w:val="24"/>
              </w:rPr>
            </w:pPr>
            <w:r>
              <w:rPr>
                <w:sz w:val="24"/>
              </w:rPr>
              <w:t>Schizont</w:t>
            </w:r>
            <w:r>
              <w:rPr>
                <w:spacing w:val="-1"/>
                <w:sz w:val="24"/>
              </w:rPr>
              <w:t> </w:t>
            </w:r>
            <w:r>
              <w:rPr>
                <w:sz w:val="24"/>
              </w:rPr>
              <w:t>counts</w:t>
            </w:r>
            <w:r>
              <w:rPr>
                <w:spacing w:val="-1"/>
                <w:sz w:val="24"/>
              </w:rPr>
              <w:t> </w:t>
            </w:r>
            <w:r>
              <w:rPr>
                <w:sz w:val="24"/>
              </w:rPr>
              <w:t>(per</w:t>
            </w:r>
            <w:r>
              <w:rPr>
                <w:spacing w:val="-1"/>
                <w:sz w:val="24"/>
              </w:rPr>
              <w:t> </w:t>
            </w:r>
            <w:r>
              <w:rPr>
                <w:sz w:val="24"/>
              </w:rPr>
              <w:t>200</w:t>
            </w:r>
            <w:r>
              <w:rPr>
                <w:spacing w:val="-2"/>
                <w:sz w:val="24"/>
              </w:rPr>
              <w:t> </w:t>
            </w:r>
            <w:r>
              <w:rPr>
                <w:sz w:val="24"/>
              </w:rPr>
              <w:t>parasites)</w:t>
            </w:r>
            <w:r>
              <w:rPr>
                <w:spacing w:val="-1"/>
                <w:sz w:val="24"/>
              </w:rPr>
              <w:t> </w:t>
            </w:r>
            <w:r>
              <w:rPr>
                <w:sz w:val="24"/>
              </w:rPr>
              <w:t>in</w:t>
            </w:r>
            <w:r>
              <w:rPr>
                <w:spacing w:val="-1"/>
                <w:sz w:val="24"/>
              </w:rPr>
              <w:t> </w:t>
            </w:r>
            <w:r>
              <w:rPr>
                <w:spacing w:val="-4"/>
                <w:sz w:val="24"/>
              </w:rPr>
              <w:t>well</w:t>
            </w:r>
          </w:p>
        </w:tc>
      </w:tr>
      <w:tr>
        <w:trPr>
          <w:trHeight w:val="287" w:hRule="atLeast"/>
        </w:trPr>
        <w:tc>
          <w:tcPr>
            <w:tcW w:w="1893" w:type="dxa"/>
          </w:tcPr>
          <w:p>
            <w:pPr>
              <w:pStyle w:val="TableParagraph"/>
              <w:spacing w:line="240" w:lineRule="auto" w:before="0"/>
              <w:jc w:val="left"/>
              <w:rPr>
                <w:sz w:val="20"/>
              </w:rPr>
            </w:pPr>
          </w:p>
        </w:tc>
        <w:tc>
          <w:tcPr>
            <w:tcW w:w="1308" w:type="dxa"/>
          </w:tcPr>
          <w:p>
            <w:pPr>
              <w:pStyle w:val="TableParagraph"/>
              <w:ind w:left="53"/>
              <w:rPr>
                <w:sz w:val="24"/>
              </w:rPr>
            </w:pPr>
            <w:r>
              <w:rPr>
                <w:spacing w:val="-10"/>
                <w:sz w:val="24"/>
              </w:rPr>
              <w:t>A</w:t>
            </w:r>
          </w:p>
        </w:tc>
        <w:tc>
          <w:tcPr>
            <w:tcW w:w="885" w:type="dxa"/>
          </w:tcPr>
          <w:p>
            <w:pPr>
              <w:pStyle w:val="TableParagraph"/>
              <w:ind w:left="55" w:right="1"/>
              <w:rPr>
                <w:sz w:val="24"/>
              </w:rPr>
            </w:pPr>
            <w:r>
              <w:rPr>
                <w:spacing w:val="-10"/>
                <w:sz w:val="24"/>
              </w:rPr>
              <w:t>B</w:t>
            </w:r>
          </w:p>
        </w:tc>
        <w:tc>
          <w:tcPr>
            <w:tcW w:w="829" w:type="dxa"/>
          </w:tcPr>
          <w:p>
            <w:pPr>
              <w:pStyle w:val="TableParagraph"/>
              <w:ind w:left="9" w:right="10"/>
              <w:rPr>
                <w:sz w:val="24"/>
              </w:rPr>
            </w:pPr>
            <w:r>
              <w:rPr>
                <w:spacing w:val="-10"/>
                <w:sz w:val="24"/>
              </w:rPr>
              <w:t>C</w:t>
            </w:r>
          </w:p>
        </w:tc>
        <w:tc>
          <w:tcPr>
            <w:tcW w:w="829" w:type="dxa"/>
          </w:tcPr>
          <w:p>
            <w:pPr>
              <w:pStyle w:val="TableParagraph"/>
              <w:ind w:left="7" w:right="10"/>
              <w:rPr>
                <w:sz w:val="24"/>
              </w:rPr>
            </w:pPr>
            <w:r>
              <w:rPr>
                <w:spacing w:val="-10"/>
                <w:sz w:val="24"/>
              </w:rPr>
              <w:t>D</w:t>
            </w:r>
          </w:p>
        </w:tc>
        <w:tc>
          <w:tcPr>
            <w:tcW w:w="829" w:type="dxa"/>
          </w:tcPr>
          <w:p>
            <w:pPr>
              <w:pStyle w:val="TableParagraph"/>
              <w:ind w:left="7" w:right="10"/>
              <w:rPr>
                <w:sz w:val="24"/>
              </w:rPr>
            </w:pPr>
            <w:r>
              <w:rPr>
                <w:spacing w:val="-10"/>
                <w:sz w:val="24"/>
              </w:rPr>
              <w:t>E</w:t>
            </w:r>
          </w:p>
        </w:tc>
        <w:tc>
          <w:tcPr>
            <w:tcW w:w="829" w:type="dxa"/>
          </w:tcPr>
          <w:p>
            <w:pPr>
              <w:pStyle w:val="TableParagraph"/>
              <w:ind w:left="3" w:right="10"/>
              <w:rPr>
                <w:sz w:val="24"/>
              </w:rPr>
            </w:pPr>
            <w:r>
              <w:rPr>
                <w:spacing w:val="-10"/>
                <w:sz w:val="24"/>
              </w:rPr>
              <w:t>F</w:t>
            </w:r>
          </w:p>
        </w:tc>
        <w:tc>
          <w:tcPr>
            <w:tcW w:w="829" w:type="dxa"/>
          </w:tcPr>
          <w:p>
            <w:pPr>
              <w:pStyle w:val="TableParagraph"/>
              <w:ind w:left="2" w:right="10"/>
              <w:rPr>
                <w:sz w:val="24"/>
              </w:rPr>
            </w:pPr>
            <w:r>
              <w:rPr>
                <w:spacing w:val="-10"/>
                <w:sz w:val="24"/>
              </w:rPr>
              <w:t>G</w:t>
            </w:r>
          </w:p>
        </w:tc>
        <w:tc>
          <w:tcPr>
            <w:tcW w:w="829" w:type="dxa"/>
          </w:tcPr>
          <w:p>
            <w:pPr>
              <w:pStyle w:val="TableParagraph"/>
              <w:ind w:right="10"/>
              <w:rPr>
                <w:sz w:val="24"/>
              </w:rPr>
            </w:pPr>
            <w:r>
              <w:rPr>
                <w:spacing w:val="-10"/>
                <w:sz w:val="24"/>
              </w:rPr>
              <w:t>H</w:t>
            </w:r>
          </w:p>
        </w:tc>
        <w:tc>
          <w:tcPr>
            <w:tcW w:w="759" w:type="dxa"/>
          </w:tcPr>
          <w:p>
            <w:pPr>
              <w:pStyle w:val="TableParagraph"/>
              <w:spacing w:line="240" w:lineRule="auto" w:before="0"/>
              <w:jc w:val="left"/>
              <w:rPr>
                <w:sz w:val="20"/>
              </w:rPr>
            </w:pPr>
          </w:p>
        </w:tc>
      </w:tr>
      <w:tr>
        <w:trPr>
          <w:trHeight w:val="284" w:hRule="atLeast"/>
        </w:trPr>
        <w:tc>
          <w:tcPr>
            <w:tcW w:w="1893" w:type="dxa"/>
            <w:tcBorders>
              <w:bottom w:val="single" w:sz="4" w:space="0" w:color="000000"/>
            </w:tcBorders>
          </w:tcPr>
          <w:p>
            <w:pPr>
              <w:pStyle w:val="TableParagraph"/>
              <w:spacing w:line="264" w:lineRule="exact"/>
              <w:ind w:left="8"/>
              <w:rPr>
                <w:sz w:val="24"/>
              </w:rPr>
            </w:pPr>
            <w:r>
              <w:rPr>
                <w:sz w:val="24"/>
              </w:rPr>
              <w:t>Test</w:t>
            </w:r>
            <w:r>
              <w:rPr>
                <w:spacing w:val="-2"/>
                <w:sz w:val="24"/>
              </w:rPr>
              <w:t> Number</w:t>
            </w:r>
          </w:p>
        </w:tc>
        <w:tc>
          <w:tcPr>
            <w:tcW w:w="1308" w:type="dxa"/>
            <w:tcBorders>
              <w:bottom w:val="single" w:sz="4" w:space="0" w:color="000000"/>
            </w:tcBorders>
          </w:tcPr>
          <w:p>
            <w:pPr>
              <w:pStyle w:val="TableParagraph"/>
              <w:spacing w:line="264" w:lineRule="exact"/>
              <w:ind w:left="53" w:right="1"/>
              <w:rPr>
                <w:sz w:val="24"/>
              </w:rPr>
            </w:pPr>
            <w:r>
              <w:rPr>
                <w:spacing w:val="-2"/>
                <w:sz w:val="24"/>
              </w:rPr>
              <w:t>Control</w:t>
            </w:r>
          </w:p>
        </w:tc>
        <w:tc>
          <w:tcPr>
            <w:tcW w:w="885" w:type="dxa"/>
            <w:tcBorders>
              <w:bottom w:val="single" w:sz="4" w:space="0" w:color="000000"/>
            </w:tcBorders>
          </w:tcPr>
          <w:p>
            <w:pPr>
              <w:pStyle w:val="TableParagraph"/>
              <w:spacing w:line="264" w:lineRule="exact"/>
              <w:ind w:left="55"/>
              <w:rPr>
                <w:sz w:val="24"/>
              </w:rPr>
            </w:pPr>
            <w:r>
              <w:rPr>
                <w:spacing w:val="-4"/>
                <w:sz w:val="24"/>
              </w:rPr>
              <w:t>0.04</w:t>
            </w:r>
          </w:p>
        </w:tc>
        <w:tc>
          <w:tcPr>
            <w:tcW w:w="829" w:type="dxa"/>
            <w:tcBorders>
              <w:bottom w:val="single" w:sz="4" w:space="0" w:color="000000"/>
            </w:tcBorders>
          </w:tcPr>
          <w:p>
            <w:pPr>
              <w:pStyle w:val="TableParagraph"/>
              <w:spacing w:line="264" w:lineRule="exact"/>
              <w:ind w:left="10" w:right="10"/>
              <w:rPr>
                <w:sz w:val="24"/>
              </w:rPr>
            </w:pPr>
            <w:r>
              <w:rPr>
                <w:spacing w:val="-4"/>
                <w:sz w:val="24"/>
              </w:rPr>
              <w:t>0.08</w:t>
            </w:r>
          </w:p>
        </w:tc>
        <w:tc>
          <w:tcPr>
            <w:tcW w:w="829" w:type="dxa"/>
            <w:tcBorders>
              <w:bottom w:val="single" w:sz="4" w:space="0" w:color="000000"/>
            </w:tcBorders>
          </w:tcPr>
          <w:p>
            <w:pPr>
              <w:pStyle w:val="TableParagraph"/>
              <w:spacing w:line="264" w:lineRule="exact"/>
              <w:ind w:left="9" w:right="10"/>
              <w:rPr>
                <w:sz w:val="24"/>
              </w:rPr>
            </w:pPr>
            <w:r>
              <w:rPr>
                <w:spacing w:val="-4"/>
                <w:sz w:val="24"/>
              </w:rPr>
              <w:t>0.16</w:t>
            </w:r>
          </w:p>
        </w:tc>
        <w:tc>
          <w:tcPr>
            <w:tcW w:w="829" w:type="dxa"/>
            <w:tcBorders>
              <w:bottom w:val="single" w:sz="4" w:space="0" w:color="000000"/>
            </w:tcBorders>
          </w:tcPr>
          <w:p>
            <w:pPr>
              <w:pStyle w:val="TableParagraph"/>
              <w:spacing w:line="264" w:lineRule="exact"/>
              <w:ind w:left="7" w:right="10"/>
              <w:rPr>
                <w:sz w:val="24"/>
              </w:rPr>
            </w:pPr>
            <w:r>
              <w:rPr>
                <w:spacing w:val="-4"/>
                <w:sz w:val="24"/>
              </w:rPr>
              <w:t>0.32</w:t>
            </w:r>
          </w:p>
        </w:tc>
        <w:tc>
          <w:tcPr>
            <w:tcW w:w="829" w:type="dxa"/>
            <w:tcBorders>
              <w:bottom w:val="single" w:sz="4" w:space="0" w:color="000000"/>
            </w:tcBorders>
          </w:tcPr>
          <w:p>
            <w:pPr>
              <w:pStyle w:val="TableParagraph"/>
              <w:spacing w:line="264" w:lineRule="exact"/>
              <w:ind w:left="5" w:right="10"/>
              <w:rPr>
                <w:sz w:val="24"/>
              </w:rPr>
            </w:pPr>
            <w:r>
              <w:rPr>
                <w:spacing w:val="-4"/>
                <w:sz w:val="24"/>
              </w:rPr>
              <w:t>0.64</w:t>
            </w:r>
          </w:p>
        </w:tc>
        <w:tc>
          <w:tcPr>
            <w:tcW w:w="829" w:type="dxa"/>
            <w:tcBorders>
              <w:bottom w:val="single" w:sz="4" w:space="0" w:color="000000"/>
            </w:tcBorders>
          </w:tcPr>
          <w:p>
            <w:pPr>
              <w:pStyle w:val="TableParagraph"/>
              <w:spacing w:line="264" w:lineRule="exact"/>
              <w:ind w:left="4" w:right="10"/>
              <w:rPr>
                <w:sz w:val="24"/>
              </w:rPr>
            </w:pPr>
            <w:r>
              <w:rPr>
                <w:spacing w:val="-4"/>
                <w:sz w:val="24"/>
              </w:rPr>
              <w:t>1.28</w:t>
            </w:r>
          </w:p>
        </w:tc>
        <w:tc>
          <w:tcPr>
            <w:tcW w:w="829" w:type="dxa"/>
            <w:tcBorders>
              <w:bottom w:val="single" w:sz="4" w:space="0" w:color="000000"/>
            </w:tcBorders>
          </w:tcPr>
          <w:p>
            <w:pPr>
              <w:pStyle w:val="TableParagraph"/>
              <w:spacing w:line="264" w:lineRule="exact"/>
              <w:ind w:left="2" w:right="10"/>
              <w:rPr>
                <w:sz w:val="24"/>
              </w:rPr>
            </w:pPr>
            <w:r>
              <w:rPr>
                <w:spacing w:val="-4"/>
                <w:sz w:val="24"/>
              </w:rPr>
              <w:t>2.56</w:t>
            </w:r>
          </w:p>
        </w:tc>
        <w:tc>
          <w:tcPr>
            <w:tcW w:w="759" w:type="dxa"/>
          </w:tcPr>
          <w:p>
            <w:pPr>
              <w:pStyle w:val="TableParagraph"/>
              <w:spacing w:line="252" w:lineRule="exact" w:before="13"/>
              <w:ind w:left="102"/>
              <w:jc w:val="left"/>
              <w:rPr>
                <w:rFonts w:ascii="Calibri" w:hAnsi="Calibri"/>
                <w:sz w:val="22"/>
              </w:rPr>
            </w:pPr>
            <w:r>
              <w:rPr>
                <w:rFonts w:ascii="Calibri" w:hAnsi="Calibri"/>
                <w:spacing w:val="-2"/>
                <w:sz w:val="22"/>
              </w:rPr>
              <w:t>μmol/l</w:t>
            </w:r>
          </w:p>
        </w:tc>
      </w:tr>
      <w:tr>
        <w:trPr>
          <w:trHeight w:val="290" w:hRule="atLeast"/>
        </w:trPr>
        <w:tc>
          <w:tcPr>
            <w:tcW w:w="1893" w:type="dxa"/>
            <w:tcBorders>
              <w:top w:val="single" w:sz="4" w:space="0" w:color="000000"/>
            </w:tcBorders>
          </w:tcPr>
          <w:p>
            <w:pPr>
              <w:pStyle w:val="TableParagraph"/>
              <w:spacing w:before="3"/>
              <w:ind w:left="8" w:right="1"/>
              <w:rPr>
                <w:sz w:val="24"/>
              </w:rPr>
            </w:pPr>
            <w:r>
              <w:rPr>
                <w:spacing w:val="-10"/>
                <w:sz w:val="24"/>
              </w:rPr>
              <w:t>1</w:t>
            </w:r>
          </w:p>
        </w:tc>
        <w:tc>
          <w:tcPr>
            <w:tcW w:w="1308" w:type="dxa"/>
            <w:tcBorders>
              <w:top w:val="single" w:sz="4" w:space="0" w:color="000000"/>
            </w:tcBorders>
          </w:tcPr>
          <w:p>
            <w:pPr>
              <w:pStyle w:val="TableParagraph"/>
              <w:spacing w:before="3"/>
              <w:ind w:left="53" w:right="1"/>
              <w:rPr>
                <w:sz w:val="24"/>
              </w:rPr>
            </w:pPr>
            <w:r>
              <w:rPr>
                <w:spacing w:val="-5"/>
                <w:sz w:val="24"/>
              </w:rPr>
              <w:t>56</w:t>
            </w:r>
          </w:p>
        </w:tc>
        <w:tc>
          <w:tcPr>
            <w:tcW w:w="885" w:type="dxa"/>
            <w:tcBorders>
              <w:top w:val="single" w:sz="4" w:space="0" w:color="000000"/>
            </w:tcBorders>
          </w:tcPr>
          <w:p>
            <w:pPr>
              <w:pStyle w:val="TableParagraph"/>
              <w:spacing w:before="3"/>
              <w:ind w:left="55" w:right="2"/>
              <w:rPr>
                <w:sz w:val="24"/>
              </w:rPr>
            </w:pPr>
            <w:r>
              <w:rPr>
                <w:spacing w:val="-5"/>
                <w:sz w:val="24"/>
              </w:rPr>
              <w:t>44</w:t>
            </w:r>
          </w:p>
        </w:tc>
        <w:tc>
          <w:tcPr>
            <w:tcW w:w="829" w:type="dxa"/>
            <w:tcBorders>
              <w:top w:val="single" w:sz="4" w:space="0" w:color="000000"/>
            </w:tcBorders>
          </w:tcPr>
          <w:p>
            <w:pPr>
              <w:pStyle w:val="TableParagraph"/>
              <w:spacing w:before="3"/>
              <w:ind w:left="8" w:right="10"/>
              <w:rPr>
                <w:sz w:val="24"/>
              </w:rPr>
            </w:pPr>
            <w:r>
              <w:rPr>
                <w:spacing w:val="-5"/>
                <w:sz w:val="24"/>
              </w:rPr>
              <w:t>33</w:t>
            </w:r>
          </w:p>
        </w:tc>
        <w:tc>
          <w:tcPr>
            <w:tcW w:w="829" w:type="dxa"/>
            <w:tcBorders>
              <w:top w:val="single" w:sz="4" w:space="0" w:color="000000"/>
            </w:tcBorders>
          </w:tcPr>
          <w:p>
            <w:pPr>
              <w:pStyle w:val="TableParagraph"/>
              <w:spacing w:before="3"/>
              <w:ind w:left="7" w:right="10"/>
              <w:rPr>
                <w:sz w:val="24"/>
              </w:rPr>
            </w:pPr>
            <w:r>
              <w:rPr>
                <w:spacing w:val="-5"/>
                <w:sz w:val="24"/>
              </w:rPr>
              <w:t>22</w:t>
            </w:r>
          </w:p>
        </w:tc>
        <w:tc>
          <w:tcPr>
            <w:tcW w:w="829" w:type="dxa"/>
            <w:tcBorders>
              <w:top w:val="single" w:sz="4" w:space="0" w:color="000000"/>
            </w:tcBorders>
          </w:tcPr>
          <w:p>
            <w:pPr>
              <w:pStyle w:val="TableParagraph"/>
              <w:spacing w:before="3"/>
              <w:ind w:left="5" w:right="10"/>
              <w:rPr>
                <w:sz w:val="24"/>
              </w:rPr>
            </w:pPr>
            <w:r>
              <w:rPr>
                <w:spacing w:val="-5"/>
                <w:sz w:val="24"/>
              </w:rPr>
              <w:t>15</w:t>
            </w:r>
          </w:p>
        </w:tc>
        <w:tc>
          <w:tcPr>
            <w:tcW w:w="829" w:type="dxa"/>
            <w:tcBorders>
              <w:top w:val="single" w:sz="4" w:space="0" w:color="000000"/>
            </w:tcBorders>
          </w:tcPr>
          <w:p>
            <w:pPr>
              <w:pStyle w:val="TableParagraph"/>
              <w:spacing w:before="3"/>
              <w:ind w:left="4" w:right="10"/>
              <w:rPr>
                <w:sz w:val="24"/>
              </w:rPr>
            </w:pPr>
            <w:r>
              <w:rPr>
                <w:spacing w:val="-10"/>
                <w:sz w:val="24"/>
              </w:rPr>
              <w:t>4</w:t>
            </w:r>
          </w:p>
        </w:tc>
        <w:tc>
          <w:tcPr>
            <w:tcW w:w="829" w:type="dxa"/>
            <w:tcBorders>
              <w:top w:val="single" w:sz="4" w:space="0" w:color="000000"/>
            </w:tcBorders>
          </w:tcPr>
          <w:p>
            <w:pPr>
              <w:pStyle w:val="TableParagraph"/>
              <w:spacing w:before="3"/>
              <w:ind w:left="2" w:right="10"/>
              <w:rPr>
                <w:sz w:val="24"/>
              </w:rPr>
            </w:pPr>
            <w:r>
              <w:rPr>
                <w:spacing w:val="-10"/>
                <w:sz w:val="24"/>
              </w:rPr>
              <w:t>0</w:t>
            </w:r>
          </w:p>
        </w:tc>
        <w:tc>
          <w:tcPr>
            <w:tcW w:w="829" w:type="dxa"/>
            <w:tcBorders>
              <w:top w:val="single" w:sz="4" w:space="0" w:color="000000"/>
            </w:tcBorders>
          </w:tcPr>
          <w:p>
            <w:pPr>
              <w:pStyle w:val="TableParagraph"/>
              <w:spacing w:before="3"/>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10"/>
                <w:sz w:val="24"/>
              </w:rPr>
              <w:t>2</w:t>
            </w:r>
          </w:p>
        </w:tc>
        <w:tc>
          <w:tcPr>
            <w:tcW w:w="1308" w:type="dxa"/>
          </w:tcPr>
          <w:p>
            <w:pPr>
              <w:pStyle w:val="TableParagraph"/>
              <w:ind w:left="53" w:right="1"/>
              <w:rPr>
                <w:sz w:val="24"/>
              </w:rPr>
            </w:pPr>
            <w:r>
              <w:rPr>
                <w:spacing w:val="-5"/>
                <w:sz w:val="24"/>
              </w:rPr>
              <w:t>70</w:t>
            </w:r>
          </w:p>
        </w:tc>
        <w:tc>
          <w:tcPr>
            <w:tcW w:w="885" w:type="dxa"/>
          </w:tcPr>
          <w:p>
            <w:pPr>
              <w:pStyle w:val="TableParagraph"/>
              <w:ind w:left="55" w:right="2"/>
              <w:rPr>
                <w:sz w:val="24"/>
              </w:rPr>
            </w:pPr>
            <w:r>
              <w:rPr>
                <w:spacing w:val="-5"/>
                <w:sz w:val="24"/>
              </w:rPr>
              <w:t>58</w:t>
            </w:r>
          </w:p>
        </w:tc>
        <w:tc>
          <w:tcPr>
            <w:tcW w:w="829" w:type="dxa"/>
          </w:tcPr>
          <w:p>
            <w:pPr>
              <w:pStyle w:val="TableParagraph"/>
              <w:ind w:left="8" w:right="10"/>
              <w:rPr>
                <w:sz w:val="24"/>
              </w:rPr>
            </w:pPr>
            <w:r>
              <w:rPr>
                <w:spacing w:val="-5"/>
                <w:sz w:val="24"/>
              </w:rPr>
              <w:t>40</w:t>
            </w:r>
          </w:p>
        </w:tc>
        <w:tc>
          <w:tcPr>
            <w:tcW w:w="829" w:type="dxa"/>
          </w:tcPr>
          <w:p>
            <w:pPr>
              <w:pStyle w:val="TableParagraph"/>
              <w:ind w:left="7" w:right="10"/>
              <w:rPr>
                <w:sz w:val="24"/>
              </w:rPr>
            </w:pPr>
            <w:r>
              <w:rPr>
                <w:spacing w:val="-5"/>
                <w:sz w:val="24"/>
              </w:rPr>
              <w:t>21</w:t>
            </w:r>
          </w:p>
        </w:tc>
        <w:tc>
          <w:tcPr>
            <w:tcW w:w="829" w:type="dxa"/>
          </w:tcPr>
          <w:p>
            <w:pPr>
              <w:pStyle w:val="TableParagraph"/>
              <w:ind w:left="5" w:right="10"/>
              <w:rPr>
                <w:sz w:val="24"/>
              </w:rPr>
            </w:pPr>
            <w:r>
              <w:rPr>
                <w:spacing w:val="-5"/>
                <w:sz w:val="24"/>
              </w:rPr>
              <w:t>13</w:t>
            </w:r>
          </w:p>
        </w:tc>
        <w:tc>
          <w:tcPr>
            <w:tcW w:w="829" w:type="dxa"/>
          </w:tcPr>
          <w:p>
            <w:pPr>
              <w:pStyle w:val="TableParagraph"/>
              <w:ind w:left="4" w:right="10"/>
              <w:rPr>
                <w:sz w:val="24"/>
              </w:rPr>
            </w:pPr>
            <w:r>
              <w:rPr>
                <w:spacing w:val="-10"/>
                <w:sz w:val="24"/>
              </w:rPr>
              <w:t>3</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10"/>
                <w:sz w:val="24"/>
              </w:rPr>
              <w:t>3</w:t>
            </w:r>
          </w:p>
        </w:tc>
        <w:tc>
          <w:tcPr>
            <w:tcW w:w="1308" w:type="dxa"/>
          </w:tcPr>
          <w:p>
            <w:pPr>
              <w:pStyle w:val="TableParagraph"/>
              <w:ind w:left="53" w:right="1"/>
              <w:rPr>
                <w:sz w:val="24"/>
              </w:rPr>
            </w:pPr>
            <w:r>
              <w:rPr>
                <w:spacing w:val="-5"/>
                <w:sz w:val="24"/>
              </w:rPr>
              <w:t>67</w:t>
            </w:r>
          </w:p>
        </w:tc>
        <w:tc>
          <w:tcPr>
            <w:tcW w:w="885" w:type="dxa"/>
          </w:tcPr>
          <w:p>
            <w:pPr>
              <w:pStyle w:val="TableParagraph"/>
              <w:ind w:left="55" w:right="2"/>
              <w:rPr>
                <w:sz w:val="24"/>
              </w:rPr>
            </w:pPr>
            <w:r>
              <w:rPr>
                <w:spacing w:val="-5"/>
                <w:sz w:val="24"/>
              </w:rPr>
              <w:t>43</w:t>
            </w:r>
          </w:p>
        </w:tc>
        <w:tc>
          <w:tcPr>
            <w:tcW w:w="829" w:type="dxa"/>
          </w:tcPr>
          <w:p>
            <w:pPr>
              <w:pStyle w:val="TableParagraph"/>
              <w:ind w:left="8" w:right="10"/>
              <w:rPr>
                <w:sz w:val="24"/>
              </w:rPr>
            </w:pPr>
            <w:r>
              <w:rPr>
                <w:spacing w:val="-5"/>
                <w:sz w:val="24"/>
              </w:rPr>
              <w:t>25</w:t>
            </w:r>
          </w:p>
        </w:tc>
        <w:tc>
          <w:tcPr>
            <w:tcW w:w="829" w:type="dxa"/>
          </w:tcPr>
          <w:p>
            <w:pPr>
              <w:pStyle w:val="TableParagraph"/>
              <w:ind w:left="7" w:right="10"/>
              <w:rPr>
                <w:sz w:val="24"/>
              </w:rPr>
            </w:pPr>
            <w:r>
              <w:rPr>
                <w:spacing w:val="-5"/>
                <w:sz w:val="24"/>
              </w:rPr>
              <w:t>15</w:t>
            </w:r>
          </w:p>
        </w:tc>
        <w:tc>
          <w:tcPr>
            <w:tcW w:w="829" w:type="dxa"/>
          </w:tcPr>
          <w:p>
            <w:pPr>
              <w:pStyle w:val="TableParagraph"/>
              <w:ind w:left="5" w:right="10"/>
              <w:rPr>
                <w:sz w:val="24"/>
              </w:rPr>
            </w:pPr>
            <w:r>
              <w:rPr>
                <w:spacing w:val="-10"/>
                <w:sz w:val="24"/>
              </w:rPr>
              <w:t>9</w:t>
            </w:r>
          </w:p>
        </w:tc>
        <w:tc>
          <w:tcPr>
            <w:tcW w:w="829" w:type="dxa"/>
          </w:tcPr>
          <w:p>
            <w:pPr>
              <w:pStyle w:val="TableParagraph"/>
              <w:ind w:left="4" w:right="10"/>
              <w:rPr>
                <w:sz w:val="24"/>
              </w:rPr>
            </w:pPr>
            <w:r>
              <w:rPr>
                <w:spacing w:val="-10"/>
                <w:sz w:val="24"/>
              </w:rPr>
              <w:t>4</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893" w:type="dxa"/>
          </w:tcPr>
          <w:p>
            <w:pPr>
              <w:pStyle w:val="TableParagraph"/>
              <w:ind w:left="8" w:right="1"/>
              <w:rPr>
                <w:sz w:val="24"/>
              </w:rPr>
            </w:pPr>
            <w:r>
              <w:rPr>
                <w:spacing w:val="-10"/>
                <w:sz w:val="24"/>
              </w:rPr>
              <w:t>4</w:t>
            </w:r>
          </w:p>
        </w:tc>
        <w:tc>
          <w:tcPr>
            <w:tcW w:w="1308" w:type="dxa"/>
          </w:tcPr>
          <w:p>
            <w:pPr>
              <w:pStyle w:val="TableParagraph"/>
              <w:ind w:left="53" w:right="1"/>
              <w:rPr>
                <w:sz w:val="24"/>
              </w:rPr>
            </w:pPr>
            <w:r>
              <w:rPr>
                <w:spacing w:val="-5"/>
                <w:sz w:val="24"/>
              </w:rPr>
              <w:t>85</w:t>
            </w:r>
          </w:p>
        </w:tc>
        <w:tc>
          <w:tcPr>
            <w:tcW w:w="885" w:type="dxa"/>
          </w:tcPr>
          <w:p>
            <w:pPr>
              <w:pStyle w:val="TableParagraph"/>
              <w:ind w:left="55" w:right="2"/>
              <w:rPr>
                <w:sz w:val="24"/>
              </w:rPr>
            </w:pPr>
            <w:r>
              <w:rPr>
                <w:spacing w:val="-5"/>
                <w:sz w:val="24"/>
              </w:rPr>
              <w:t>70</w:t>
            </w:r>
          </w:p>
        </w:tc>
        <w:tc>
          <w:tcPr>
            <w:tcW w:w="829" w:type="dxa"/>
          </w:tcPr>
          <w:p>
            <w:pPr>
              <w:pStyle w:val="TableParagraph"/>
              <w:ind w:left="8" w:right="10"/>
              <w:rPr>
                <w:sz w:val="24"/>
              </w:rPr>
            </w:pPr>
            <w:r>
              <w:rPr>
                <w:spacing w:val="-5"/>
                <w:sz w:val="24"/>
              </w:rPr>
              <w:t>56</w:t>
            </w:r>
          </w:p>
        </w:tc>
        <w:tc>
          <w:tcPr>
            <w:tcW w:w="829" w:type="dxa"/>
          </w:tcPr>
          <w:p>
            <w:pPr>
              <w:pStyle w:val="TableParagraph"/>
              <w:ind w:left="7" w:right="10"/>
              <w:rPr>
                <w:sz w:val="24"/>
              </w:rPr>
            </w:pPr>
            <w:r>
              <w:rPr>
                <w:spacing w:val="-5"/>
                <w:sz w:val="24"/>
              </w:rPr>
              <w:t>32</w:t>
            </w:r>
          </w:p>
        </w:tc>
        <w:tc>
          <w:tcPr>
            <w:tcW w:w="829" w:type="dxa"/>
          </w:tcPr>
          <w:p>
            <w:pPr>
              <w:pStyle w:val="TableParagraph"/>
              <w:ind w:left="5" w:right="10"/>
              <w:rPr>
                <w:sz w:val="24"/>
              </w:rPr>
            </w:pPr>
            <w:r>
              <w:rPr>
                <w:spacing w:val="-5"/>
                <w:sz w:val="24"/>
              </w:rPr>
              <w:t>19</w:t>
            </w:r>
          </w:p>
        </w:tc>
        <w:tc>
          <w:tcPr>
            <w:tcW w:w="829" w:type="dxa"/>
          </w:tcPr>
          <w:p>
            <w:pPr>
              <w:pStyle w:val="TableParagraph"/>
              <w:ind w:left="4" w:right="10"/>
              <w:rPr>
                <w:sz w:val="24"/>
              </w:rPr>
            </w:pPr>
            <w:r>
              <w:rPr>
                <w:spacing w:val="-10"/>
                <w:sz w:val="24"/>
              </w:rPr>
              <w:t>8</w:t>
            </w:r>
          </w:p>
        </w:tc>
        <w:tc>
          <w:tcPr>
            <w:tcW w:w="829" w:type="dxa"/>
          </w:tcPr>
          <w:p>
            <w:pPr>
              <w:pStyle w:val="TableParagraph"/>
              <w:ind w:left="2" w:right="10"/>
              <w:rPr>
                <w:sz w:val="24"/>
              </w:rPr>
            </w:pPr>
            <w:r>
              <w:rPr>
                <w:spacing w:val="-10"/>
                <w:sz w:val="24"/>
              </w:rPr>
              <w:t>3</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10"/>
                <w:sz w:val="24"/>
              </w:rPr>
              <w:t>5</w:t>
            </w:r>
          </w:p>
        </w:tc>
        <w:tc>
          <w:tcPr>
            <w:tcW w:w="1308" w:type="dxa"/>
          </w:tcPr>
          <w:p>
            <w:pPr>
              <w:pStyle w:val="TableParagraph"/>
              <w:ind w:left="53" w:right="1"/>
              <w:rPr>
                <w:sz w:val="24"/>
              </w:rPr>
            </w:pPr>
            <w:r>
              <w:rPr>
                <w:spacing w:val="-5"/>
                <w:sz w:val="24"/>
              </w:rPr>
              <w:t>72</w:t>
            </w:r>
          </w:p>
        </w:tc>
        <w:tc>
          <w:tcPr>
            <w:tcW w:w="885" w:type="dxa"/>
          </w:tcPr>
          <w:p>
            <w:pPr>
              <w:pStyle w:val="TableParagraph"/>
              <w:ind w:left="55" w:right="2"/>
              <w:rPr>
                <w:sz w:val="24"/>
              </w:rPr>
            </w:pPr>
            <w:r>
              <w:rPr>
                <w:spacing w:val="-5"/>
                <w:sz w:val="24"/>
              </w:rPr>
              <w:t>37</w:t>
            </w:r>
          </w:p>
        </w:tc>
        <w:tc>
          <w:tcPr>
            <w:tcW w:w="829" w:type="dxa"/>
          </w:tcPr>
          <w:p>
            <w:pPr>
              <w:pStyle w:val="TableParagraph"/>
              <w:ind w:left="8" w:right="10"/>
              <w:rPr>
                <w:sz w:val="24"/>
              </w:rPr>
            </w:pPr>
            <w:r>
              <w:rPr>
                <w:spacing w:val="-5"/>
                <w:sz w:val="24"/>
              </w:rPr>
              <w:t>23</w:t>
            </w:r>
          </w:p>
        </w:tc>
        <w:tc>
          <w:tcPr>
            <w:tcW w:w="829" w:type="dxa"/>
          </w:tcPr>
          <w:p>
            <w:pPr>
              <w:pStyle w:val="TableParagraph"/>
              <w:ind w:left="7" w:right="10"/>
              <w:rPr>
                <w:sz w:val="24"/>
              </w:rPr>
            </w:pPr>
            <w:r>
              <w:rPr>
                <w:spacing w:val="-5"/>
                <w:sz w:val="24"/>
              </w:rPr>
              <w:t>11</w:t>
            </w:r>
          </w:p>
        </w:tc>
        <w:tc>
          <w:tcPr>
            <w:tcW w:w="829" w:type="dxa"/>
          </w:tcPr>
          <w:p>
            <w:pPr>
              <w:pStyle w:val="TableParagraph"/>
              <w:ind w:left="5" w:right="10"/>
              <w:rPr>
                <w:sz w:val="24"/>
              </w:rPr>
            </w:pPr>
            <w:r>
              <w:rPr>
                <w:spacing w:val="-10"/>
                <w:sz w:val="24"/>
              </w:rPr>
              <w:t>6</w:t>
            </w:r>
          </w:p>
        </w:tc>
        <w:tc>
          <w:tcPr>
            <w:tcW w:w="829" w:type="dxa"/>
          </w:tcPr>
          <w:p>
            <w:pPr>
              <w:pStyle w:val="TableParagraph"/>
              <w:ind w:left="4" w:right="10"/>
              <w:rPr>
                <w:sz w:val="24"/>
              </w:rPr>
            </w:pPr>
            <w:r>
              <w:rPr>
                <w:spacing w:val="-10"/>
                <w:sz w:val="24"/>
              </w:rPr>
              <w:t>3</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10"/>
                <w:sz w:val="24"/>
              </w:rPr>
              <w:t>6</w:t>
            </w:r>
          </w:p>
        </w:tc>
        <w:tc>
          <w:tcPr>
            <w:tcW w:w="1308" w:type="dxa"/>
          </w:tcPr>
          <w:p>
            <w:pPr>
              <w:pStyle w:val="TableParagraph"/>
              <w:ind w:left="53" w:right="1"/>
              <w:rPr>
                <w:sz w:val="24"/>
              </w:rPr>
            </w:pPr>
            <w:r>
              <w:rPr>
                <w:spacing w:val="-5"/>
                <w:sz w:val="24"/>
              </w:rPr>
              <w:t>62</w:t>
            </w:r>
          </w:p>
        </w:tc>
        <w:tc>
          <w:tcPr>
            <w:tcW w:w="885" w:type="dxa"/>
          </w:tcPr>
          <w:p>
            <w:pPr>
              <w:pStyle w:val="TableParagraph"/>
              <w:ind w:left="55" w:right="2"/>
              <w:rPr>
                <w:sz w:val="24"/>
              </w:rPr>
            </w:pPr>
            <w:r>
              <w:rPr>
                <w:spacing w:val="-5"/>
                <w:sz w:val="24"/>
              </w:rPr>
              <w:t>43</w:t>
            </w:r>
          </w:p>
        </w:tc>
        <w:tc>
          <w:tcPr>
            <w:tcW w:w="829" w:type="dxa"/>
          </w:tcPr>
          <w:p>
            <w:pPr>
              <w:pStyle w:val="TableParagraph"/>
              <w:ind w:left="8" w:right="10"/>
              <w:rPr>
                <w:sz w:val="24"/>
              </w:rPr>
            </w:pPr>
            <w:r>
              <w:rPr>
                <w:spacing w:val="-5"/>
                <w:sz w:val="24"/>
              </w:rPr>
              <w:t>24</w:t>
            </w:r>
          </w:p>
        </w:tc>
        <w:tc>
          <w:tcPr>
            <w:tcW w:w="829" w:type="dxa"/>
          </w:tcPr>
          <w:p>
            <w:pPr>
              <w:pStyle w:val="TableParagraph"/>
              <w:ind w:left="7" w:right="10"/>
              <w:rPr>
                <w:sz w:val="24"/>
              </w:rPr>
            </w:pPr>
            <w:r>
              <w:rPr>
                <w:spacing w:val="-5"/>
                <w:sz w:val="24"/>
              </w:rPr>
              <w:t>15</w:t>
            </w:r>
          </w:p>
        </w:tc>
        <w:tc>
          <w:tcPr>
            <w:tcW w:w="829" w:type="dxa"/>
          </w:tcPr>
          <w:p>
            <w:pPr>
              <w:pStyle w:val="TableParagraph"/>
              <w:ind w:left="5" w:right="10"/>
              <w:rPr>
                <w:sz w:val="24"/>
              </w:rPr>
            </w:pPr>
            <w:r>
              <w:rPr>
                <w:spacing w:val="-10"/>
                <w:sz w:val="24"/>
              </w:rPr>
              <w:t>9</w:t>
            </w:r>
          </w:p>
        </w:tc>
        <w:tc>
          <w:tcPr>
            <w:tcW w:w="829" w:type="dxa"/>
          </w:tcPr>
          <w:p>
            <w:pPr>
              <w:pStyle w:val="TableParagraph"/>
              <w:ind w:left="4" w:right="10"/>
              <w:rPr>
                <w:sz w:val="24"/>
              </w:rPr>
            </w:pPr>
            <w:r>
              <w:rPr>
                <w:spacing w:val="-10"/>
                <w:sz w:val="24"/>
              </w:rPr>
              <w:t>4</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893" w:type="dxa"/>
          </w:tcPr>
          <w:p>
            <w:pPr>
              <w:pStyle w:val="TableParagraph"/>
              <w:ind w:left="8" w:right="1"/>
              <w:rPr>
                <w:sz w:val="24"/>
              </w:rPr>
            </w:pPr>
            <w:r>
              <w:rPr>
                <w:spacing w:val="-10"/>
                <w:sz w:val="24"/>
              </w:rPr>
              <w:t>7</w:t>
            </w:r>
          </w:p>
        </w:tc>
        <w:tc>
          <w:tcPr>
            <w:tcW w:w="1308" w:type="dxa"/>
          </w:tcPr>
          <w:p>
            <w:pPr>
              <w:pStyle w:val="TableParagraph"/>
              <w:ind w:left="53" w:right="1"/>
              <w:rPr>
                <w:sz w:val="24"/>
              </w:rPr>
            </w:pPr>
            <w:r>
              <w:rPr>
                <w:spacing w:val="-5"/>
                <w:sz w:val="24"/>
              </w:rPr>
              <w:t>53</w:t>
            </w:r>
          </w:p>
        </w:tc>
        <w:tc>
          <w:tcPr>
            <w:tcW w:w="885" w:type="dxa"/>
          </w:tcPr>
          <w:p>
            <w:pPr>
              <w:pStyle w:val="TableParagraph"/>
              <w:ind w:left="55" w:right="2"/>
              <w:rPr>
                <w:sz w:val="24"/>
              </w:rPr>
            </w:pPr>
            <w:r>
              <w:rPr>
                <w:spacing w:val="-5"/>
                <w:sz w:val="24"/>
              </w:rPr>
              <w:t>30</w:t>
            </w:r>
          </w:p>
        </w:tc>
        <w:tc>
          <w:tcPr>
            <w:tcW w:w="829" w:type="dxa"/>
          </w:tcPr>
          <w:p>
            <w:pPr>
              <w:pStyle w:val="TableParagraph"/>
              <w:ind w:left="8" w:right="10"/>
              <w:rPr>
                <w:sz w:val="24"/>
              </w:rPr>
            </w:pPr>
            <w:r>
              <w:rPr>
                <w:spacing w:val="-5"/>
                <w:sz w:val="24"/>
              </w:rPr>
              <w:t>21</w:t>
            </w:r>
          </w:p>
        </w:tc>
        <w:tc>
          <w:tcPr>
            <w:tcW w:w="829" w:type="dxa"/>
          </w:tcPr>
          <w:p>
            <w:pPr>
              <w:pStyle w:val="TableParagraph"/>
              <w:ind w:left="7" w:right="10"/>
              <w:rPr>
                <w:sz w:val="24"/>
              </w:rPr>
            </w:pPr>
            <w:r>
              <w:rPr>
                <w:spacing w:val="-5"/>
                <w:sz w:val="24"/>
              </w:rPr>
              <w:t>17</w:t>
            </w:r>
          </w:p>
        </w:tc>
        <w:tc>
          <w:tcPr>
            <w:tcW w:w="829" w:type="dxa"/>
          </w:tcPr>
          <w:p>
            <w:pPr>
              <w:pStyle w:val="TableParagraph"/>
              <w:ind w:left="5" w:right="10"/>
              <w:rPr>
                <w:sz w:val="24"/>
              </w:rPr>
            </w:pPr>
            <w:r>
              <w:rPr>
                <w:spacing w:val="-5"/>
                <w:sz w:val="24"/>
              </w:rPr>
              <w:t>10</w:t>
            </w:r>
          </w:p>
        </w:tc>
        <w:tc>
          <w:tcPr>
            <w:tcW w:w="829" w:type="dxa"/>
          </w:tcPr>
          <w:p>
            <w:pPr>
              <w:pStyle w:val="TableParagraph"/>
              <w:ind w:left="4" w:right="10"/>
              <w:rPr>
                <w:sz w:val="24"/>
              </w:rPr>
            </w:pPr>
            <w:r>
              <w:rPr>
                <w:spacing w:val="-10"/>
                <w:sz w:val="24"/>
              </w:rPr>
              <w:t>6</w:t>
            </w:r>
          </w:p>
        </w:tc>
        <w:tc>
          <w:tcPr>
            <w:tcW w:w="829" w:type="dxa"/>
          </w:tcPr>
          <w:p>
            <w:pPr>
              <w:pStyle w:val="TableParagraph"/>
              <w:ind w:left="2" w:right="10"/>
              <w:rPr>
                <w:sz w:val="24"/>
              </w:rPr>
            </w:pPr>
            <w:r>
              <w:rPr>
                <w:spacing w:val="-10"/>
                <w:sz w:val="24"/>
              </w:rPr>
              <w:t>3</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10"/>
                <w:sz w:val="24"/>
              </w:rPr>
              <w:t>8</w:t>
            </w:r>
          </w:p>
        </w:tc>
        <w:tc>
          <w:tcPr>
            <w:tcW w:w="1308" w:type="dxa"/>
          </w:tcPr>
          <w:p>
            <w:pPr>
              <w:pStyle w:val="TableParagraph"/>
              <w:ind w:left="53" w:right="1"/>
              <w:rPr>
                <w:sz w:val="24"/>
              </w:rPr>
            </w:pPr>
            <w:r>
              <w:rPr>
                <w:spacing w:val="-5"/>
                <w:sz w:val="24"/>
              </w:rPr>
              <w:t>65</w:t>
            </w:r>
          </w:p>
        </w:tc>
        <w:tc>
          <w:tcPr>
            <w:tcW w:w="885" w:type="dxa"/>
          </w:tcPr>
          <w:p>
            <w:pPr>
              <w:pStyle w:val="TableParagraph"/>
              <w:ind w:left="55" w:right="2"/>
              <w:rPr>
                <w:sz w:val="24"/>
              </w:rPr>
            </w:pPr>
            <w:r>
              <w:rPr>
                <w:spacing w:val="-5"/>
                <w:sz w:val="24"/>
              </w:rPr>
              <w:t>48</w:t>
            </w:r>
          </w:p>
        </w:tc>
        <w:tc>
          <w:tcPr>
            <w:tcW w:w="829" w:type="dxa"/>
          </w:tcPr>
          <w:p>
            <w:pPr>
              <w:pStyle w:val="TableParagraph"/>
              <w:ind w:left="8" w:right="10"/>
              <w:rPr>
                <w:sz w:val="24"/>
              </w:rPr>
            </w:pPr>
            <w:r>
              <w:rPr>
                <w:spacing w:val="-5"/>
                <w:sz w:val="24"/>
              </w:rPr>
              <w:t>36</w:t>
            </w:r>
          </w:p>
        </w:tc>
        <w:tc>
          <w:tcPr>
            <w:tcW w:w="829" w:type="dxa"/>
          </w:tcPr>
          <w:p>
            <w:pPr>
              <w:pStyle w:val="TableParagraph"/>
              <w:ind w:left="7" w:right="10"/>
              <w:rPr>
                <w:sz w:val="24"/>
              </w:rPr>
            </w:pPr>
            <w:r>
              <w:rPr>
                <w:spacing w:val="-5"/>
                <w:sz w:val="24"/>
              </w:rPr>
              <w:t>22</w:t>
            </w:r>
          </w:p>
        </w:tc>
        <w:tc>
          <w:tcPr>
            <w:tcW w:w="829" w:type="dxa"/>
          </w:tcPr>
          <w:p>
            <w:pPr>
              <w:pStyle w:val="TableParagraph"/>
              <w:ind w:left="5" w:right="10"/>
              <w:rPr>
                <w:sz w:val="24"/>
              </w:rPr>
            </w:pPr>
            <w:r>
              <w:rPr>
                <w:spacing w:val="-5"/>
                <w:sz w:val="24"/>
              </w:rPr>
              <w:t>11</w:t>
            </w:r>
          </w:p>
        </w:tc>
        <w:tc>
          <w:tcPr>
            <w:tcW w:w="829" w:type="dxa"/>
          </w:tcPr>
          <w:p>
            <w:pPr>
              <w:pStyle w:val="TableParagraph"/>
              <w:ind w:left="4" w:right="10"/>
              <w:rPr>
                <w:sz w:val="24"/>
              </w:rPr>
            </w:pPr>
            <w:r>
              <w:rPr>
                <w:spacing w:val="-10"/>
                <w:sz w:val="24"/>
              </w:rPr>
              <w:t>8</w:t>
            </w:r>
          </w:p>
        </w:tc>
        <w:tc>
          <w:tcPr>
            <w:tcW w:w="829" w:type="dxa"/>
          </w:tcPr>
          <w:p>
            <w:pPr>
              <w:pStyle w:val="TableParagraph"/>
              <w:ind w:left="2" w:right="10"/>
              <w:rPr>
                <w:sz w:val="24"/>
              </w:rPr>
            </w:pPr>
            <w:r>
              <w:rPr>
                <w:spacing w:val="-10"/>
                <w:sz w:val="24"/>
              </w:rPr>
              <w:t>3</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893" w:type="dxa"/>
          </w:tcPr>
          <w:p>
            <w:pPr>
              <w:pStyle w:val="TableParagraph"/>
              <w:ind w:left="8" w:right="1"/>
              <w:rPr>
                <w:sz w:val="24"/>
              </w:rPr>
            </w:pPr>
            <w:r>
              <w:rPr>
                <w:spacing w:val="-10"/>
                <w:sz w:val="24"/>
              </w:rPr>
              <w:t>9</w:t>
            </w:r>
          </w:p>
        </w:tc>
        <w:tc>
          <w:tcPr>
            <w:tcW w:w="1308" w:type="dxa"/>
          </w:tcPr>
          <w:p>
            <w:pPr>
              <w:pStyle w:val="TableParagraph"/>
              <w:ind w:left="53" w:right="1"/>
              <w:rPr>
                <w:sz w:val="24"/>
              </w:rPr>
            </w:pPr>
            <w:r>
              <w:rPr>
                <w:spacing w:val="-5"/>
                <w:sz w:val="24"/>
              </w:rPr>
              <w:t>55</w:t>
            </w:r>
          </w:p>
        </w:tc>
        <w:tc>
          <w:tcPr>
            <w:tcW w:w="885" w:type="dxa"/>
          </w:tcPr>
          <w:p>
            <w:pPr>
              <w:pStyle w:val="TableParagraph"/>
              <w:ind w:left="55" w:right="2"/>
              <w:rPr>
                <w:sz w:val="24"/>
              </w:rPr>
            </w:pPr>
            <w:r>
              <w:rPr>
                <w:spacing w:val="-5"/>
                <w:sz w:val="24"/>
              </w:rPr>
              <w:t>41</w:t>
            </w:r>
          </w:p>
        </w:tc>
        <w:tc>
          <w:tcPr>
            <w:tcW w:w="829" w:type="dxa"/>
          </w:tcPr>
          <w:p>
            <w:pPr>
              <w:pStyle w:val="TableParagraph"/>
              <w:ind w:left="8" w:right="10"/>
              <w:rPr>
                <w:sz w:val="24"/>
              </w:rPr>
            </w:pPr>
            <w:r>
              <w:rPr>
                <w:spacing w:val="-5"/>
                <w:sz w:val="24"/>
              </w:rPr>
              <w:t>30</w:t>
            </w:r>
          </w:p>
        </w:tc>
        <w:tc>
          <w:tcPr>
            <w:tcW w:w="829" w:type="dxa"/>
          </w:tcPr>
          <w:p>
            <w:pPr>
              <w:pStyle w:val="TableParagraph"/>
              <w:ind w:left="7" w:right="10"/>
              <w:rPr>
                <w:sz w:val="24"/>
              </w:rPr>
            </w:pPr>
            <w:r>
              <w:rPr>
                <w:spacing w:val="-5"/>
                <w:sz w:val="24"/>
              </w:rPr>
              <w:t>26</w:t>
            </w:r>
          </w:p>
        </w:tc>
        <w:tc>
          <w:tcPr>
            <w:tcW w:w="829" w:type="dxa"/>
          </w:tcPr>
          <w:p>
            <w:pPr>
              <w:pStyle w:val="TableParagraph"/>
              <w:ind w:left="5" w:right="10"/>
              <w:rPr>
                <w:sz w:val="24"/>
              </w:rPr>
            </w:pPr>
            <w:r>
              <w:rPr>
                <w:spacing w:val="-5"/>
                <w:sz w:val="24"/>
              </w:rPr>
              <w:t>19</w:t>
            </w:r>
          </w:p>
        </w:tc>
        <w:tc>
          <w:tcPr>
            <w:tcW w:w="829" w:type="dxa"/>
          </w:tcPr>
          <w:p>
            <w:pPr>
              <w:pStyle w:val="TableParagraph"/>
              <w:ind w:left="4" w:right="10"/>
              <w:rPr>
                <w:sz w:val="24"/>
              </w:rPr>
            </w:pPr>
            <w:r>
              <w:rPr>
                <w:spacing w:val="-5"/>
                <w:sz w:val="24"/>
              </w:rPr>
              <w:t>11</w:t>
            </w:r>
          </w:p>
        </w:tc>
        <w:tc>
          <w:tcPr>
            <w:tcW w:w="829" w:type="dxa"/>
          </w:tcPr>
          <w:p>
            <w:pPr>
              <w:pStyle w:val="TableParagraph"/>
              <w:ind w:left="2" w:right="10"/>
              <w:rPr>
                <w:sz w:val="24"/>
              </w:rPr>
            </w:pPr>
            <w:r>
              <w:rPr>
                <w:spacing w:val="-10"/>
                <w:sz w:val="24"/>
              </w:rPr>
              <w:t>5</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5"/>
                <w:sz w:val="24"/>
              </w:rPr>
              <w:t>10</w:t>
            </w:r>
          </w:p>
        </w:tc>
        <w:tc>
          <w:tcPr>
            <w:tcW w:w="1308" w:type="dxa"/>
          </w:tcPr>
          <w:p>
            <w:pPr>
              <w:pStyle w:val="TableParagraph"/>
              <w:ind w:left="53" w:right="1"/>
              <w:rPr>
                <w:sz w:val="24"/>
              </w:rPr>
            </w:pPr>
            <w:r>
              <w:rPr>
                <w:spacing w:val="-5"/>
                <w:sz w:val="24"/>
              </w:rPr>
              <w:t>92</w:t>
            </w:r>
          </w:p>
        </w:tc>
        <w:tc>
          <w:tcPr>
            <w:tcW w:w="885" w:type="dxa"/>
          </w:tcPr>
          <w:p>
            <w:pPr>
              <w:pStyle w:val="TableParagraph"/>
              <w:ind w:left="55" w:right="2"/>
              <w:rPr>
                <w:sz w:val="24"/>
              </w:rPr>
            </w:pPr>
            <w:r>
              <w:rPr>
                <w:spacing w:val="-5"/>
                <w:sz w:val="24"/>
              </w:rPr>
              <w:t>74</w:t>
            </w:r>
          </w:p>
        </w:tc>
        <w:tc>
          <w:tcPr>
            <w:tcW w:w="829" w:type="dxa"/>
          </w:tcPr>
          <w:p>
            <w:pPr>
              <w:pStyle w:val="TableParagraph"/>
              <w:ind w:left="8" w:right="10"/>
              <w:rPr>
                <w:sz w:val="24"/>
              </w:rPr>
            </w:pPr>
            <w:r>
              <w:rPr>
                <w:spacing w:val="-5"/>
                <w:sz w:val="24"/>
              </w:rPr>
              <w:t>49</w:t>
            </w:r>
          </w:p>
        </w:tc>
        <w:tc>
          <w:tcPr>
            <w:tcW w:w="829" w:type="dxa"/>
          </w:tcPr>
          <w:p>
            <w:pPr>
              <w:pStyle w:val="TableParagraph"/>
              <w:ind w:left="7" w:right="10"/>
              <w:rPr>
                <w:sz w:val="24"/>
              </w:rPr>
            </w:pPr>
            <w:r>
              <w:rPr>
                <w:spacing w:val="-5"/>
                <w:sz w:val="24"/>
              </w:rPr>
              <w:t>30</w:t>
            </w:r>
          </w:p>
        </w:tc>
        <w:tc>
          <w:tcPr>
            <w:tcW w:w="829" w:type="dxa"/>
          </w:tcPr>
          <w:p>
            <w:pPr>
              <w:pStyle w:val="TableParagraph"/>
              <w:ind w:left="5" w:right="10"/>
              <w:rPr>
                <w:sz w:val="24"/>
              </w:rPr>
            </w:pPr>
            <w:r>
              <w:rPr>
                <w:spacing w:val="-5"/>
                <w:sz w:val="24"/>
              </w:rPr>
              <w:t>18</w:t>
            </w:r>
          </w:p>
        </w:tc>
        <w:tc>
          <w:tcPr>
            <w:tcW w:w="829" w:type="dxa"/>
          </w:tcPr>
          <w:p>
            <w:pPr>
              <w:pStyle w:val="TableParagraph"/>
              <w:ind w:left="4" w:right="10"/>
              <w:rPr>
                <w:sz w:val="24"/>
              </w:rPr>
            </w:pPr>
            <w:r>
              <w:rPr>
                <w:spacing w:val="-10"/>
                <w:sz w:val="24"/>
              </w:rPr>
              <w:t>8</w:t>
            </w:r>
          </w:p>
        </w:tc>
        <w:tc>
          <w:tcPr>
            <w:tcW w:w="829" w:type="dxa"/>
          </w:tcPr>
          <w:p>
            <w:pPr>
              <w:pStyle w:val="TableParagraph"/>
              <w:ind w:left="2" w:right="10"/>
              <w:rPr>
                <w:sz w:val="24"/>
              </w:rPr>
            </w:pPr>
            <w:r>
              <w:rPr>
                <w:spacing w:val="-10"/>
                <w:sz w:val="24"/>
              </w:rPr>
              <w:t>3</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5"/>
                <w:sz w:val="24"/>
              </w:rPr>
              <w:t>11</w:t>
            </w:r>
          </w:p>
        </w:tc>
        <w:tc>
          <w:tcPr>
            <w:tcW w:w="1308" w:type="dxa"/>
          </w:tcPr>
          <w:p>
            <w:pPr>
              <w:pStyle w:val="TableParagraph"/>
              <w:ind w:left="53" w:right="1"/>
              <w:rPr>
                <w:sz w:val="24"/>
              </w:rPr>
            </w:pPr>
            <w:r>
              <w:rPr>
                <w:spacing w:val="-5"/>
                <w:sz w:val="24"/>
              </w:rPr>
              <w:t>69</w:t>
            </w:r>
          </w:p>
        </w:tc>
        <w:tc>
          <w:tcPr>
            <w:tcW w:w="885" w:type="dxa"/>
          </w:tcPr>
          <w:p>
            <w:pPr>
              <w:pStyle w:val="TableParagraph"/>
              <w:ind w:left="55" w:right="2"/>
              <w:rPr>
                <w:sz w:val="24"/>
              </w:rPr>
            </w:pPr>
            <w:r>
              <w:rPr>
                <w:spacing w:val="-5"/>
                <w:sz w:val="24"/>
              </w:rPr>
              <w:t>50</w:t>
            </w:r>
          </w:p>
        </w:tc>
        <w:tc>
          <w:tcPr>
            <w:tcW w:w="829" w:type="dxa"/>
          </w:tcPr>
          <w:p>
            <w:pPr>
              <w:pStyle w:val="TableParagraph"/>
              <w:ind w:left="8" w:right="10"/>
              <w:rPr>
                <w:sz w:val="24"/>
              </w:rPr>
            </w:pPr>
            <w:r>
              <w:rPr>
                <w:spacing w:val="-5"/>
                <w:sz w:val="24"/>
              </w:rPr>
              <w:t>29</w:t>
            </w:r>
          </w:p>
        </w:tc>
        <w:tc>
          <w:tcPr>
            <w:tcW w:w="829" w:type="dxa"/>
          </w:tcPr>
          <w:p>
            <w:pPr>
              <w:pStyle w:val="TableParagraph"/>
              <w:ind w:left="7" w:right="10"/>
              <w:rPr>
                <w:sz w:val="24"/>
              </w:rPr>
            </w:pPr>
            <w:r>
              <w:rPr>
                <w:spacing w:val="-5"/>
                <w:sz w:val="24"/>
              </w:rPr>
              <w:t>19</w:t>
            </w:r>
          </w:p>
        </w:tc>
        <w:tc>
          <w:tcPr>
            <w:tcW w:w="829" w:type="dxa"/>
          </w:tcPr>
          <w:p>
            <w:pPr>
              <w:pStyle w:val="TableParagraph"/>
              <w:ind w:left="5" w:right="10"/>
              <w:rPr>
                <w:sz w:val="24"/>
              </w:rPr>
            </w:pPr>
            <w:r>
              <w:rPr>
                <w:spacing w:val="-5"/>
                <w:sz w:val="24"/>
              </w:rPr>
              <w:t>10</w:t>
            </w:r>
          </w:p>
        </w:tc>
        <w:tc>
          <w:tcPr>
            <w:tcW w:w="829" w:type="dxa"/>
          </w:tcPr>
          <w:p>
            <w:pPr>
              <w:pStyle w:val="TableParagraph"/>
              <w:ind w:left="4" w:right="10"/>
              <w:rPr>
                <w:sz w:val="24"/>
              </w:rPr>
            </w:pPr>
            <w:r>
              <w:rPr>
                <w:spacing w:val="-10"/>
                <w:sz w:val="24"/>
              </w:rPr>
              <w:t>3</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893" w:type="dxa"/>
          </w:tcPr>
          <w:p>
            <w:pPr>
              <w:pStyle w:val="TableParagraph"/>
              <w:ind w:left="8" w:right="1"/>
              <w:rPr>
                <w:sz w:val="24"/>
              </w:rPr>
            </w:pPr>
            <w:r>
              <w:rPr>
                <w:spacing w:val="-5"/>
                <w:sz w:val="24"/>
              </w:rPr>
              <w:t>12</w:t>
            </w:r>
          </w:p>
        </w:tc>
        <w:tc>
          <w:tcPr>
            <w:tcW w:w="1308" w:type="dxa"/>
          </w:tcPr>
          <w:p>
            <w:pPr>
              <w:pStyle w:val="TableParagraph"/>
              <w:ind w:left="53" w:right="1"/>
              <w:rPr>
                <w:sz w:val="24"/>
              </w:rPr>
            </w:pPr>
            <w:r>
              <w:rPr>
                <w:spacing w:val="-5"/>
                <w:sz w:val="24"/>
              </w:rPr>
              <w:t>68</w:t>
            </w:r>
          </w:p>
        </w:tc>
        <w:tc>
          <w:tcPr>
            <w:tcW w:w="885" w:type="dxa"/>
          </w:tcPr>
          <w:p>
            <w:pPr>
              <w:pStyle w:val="TableParagraph"/>
              <w:ind w:left="55" w:right="2"/>
              <w:rPr>
                <w:sz w:val="24"/>
              </w:rPr>
            </w:pPr>
            <w:r>
              <w:rPr>
                <w:spacing w:val="-5"/>
                <w:sz w:val="24"/>
              </w:rPr>
              <w:t>51</w:t>
            </w:r>
          </w:p>
        </w:tc>
        <w:tc>
          <w:tcPr>
            <w:tcW w:w="829" w:type="dxa"/>
          </w:tcPr>
          <w:p>
            <w:pPr>
              <w:pStyle w:val="TableParagraph"/>
              <w:ind w:left="8" w:right="10"/>
              <w:rPr>
                <w:sz w:val="24"/>
              </w:rPr>
            </w:pPr>
            <w:r>
              <w:rPr>
                <w:spacing w:val="-5"/>
                <w:sz w:val="24"/>
              </w:rPr>
              <w:t>32</w:t>
            </w:r>
          </w:p>
        </w:tc>
        <w:tc>
          <w:tcPr>
            <w:tcW w:w="829" w:type="dxa"/>
          </w:tcPr>
          <w:p>
            <w:pPr>
              <w:pStyle w:val="TableParagraph"/>
              <w:ind w:left="7" w:right="10"/>
              <w:rPr>
                <w:sz w:val="24"/>
              </w:rPr>
            </w:pPr>
            <w:r>
              <w:rPr>
                <w:spacing w:val="-5"/>
                <w:sz w:val="24"/>
              </w:rPr>
              <w:t>22</w:t>
            </w:r>
          </w:p>
        </w:tc>
        <w:tc>
          <w:tcPr>
            <w:tcW w:w="829" w:type="dxa"/>
          </w:tcPr>
          <w:p>
            <w:pPr>
              <w:pStyle w:val="TableParagraph"/>
              <w:ind w:left="5" w:right="10"/>
              <w:rPr>
                <w:sz w:val="24"/>
              </w:rPr>
            </w:pPr>
            <w:r>
              <w:rPr>
                <w:spacing w:val="-5"/>
                <w:sz w:val="24"/>
              </w:rPr>
              <w:t>18</w:t>
            </w:r>
          </w:p>
        </w:tc>
        <w:tc>
          <w:tcPr>
            <w:tcW w:w="829" w:type="dxa"/>
          </w:tcPr>
          <w:p>
            <w:pPr>
              <w:pStyle w:val="TableParagraph"/>
              <w:ind w:left="4" w:right="10"/>
              <w:rPr>
                <w:sz w:val="24"/>
              </w:rPr>
            </w:pPr>
            <w:r>
              <w:rPr>
                <w:spacing w:val="-10"/>
                <w:sz w:val="24"/>
              </w:rPr>
              <w:t>9</w:t>
            </w:r>
          </w:p>
        </w:tc>
        <w:tc>
          <w:tcPr>
            <w:tcW w:w="829" w:type="dxa"/>
          </w:tcPr>
          <w:p>
            <w:pPr>
              <w:pStyle w:val="TableParagraph"/>
              <w:ind w:left="2" w:right="10"/>
              <w:rPr>
                <w:sz w:val="24"/>
              </w:rPr>
            </w:pPr>
            <w:r>
              <w:rPr>
                <w:spacing w:val="-10"/>
                <w:sz w:val="24"/>
              </w:rPr>
              <w:t>3</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893" w:type="dxa"/>
          </w:tcPr>
          <w:p>
            <w:pPr>
              <w:pStyle w:val="TableParagraph"/>
              <w:ind w:left="8" w:right="1"/>
              <w:rPr>
                <w:sz w:val="24"/>
              </w:rPr>
            </w:pPr>
            <w:r>
              <w:rPr>
                <w:spacing w:val="-5"/>
                <w:sz w:val="24"/>
              </w:rPr>
              <w:t>13</w:t>
            </w:r>
          </w:p>
        </w:tc>
        <w:tc>
          <w:tcPr>
            <w:tcW w:w="1308" w:type="dxa"/>
          </w:tcPr>
          <w:p>
            <w:pPr>
              <w:pStyle w:val="TableParagraph"/>
              <w:ind w:left="53" w:right="1"/>
              <w:rPr>
                <w:sz w:val="24"/>
              </w:rPr>
            </w:pPr>
            <w:r>
              <w:rPr>
                <w:spacing w:val="-5"/>
                <w:sz w:val="24"/>
              </w:rPr>
              <w:t>146</w:t>
            </w:r>
          </w:p>
        </w:tc>
        <w:tc>
          <w:tcPr>
            <w:tcW w:w="885" w:type="dxa"/>
          </w:tcPr>
          <w:p>
            <w:pPr>
              <w:pStyle w:val="TableParagraph"/>
              <w:ind w:left="55" w:right="2"/>
              <w:rPr>
                <w:sz w:val="24"/>
              </w:rPr>
            </w:pPr>
            <w:r>
              <w:rPr>
                <w:spacing w:val="-5"/>
                <w:sz w:val="24"/>
              </w:rPr>
              <w:t>63</w:t>
            </w:r>
          </w:p>
        </w:tc>
        <w:tc>
          <w:tcPr>
            <w:tcW w:w="829" w:type="dxa"/>
          </w:tcPr>
          <w:p>
            <w:pPr>
              <w:pStyle w:val="TableParagraph"/>
              <w:ind w:left="8" w:right="10"/>
              <w:rPr>
                <w:sz w:val="24"/>
              </w:rPr>
            </w:pPr>
            <w:r>
              <w:rPr>
                <w:spacing w:val="-5"/>
                <w:sz w:val="24"/>
              </w:rPr>
              <w:t>32</w:t>
            </w:r>
          </w:p>
        </w:tc>
        <w:tc>
          <w:tcPr>
            <w:tcW w:w="829" w:type="dxa"/>
          </w:tcPr>
          <w:p>
            <w:pPr>
              <w:pStyle w:val="TableParagraph"/>
              <w:ind w:left="7" w:right="10"/>
              <w:rPr>
                <w:sz w:val="24"/>
              </w:rPr>
            </w:pPr>
            <w:r>
              <w:rPr>
                <w:spacing w:val="-5"/>
                <w:sz w:val="24"/>
              </w:rPr>
              <w:t>10</w:t>
            </w:r>
          </w:p>
        </w:tc>
        <w:tc>
          <w:tcPr>
            <w:tcW w:w="829" w:type="dxa"/>
          </w:tcPr>
          <w:p>
            <w:pPr>
              <w:pStyle w:val="TableParagraph"/>
              <w:ind w:left="5" w:right="10"/>
              <w:rPr>
                <w:sz w:val="24"/>
              </w:rPr>
            </w:pPr>
            <w:r>
              <w:rPr>
                <w:spacing w:val="-10"/>
                <w:sz w:val="24"/>
              </w:rPr>
              <w:t>0</w:t>
            </w:r>
          </w:p>
        </w:tc>
        <w:tc>
          <w:tcPr>
            <w:tcW w:w="829" w:type="dxa"/>
          </w:tcPr>
          <w:p>
            <w:pPr>
              <w:pStyle w:val="TableParagraph"/>
              <w:ind w:left="4" w:right="10"/>
              <w:rPr>
                <w:sz w:val="24"/>
              </w:rPr>
            </w:pPr>
            <w:r>
              <w:rPr>
                <w:spacing w:val="-10"/>
                <w:sz w:val="24"/>
              </w:rPr>
              <w:t>0</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5"/>
                <w:sz w:val="24"/>
              </w:rPr>
              <w:t>14</w:t>
            </w:r>
          </w:p>
        </w:tc>
        <w:tc>
          <w:tcPr>
            <w:tcW w:w="1308" w:type="dxa"/>
          </w:tcPr>
          <w:p>
            <w:pPr>
              <w:pStyle w:val="TableParagraph"/>
              <w:ind w:left="53" w:right="1"/>
              <w:rPr>
                <w:sz w:val="24"/>
              </w:rPr>
            </w:pPr>
            <w:r>
              <w:rPr>
                <w:spacing w:val="-5"/>
                <w:sz w:val="24"/>
              </w:rPr>
              <w:t>86</w:t>
            </w:r>
          </w:p>
        </w:tc>
        <w:tc>
          <w:tcPr>
            <w:tcW w:w="885" w:type="dxa"/>
          </w:tcPr>
          <w:p>
            <w:pPr>
              <w:pStyle w:val="TableParagraph"/>
              <w:ind w:left="55" w:right="2"/>
              <w:rPr>
                <w:sz w:val="24"/>
              </w:rPr>
            </w:pPr>
            <w:r>
              <w:rPr>
                <w:spacing w:val="-5"/>
                <w:sz w:val="24"/>
              </w:rPr>
              <w:t>52</w:t>
            </w:r>
          </w:p>
        </w:tc>
        <w:tc>
          <w:tcPr>
            <w:tcW w:w="829" w:type="dxa"/>
          </w:tcPr>
          <w:p>
            <w:pPr>
              <w:pStyle w:val="TableParagraph"/>
              <w:ind w:left="8" w:right="10"/>
              <w:rPr>
                <w:sz w:val="24"/>
              </w:rPr>
            </w:pPr>
            <w:r>
              <w:rPr>
                <w:spacing w:val="-5"/>
                <w:sz w:val="24"/>
              </w:rPr>
              <w:t>36</w:t>
            </w:r>
          </w:p>
        </w:tc>
        <w:tc>
          <w:tcPr>
            <w:tcW w:w="829" w:type="dxa"/>
          </w:tcPr>
          <w:p>
            <w:pPr>
              <w:pStyle w:val="TableParagraph"/>
              <w:ind w:left="7" w:right="10"/>
              <w:rPr>
                <w:sz w:val="24"/>
              </w:rPr>
            </w:pPr>
            <w:r>
              <w:rPr>
                <w:spacing w:val="-5"/>
                <w:sz w:val="24"/>
              </w:rPr>
              <w:t>12</w:t>
            </w:r>
          </w:p>
        </w:tc>
        <w:tc>
          <w:tcPr>
            <w:tcW w:w="829" w:type="dxa"/>
          </w:tcPr>
          <w:p>
            <w:pPr>
              <w:pStyle w:val="TableParagraph"/>
              <w:ind w:left="5" w:right="10"/>
              <w:rPr>
                <w:sz w:val="24"/>
              </w:rPr>
            </w:pPr>
            <w:r>
              <w:rPr>
                <w:spacing w:val="-10"/>
                <w:sz w:val="24"/>
              </w:rPr>
              <w:t>2</w:t>
            </w:r>
          </w:p>
        </w:tc>
        <w:tc>
          <w:tcPr>
            <w:tcW w:w="829" w:type="dxa"/>
          </w:tcPr>
          <w:p>
            <w:pPr>
              <w:pStyle w:val="TableParagraph"/>
              <w:ind w:left="4" w:right="10"/>
              <w:rPr>
                <w:sz w:val="24"/>
              </w:rPr>
            </w:pPr>
            <w:r>
              <w:rPr>
                <w:spacing w:val="-10"/>
                <w:sz w:val="24"/>
              </w:rPr>
              <w:t>0</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893" w:type="dxa"/>
          </w:tcPr>
          <w:p>
            <w:pPr>
              <w:pStyle w:val="TableParagraph"/>
              <w:ind w:left="8" w:right="1"/>
              <w:rPr>
                <w:sz w:val="24"/>
              </w:rPr>
            </w:pPr>
            <w:r>
              <w:rPr>
                <w:spacing w:val="-5"/>
                <w:sz w:val="24"/>
              </w:rPr>
              <w:t>15</w:t>
            </w:r>
          </w:p>
        </w:tc>
        <w:tc>
          <w:tcPr>
            <w:tcW w:w="1308" w:type="dxa"/>
          </w:tcPr>
          <w:p>
            <w:pPr>
              <w:pStyle w:val="TableParagraph"/>
              <w:ind w:left="53" w:right="1"/>
              <w:rPr>
                <w:sz w:val="24"/>
              </w:rPr>
            </w:pPr>
            <w:r>
              <w:rPr>
                <w:spacing w:val="-5"/>
                <w:sz w:val="24"/>
              </w:rPr>
              <w:t>178</w:t>
            </w:r>
          </w:p>
        </w:tc>
        <w:tc>
          <w:tcPr>
            <w:tcW w:w="885" w:type="dxa"/>
          </w:tcPr>
          <w:p>
            <w:pPr>
              <w:pStyle w:val="TableParagraph"/>
              <w:ind w:left="55" w:right="2"/>
              <w:rPr>
                <w:sz w:val="24"/>
              </w:rPr>
            </w:pPr>
            <w:r>
              <w:rPr>
                <w:spacing w:val="-5"/>
                <w:sz w:val="24"/>
              </w:rPr>
              <w:t>54</w:t>
            </w:r>
          </w:p>
        </w:tc>
        <w:tc>
          <w:tcPr>
            <w:tcW w:w="829" w:type="dxa"/>
          </w:tcPr>
          <w:p>
            <w:pPr>
              <w:pStyle w:val="TableParagraph"/>
              <w:ind w:left="8" w:right="10"/>
              <w:rPr>
                <w:sz w:val="24"/>
              </w:rPr>
            </w:pPr>
            <w:r>
              <w:rPr>
                <w:spacing w:val="-5"/>
                <w:sz w:val="24"/>
              </w:rPr>
              <w:t>34</w:t>
            </w:r>
          </w:p>
        </w:tc>
        <w:tc>
          <w:tcPr>
            <w:tcW w:w="829" w:type="dxa"/>
          </w:tcPr>
          <w:p>
            <w:pPr>
              <w:pStyle w:val="TableParagraph"/>
              <w:ind w:left="7" w:right="10"/>
              <w:rPr>
                <w:sz w:val="24"/>
              </w:rPr>
            </w:pPr>
            <w:r>
              <w:rPr>
                <w:spacing w:val="-5"/>
                <w:sz w:val="24"/>
              </w:rPr>
              <w:t>14</w:t>
            </w:r>
          </w:p>
        </w:tc>
        <w:tc>
          <w:tcPr>
            <w:tcW w:w="829" w:type="dxa"/>
          </w:tcPr>
          <w:p>
            <w:pPr>
              <w:pStyle w:val="TableParagraph"/>
              <w:ind w:left="5" w:right="10"/>
              <w:rPr>
                <w:sz w:val="24"/>
              </w:rPr>
            </w:pPr>
            <w:r>
              <w:rPr>
                <w:spacing w:val="-10"/>
                <w:sz w:val="24"/>
              </w:rPr>
              <w:t>4</w:t>
            </w:r>
          </w:p>
        </w:tc>
        <w:tc>
          <w:tcPr>
            <w:tcW w:w="829" w:type="dxa"/>
          </w:tcPr>
          <w:p>
            <w:pPr>
              <w:pStyle w:val="TableParagraph"/>
              <w:ind w:left="4" w:right="10"/>
              <w:rPr>
                <w:sz w:val="24"/>
              </w:rPr>
            </w:pPr>
            <w:r>
              <w:rPr>
                <w:spacing w:val="-10"/>
                <w:sz w:val="24"/>
              </w:rPr>
              <w:t>0</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5"/>
                <w:sz w:val="24"/>
              </w:rPr>
              <w:t>16</w:t>
            </w:r>
          </w:p>
        </w:tc>
        <w:tc>
          <w:tcPr>
            <w:tcW w:w="1308" w:type="dxa"/>
          </w:tcPr>
          <w:p>
            <w:pPr>
              <w:pStyle w:val="TableParagraph"/>
              <w:ind w:left="53" w:right="1"/>
              <w:rPr>
                <w:sz w:val="24"/>
              </w:rPr>
            </w:pPr>
            <w:r>
              <w:rPr>
                <w:spacing w:val="-5"/>
                <w:sz w:val="24"/>
              </w:rPr>
              <w:t>74</w:t>
            </w:r>
          </w:p>
        </w:tc>
        <w:tc>
          <w:tcPr>
            <w:tcW w:w="885" w:type="dxa"/>
          </w:tcPr>
          <w:p>
            <w:pPr>
              <w:pStyle w:val="TableParagraph"/>
              <w:ind w:left="55" w:right="2"/>
              <w:rPr>
                <w:sz w:val="24"/>
              </w:rPr>
            </w:pPr>
            <w:r>
              <w:rPr>
                <w:spacing w:val="-5"/>
                <w:sz w:val="24"/>
              </w:rPr>
              <w:t>52</w:t>
            </w:r>
          </w:p>
        </w:tc>
        <w:tc>
          <w:tcPr>
            <w:tcW w:w="829" w:type="dxa"/>
          </w:tcPr>
          <w:p>
            <w:pPr>
              <w:pStyle w:val="TableParagraph"/>
              <w:ind w:left="8" w:right="10"/>
              <w:rPr>
                <w:sz w:val="24"/>
              </w:rPr>
            </w:pPr>
            <w:r>
              <w:rPr>
                <w:spacing w:val="-5"/>
                <w:sz w:val="24"/>
              </w:rPr>
              <w:t>20</w:t>
            </w:r>
          </w:p>
        </w:tc>
        <w:tc>
          <w:tcPr>
            <w:tcW w:w="829" w:type="dxa"/>
          </w:tcPr>
          <w:p>
            <w:pPr>
              <w:pStyle w:val="TableParagraph"/>
              <w:ind w:left="7" w:right="10"/>
              <w:rPr>
                <w:sz w:val="24"/>
              </w:rPr>
            </w:pPr>
            <w:r>
              <w:rPr>
                <w:spacing w:val="-10"/>
                <w:sz w:val="24"/>
              </w:rPr>
              <w:t>8</w:t>
            </w:r>
          </w:p>
        </w:tc>
        <w:tc>
          <w:tcPr>
            <w:tcW w:w="829" w:type="dxa"/>
          </w:tcPr>
          <w:p>
            <w:pPr>
              <w:pStyle w:val="TableParagraph"/>
              <w:ind w:left="5" w:right="10"/>
              <w:rPr>
                <w:sz w:val="24"/>
              </w:rPr>
            </w:pPr>
            <w:r>
              <w:rPr>
                <w:spacing w:val="-10"/>
                <w:sz w:val="24"/>
              </w:rPr>
              <w:t>2</w:t>
            </w:r>
          </w:p>
        </w:tc>
        <w:tc>
          <w:tcPr>
            <w:tcW w:w="829" w:type="dxa"/>
          </w:tcPr>
          <w:p>
            <w:pPr>
              <w:pStyle w:val="TableParagraph"/>
              <w:ind w:left="4" w:right="10"/>
              <w:rPr>
                <w:sz w:val="24"/>
              </w:rPr>
            </w:pPr>
            <w:r>
              <w:rPr>
                <w:spacing w:val="-10"/>
                <w:sz w:val="24"/>
              </w:rPr>
              <w:t>0</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5"/>
                <w:sz w:val="24"/>
              </w:rPr>
              <w:t>17</w:t>
            </w:r>
          </w:p>
        </w:tc>
        <w:tc>
          <w:tcPr>
            <w:tcW w:w="1308" w:type="dxa"/>
          </w:tcPr>
          <w:p>
            <w:pPr>
              <w:pStyle w:val="TableParagraph"/>
              <w:ind w:left="53" w:right="1"/>
              <w:rPr>
                <w:sz w:val="24"/>
              </w:rPr>
            </w:pPr>
            <w:r>
              <w:rPr>
                <w:spacing w:val="-5"/>
                <w:sz w:val="24"/>
              </w:rPr>
              <w:t>96</w:t>
            </w:r>
          </w:p>
        </w:tc>
        <w:tc>
          <w:tcPr>
            <w:tcW w:w="885" w:type="dxa"/>
          </w:tcPr>
          <w:p>
            <w:pPr>
              <w:pStyle w:val="TableParagraph"/>
              <w:ind w:left="55" w:right="2"/>
              <w:rPr>
                <w:sz w:val="24"/>
              </w:rPr>
            </w:pPr>
            <w:r>
              <w:rPr>
                <w:spacing w:val="-5"/>
                <w:sz w:val="24"/>
              </w:rPr>
              <w:t>58</w:t>
            </w:r>
          </w:p>
        </w:tc>
        <w:tc>
          <w:tcPr>
            <w:tcW w:w="829" w:type="dxa"/>
          </w:tcPr>
          <w:p>
            <w:pPr>
              <w:pStyle w:val="TableParagraph"/>
              <w:ind w:left="8" w:right="10"/>
              <w:rPr>
                <w:sz w:val="24"/>
              </w:rPr>
            </w:pPr>
            <w:r>
              <w:rPr>
                <w:spacing w:val="-5"/>
                <w:sz w:val="24"/>
              </w:rPr>
              <w:t>30</w:t>
            </w:r>
          </w:p>
        </w:tc>
        <w:tc>
          <w:tcPr>
            <w:tcW w:w="829" w:type="dxa"/>
          </w:tcPr>
          <w:p>
            <w:pPr>
              <w:pStyle w:val="TableParagraph"/>
              <w:ind w:left="7" w:right="10"/>
              <w:rPr>
                <w:sz w:val="24"/>
              </w:rPr>
            </w:pPr>
            <w:r>
              <w:rPr>
                <w:spacing w:val="-5"/>
                <w:sz w:val="24"/>
              </w:rPr>
              <w:t>22</w:t>
            </w:r>
          </w:p>
        </w:tc>
        <w:tc>
          <w:tcPr>
            <w:tcW w:w="829" w:type="dxa"/>
          </w:tcPr>
          <w:p>
            <w:pPr>
              <w:pStyle w:val="TableParagraph"/>
              <w:ind w:left="5" w:right="10"/>
              <w:rPr>
                <w:sz w:val="24"/>
              </w:rPr>
            </w:pPr>
            <w:r>
              <w:rPr>
                <w:spacing w:val="-10"/>
                <w:sz w:val="24"/>
              </w:rPr>
              <w:t>6</w:t>
            </w:r>
          </w:p>
        </w:tc>
        <w:tc>
          <w:tcPr>
            <w:tcW w:w="829" w:type="dxa"/>
          </w:tcPr>
          <w:p>
            <w:pPr>
              <w:pStyle w:val="TableParagraph"/>
              <w:ind w:left="4" w:right="10"/>
              <w:rPr>
                <w:sz w:val="24"/>
              </w:rPr>
            </w:pPr>
            <w:r>
              <w:rPr>
                <w:spacing w:val="-10"/>
                <w:sz w:val="24"/>
              </w:rPr>
              <w:t>0</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893" w:type="dxa"/>
          </w:tcPr>
          <w:p>
            <w:pPr>
              <w:pStyle w:val="TableParagraph"/>
              <w:ind w:left="8" w:right="1"/>
              <w:rPr>
                <w:sz w:val="24"/>
              </w:rPr>
            </w:pPr>
            <w:r>
              <w:rPr>
                <w:spacing w:val="-5"/>
                <w:sz w:val="24"/>
              </w:rPr>
              <w:t>18</w:t>
            </w:r>
          </w:p>
        </w:tc>
        <w:tc>
          <w:tcPr>
            <w:tcW w:w="1308" w:type="dxa"/>
          </w:tcPr>
          <w:p>
            <w:pPr>
              <w:pStyle w:val="TableParagraph"/>
              <w:ind w:left="53" w:right="1"/>
              <w:rPr>
                <w:sz w:val="24"/>
              </w:rPr>
            </w:pPr>
            <w:r>
              <w:rPr>
                <w:spacing w:val="-5"/>
                <w:sz w:val="24"/>
              </w:rPr>
              <w:t>70</w:t>
            </w:r>
          </w:p>
        </w:tc>
        <w:tc>
          <w:tcPr>
            <w:tcW w:w="885" w:type="dxa"/>
          </w:tcPr>
          <w:p>
            <w:pPr>
              <w:pStyle w:val="TableParagraph"/>
              <w:ind w:left="55" w:right="2"/>
              <w:rPr>
                <w:sz w:val="24"/>
              </w:rPr>
            </w:pPr>
            <w:r>
              <w:rPr>
                <w:spacing w:val="-5"/>
                <w:sz w:val="24"/>
              </w:rPr>
              <w:t>40</w:t>
            </w:r>
          </w:p>
        </w:tc>
        <w:tc>
          <w:tcPr>
            <w:tcW w:w="829" w:type="dxa"/>
          </w:tcPr>
          <w:p>
            <w:pPr>
              <w:pStyle w:val="TableParagraph"/>
              <w:ind w:left="8" w:right="10"/>
              <w:rPr>
                <w:sz w:val="24"/>
              </w:rPr>
            </w:pPr>
            <w:r>
              <w:rPr>
                <w:spacing w:val="-5"/>
                <w:sz w:val="24"/>
              </w:rPr>
              <w:t>22</w:t>
            </w:r>
          </w:p>
        </w:tc>
        <w:tc>
          <w:tcPr>
            <w:tcW w:w="829" w:type="dxa"/>
          </w:tcPr>
          <w:p>
            <w:pPr>
              <w:pStyle w:val="TableParagraph"/>
              <w:ind w:left="7" w:right="10"/>
              <w:rPr>
                <w:sz w:val="24"/>
              </w:rPr>
            </w:pPr>
            <w:r>
              <w:rPr>
                <w:spacing w:val="-5"/>
                <w:sz w:val="24"/>
              </w:rPr>
              <w:t>10</w:t>
            </w:r>
          </w:p>
        </w:tc>
        <w:tc>
          <w:tcPr>
            <w:tcW w:w="829" w:type="dxa"/>
          </w:tcPr>
          <w:p>
            <w:pPr>
              <w:pStyle w:val="TableParagraph"/>
              <w:ind w:left="5" w:right="10"/>
              <w:rPr>
                <w:sz w:val="24"/>
              </w:rPr>
            </w:pPr>
            <w:r>
              <w:rPr>
                <w:spacing w:val="-10"/>
                <w:sz w:val="24"/>
              </w:rPr>
              <w:t>0</w:t>
            </w:r>
          </w:p>
        </w:tc>
        <w:tc>
          <w:tcPr>
            <w:tcW w:w="829" w:type="dxa"/>
          </w:tcPr>
          <w:p>
            <w:pPr>
              <w:pStyle w:val="TableParagraph"/>
              <w:ind w:left="4" w:right="10"/>
              <w:rPr>
                <w:sz w:val="24"/>
              </w:rPr>
            </w:pPr>
            <w:r>
              <w:rPr>
                <w:spacing w:val="-10"/>
                <w:sz w:val="24"/>
              </w:rPr>
              <w:t>0</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893" w:type="dxa"/>
          </w:tcPr>
          <w:p>
            <w:pPr>
              <w:pStyle w:val="TableParagraph"/>
              <w:ind w:left="8" w:right="1"/>
              <w:rPr>
                <w:sz w:val="24"/>
              </w:rPr>
            </w:pPr>
            <w:r>
              <w:rPr>
                <w:spacing w:val="-5"/>
                <w:sz w:val="24"/>
              </w:rPr>
              <w:t>19</w:t>
            </w:r>
          </w:p>
        </w:tc>
        <w:tc>
          <w:tcPr>
            <w:tcW w:w="1308" w:type="dxa"/>
          </w:tcPr>
          <w:p>
            <w:pPr>
              <w:pStyle w:val="TableParagraph"/>
              <w:ind w:left="53" w:right="1"/>
              <w:rPr>
                <w:sz w:val="24"/>
              </w:rPr>
            </w:pPr>
            <w:r>
              <w:rPr>
                <w:spacing w:val="-5"/>
                <w:sz w:val="24"/>
              </w:rPr>
              <w:t>124</w:t>
            </w:r>
          </w:p>
        </w:tc>
        <w:tc>
          <w:tcPr>
            <w:tcW w:w="885" w:type="dxa"/>
          </w:tcPr>
          <w:p>
            <w:pPr>
              <w:pStyle w:val="TableParagraph"/>
              <w:ind w:left="55" w:right="2"/>
              <w:rPr>
                <w:sz w:val="24"/>
              </w:rPr>
            </w:pPr>
            <w:r>
              <w:rPr>
                <w:spacing w:val="-5"/>
                <w:sz w:val="24"/>
              </w:rPr>
              <w:t>94</w:t>
            </w:r>
          </w:p>
        </w:tc>
        <w:tc>
          <w:tcPr>
            <w:tcW w:w="829" w:type="dxa"/>
          </w:tcPr>
          <w:p>
            <w:pPr>
              <w:pStyle w:val="TableParagraph"/>
              <w:ind w:left="8" w:right="10"/>
              <w:rPr>
                <w:sz w:val="24"/>
              </w:rPr>
            </w:pPr>
            <w:r>
              <w:rPr>
                <w:spacing w:val="-5"/>
                <w:sz w:val="24"/>
              </w:rPr>
              <w:t>42</w:t>
            </w:r>
          </w:p>
        </w:tc>
        <w:tc>
          <w:tcPr>
            <w:tcW w:w="829" w:type="dxa"/>
          </w:tcPr>
          <w:p>
            <w:pPr>
              <w:pStyle w:val="TableParagraph"/>
              <w:ind w:left="7" w:right="10"/>
              <w:rPr>
                <w:sz w:val="24"/>
              </w:rPr>
            </w:pPr>
            <w:r>
              <w:rPr>
                <w:spacing w:val="-5"/>
                <w:sz w:val="24"/>
              </w:rPr>
              <w:t>18</w:t>
            </w:r>
          </w:p>
        </w:tc>
        <w:tc>
          <w:tcPr>
            <w:tcW w:w="829" w:type="dxa"/>
          </w:tcPr>
          <w:p>
            <w:pPr>
              <w:pStyle w:val="TableParagraph"/>
              <w:ind w:left="5" w:right="10"/>
              <w:rPr>
                <w:sz w:val="24"/>
              </w:rPr>
            </w:pPr>
            <w:r>
              <w:rPr>
                <w:spacing w:val="-10"/>
                <w:sz w:val="24"/>
              </w:rPr>
              <w:t>4</w:t>
            </w:r>
          </w:p>
        </w:tc>
        <w:tc>
          <w:tcPr>
            <w:tcW w:w="829" w:type="dxa"/>
          </w:tcPr>
          <w:p>
            <w:pPr>
              <w:pStyle w:val="TableParagraph"/>
              <w:ind w:left="4" w:right="10"/>
              <w:rPr>
                <w:sz w:val="24"/>
              </w:rPr>
            </w:pPr>
            <w:r>
              <w:rPr>
                <w:spacing w:val="-10"/>
                <w:sz w:val="24"/>
              </w:rPr>
              <w:t>0</w:t>
            </w:r>
          </w:p>
        </w:tc>
        <w:tc>
          <w:tcPr>
            <w:tcW w:w="829" w:type="dxa"/>
          </w:tcPr>
          <w:p>
            <w:pPr>
              <w:pStyle w:val="TableParagraph"/>
              <w:ind w:left="2" w:right="10"/>
              <w:rPr>
                <w:sz w:val="24"/>
              </w:rPr>
            </w:pPr>
            <w:r>
              <w:rPr>
                <w:spacing w:val="-10"/>
                <w:sz w:val="24"/>
              </w:rPr>
              <w:t>0</w:t>
            </w:r>
          </w:p>
        </w:tc>
        <w:tc>
          <w:tcPr>
            <w:tcW w:w="829" w:type="dxa"/>
          </w:tcPr>
          <w:p>
            <w:pPr>
              <w:pStyle w:val="TableParagraph"/>
              <w:ind w:right="10"/>
              <w:rPr>
                <w:sz w:val="24"/>
              </w:rPr>
            </w:pPr>
            <w:r>
              <w:rPr>
                <w:spacing w:val="-10"/>
                <w:sz w:val="24"/>
              </w:rPr>
              <w:t>0</w:t>
            </w:r>
          </w:p>
        </w:tc>
        <w:tc>
          <w:tcPr>
            <w:tcW w:w="759" w:type="dxa"/>
          </w:tcPr>
          <w:p>
            <w:pPr>
              <w:pStyle w:val="TableParagraph"/>
              <w:spacing w:line="240" w:lineRule="auto" w:before="0"/>
              <w:jc w:val="left"/>
              <w:rPr>
                <w:sz w:val="20"/>
              </w:rPr>
            </w:pPr>
          </w:p>
        </w:tc>
      </w:tr>
      <w:tr>
        <w:trPr>
          <w:trHeight w:val="284" w:hRule="atLeast"/>
        </w:trPr>
        <w:tc>
          <w:tcPr>
            <w:tcW w:w="1893" w:type="dxa"/>
            <w:tcBorders>
              <w:bottom w:val="single" w:sz="4" w:space="0" w:color="000000"/>
            </w:tcBorders>
          </w:tcPr>
          <w:p>
            <w:pPr>
              <w:pStyle w:val="TableParagraph"/>
              <w:spacing w:line="264" w:lineRule="exact"/>
              <w:ind w:left="8" w:right="1"/>
              <w:rPr>
                <w:sz w:val="24"/>
              </w:rPr>
            </w:pPr>
            <w:r>
              <w:rPr>
                <w:spacing w:val="-5"/>
                <w:sz w:val="24"/>
              </w:rPr>
              <w:t>20</w:t>
            </w:r>
          </w:p>
        </w:tc>
        <w:tc>
          <w:tcPr>
            <w:tcW w:w="1308" w:type="dxa"/>
            <w:tcBorders>
              <w:bottom w:val="single" w:sz="4" w:space="0" w:color="000000"/>
            </w:tcBorders>
          </w:tcPr>
          <w:p>
            <w:pPr>
              <w:pStyle w:val="TableParagraph"/>
              <w:spacing w:line="264" w:lineRule="exact"/>
              <w:ind w:left="53" w:right="1"/>
              <w:rPr>
                <w:sz w:val="24"/>
              </w:rPr>
            </w:pPr>
            <w:r>
              <w:rPr>
                <w:spacing w:val="-5"/>
                <w:sz w:val="24"/>
              </w:rPr>
              <w:t>202</w:t>
            </w:r>
          </w:p>
        </w:tc>
        <w:tc>
          <w:tcPr>
            <w:tcW w:w="885" w:type="dxa"/>
            <w:tcBorders>
              <w:bottom w:val="single" w:sz="4" w:space="0" w:color="000000"/>
            </w:tcBorders>
          </w:tcPr>
          <w:p>
            <w:pPr>
              <w:pStyle w:val="TableParagraph"/>
              <w:spacing w:line="264" w:lineRule="exact"/>
              <w:ind w:left="55" w:right="2"/>
              <w:rPr>
                <w:sz w:val="24"/>
              </w:rPr>
            </w:pPr>
            <w:r>
              <w:rPr>
                <w:spacing w:val="-5"/>
                <w:sz w:val="24"/>
              </w:rPr>
              <w:t>116</w:t>
            </w:r>
          </w:p>
        </w:tc>
        <w:tc>
          <w:tcPr>
            <w:tcW w:w="829" w:type="dxa"/>
            <w:tcBorders>
              <w:bottom w:val="single" w:sz="4" w:space="0" w:color="000000"/>
            </w:tcBorders>
          </w:tcPr>
          <w:p>
            <w:pPr>
              <w:pStyle w:val="TableParagraph"/>
              <w:spacing w:line="264" w:lineRule="exact"/>
              <w:ind w:left="8" w:right="10"/>
              <w:rPr>
                <w:sz w:val="24"/>
              </w:rPr>
            </w:pPr>
            <w:r>
              <w:rPr>
                <w:spacing w:val="-5"/>
                <w:sz w:val="24"/>
              </w:rPr>
              <w:t>30</w:t>
            </w:r>
          </w:p>
        </w:tc>
        <w:tc>
          <w:tcPr>
            <w:tcW w:w="829" w:type="dxa"/>
            <w:tcBorders>
              <w:bottom w:val="single" w:sz="4" w:space="0" w:color="000000"/>
            </w:tcBorders>
          </w:tcPr>
          <w:p>
            <w:pPr>
              <w:pStyle w:val="TableParagraph"/>
              <w:spacing w:line="264" w:lineRule="exact"/>
              <w:ind w:left="7" w:right="10"/>
              <w:rPr>
                <w:sz w:val="24"/>
              </w:rPr>
            </w:pPr>
            <w:r>
              <w:rPr>
                <w:spacing w:val="-5"/>
                <w:sz w:val="24"/>
              </w:rPr>
              <w:t>30</w:t>
            </w:r>
          </w:p>
        </w:tc>
        <w:tc>
          <w:tcPr>
            <w:tcW w:w="829" w:type="dxa"/>
            <w:tcBorders>
              <w:bottom w:val="single" w:sz="4" w:space="0" w:color="000000"/>
            </w:tcBorders>
          </w:tcPr>
          <w:p>
            <w:pPr>
              <w:pStyle w:val="TableParagraph"/>
              <w:spacing w:line="264" w:lineRule="exact"/>
              <w:ind w:left="5" w:right="10"/>
              <w:rPr>
                <w:sz w:val="24"/>
              </w:rPr>
            </w:pPr>
            <w:r>
              <w:rPr>
                <w:spacing w:val="-5"/>
                <w:sz w:val="24"/>
              </w:rPr>
              <w:t>10</w:t>
            </w:r>
          </w:p>
        </w:tc>
        <w:tc>
          <w:tcPr>
            <w:tcW w:w="829" w:type="dxa"/>
            <w:tcBorders>
              <w:bottom w:val="single" w:sz="4" w:space="0" w:color="000000"/>
            </w:tcBorders>
          </w:tcPr>
          <w:p>
            <w:pPr>
              <w:pStyle w:val="TableParagraph"/>
              <w:spacing w:line="264" w:lineRule="exact"/>
              <w:ind w:left="4" w:right="10"/>
              <w:rPr>
                <w:sz w:val="24"/>
              </w:rPr>
            </w:pPr>
            <w:r>
              <w:rPr>
                <w:spacing w:val="-10"/>
                <w:sz w:val="24"/>
              </w:rPr>
              <w:t>0</w:t>
            </w:r>
          </w:p>
        </w:tc>
        <w:tc>
          <w:tcPr>
            <w:tcW w:w="829" w:type="dxa"/>
            <w:tcBorders>
              <w:bottom w:val="single" w:sz="4" w:space="0" w:color="000000"/>
            </w:tcBorders>
          </w:tcPr>
          <w:p>
            <w:pPr>
              <w:pStyle w:val="TableParagraph"/>
              <w:spacing w:line="264" w:lineRule="exact"/>
              <w:ind w:left="2" w:right="10"/>
              <w:rPr>
                <w:sz w:val="24"/>
              </w:rPr>
            </w:pPr>
            <w:r>
              <w:rPr>
                <w:spacing w:val="-10"/>
                <w:sz w:val="24"/>
              </w:rPr>
              <w:t>0</w:t>
            </w:r>
          </w:p>
        </w:tc>
        <w:tc>
          <w:tcPr>
            <w:tcW w:w="829" w:type="dxa"/>
            <w:tcBorders>
              <w:bottom w:val="single" w:sz="4" w:space="0" w:color="000000"/>
            </w:tcBorders>
          </w:tcPr>
          <w:p>
            <w:pPr>
              <w:pStyle w:val="TableParagraph"/>
              <w:spacing w:line="264" w:lineRule="exact"/>
              <w:ind w:right="10"/>
              <w:rPr>
                <w:sz w:val="24"/>
              </w:rPr>
            </w:pPr>
            <w:r>
              <w:rPr>
                <w:spacing w:val="-10"/>
                <w:sz w:val="24"/>
              </w:rPr>
              <w:t>0</w:t>
            </w:r>
          </w:p>
        </w:tc>
        <w:tc>
          <w:tcPr>
            <w:tcW w:w="759" w:type="dxa"/>
          </w:tcPr>
          <w:p>
            <w:pPr>
              <w:pStyle w:val="TableParagraph"/>
              <w:spacing w:line="240" w:lineRule="auto" w:before="0"/>
              <w:jc w:val="left"/>
              <w:rPr>
                <w:sz w:val="20"/>
              </w:rPr>
            </w:pPr>
          </w:p>
        </w:tc>
      </w:tr>
    </w:tbl>
    <w:p>
      <w:pPr>
        <w:spacing w:after="0" w:line="240" w:lineRule="auto"/>
        <w:jc w:val="left"/>
        <w:rPr>
          <w:sz w:val="20"/>
        </w:rPr>
        <w:sectPr>
          <w:pgSz w:w="11910" w:h="16840"/>
          <w:pgMar w:header="0" w:footer="1254" w:top="1920" w:bottom="1440" w:left="1180" w:right="580"/>
        </w:sectPr>
      </w:pPr>
    </w:p>
    <w:p>
      <w:pPr>
        <w:pStyle w:val="BodyText"/>
        <w:spacing w:before="5"/>
        <w:rPr>
          <w:b/>
          <w:sz w:val="9"/>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9"/>
        <w:gridCol w:w="1129"/>
        <w:gridCol w:w="916"/>
        <w:gridCol w:w="895"/>
        <w:gridCol w:w="895"/>
        <w:gridCol w:w="895"/>
        <w:gridCol w:w="895"/>
        <w:gridCol w:w="894"/>
        <w:gridCol w:w="894"/>
        <w:gridCol w:w="758"/>
      </w:tblGrid>
      <w:tr>
        <w:trPr>
          <w:trHeight w:val="232" w:hRule="atLeast"/>
        </w:trPr>
        <w:tc>
          <w:tcPr>
            <w:tcW w:w="9810" w:type="dxa"/>
            <w:gridSpan w:val="10"/>
          </w:tcPr>
          <w:p>
            <w:pPr>
              <w:pStyle w:val="TableParagraph"/>
              <w:spacing w:line="213" w:lineRule="exact" w:before="0"/>
              <w:ind w:right="737"/>
              <w:rPr>
                <w:rFonts w:ascii="Calibri"/>
                <w:b/>
                <w:sz w:val="22"/>
              </w:rPr>
            </w:pPr>
            <w:r>
              <w:rPr>
                <w:rFonts w:ascii="Calibri"/>
                <w:b/>
                <w:sz w:val="22"/>
              </w:rPr>
              <w:t>Table</w:t>
            </w:r>
            <w:r>
              <w:rPr>
                <w:rFonts w:ascii="Calibri"/>
                <w:b/>
                <w:spacing w:val="-5"/>
                <w:sz w:val="22"/>
              </w:rPr>
              <w:t> </w:t>
            </w:r>
            <w:r>
              <w:rPr>
                <w:rFonts w:ascii="Calibri"/>
                <w:b/>
                <w:sz w:val="22"/>
              </w:rPr>
              <w:t>IV.3:</w:t>
            </w:r>
            <w:r>
              <w:rPr>
                <w:rFonts w:ascii="Calibri"/>
                <w:b/>
                <w:spacing w:val="-4"/>
                <w:sz w:val="22"/>
              </w:rPr>
              <w:t> </w:t>
            </w:r>
            <w:r>
              <w:rPr>
                <w:rFonts w:ascii="Calibri"/>
                <w:b/>
                <w:spacing w:val="-2"/>
                <w:sz w:val="22"/>
              </w:rPr>
              <w:t>Artesunate</w:t>
            </w:r>
          </w:p>
        </w:tc>
      </w:tr>
      <w:tr>
        <w:trPr>
          <w:trHeight w:val="295" w:hRule="atLeast"/>
        </w:trPr>
        <w:tc>
          <w:tcPr>
            <w:tcW w:w="9810" w:type="dxa"/>
            <w:gridSpan w:val="10"/>
          </w:tcPr>
          <w:p>
            <w:pPr>
              <w:pStyle w:val="TableParagraph"/>
              <w:spacing w:line="20" w:lineRule="exact" w:before="0"/>
              <w:ind w:left="14"/>
              <w:jc w:val="left"/>
              <w:rPr>
                <w:sz w:val="2"/>
              </w:rPr>
            </w:pPr>
            <w:r>
              <w:rPr>
                <w:sz w:val="2"/>
              </w:rPr>
              <mc:AlternateContent>
                <mc:Choice Requires="wps">
                  <w:drawing>
                    <wp:inline distT="0" distB="0" distL="0" distR="0">
                      <wp:extent cx="5740400" cy="6350"/>
                      <wp:effectExtent l="0" t="0" r="0" b="0"/>
                      <wp:docPr id="45" name="Group 45"/>
                      <wp:cNvGraphicFramePr>
                        <a:graphicFrameLocks/>
                      </wp:cNvGraphicFramePr>
                      <a:graphic>
                        <a:graphicData uri="http://schemas.microsoft.com/office/word/2010/wordprocessingGroup">
                          <wpg:wgp>
                            <wpg:cNvPr id="45" name="Group 45"/>
                            <wpg:cNvGrpSpPr/>
                            <wpg:grpSpPr>
                              <a:xfrm>
                                <a:off x="0" y="0"/>
                                <a:ext cx="5740400" cy="6350"/>
                                <a:chExt cx="5740400" cy="6350"/>
                              </a:xfrm>
                            </wpg:grpSpPr>
                            <wps:wsp>
                              <wps:cNvPr id="46" name="Graphic 46"/>
                              <wps:cNvSpPr/>
                              <wps:spPr>
                                <a:xfrm>
                                  <a:off x="0" y="0"/>
                                  <a:ext cx="5740400" cy="6350"/>
                                </a:xfrm>
                                <a:custGeom>
                                  <a:avLst/>
                                  <a:gdLst/>
                                  <a:ahLst/>
                                  <a:cxnLst/>
                                  <a:rect l="l" t="t" r="r" b="b"/>
                                  <a:pathLst>
                                    <a:path w="5740400" h="6350">
                                      <a:moveTo>
                                        <a:pt x="5740273" y="0"/>
                                      </a:moveTo>
                                      <a:lnTo>
                                        <a:pt x="0" y="0"/>
                                      </a:lnTo>
                                      <a:lnTo>
                                        <a:pt x="0" y="6096"/>
                                      </a:lnTo>
                                      <a:lnTo>
                                        <a:pt x="5740273" y="6096"/>
                                      </a:lnTo>
                                      <a:lnTo>
                                        <a:pt x="57402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pt;height:.5pt;mso-position-horizontal-relative:char;mso-position-vertical-relative:line" id="docshapegroup22" coordorigin="0,0" coordsize="9040,10">
                      <v:rect style="position:absolute;left:0;top:0;width:9040;height:10" id="docshape23" filled="true" fillcolor="#000000" stroked="false">
                        <v:fill type="solid"/>
                      </v:rect>
                    </v:group>
                  </w:pict>
                </mc:Fallback>
              </mc:AlternateContent>
            </w:r>
            <w:r>
              <w:rPr>
                <w:sz w:val="2"/>
              </w:rPr>
            </w:r>
          </w:p>
          <w:p>
            <w:pPr>
              <w:pStyle w:val="TableParagraph"/>
              <w:spacing w:line="255" w:lineRule="exact" w:before="0"/>
              <w:ind w:left="2489"/>
              <w:jc w:val="left"/>
              <w:rPr>
                <w:sz w:val="24"/>
              </w:rPr>
            </w:pPr>
            <w:r>
              <w:rPr>
                <w:sz w:val="24"/>
              </w:rPr>
              <w:t>Schizont</w:t>
            </w:r>
            <w:r>
              <w:rPr>
                <w:spacing w:val="-1"/>
                <w:sz w:val="24"/>
              </w:rPr>
              <w:t> </w:t>
            </w:r>
            <w:r>
              <w:rPr>
                <w:sz w:val="24"/>
              </w:rPr>
              <w:t>counts</w:t>
            </w:r>
            <w:r>
              <w:rPr>
                <w:spacing w:val="-1"/>
                <w:sz w:val="24"/>
              </w:rPr>
              <w:t> </w:t>
            </w:r>
            <w:r>
              <w:rPr>
                <w:sz w:val="24"/>
              </w:rPr>
              <w:t>(per</w:t>
            </w:r>
            <w:r>
              <w:rPr>
                <w:spacing w:val="-1"/>
                <w:sz w:val="24"/>
              </w:rPr>
              <w:t> </w:t>
            </w:r>
            <w:r>
              <w:rPr>
                <w:sz w:val="24"/>
              </w:rPr>
              <w:t>200</w:t>
            </w:r>
            <w:r>
              <w:rPr>
                <w:spacing w:val="-2"/>
                <w:sz w:val="24"/>
              </w:rPr>
              <w:t> </w:t>
            </w:r>
            <w:r>
              <w:rPr>
                <w:sz w:val="24"/>
              </w:rPr>
              <w:t>parasites)</w:t>
            </w:r>
            <w:r>
              <w:rPr>
                <w:spacing w:val="-1"/>
                <w:sz w:val="24"/>
              </w:rPr>
              <w:t> </w:t>
            </w:r>
            <w:r>
              <w:rPr>
                <w:sz w:val="24"/>
              </w:rPr>
              <w:t>in</w:t>
            </w:r>
            <w:r>
              <w:rPr>
                <w:spacing w:val="-1"/>
                <w:sz w:val="24"/>
              </w:rPr>
              <w:t> </w:t>
            </w:r>
            <w:r>
              <w:rPr>
                <w:spacing w:val="-4"/>
                <w:sz w:val="24"/>
              </w:rPr>
              <w:t>well</w:t>
            </w:r>
          </w:p>
        </w:tc>
      </w:tr>
      <w:tr>
        <w:trPr>
          <w:trHeight w:val="287" w:hRule="atLeast"/>
        </w:trPr>
        <w:tc>
          <w:tcPr>
            <w:tcW w:w="1639" w:type="dxa"/>
          </w:tcPr>
          <w:p>
            <w:pPr>
              <w:pStyle w:val="TableParagraph"/>
              <w:spacing w:line="240" w:lineRule="auto" w:before="0"/>
              <w:jc w:val="left"/>
              <w:rPr>
                <w:sz w:val="20"/>
              </w:rPr>
            </w:pPr>
          </w:p>
        </w:tc>
        <w:tc>
          <w:tcPr>
            <w:tcW w:w="1129" w:type="dxa"/>
          </w:tcPr>
          <w:p>
            <w:pPr>
              <w:pStyle w:val="TableParagraph"/>
              <w:rPr>
                <w:sz w:val="24"/>
              </w:rPr>
            </w:pPr>
            <w:r>
              <w:rPr>
                <w:spacing w:val="-10"/>
                <w:sz w:val="24"/>
              </w:rPr>
              <w:t>A</w:t>
            </w:r>
          </w:p>
        </w:tc>
        <w:tc>
          <w:tcPr>
            <w:tcW w:w="916" w:type="dxa"/>
          </w:tcPr>
          <w:p>
            <w:pPr>
              <w:pStyle w:val="TableParagraph"/>
              <w:ind w:left="21"/>
              <w:rPr>
                <w:sz w:val="24"/>
              </w:rPr>
            </w:pPr>
            <w:r>
              <w:rPr>
                <w:spacing w:val="-10"/>
                <w:sz w:val="24"/>
              </w:rPr>
              <w:t>B</w:t>
            </w:r>
          </w:p>
        </w:tc>
        <w:tc>
          <w:tcPr>
            <w:tcW w:w="895" w:type="dxa"/>
          </w:tcPr>
          <w:p>
            <w:pPr>
              <w:pStyle w:val="TableParagraph"/>
              <w:ind w:left="79" w:right="79"/>
              <w:rPr>
                <w:sz w:val="24"/>
              </w:rPr>
            </w:pPr>
            <w:r>
              <w:rPr>
                <w:spacing w:val="-10"/>
                <w:sz w:val="24"/>
              </w:rPr>
              <w:t>C</w:t>
            </w:r>
          </w:p>
        </w:tc>
        <w:tc>
          <w:tcPr>
            <w:tcW w:w="895" w:type="dxa"/>
          </w:tcPr>
          <w:p>
            <w:pPr>
              <w:pStyle w:val="TableParagraph"/>
              <w:ind w:left="79" w:right="79"/>
              <w:rPr>
                <w:sz w:val="24"/>
              </w:rPr>
            </w:pPr>
            <w:r>
              <w:rPr>
                <w:spacing w:val="-10"/>
                <w:sz w:val="24"/>
              </w:rPr>
              <w:t>D</w:t>
            </w:r>
          </w:p>
        </w:tc>
        <w:tc>
          <w:tcPr>
            <w:tcW w:w="895" w:type="dxa"/>
          </w:tcPr>
          <w:p>
            <w:pPr>
              <w:pStyle w:val="TableParagraph"/>
              <w:ind w:left="82" w:right="79"/>
              <w:rPr>
                <w:sz w:val="24"/>
              </w:rPr>
            </w:pPr>
            <w:r>
              <w:rPr>
                <w:spacing w:val="-10"/>
                <w:sz w:val="24"/>
              </w:rPr>
              <w:t>E</w:t>
            </w:r>
          </w:p>
        </w:tc>
        <w:tc>
          <w:tcPr>
            <w:tcW w:w="895" w:type="dxa"/>
          </w:tcPr>
          <w:p>
            <w:pPr>
              <w:pStyle w:val="TableParagraph"/>
              <w:ind w:left="79" w:right="79"/>
              <w:rPr>
                <w:sz w:val="24"/>
              </w:rPr>
            </w:pPr>
            <w:r>
              <w:rPr>
                <w:spacing w:val="-10"/>
                <w:sz w:val="24"/>
              </w:rPr>
              <w:t>F</w:t>
            </w:r>
          </w:p>
        </w:tc>
        <w:tc>
          <w:tcPr>
            <w:tcW w:w="894" w:type="dxa"/>
          </w:tcPr>
          <w:p>
            <w:pPr>
              <w:pStyle w:val="TableParagraph"/>
              <w:ind w:left="3"/>
              <w:rPr>
                <w:sz w:val="24"/>
              </w:rPr>
            </w:pPr>
            <w:r>
              <w:rPr>
                <w:spacing w:val="-10"/>
                <w:sz w:val="24"/>
              </w:rPr>
              <w:t>G</w:t>
            </w:r>
          </w:p>
        </w:tc>
        <w:tc>
          <w:tcPr>
            <w:tcW w:w="894" w:type="dxa"/>
          </w:tcPr>
          <w:p>
            <w:pPr>
              <w:pStyle w:val="TableParagraph"/>
              <w:ind w:left="3" w:right="2"/>
              <w:rPr>
                <w:sz w:val="24"/>
              </w:rPr>
            </w:pPr>
            <w:r>
              <w:rPr>
                <w:spacing w:val="-10"/>
                <w:sz w:val="24"/>
              </w:rPr>
              <w:t>H</w:t>
            </w:r>
          </w:p>
        </w:tc>
        <w:tc>
          <w:tcPr>
            <w:tcW w:w="758" w:type="dxa"/>
          </w:tcPr>
          <w:p>
            <w:pPr>
              <w:pStyle w:val="TableParagraph"/>
              <w:spacing w:line="240" w:lineRule="auto" w:before="0"/>
              <w:jc w:val="left"/>
              <w:rPr>
                <w:sz w:val="20"/>
              </w:rPr>
            </w:pPr>
          </w:p>
        </w:tc>
      </w:tr>
      <w:tr>
        <w:trPr>
          <w:trHeight w:val="293" w:hRule="atLeast"/>
        </w:trPr>
        <w:tc>
          <w:tcPr>
            <w:tcW w:w="1639" w:type="dxa"/>
          </w:tcPr>
          <w:p>
            <w:pPr>
              <w:pStyle w:val="TableParagraph"/>
              <w:tabs>
                <w:tab w:pos="1835" w:val="left" w:leader="none"/>
              </w:tabs>
              <w:spacing w:line="272" w:lineRule="exact"/>
              <w:ind w:left="14" w:right="-202"/>
              <w:jc w:val="left"/>
              <w:rPr>
                <w:sz w:val="24"/>
              </w:rPr>
            </w:pPr>
            <w:r>
              <w:rPr>
                <w:spacing w:val="78"/>
                <w:w w:val="150"/>
                <w:sz w:val="24"/>
                <w:u w:val="single"/>
              </w:rPr>
              <w:t> </w:t>
            </w:r>
            <w:r>
              <w:rPr>
                <w:sz w:val="24"/>
                <w:u w:val="single"/>
              </w:rPr>
              <w:t>Test </w:t>
            </w:r>
            <w:r>
              <w:rPr>
                <w:spacing w:val="-2"/>
                <w:sz w:val="24"/>
                <w:u w:val="single"/>
              </w:rPr>
              <w:t>Number</w:t>
            </w:r>
            <w:r>
              <w:rPr>
                <w:sz w:val="24"/>
                <w:u w:val="single"/>
              </w:rPr>
              <w:tab/>
            </w:r>
          </w:p>
        </w:tc>
        <w:tc>
          <w:tcPr>
            <w:tcW w:w="1129" w:type="dxa"/>
          </w:tcPr>
          <w:p>
            <w:pPr>
              <w:pStyle w:val="TableParagraph"/>
              <w:tabs>
                <w:tab w:pos="1327" w:val="left" w:leader="none"/>
              </w:tabs>
              <w:spacing w:line="272" w:lineRule="exact"/>
              <w:ind w:left="196" w:right="-202"/>
              <w:jc w:val="left"/>
              <w:rPr>
                <w:sz w:val="24"/>
              </w:rPr>
            </w:pPr>
            <w:r>
              <w:rPr>
                <w:spacing w:val="-2"/>
                <w:sz w:val="24"/>
                <w:u w:val="single"/>
              </w:rPr>
              <w:t>Control</w:t>
            </w:r>
            <w:r>
              <w:rPr>
                <w:sz w:val="24"/>
                <w:u w:val="single"/>
              </w:rPr>
              <w:tab/>
            </w:r>
          </w:p>
        </w:tc>
        <w:tc>
          <w:tcPr>
            <w:tcW w:w="916" w:type="dxa"/>
          </w:tcPr>
          <w:p>
            <w:pPr>
              <w:pStyle w:val="TableParagraph"/>
              <w:tabs>
                <w:tab w:pos="1094" w:val="left" w:leader="none"/>
              </w:tabs>
              <w:spacing w:line="272" w:lineRule="exact"/>
              <w:ind w:left="198" w:right="-188"/>
              <w:jc w:val="left"/>
              <w:rPr>
                <w:sz w:val="24"/>
              </w:rPr>
            </w:pPr>
            <w:r>
              <w:rPr>
                <w:spacing w:val="-2"/>
                <w:sz w:val="24"/>
                <w:u w:val="single"/>
              </w:rPr>
              <w:t>0.002</w:t>
            </w:r>
            <w:r>
              <w:rPr>
                <w:sz w:val="24"/>
                <w:u w:val="single"/>
              </w:rPr>
              <w:tab/>
            </w:r>
          </w:p>
        </w:tc>
        <w:tc>
          <w:tcPr>
            <w:tcW w:w="895" w:type="dxa"/>
          </w:tcPr>
          <w:p>
            <w:pPr>
              <w:pStyle w:val="TableParagraph"/>
              <w:tabs>
                <w:tab w:pos="1073" w:val="left" w:leader="none"/>
              </w:tabs>
              <w:spacing w:line="272" w:lineRule="exact"/>
              <w:ind w:left="178" w:right="-188"/>
              <w:jc w:val="left"/>
              <w:rPr>
                <w:sz w:val="24"/>
              </w:rPr>
            </w:pPr>
            <w:r>
              <w:rPr>
                <w:spacing w:val="-2"/>
                <w:sz w:val="24"/>
                <w:u w:val="single"/>
              </w:rPr>
              <w:t>0.004</w:t>
            </w:r>
            <w:r>
              <w:rPr>
                <w:sz w:val="24"/>
                <w:u w:val="single"/>
              </w:rPr>
              <w:tab/>
            </w:r>
          </w:p>
        </w:tc>
        <w:tc>
          <w:tcPr>
            <w:tcW w:w="895" w:type="dxa"/>
          </w:tcPr>
          <w:p>
            <w:pPr>
              <w:pStyle w:val="TableParagraph"/>
              <w:tabs>
                <w:tab w:pos="1073" w:val="left" w:leader="none"/>
              </w:tabs>
              <w:spacing w:line="272" w:lineRule="exact"/>
              <w:ind w:left="178" w:right="-188"/>
              <w:jc w:val="left"/>
              <w:rPr>
                <w:sz w:val="24"/>
              </w:rPr>
            </w:pPr>
            <w:r>
              <w:rPr>
                <w:spacing w:val="-2"/>
                <w:sz w:val="24"/>
                <w:u w:val="single"/>
              </w:rPr>
              <w:t>0.008</w:t>
            </w:r>
            <w:r>
              <w:rPr>
                <w:sz w:val="24"/>
                <w:u w:val="single"/>
              </w:rPr>
              <w:tab/>
            </w:r>
          </w:p>
        </w:tc>
        <w:tc>
          <w:tcPr>
            <w:tcW w:w="895" w:type="dxa"/>
          </w:tcPr>
          <w:p>
            <w:pPr>
              <w:pStyle w:val="TableParagraph"/>
              <w:tabs>
                <w:tab w:pos="1074" w:val="left" w:leader="none"/>
              </w:tabs>
              <w:spacing w:line="272" w:lineRule="exact"/>
              <w:ind w:left="178" w:right="-188"/>
              <w:jc w:val="left"/>
              <w:rPr>
                <w:sz w:val="24"/>
              </w:rPr>
            </w:pPr>
            <w:r>
              <w:rPr>
                <w:spacing w:val="-2"/>
                <w:sz w:val="24"/>
                <w:u w:val="single"/>
              </w:rPr>
              <w:t>0.016</w:t>
            </w:r>
            <w:r>
              <w:rPr>
                <w:sz w:val="24"/>
                <w:u w:val="single"/>
              </w:rPr>
              <w:tab/>
            </w:r>
          </w:p>
        </w:tc>
        <w:tc>
          <w:tcPr>
            <w:tcW w:w="895" w:type="dxa"/>
          </w:tcPr>
          <w:p>
            <w:pPr>
              <w:pStyle w:val="TableParagraph"/>
              <w:tabs>
                <w:tab w:pos="1074" w:val="left" w:leader="none"/>
              </w:tabs>
              <w:spacing w:line="272" w:lineRule="exact"/>
              <w:ind w:left="179" w:right="-188"/>
              <w:jc w:val="left"/>
              <w:rPr>
                <w:sz w:val="24"/>
              </w:rPr>
            </w:pPr>
            <w:r>
              <w:rPr>
                <w:spacing w:val="-2"/>
                <w:sz w:val="24"/>
                <w:u w:val="single"/>
              </w:rPr>
              <w:t>0.032</w:t>
            </w:r>
            <w:r>
              <w:rPr>
                <w:sz w:val="24"/>
                <w:u w:val="single"/>
              </w:rPr>
              <w:tab/>
            </w:r>
          </w:p>
        </w:tc>
        <w:tc>
          <w:tcPr>
            <w:tcW w:w="894" w:type="dxa"/>
          </w:tcPr>
          <w:p>
            <w:pPr>
              <w:pStyle w:val="TableParagraph"/>
              <w:tabs>
                <w:tab w:pos="1072" w:val="left" w:leader="none"/>
              </w:tabs>
              <w:spacing w:line="272" w:lineRule="exact"/>
              <w:ind w:left="179" w:right="-188"/>
              <w:jc w:val="left"/>
              <w:rPr>
                <w:sz w:val="24"/>
              </w:rPr>
            </w:pPr>
            <w:r>
              <w:rPr>
                <w:spacing w:val="-2"/>
                <w:sz w:val="24"/>
                <w:u w:val="single"/>
              </w:rPr>
              <w:t>0.064</w:t>
            </w:r>
            <w:r>
              <w:rPr>
                <w:sz w:val="24"/>
                <w:u w:val="single"/>
              </w:rPr>
              <w:tab/>
            </w:r>
          </w:p>
        </w:tc>
        <w:tc>
          <w:tcPr>
            <w:tcW w:w="894" w:type="dxa"/>
          </w:tcPr>
          <w:p>
            <w:pPr>
              <w:pStyle w:val="TableParagraph"/>
              <w:spacing w:line="272" w:lineRule="exact"/>
              <w:ind w:left="178" w:right="-15"/>
              <w:jc w:val="left"/>
              <w:rPr>
                <w:sz w:val="24"/>
              </w:rPr>
            </w:pPr>
            <w:r>
              <w:rPr>
                <w:spacing w:val="-2"/>
                <w:sz w:val="24"/>
                <w:u w:val="single"/>
              </w:rPr>
              <w:t>0.128</w:t>
            </w:r>
            <w:r>
              <w:rPr>
                <w:spacing w:val="40"/>
                <w:sz w:val="24"/>
                <w:u w:val="single"/>
              </w:rPr>
              <w:t> </w:t>
            </w:r>
          </w:p>
        </w:tc>
        <w:tc>
          <w:tcPr>
            <w:tcW w:w="758" w:type="dxa"/>
          </w:tcPr>
          <w:p>
            <w:pPr>
              <w:pStyle w:val="TableParagraph"/>
              <w:spacing w:line="260" w:lineRule="exact" w:before="13"/>
              <w:ind w:left="110"/>
              <w:jc w:val="left"/>
              <w:rPr>
                <w:rFonts w:ascii="Calibri" w:hAnsi="Calibri"/>
                <w:sz w:val="22"/>
              </w:rPr>
            </w:pPr>
            <w:r>
              <w:rPr>
                <w:rFonts w:ascii="Calibri" w:hAnsi="Calibri"/>
                <w:spacing w:val="-2"/>
                <w:sz w:val="22"/>
              </w:rPr>
              <w:t>μmol/l</w:t>
            </w:r>
          </w:p>
        </w:tc>
      </w:tr>
      <w:tr>
        <w:trPr>
          <w:trHeight w:val="292" w:hRule="atLeast"/>
        </w:trPr>
        <w:tc>
          <w:tcPr>
            <w:tcW w:w="1639" w:type="dxa"/>
          </w:tcPr>
          <w:p>
            <w:pPr>
              <w:pStyle w:val="TableParagraph"/>
              <w:spacing w:before="5"/>
              <w:ind w:right="5"/>
              <w:rPr>
                <w:sz w:val="24"/>
              </w:rPr>
            </w:pPr>
            <w:r>
              <w:rPr>
                <w:spacing w:val="-10"/>
                <w:sz w:val="24"/>
              </w:rPr>
              <w:t>1</w:t>
            </w:r>
          </w:p>
        </w:tc>
        <w:tc>
          <w:tcPr>
            <w:tcW w:w="1129" w:type="dxa"/>
          </w:tcPr>
          <w:p>
            <w:pPr>
              <w:pStyle w:val="TableParagraph"/>
              <w:spacing w:before="5"/>
              <w:rPr>
                <w:sz w:val="24"/>
              </w:rPr>
            </w:pPr>
            <w:r>
              <w:rPr>
                <w:spacing w:val="-5"/>
                <w:sz w:val="24"/>
              </w:rPr>
              <w:t>56</w:t>
            </w:r>
          </w:p>
        </w:tc>
        <w:tc>
          <w:tcPr>
            <w:tcW w:w="916" w:type="dxa"/>
          </w:tcPr>
          <w:p>
            <w:pPr>
              <w:pStyle w:val="TableParagraph"/>
              <w:spacing w:before="5"/>
              <w:ind w:left="21" w:right="2"/>
              <w:rPr>
                <w:sz w:val="24"/>
              </w:rPr>
            </w:pPr>
            <w:r>
              <w:rPr>
                <w:spacing w:val="-5"/>
                <w:sz w:val="24"/>
              </w:rPr>
              <w:t>50</w:t>
            </w:r>
          </w:p>
        </w:tc>
        <w:tc>
          <w:tcPr>
            <w:tcW w:w="895" w:type="dxa"/>
          </w:tcPr>
          <w:p>
            <w:pPr>
              <w:pStyle w:val="TableParagraph"/>
              <w:spacing w:before="5"/>
              <w:ind w:left="78" w:right="79"/>
              <w:rPr>
                <w:sz w:val="24"/>
              </w:rPr>
            </w:pPr>
            <w:r>
              <w:rPr>
                <w:spacing w:val="-5"/>
                <w:sz w:val="24"/>
              </w:rPr>
              <w:t>41</w:t>
            </w:r>
          </w:p>
        </w:tc>
        <w:tc>
          <w:tcPr>
            <w:tcW w:w="895" w:type="dxa"/>
          </w:tcPr>
          <w:p>
            <w:pPr>
              <w:pStyle w:val="TableParagraph"/>
              <w:spacing w:before="5"/>
              <w:ind w:left="79" w:right="79"/>
              <w:rPr>
                <w:sz w:val="24"/>
              </w:rPr>
            </w:pPr>
            <w:r>
              <w:rPr>
                <w:spacing w:val="-5"/>
                <w:sz w:val="24"/>
              </w:rPr>
              <w:t>29</w:t>
            </w:r>
          </w:p>
        </w:tc>
        <w:tc>
          <w:tcPr>
            <w:tcW w:w="895" w:type="dxa"/>
          </w:tcPr>
          <w:p>
            <w:pPr>
              <w:pStyle w:val="TableParagraph"/>
              <w:spacing w:before="5"/>
              <w:ind w:left="79" w:right="79"/>
              <w:rPr>
                <w:sz w:val="24"/>
              </w:rPr>
            </w:pPr>
            <w:r>
              <w:rPr>
                <w:spacing w:val="-5"/>
                <w:sz w:val="24"/>
              </w:rPr>
              <w:t>15</w:t>
            </w:r>
          </w:p>
        </w:tc>
        <w:tc>
          <w:tcPr>
            <w:tcW w:w="895" w:type="dxa"/>
          </w:tcPr>
          <w:p>
            <w:pPr>
              <w:pStyle w:val="TableParagraph"/>
              <w:spacing w:before="5"/>
              <w:ind w:left="79" w:right="79"/>
              <w:rPr>
                <w:sz w:val="24"/>
              </w:rPr>
            </w:pPr>
            <w:r>
              <w:rPr>
                <w:spacing w:val="-10"/>
                <w:sz w:val="24"/>
              </w:rPr>
              <w:t>7</w:t>
            </w:r>
          </w:p>
        </w:tc>
        <w:tc>
          <w:tcPr>
            <w:tcW w:w="894" w:type="dxa"/>
          </w:tcPr>
          <w:p>
            <w:pPr>
              <w:pStyle w:val="TableParagraph"/>
              <w:spacing w:before="5"/>
              <w:ind w:left="3"/>
              <w:rPr>
                <w:sz w:val="24"/>
              </w:rPr>
            </w:pPr>
            <w:r>
              <w:rPr>
                <w:spacing w:val="-10"/>
                <w:sz w:val="24"/>
              </w:rPr>
              <w:t>0</w:t>
            </w:r>
          </w:p>
        </w:tc>
        <w:tc>
          <w:tcPr>
            <w:tcW w:w="894" w:type="dxa"/>
          </w:tcPr>
          <w:p>
            <w:pPr>
              <w:pStyle w:val="TableParagraph"/>
              <w:spacing w:before="5"/>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10"/>
                <w:sz w:val="24"/>
              </w:rPr>
              <w:t>2</w:t>
            </w:r>
          </w:p>
        </w:tc>
        <w:tc>
          <w:tcPr>
            <w:tcW w:w="1129" w:type="dxa"/>
          </w:tcPr>
          <w:p>
            <w:pPr>
              <w:pStyle w:val="TableParagraph"/>
              <w:rPr>
                <w:sz w:val="24"/>
              </w:rPr>
            </w:pPr>
            <w:r>
              <w:rPr>
                <w:spacing w:val="-5"/>
                <w:sz w:val="24"/>
              </w:rPr>
              <w:t>73</w:t>
            </w:r>
          </w:p>
        </w:tc>
        <w:tc>
          <w:tcPr>
            <w:tcW w:w="916" w:type="dxa"/>
          </w:tcPr>
          <w:p>
            <w:pPr>
              <w:pStyle w:val="TableParagraph"/>
              <w:ind w:left="21" w:right="2"/>
              <w:rPr>
                <w:sz w:val="24"/>
              </w:rPr>
            </w:pPr>
            <w:r>
              <w:rPr>
                <w:spacing w:val="-5"/>
                <w:sz w:val="24"/>
              </w:rPr>
              <w:t>65</w:t>
            </w:r>
          </w:p>
        </w:tc>
        <w:tc>
          <w:tcPr>
            <w:tcW w:w="895" w:type="dxa"/>
          </w:tcPr>
          <w:p>
            <w:pPr>
              <w:pStyle w:val="TableParagraph"/>
              <w:ind w:left="78" w:right="79"/>
              <w:rPr>
                <w:sz w:val="24"/>
              </w:rPr>
            </w:pPr>
            <w:r>
              <w:rPr>
                <w:spacing w:val="-5"/>
                <w:sz w:val="24"/>
              </w:rPr>
              <w:t>44</w:t>
            </w:r>
          </w:p>
        </w:tc>
        <w:tc>
          <w:tcPr>
            <w:tcW w:w="895" w:type="dxa"/>
          </w:tcPr>
          <w:p>
            <w:pPr>
              <w:pStyle w:val="TableParagraph"/>
              <w:ind w:left="79" w:right="79"/>
              <w:rPr>
                <w:sz w:val="24"/>
              </w:rPr>
            </w:pPr>
            <w:r>
              <w:rPr>
                <w:spacing w:val="-5"/>
                <w:sz w:val="24"/>
              </w:rPr>
              <w:t>27</w:t>
            </w:r>
          </w:p>
        </w:tc>
        <w:tc>
          <w:tcPr>
            <w:tcW w:w="895" w:type="dxa"/>
          </w:tcPr>
          <w:p>
            <w:pPr>
              <w:pStyle w:val="TableParagraph"/>
              <w:ind w:left="79" w:right="79"/>
              <w:rPr>
                <w:sz w:val="24"/>
              </w:rPr>
            </w:pPr>
            <w:r>
              <w:rPr>
                <w:spacing w:val="-5"/>
                <w:sz w:val="24"/>
              </w:rPr>
              <w:t>20</w:t>
            </w:r>
          </w:p>
        </w:tc>
        <w:tc>
          <w:tcPr>
            <w:tcW w:w="895" w:type="dxa"/>
          </w:tcPr>
          <w:p>
            <w:pPr>
              <w:pStyle w:val="TableParagraph"/>
              <w:ind w:left="79" w:right="79"/>
              <w:rPr>
                <w:sz w:val="24"/>
              </w:rPr>
            </w:pPr>
            <w:r>
              <w:rPr>
                <w:spacing w:val="-10"/>
                <w:sz w:val="24"/>
              </w:rPr>
              <w:t>7</w:t>
            </w:r>
          </w:p>
        </w:tc>
        <w:tc>
          <w:tcPr>
            <w:tcW w:w="894" w:type="dxa"/>
          </w:tcPr>
          <w:p>
            <w:pPr>
              <w:pStyle w:val="TableParagraph"/>
              <w:ind w:left="3"/>
              <w:rPr>
                <w:sz w:val="24"/>
              </w:rPr>
            </w:pPr>
            <w:r>
              <w:rPr>
                <w:spacing w:val="-10"/>
                <w:sz w:val="24"/>
              </w:rPr>
              <w:t>4</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10"/>
                <w:sz w:val="24"/>
              </w:rPr>
              <w:t>3</w:t>
            </w:r>
          </w:p>
        </w:tc>
        <w:tc>
          <w:tcPr>
            <w:tcW w:w="1129" w:type="dxa"/>
          </w:tcPr>
          <w:p>
            <w:pPr>
              <w:pStyle w:val="TableParagraph"/>
              <w:rPr>
                <w:sz w:val="24"/>
              </w:rPr>
            </w:pPr>
            <w:r>
              <w:rPr>
                <w:spacing w:val="-5"/>
                <w:sz w:val="24"/>
              </w:rPr>
              <w:t>67</w:t>
            </w:r>
          </w:p>
        </w:tc>
        <w:tc>
          <w:tcPr>
            <w:tcW w:w="916" w:type="dxa"/>
          </w:tcPr>
          <w:p>
            <w:pPr>
              <w:pStyle w:val="TableParagraph"/>
              <w:ind w:left="21" w:right="2"/>
              <w:rPr>
                <w:sz w:val="24"/>
              </w:rPr>
            </w:pPr>
            <w:r>
              <w:rPr>
                <w:spacing w:val="-5"/>
                <w:sz w:val="24"/>
              </w:rPr>
              <w:t>52</w:t>
            </w:r>
          </w:p>
        </w:tc>
        <w:tc>
          <w:tcPr>
            <w:tcW w:w="895" w:type="dxa"/>
          </w:tcPr>
          <w:p>
            <w:pPr>
              <w:pStyle w:val="TableParagraph"/>
              <w:ind w:left="78" w:right="79"/>
              <w:rPr>
                <w:sz w:val="24"/>
              </w:rPr>
            </w:pPr>
            <w:r>
              <w:rPr>
                <w:spacing w:val="-5"/>
                <w:sz w:val="24"/>
              </w:rPr>
              <w:t>36</w:t>
            </w:r>
          </w:p>
        </w:tc>
        <w:tc>
          <w:tcPr>
            <w:tcW w:w="895" w:type="dxa"/>
          </w:tcPr>
          <w:p>
            <w:pPr>
              <w:pStyle w:val="TableParagraph"/>
              <w:ind w:left="79" w:right="79"/>
              <w:rPr>
                <w:sz w:val="24"/>
              </w:rPr>
            </w:pPr>
            <w:r>
              <w:rPr>
                <w:spacing w:val="-5"/>
                <w:sz w:val="24"/>
              </w:rPr>
              <w:t>26</w:t>
            </w:r>
          </w:p>
        </w:tc>
        <w:tc>
          <w:tcPr>
            <w:tcW w:w="895" w:type="dxa"/>
          </w:tcPr>
          <w:p>
            <w:pPr>
              <w:pStyle w:val="TableParagraph"/>
              <w:ind w:left="79" w:right="79"/>
              <w:rPr>
                <w:sz w:val="24"/>
              </w:rPr>
            </w:pPr>
            <w:r>
              <w:rPr>
                <w:spacing w:val="-5"/>
                <w:sz w:val="24"/>
              </w:rPr>
              <w:t>14</w:t>
            </w:r>
          </w:p>
        </w:tc>
        <w:tc>
          <w:tcPr>
            <w:tcW w:w="895" w:type="dxa"/>
          </w:tcPr>
          <w:p>
            <w:pPr>
              <w:pStyle w:val="TableParagraph"/>
              <w:ind w:left="79" w:right="79"/>
              <w:rPr>
                <w:sz w:val="24"/>
              </w:rPr>
            </w:pPr>
            <w:r>
              <w:rPr>
                <w:spacing w:val="-10"/>
                <w:sz w:val="24"/>
              </w:rPr>
              <w:t>5</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7" w:hRule="atLeast"/>
        </w:trPr>
        <w:tc>
          <w:tcPr>
            <w:tcW w:w="1639" w:type="dxa"/>
          </w:tcPr>
          <w:p>
            <w:pPr>
              <w:pStyle w:val="TableParagraph"/>
              <w:ind w:right="5"/>
              <w:rPr>
                <w:sz w:val="24"/>
              </w:rPr>
            </w:pPr>
            <w:r>
              <w:rPr>
                <w:spacing w:val="-10"/>
                <w:sz w:val="24"/>
              </w:rPr>
              <w:t>4</w:t>
            </w:r>
          </w:p>
        </w:tc>
        <w:tc>
          <w:tcPr>
            <w:tcW w:w="1129" w:type="dxa"/>
          </w:tcPr>
          <w:p>
            <w:pPr>
              <w:pStyle w:val="TableParagraph"/>
              <w:rPr>
                <w:sz w:val="24"/>
              </w:rPr>
            </w:pPr>
            <w:r>
              <w:rPr>
                <w:spacing w:val="-5"/>
                <w:sz w:val="24"/>
              </w:rPr>
              <w:t>87</w:t>
            </w:r>
          </w:p>
        </w:tc>
        <w:tc>
          <w:tcPr>
            <w:tcW w:w="916" w:type="dxa"/>
          </w:tcPr>
          <w:p>
            <w:pPr>
              <w:pStyle w:val="TableParagraph"/>
              <w:ind w:left="21" w:right="2"/>
              <w:rPr>
                <w:sz w:val="24"/>
              </w:rPr>
            </w:pPr>
            <w:r>
              <w:rPr>
                <w:spacing w:val="-5"/>
                <w:sz w:val="24"/>
              </w:rPr>
              <w:t>60</w:t>
            </w:r>
          </w:p>
        </w:tc>
        <w:tc>
          <w:tcPr>
            <w:tcW w:w="895" w:type="dxa"/>
          </w:tcPr>
          <w:p>
            <w:pPr>
              <w:pStyle w:val="TableParagraph"/>
              <w:ind w:left="78" w:right="79"/>
              <w:rPr>
                <w:sz w:val="24"/>
              </w:rPr>
            </w:pPr>
            <w:r>
              <w:rPr>
                <w:spacing w:val="-5"/>
                <w:sz w:val="24"/>
              </w:rPr>
              <w:t>42</w:t>
            </w:r>
          </w:p>
        </w:tc>
        <w:tc>
          <w:tcPr>
            <w:tcW w:w="895" w:type="dxa"/>
          </w:tcPr>
          <w:p>
            <w:pPr>
              <w:pStyle w:val="TableParagraph"/>
              <w:ind w:left="79" w:right="79"/>
              <w:rPr>
                <w:sz w:val="24"/>
              </w:rPr>
            </w:pPr>
            <w:r>
              <w:rPr>
                <w:spacing w:val="-5"/>
                <w:sz w:val="24"/>
              </w:rPr>
              <w:t>22</w:t>
            </w:r>
          </w:p>
        </w:tc>
        <w:tc>
          <w:tcPr>
            <w:tcW w:w="895" w:type="dxa"/>
          </w:tcPr>
          <w:p>
            <w:pPr>
              <w:pStyle w:val="TableParagraph"/>
              <w:ind w:left="79" w:right="79"/>
              <w:rPr>
                <w:sz w:val="24"/>
              </w:rPr>
            </w:pPr>
            <w:r>
              <w:rPr>
                <w:spacing w:val="-5"/>
                <w:sz w:val="24"/>
              </w:rPr>
              <w:t>10</w:t>
            </w:r>
          </w:p>
        </w:tc>
        <w:tc>
          <w:tcPr>
            <w:tcW w:w="895" w:type="dxa"/>
          </w:tcPr>
          <w:p>
            <w:pPr>
              <w:pStyle w:val="TableParagraph"/>
              <w:ind w:left="79" w:right="79"/>
              <w:rPr>
                <w:sz w:val="24"/>
              </w:rPr>
            </w:pPr>
            <w:r>
              <w:rPr>
                <w:spacing w:val="-10"/>
                <w:sz w:val="24"/>
              </w:rPr>
              <w:t>3</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10"/>
                <w:sz w:val="24"/>
              </w:rPr>
              <w:t>5</w:t>
            </w:r>
          </w:p>
        </w:tc>
        <w:tc>
          <w:tcPr>
            <w:tcW w:w="1129" w:type="dxa"/>
          </w:tcPr>
          <w:p>
            <w:pPr>
              <w:pStyle w:val="TableParagraph"/>
              <w:rPr>
                <w:sz w:val="24"/>
              </w:rPr>
            </w:pPr>
            <w:r>
              <w:rPr>
                <w:spacing w:val="-5"/>
                <w:sz w:val="24"/>
              </w:rPr>
              <w:t>74</w:t>
            </w:r>
          </w:p>
        </w:tc>
        <w:tc>
          <w:tcPr>
            <w:tcW w:w="916" w:type="dxa"/>
          </w:tcPr>
          <w:p>
            <w:pPr>
              <w:pStyle w:val="TableParagraph"/>
              <w:ind w:left="21" w:right="2"/>
              <w:rPr>
                <w:sz w:val="24"/>
              </w:rPr>
            </w:pPr>
            <w:r>
              <w:rPr>
                <w:spacing w:val="-5"/>
                <w:sz w:val="24"/>
              </w:rPr>
              <w:t>58</w:t>
            </w:r>
          </w:p>
        </w:tc>
        <w:tc>
          <w:tcPr>
            <w:tcW w:w="895" w:type="dxa"/>
          </w:tcPr>
          <w:p>
            <w:pPr>
              <w:pStyle w:val="TableParagraph"/>
              <w:ind w:left="78" w:right="79"/>
              <w:rPr>
                <w:sz w:val="24"/>
              </w:rPr>
            </w:pPr>
            <w:r>
              <w:rPr>
                <w:spacing w:val="-5"/>
                <w:sz w:val="24"/>
              </w:rPr>
              <w:t>41</w:t>
            </w:r>
          </w:p>
        </w:tc>
        <w:tc>
          <w:tcPr>
            <w:tcW w:w="895" w:type="dxa"/>
          </w:tcPr>
          <w:p>
            <w:pPr>
              <w:pStyle w:val="TableParagraph"/>
              <w:ind w:left="79" w:right="79"/>
              <w:rPr>
                <w:sz w:val="24"/>
              </w:rPr>
            </w:pPr>
            <w:r>
              <w:rPr>
                <w:spacing w:val="-5"/>
                <w:sz w:val="24"/>
              </w:rPr>
              <w:t>30</w:t>
            </w:r>
          </w:p>
        </w:tc>
        <w:tc>
          <w:tcPr>
            <w:tcW w:w="895" w:type="dxa"/>
          </w:tcPr>
          <w:p>
            <w:pPr>
              <w:pStyle w:val="TableParagraph"/>
              <w:ind w:left="79" w:right="79"/>
              <w:rPr>
                <w:sz w:val="24"/>
              </w:rPr>
            </w:pPr>
            <w:r>
              <w:rPr>
                <w:spacing w:val="-5"/>
                <w:sz w:val="24"/>
              </w:rPr>
              <w:t>16</w:t>
            </w:r>
          </w:p>
        </w:tc>
        <w:tc>
          <w:tcPr>
            <w:tcW w:w="895" w:type="dxa"/>
          </w:tcPr>
          <w:p>
            <w:pPr>
              <w:pStyle w:val="TableParagraph"/>
              <w:ind w:left="79" w:right="79"/>
              <w:rPr>
                <w:sz w:val="24"/>
              </w:rPr>
            </w:pPr>
            <w:r>
              <w:rPr>
                <w:spacing w:val="-10"/>
                <w:sz w:val="24"/>
              </w:rPr>
              <w:t>7</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10"/>
                <w:sz w:val="24"/>
              </w:rPr>
              <w:t>6</w:t>
            </w:r>
          </w:p>
        </w:tc>
        <w:tc>
          <w:tcPr>
            <w:tcW w:w="1129" w:type="dxa"/>
          </w:tcPr>
          <w:p>
            <w:pPr>
              <w:pStyle w:val="TableParagraph"/>
              <w:rPr>
                <w:sz w:val="24"/>
              </w:rPr>
            </w:pPr>
            <w:r>
              <w:rPr>
                <w:spacing w:val="-5"/>
                <w:sz w:val="24"/>
              </w:rPr>
              <w:t>63</w:t>
            </w:r>
          </w:p>
        </w:tc>
        <w:tc>
          <w:tcPr>
            <w:tcW w:w="916" w:type="dxa"/>
          </w:tcPr>
          <w:p>
            <w:pPr>
              <w:pStyle w:val="TableParagraph"/>
              <w:ind w:left="21" w:right="2"/>
              <w:rPr>
                <w:sz w:val="24"/>
              </w:rPr>
            </w:pPr>
            <w:r>
              <w:rPr>
                <w:spacing w:val="-5"/>
                <w:sz w:val="24"/>
              </w:rPr>
              <w:t>50</w:t>
            </w:r>
          </w:p>
        </w:tc>
        <w:tc>
          <w:tcPr>
            <w:tcW w:w="895" w:type="dxa"/>
          </w:tcPr>
          <w:p>
            <w:pPr>
              <w:pStyle w:val="TableParagraph"/>
              <w:ind w:left="78" w:right="79"/>
              <w:rPr>
                <w:sz w:val="24"/>
              </w:rPr>
            </w:pPr>
            <w:r>
              <w:rPr>
                <w:spacing w:val="-5"/>
                <w:sz w:val="24"/>
              </w:rPr>
              <w:t>35</w:t>
            </w:r>
          </w:p>
        </w:tc>
        <w:tc>
          <w:tcPr>
            <w:tcW w:w="895" w:type="dxa"/>
          </w:tcPr>
          <w:p>
            <w:pPr>
              <w:pStyle w:val="TableParagraph"/>
              <w:ind w:left="79" w:right="79"/>
              <w:rPr>
                <w:sz w:val="24"/>
              </w:rPr>
            </w:pPr>
            <w:r>
              <w:rPr>
                <w:spacing w:val="-5"/>
                <w:sz w:val="24"/>
              </w:rPr>
              <w:t>20</w:t>
            </w:r>
          </w:p>
        </w:tc>
        <w:tc>
          <w:tcPr>
            <w:tcW w:w="895" w:type="dxa"/>
          </w:tcPr>
          <w:p>
            <w:pPr>
              <w:pStyle w:val="TableParagraph"/>
              <w:ind w:left="79" w:right="79"/>
              <w:rPr>
                <w:sz w:val="24"/>
              </w:rPr>
            </w:pPr>
            <w:r>
              <w:rPr>
                <w:spacing w:val="-5"/>
                <w:sz w:val="24"/>
              </w:rPr>
              <w:t>15</w:t>
            </w:r>
          </w:p>
        </w:tc>
        <w:tc>
          <w:tcPr>
            <w:tcW w:w="895" w:type="dxa"/>
          </w:tcPr>
          <w:p>
            <w:pPr>
              <w:pStyle w:val="TableParagraph"/>
              <w:ind w:left="79" w:right="79"/>
              <w:rPr>
                <w:sz w:val="24"/>
              </w:rPr>
            </w:pPr>
            <w:r>
              <w:rPr>
                <w:spacing w:val="-10"/>
                <w:sz w:val="24"/>
              </w:rPr>
              <w:t>6</w:t>
            </w:r>
          </w:p>
        </w:tc>
        <w:tc>
          <w:tcPr>
            <w:tcW w:w="894" w:type="dxa"/>
          </w:tcPr>
          <w:p>
            <w:pPr>
              <w:pStyle w:val="TableParagraph"/>
              <w:ind w:left="3"/>
              <w:rPr>
                <w:sz w:val="24"/>
              </w:rPr>
            </w:pPr>
            <w:r>
              <w:rPr>
                <w:spacing w:val="-10"/>
                <w:sz w:val="24"/>
              </w:rPr>
              <w:t>3</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7" w:hRule="atLeast"/>
        </w:trPr>
        <w:tc>
          <w:tcPr>
            <w:tcW w:w="1639" w:type="dxa"/>
          </w:tcPr>
          <w:p>
            <w:pPr>
              <w:pStyle w:val="TableParagraph"/>
              <w:ind w:right="5"/>
              <w:rPr>
                <w:sz w:val="24"/>
              </w:rPr>
            </w:pPr>
            <w:r>
              <w:rPr>
                <w:spacing w:val="-10"/>
                <w:sz w:val="24"/>
              </w:rPr>
              <w:t>7</w:t>
            </w:r>
          </w:p>
        </w:tc>
        <w:tc>
          <w:tcPr>
            <w:tcW w:w="1129" w:type="dxa"/>
          </w:tcPr>
          <w:p>
            <w:pPr>
              <w:pStyle w:val="TableParagraph"/>
              <w:rPr>
                <w:sz w:val="24"/>
              </w:rPr>
            </w:pPr>
            <w:r>
              <w:rPr>
                <w:spacing w:val="-5"/>
                <w:sz w:val="24"/>
              </w:rPr>
              <w:t>52</w:t>
            </w:r>
          </w:p>
        </w:tc>
        <w:tc>
          <w:tcPr>
            <w:tcW w:w="916" w:type="dxa"/>
          </w:tcPr>
          <w:p>
            <w:pPr>
              <w:pStyle w:val="TableParagraph"/>
              <w:ind w:left="21" w:right="2"/>
              <w:rPr>
                <w:sz w:val="24"/>
              </w:rPr>
            </w:pPr>
            <w:r>
              <w:rPr>
                <w:spacing w:val="-5"/>
                <w:sz w:val="24"/>
              </w:rPr>
              <w:t>39</w:t>
            </w:r>
          </w:p>
        </w:tc>
        <w:tc>
          <w:tcPr>
            <w:tcW w:w="895" w:type="dxa"/>
          </w:tcPr>
          <w:p>
            <w:pPr>
              <w:pStyle w:val="TableParagraph"/>
              <w:ind w:left="78" w:right="79"/>
              <w:rPr>
                <w:sz w:val="24"/>
              </w:rPr>
            </w:pPr>
            <w:r>
              <w:rPr>
                <w:spacing w:val="-5"/>
                <w:sz w:val="24"/>
              </w:rPr>
              <w:t>26</w:t>
            </w:r>
          </w:p>
        </w:tc>
        <w:tc>
          <w:tcPr>
            <w:tcW w:w="895" w:type="dxa"/>
          </w:tcPr>
          <w:p>
            <w:pPr>
              <w:pStyle w:val="TableParagraph"/>
              <w:ind w:left="79" w:right="79"/>
              <w:rPr>
                <w:sz w:val="24"/>
              </w:rPr>
            </w:pPr>
            <w:r>
              <w:rPr>
                <w:spacing w:val="-5"/>
                <w:sz w:val="24"/>
              </w:rPr>
              <w:t>20</w:t>
            </w:r>
          </w:p>
        </w:tc>
        <w:tc>
          <w:tcPr>
            <w:tcW w:w="895" w:type="dxa"/>
          </w:tcPr>
          <w:p>
            <w:pPr>
              <w:pStyle w:val="TableParagraph"/>
              <w:ind w:left="79" w:right="79"/>
              <w:rPr>
                <w:sz w:val="24"/>
              </w:rPr>
            </w:pPr>
            <w:r>
              <w:rPr>
                <w:spacing w:val="-5"/>
                <w:sz w:val="24"/>
              </w:rPr>
              <w:t>14</w:t>
            </w:r>
          </w:p>
        </w:tc>
        <w:tc>
          <w:tcPr>
            <w:tcW w:w="895" w:type="dxa"/>
          </w:tcPr>
          <w:p>
            <w:pPr>
              <w:pStyle w:val="TableParagraph"/>
              <w:ind w:left="79" w:right="79"/>
              <w:rPr>
                <w:sz w:val="24"/>
              </w:rPr>
            </w:pPr>
            <w:r>
              <w:rPr>
                <w:spacing w:val="-5"/>
                <w:sz w:val="24"/>
              </w:rPr>
              <w:t>10</w:t>
            </w:r>
          </w:p>
        </w:tc>
        <w:tc>
          <w:tcPr>
            <w:tcW w:w="894" w:type="dxa"/>
          </w:tcPr>
          <w:p>
            <w:pPr>
              <w:pStyle w:val="TableParagraph"/>
              <w:ind w:left="3"/>
              <w:rPr>
                <w:sz w:val="24"/>
              </w:rPr>
            </w:pPr>
            <w:r>
              <w:rPr>
                <w:spacing w:val="-10"/>
                <w:sz w:val="24"/>
              </w:rPr>
              <w:t>5</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10"/>
                <w:sz w:val="24"/>
              </w:rPr>
              <w:t>8</w:t>
            </w:r>
          </w:p>
        </w:tc>
        <w:tc>
          <w:tcPr>
            <w:tcW w:w="1129" w:type="dxa"/>
          </w:tcPr>
          <w:p>
            <w:pPr>
              <w:pStyle w:val="TableParagraph"/>
              <w:rPr>
                <w:sz w:val="24"/>
              </w:rPr>
            </w:pPr>
            <w:r>
              <w:rPr>
                <w:spacing w:val="-5"/>
                <w:sz w:val="24"/>
              </w:rPr>
              <w:t>67</w:t>
            </w:r>
          </w:p>
        </w:tc>
        <w:tc>
          <w:tcPr>
            <w:tcW w:w="916" w:type="dxa"/>
          </w:tcPr>
          <w:p>
            <w:pPr>
              <w:pStyle w:val="TableParagraph"/>
              <w:ind w:left="21" w:right="2"/>
              <w:rPr>
                <w:sz w:val="24"/>
              </w:rPr>
            </w:pPr>
            <w:r>
              <w:rPr>
                <w:spacing w:val="-5"/>
                <w:sz w:val="24"/>
              </w:rPr>
              <w:t>52</w:t>
            </w:r>
          </w:p>
        </w:tc>
        <w:tc>
          <w:tcPr>
            <w:tcW w:w="895" w:type="dxa"/>
          </w:tcPr>
          <w:p>
            <w:pPr>
              <w:pStyle w:val="TableParagraph"/>
              <w:ind w:left="78" w:right="79"/>
              <w:rPr>
                <w:sz w:val="24"/>
              </w:rPr>
            </w:pPr>
            <w:r>
              <w:rPr>
                <w:spacing w:val="-5"/>
                <w:sz w:val="24"/>
              </w:rPr>
              <w:t>44</w:t>
            </w:r>
          </w:p>
        </w:tc>
        <w:tc>
          <w:tcPr>
            <w:tcW w:w="895" w:type="dxa"/>
          </w:tcPr>
          <w:p>
            <w:pPr>
              <w:pStyle w:val="TableParagraph"/>
              <w:ind w:left="79" w:right="79"/>
              <w:rPr>
                <w:sz w:val="24"/>
              </w:rPr>
            </w:pPr>
            <w:r>
              <w:rPr>
                <w:spacing w:val="-5"/>
                <w:sz w:val="24"/>
              </w:rPr>
              <w:t>31</w:t>
            </w:r>
          </w:p>
        </w:tc>
        <w:tc>
          <w:tcPr>
            <w:tcW w:w="895" w:type="dxa"/>
          </w:tcPr>
          <w:p>
            <w:pPr>
              <w:pStyle w:val="TableParagraph"/>
              <w:ind w:left="79" w:right="79"/>
              <w:rPr>
                <w:sz w:val="24"/>
              </w:rPr>
            </w:pPr>
            <w:r>
              <w:rPr>
                <w:spacing w:val="-5"/>
                <w:sz w:val="24"/>
              </w:rPr>
              <w:t>20</w:t>
            </w:r>
          </w:p>
        </w:tc>
        <w:tc>
          <w:tcPr>
            <w:tcW w:w="895" w:type="dxa"/>
          </w:tcPr>
          <w:p>
            <w:pPr>
              <w:pStyle w:val="TableParagraph"/>
              <w:ind w:left="79" w:right="79"/>
              <w:rPr>
                <w:sz w:val="24"/>
              </w:rPr>
            </w:pPr>
            <w:r>
              <w:rPr>
                <w:spacing w:val="-5"/>
                <w:sz w:val="24"/>
              </w:rPr>
              <w:t>15</w:t>
            </w:r>
          </w:p>
        </w:tc>
        <w:tc>
          <w:tcPr>
            <w:tcW w:w="894" w:type="dxa"/>
          </w:tcPr>
          <w:p>
            <w:pPr>
              <w:pStyle w:val="TableParagraph"/>
              <w:ind w:left="3"/>
              <w:rPr>
                <w:sz w:val="24"/>
              </w:rPr>
            </w:pPr>
            <w:r>
              <w:rPr>
                <w:spacing w:val="-10"/>
                <w:sz w:val="24"/>
              </w:rPr>
              <w:t>9</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7" w:hRule="atLeast"/>
        </w:trPr>
        <w:tc>
          <w:tcPr>
            <w:tcW w:w="1639" w:type="dxa"/>
          </w:tcPr>
          <w:p>
            <w:pPr>
              <w:pStyle w:val="TableParagraph"/>
              <w:ind w:right="5"/>
              <w:rPr>
                <w:sz w:val="24"/>
              </w:rPr>
            </w:pPr>
            <w:r>
              <w:rPr>
                <w:spacing w:val="-10"/>
                <w:sz w:val="24"/>
              </w:rPr>
              <w:t>9</w:t>
            </w:r>
          </w:p>
        </w:tc>
        <w:tc>
          <w:tcPr>
            <w:tcW w:w="1129" w:type="dxa"/>
          </w:tcPr>
          <w:p>
            <w:pPr>
              <w:pStyle w:val="TableParagraph"/>
              <w:rPr>
                <w:sz w:val="24"/>
              </w:rPr>
            </w:pPr>
            <w:r>
              <w:rPr>
                <w:spacing w:val="-5"/>
                <w:sz w:val="24"/>
              </w:rPr>
              <w:t>53</w:t>
            </w:r>
          </w:p>
        </w:tc>
        <w:tc>
          <w:tcPr>
            <w:tcW w:w="916" w:type="dxa"/>
          </w:tcPr>
          <w:p>
            <w:pPr>
              <w:pStyle w:val="TableParagraph"/>
              <w:ind w:left="21" w:right="2"/>
              <w:rPr>
                <w:sz w:val="24"/>
              </w:rPr>
            </w:pPr>
            <w:r>
              <w:rPr>
                <w:spacing w:val="-5"/>
                <w:sz w:val="24"/>
              </w:rPr>
              <w:t>40</w:t>
            </w:r>
          </w:p>
        </w:tc>
        <w:tc>
          <w:tcPr>
            <w:tcW w:w="895" w:type="dxa"/>
          </w:tcPr>
          <w:p>
            <w:pPr>
              <w:pStyle w:val="TableParagraph"/>
              <w:ind w:left="78" w:right="79"/>
              <w:rPr>
                <w:sz w:val="24"/>
              </w:rPr>
            </w:pPr>
            <w:r>
              <w:rPr>
                <w:spacing w:val="-5"/>
                <w:sz w:val="24"/>
              </w:rPr>
              <w:t>24</w:t>
            </w:r>
          </w:p>
        </w:tc>
        <w:tc>
          <w:tcPr>
            <w:tcW w:w="895" w:type="dxa"/>
          </w:tcPr>
          <w:p>
            <w:pPr>
              <w:pStyle w:val="TableParagraph"/>
              <w:ind w:left="79" w:right="79"/>
              <w:rPr>
                <w:sz w:val="24"/>
              </w:rPr>
            </w:pPr>
            <w:r>
              <w:rPr>
                <w:spacing w:val="-5"/>
                <w:sz w:val="24"/>
              </w:rPr>
              <w:t>17</w:t>
            </w:r>
          </w:p>
        </w:tc>
        <w:tc>
          <w:tcPr>
            <w:tcW w:w="895" w:type="dxa"/>
          </w:tcPr>
          <w:p>
            <w:pPr>
              <w:pStyle w:val="TableParagraph"/>
              <w:ind w:left="79" w:right="79"/>
              <w:rPr>
                <w:sz w:val="24"/>
              </w:rPr>
            </w:pPr>
            <w:r>
              <w:rPr>
                <w:spacing w:val="-5"/>
                <w:sz w:val="24"/>
              </w:rPr>
              <w:t>12</w:t>
            </w:r>
          </w:p>
        </w:tc>
        <w:tc>
          <w:tcPr>
            <w:tcW w:w="895" w:type="dxa"/>
          </w:tcPr>
          <w:p>
            <w:pPr>
              <w:pStyle w:val="TableParagraph"/>
              <w:ind w:left="79" w:right="79"/>
              <w:rPr>
                <w:sz w:val="24"/>
              </w:rPr>
            </w:pPr>
            <w:r>
              <w:rPr>
                <w:spacing w:val="-10"/>
                <w:sz w:val="24"/>
              </w:rPr>
              <w:t>5</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5"/>
                <w:sz w:val="24"/>
              </w:rPr>
              <w:t>10</w:t>
            </w:r>
          </w:p>
        </w:tc>
        <w:tc>
          <w:tcPr>
            <w:tcW w:w="1129" w:type="dxa"/>
          </w:tcPr>
          <w:p>
            <w:pPr>
              <w:pStyle w:val="TableParagraph"/>
              <w:rPr>
                <w:sz w:val="24"/>
              </w:rPr>
            </w:pPr>
            <w:r>
              <w:rPr>
                <w:spacing w:val="-5"/>
                <w:sz w:val="24"/>
              </w:rPr>
              <w:t>90</w:t>
            </w:r>
          </w:p>
        </w:tc>
        <w:tc>
          <w:tcPr>
            <w:tcW w:w="916" w:type="dxa"/>
          </w:tcPr>
          <w:p>
            <w:pPr>
              <w:pStyle w:val="TableParagraph"/>
              <w:ind w:left="21" w:right="2"/>
              <w:rPr>
                <w:sz w:val="24"/>
              </w:rPr>
            </w:pPr>
            <w:r>
              <w:rPr>
                <w:spacing w:val="-5"/>
                <w:sz w:val="24"/>
              </w:rPr>
              <w:t>77</w:t>
            </w:r>
          </w:p>
        </w:tc>
        <w:tc>
          <w:tcPr>
            <w:tcW w:w="895" w:type="dxa"/>
          </w:tcPr>
          <w:p>
            <w:pPr>
              <w:pStyle w:val="TableParagraph"/>
              <w:ind w:left="78" w:right="79"/>
              <w:rPr>
                <w:sz w:val="24"/>
              </w:rPr>
            </w:pPr>
            <w:r>
              <w:rPr>
                <w:spacing w:val="-5"/>
                <w:sz w:val="24"/>
              </w:rPr>
              <w:t>60</w:t>
            </w:r>
          </w:p>
        </w:tc>
        <w:tc>
          <w:tcPr>
            <w:tcW w:w="895" w:type="dxa"/>
          </w:tcPr>
          <w:p>
            <w:pPr>
              <w:pStyle w:val="TableParagraph"/>
              <w:ind w:left="79" w:right="79"/>
              <w:rPr>
                <w:sz w:val="24"/>
              </w:rPr>
            </w:pPr>
            <w:r>
              <w:rPr>
                <w:spacing w:val="-5"/>
                <w:sz w:val="24"/>
              </w:rPr>
              <w:t>41</w:t>
            </w:r>
          </w:p>
        </w:tc>
        <w:tc>
          <w:tcPr>
            <w:tcW w:w="895" w:type="dxa"/>
          </w:tcPr>
          <w:p>
            <w:pPr>
              <w:pStyle w:val="TableParagraph"/>
              <w:ind w:left="79" w:right="79"/>
              <w:rPr>
                <w:sz w:val="24"/>
              </w:rPr>
            </w:pPr>
            <w:r>
              <w:rPr>
                <w:spacing w:val="-5"/>
                <w:sz w:val="24"/>
              </w:rPr>
              <w:t>23</w:t>
            </w:r>
          </w:p>
        </w:tc>
        <w:tc>
          <w:tcPr>
            <w:tcW w:w="895" w:type="dxa"/>
          </w:tcPr>
          <w:p>
            <w:pPr>
              <w:pStyle w:val="TableParagraph"/>
              <w:ind w:left="79" w:right="79"/>
              <w:rPr>
                <w:sz w:val="24"/>
              </w:rPr>
            </w:pPr>
            <w:r>
              <w:rPr>
                <w:spacing w:val="-5"/>
                <w:sz w:val="24"/>
              </w:rPr>
              <w:t>12</w:t>
            </w:r>
          </w:p>
        </w:tc>
        <w:tc>
          <w:tcPr>
            <w:tcW w:w="894" w:type="dxa"/>
          </w:tcPr>
          <w:p>
            <w:pPr>
              <w:pStyle w:val="TableParagraph"/>
              <w:ind w:left="3"/>
              <w:rPr>
                <w:sz w:val="24"/>
              </w:rPr>
            </w:pPr>
            <w:r>
              <w:rPr>
                <w:spacing w:val="-10"/>
                <w:sz w:val="24"/>
              </w:rPr>
              <w:t>5</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5"/>
                <w:sz w:val="24"/>
              </w:rPr>
              <w:t>11</w:t>
            </w:r>
          </w:p>
        </w:tc>
        <w:tc>
          <w:tcPr>
            <w:tcW w:w="1129" w:type="dxa"/>
          </w:tcPr>
          <w:p>
            <w:pPr>
              <w:pStyle w:val="TableParagraph"/>
              <w:rPr>
                <w:sz w:val="24"/>
              </w:rPr>
            </w:pPr>
            <w:r>
              <w:rPr>
                <w:spacing w:val="-5"/>
                <w:sz w:val="24"/>
              </w:rPr>
              <w:t>67</w:t>
            </w:r>
          </w:p>
        </w:tc>
        <w:tc>
          <w:tcPr>
            <w:tcW w:w="916" w:type="dxa"/>
          </w:tcPr>
          <w:p>
            <w:pPr>
              <w:pStyle w:val="TableParagraph"/>
              <w:ind w:left="21" w:right="2"/>
              <w:rPr>
                <w:sz w:val="24"/>
              </w:rPr>
            </w:pPr>
            <w:r>
              <w:rPr>
                <w:spacing w:val="-5"/>
                <w:sz w:val="24"/>
              </w:rPr>
              <w:t>51</w:t>
            </w:r>
          </w:p>
        </w:tc>
        <w:tc>
          <w:tcPr>
            <w:tcW w:w="895" w:type="dxa"/>
          </w:tcPr>
          <w:p>
            <w:pPr>
              <w:pStyle w:val="TableParagraph"/>
              <w:ind w:left="78" w:right="79"/>
              <w:rPr>
                <w:sz w:val="24"/>
              </w:rPr>
            </w:pPr>
            <w:r>
              <w:rPr>
                <w:spacing w:val="-5"/>
                <w:sz w:val="24"/>
              </w:rPr>
              <w:t>33</w:t>
            </w:r>
          </w:p>
        </w:tc>
        <w:tc>
          <w:tcPr>
            <w:tcW w:w="895" w:type="dxa"/>
          </w:tcPr>
          <w:p>
            <w:pPr>
              <w:pStyle w:val="TableParagraph"/>
              <w:ind w:left="79" w:right="79"/>
              <w:rPr>
                <w:sz w:val="24"/>
              </w:rPr>
            </w:pPr>
            <w:r>
              <w:rPr>
                <w:spacing w:val="-5"/>
                <w:sz w:val="24"/>
              </w:rPr>
              <w:t>20</w:t>
            </w:r>
          </w:p>
        </w:tc>
        <w:tc>
          <w:tcPr>
            <w:tcW w:w="895" w:type="dxa"/>
          </w:tcPr>
          <w:p>
            <w:pPr>
              <w:pStyle w:val="TableParagraph"/>
              <w:ind w:left="79" w:right="79"/>
              <w:rPr>
                <w:sz w:val="24"/>
              </w:rPr>
            </w:pPr>
            <w:r>
              <w:rPr>
                <w:spacing w:val="-5"/>
                <w:sz w:val="24"/>
              </w:rPr>
              <w:t>15</w:t>
            </w:r>
          </w:p>
        </w:tc>
        <w:tc>
          <w:tcPr>
            <w:tcW w:w="895" w:type="dxa"/>
          </w:tcPr>
          <w:p>
            <w:pPr>
              <w:pStyle w:val="TableParagraph"/>
              <w:ind w:left="79" w:right="79"/>
              <w:rPr>
                <w:sz w:val="24"/>
              </w:rPr>
            </w:pPr>
            <w:r>
              <w:rPr>
                <w:spacing w:val="-10"/>
                <w:sz w:val="24"/>
              </w:rPr>
              <w:t>6</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7" w:hRule="atLeast"/>
        </w:trPr>
        <w:tc>
          <w:tcPr>
            <w:tcW w:w="1639" w:type="dxa"/>
          </w:tcPr>
          <w:p>
            <w:pPr>
              <w:pStyle w:val="TableParagraph"/>
              <w:ind w:right="5"/>
              <w:rPr>
                <w:sz w:val="24"/>
              </w:rPr>
            </w:pPr>
            <w:r>
              <w:rPr>
                <w:spacing w:val="-5"/>
                <w:sz w:val="24"/>
              </w:rPr>
              <w:t>12</w:t>
            </w:r>
          </w:p>
        </w:tc>
        <w:tc>
          <w:tcPr>
            <w:tcW w:w="1129" w:type="dxa"/>
          </w:tcPr>
          <w:p>
            <w:pPr>
              <w:pStyle w:val="TableParagraph"/>
              <w:rPr>
                <w:sz w:val="24"/>
              </w:rPr>
            </w:pPr>
            <w:r>
              <w:rPr>
                <w:spacing w:val="-5"/>
                <w:sz w:val="24"/>
              </w:rPr>
              <w:t>69</w:t>
            </w:r>
          </w:p>
        </w:tc>
        <w:tc>
          <w:tcPr>
            <w:tcW w:w="916" w:type="dxa"/>
          </w:tcPr>
          <w:p>
            <w:pPr>
              <w:pStyle w:val="TableParagraph"/>
              <w:ind w:left="21" w:right="2"/>
              <w:rPr>
                <w:sz w:val="24"/>
              </w:rPr>
            </w:pPr>
            <w:r>
              <w:rPr>
                <w:spacing w:val="-5"/>
                <w:sz w:val="24"/>
              </w:rPr>
              <w:t>50</w:t>
            </w:r>
          </w:p>
        </w:tc>
        <w:tc>
          <w:tcPr>
            <w:tcW w:w="895" w:type="dxa"/>
          </w:tcPr>
          <w:p>
            <w:pPr>
              <w:pStyle w:val="TableParagraph"/>
              <w:ind w:left="78" w:right="79"/>
              <w:rPr>
                <w:sz w:val="24"/>
              </w:rPr>
            </w:pPr>
            <w:r>
              <w:rPr>
                <w:spacing w:val="-5"/>
                <w:sz w:val="24"/>
              </w:rPr>
              <w:t>30</w:t>
            </w:r>
          </w:p>
        </w:tc>
        <w:tc>
          <w:tcPr>
            <w:tcW w:w="895" w:type="dxa"/>
          </w:tcPr>
          <w:p>
            <w:pPr>
              <w:pStyle w:val="TableParagraph"/>
              <w:ind w:left="79" w:right="79"/>
              <w:rPr>
                <w:sz w:val="24"/>
              </w:rPr>
            </w:pPr>
            <w:r>
              <w:rPr>
                <w:spacing w:val="-5"/>
                <w:sz w:val="24"/>
              </w:rPr>
              <w:t>20</w:t>
            </w:r>
          </w:p>
        </w:tc>
        <w:tc>
          <w:tcPr>
            <w:tcW w:w="895" w:type="dxa"/>
          </w:tcPr>
          <w:p>
            <w:pPr>
              <w:pStyle w:val="TableParagraph"/>
              <w:ind w:left="79" w:right="79"/>
              <w:rPr>
                <w:sz w:val="24"/>
              </w:rPr>
            </w:pPr>
            <w:r>
              <w:rPr>
                <w:spacing w:val="-5"/>
                <w:sz w:val="24"/>
              </w:rPr>
              <w:t>15</w:t>
            </w:r>
          </w:p>
        </w:tc>
        <w:tc>
          <w:tcPr>
            <w:tcW w:w="895" w:type="dxa"/>
          </w:tcPr>
          <w:p>
            <w:pPr>
              <w:pStyle w:val="TableParagraph"/>
              <w:ind w:left="79" w:right="79"/>
              <w:rPr>
                <w:sz w:val="24"/>
              </w:rPr>
            </w:pPr>
            <w:r>
              <w:rPr>
                <w:spacing w:val="-10"/>
                <w:sz w:val="24"/>
              </w:rPr>
              <w:t>6</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7" w:hRule="atLeast"/>
        </w:trPr>
        <w:tc>
          <w:tcPr>
            <w:tcW w:w="1639" w:type="dxa"/>
          </w:tcPr>
          <w:p>
            <w:pPr>
              <w:pStyle w:val="TableParagraph"/>
              <w:ind w:right="5"/>
              <w:rPr>
                <w:sz w:val="24"/>
              </w:rPr>
            </w:pPr>
            <w:r>
              <w:rPr>
                <w:spacing w:val="-5"/>
                <w:sz w:val="24"/>
              </w:rPr>
              <w:t>13</w:t>
            </w:r>
          </w:p>
        </w:tc>
        <w:tc>
          <w:tcPr>
            <w:tcW w:w="1129" w:type="dxa"/>
          </w:tcPr>
          <w:p>
            <w:pPr>
              <w:pStyle w:val="TableParagraph"/>
              <w:rPr>
                <w:sz w:val="24"/>
              </w:rPr>
            </w:pPr>
            <w:r>
              <w:rPr>
                <w:spacing w:val="-5"/>
                <w:sz w:val="24"/>
              </w:rPr>
              <w:t>140</w:t>
            </w:r>
          </w:p>
        </w:tc>
        <w:tc>
          <w:tcPr>
            <w:tcW w:w="916" w:type="dxa"/>
          </w:tcPr>
          <w:p>
            <w:pPr>
              <w:pStyle w:val="TableParagraph"/>
              <w:ind w:left="21" w:right="2"/>
              <w:rPr>
                <w:sz w:val="24"/>
              </w:rPr>
            </w:pPr>
            <w:r>
              <w:rPr>
                <w:spacing w:val="-5"/>
                <w:sz w:val="24"/>
              </w:rPr>
              <w:t>58</w:t>
            </w:r>
          </w:p>
        </w:tc>
        <w:tc>
          <w:tcPr>
            <w:tcW w:w="895" w:type="dxa"/>
          </w:tcPr>
          <w:p>
            <w:pPr>
              <w:pStyle w:val="TableParagraph"/>
              <w:ind w:left="78" w:right="79"/>
              <w:rPr>
                <w:sz w:val="24"/>
              </w:rPr>
            </w:pPr>
            <w:r>
              <w:rPr>
                <w:spacing w:val="-5"/>
                <w:sz w:val="24"/>
              </w:rPr>
              <w:t>36</w:t>
            </w:r>
          </w:p>
        </w:tc>
        <w:tc>
          <w:tcPr>
            <w:tcW w:w="895" w:type="dxa"/>
          </w:tcPr>
          <w:p>
            <w:pPr>
              <w:pStyle w:val="TableParagraph"/>
              <w:ind w:left="79" w:right="79"/>
              <w:rPr>
                <w:sz w:val="24"/>
              </w:rPr>
            </w:pPr>
            <w:r>
              <w:rPr>
                <w:spacing w:val="-5"/>
                <w:sz w:val="24"/>
              </w:rPr>
              <w:t>10</w:t>
            </w:r>
          </w:p>
        </w:tc>
        <w:tc>
          <w:tcPr>
            <w:tcW w:w="895" w:type="dxa"/>
          </w:tcPr>
          <w:p>
            <w:pPr>
              <w:pStyle w:val="TableParagraph"/>
              <w:ind w:left="79" w:right="79"/>
              <w:rPr>
                <w:sz w:val="24"/>
              </w:rPr>
            </w:pPr>
            <w:r>
              <w:rPr>
                <w:spacing w:val="-10"/>
                <w:sz w:val="24"/>
              </w:rPr>
              <w:t>0</w:t>
            </w:r>
          </w:p>
        </w:tc>
        <w:tc>
          <w:tcPr>
            <w:tcW w:w="895" w:type="dxa"/>
          </w:tcPr>
          <w:p>
            <w:pPr>
              <w:pStyle w:val="TableParagraph"/>
              <w:ind w:left="79" w:right="79"/>
              <w:rPr>
                <w:sz w:val="24"/>
              </w:rPr>
            </w:pPr>
            <w:r>
              <w:rPr>
                <w:spacing w:val="-10"/>
                <w:sz w:val="24"/>
              </w:rPr>
              <w:t>2</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5"/>
                <w:sz w:val="24"/>
              </w:rPr>
              <w:t>14</w:t>
            </w:r>
          </w:p>
        </w:tc>
        <w:tc>
          <w:tcPr>
            <w:tcW w:w="1129" w:type="dxa"/>
          </w:tcPr>
          <w:p>
            <w:pPr>
              <w:pStyle w:val="TableParagraph"/>
              <w:rPr>
                <w:sz w:val="24"/>
              </w:rPr>
            </w:pPr>
            <w:r>
              <w:rPr>
                <w:spacing w:val="-5"/>
                <w:sz w:val="24"/>
              </w:rPr>
              <w:t>84</w:t>
            </w:r>
          </w:p>
        </w:tc>
        <w:tc>
          <w:tcPr>
            <w:tcW w:w="916" w:type="dxa"/>
          </w:tcPr>
          <w:p>
            <w:pPr>
              <w:pStyle w:val="TableParagraph"/>
              <w:ind w:left="21" w:right="2"/>
              <w:rPr>
                <w:sz w:val="24"/>
              </w:rPr>
            </w:pPr>
            <w:r>
              <w:rPr>
                <w:spacing w:val="-5"/>
                <w:sz w:val="24"/>
              </w:rPr>
              <w:t>50</w:t>
            </w:r>
          </w:p>
        </w:tc>
        <w:tc>
          <w:tcPr>
            <w:tcW w:w="895" w:type="dxa"/>
          </w:tcPr>
          <w:p>
            <w:pPr>
              <w:pStyle w:val="TableParagraph"/>
              <w:ind w:left="78" w:right="79"/>
              <w:rPr>
                <w:sz w:val="24"/>
              </w:rPr>
            </w:pPr>
            <w:r>
              <w:rPr>
                <w:spacing w:val="-5"/>
                <w:sz w:val="24"/>
              </w:rPr>
              <w:t>34</w:t>
            </w:r>
          </w:p>
        </w:tc>
        <w:tc>
          <w:tcPr>
            <w:tcW w:w="895" w:type="dxa"/>
          </w:tcPr>
          <w:p>
            <w:pPr>
              <w:pStyle w:val="TableParagraph"/>
              <w:ind w:left="79" w:right="79"/>
              <w:rPr>
                <w:sz w:val="24"/>
              </w:rPr>
            </w:pPr>
            <w:r>
              <w:rPr>
                <w:spacing w:val="-5"/>
                <w:sz w:val="24"/>
              </w:rPr>
              <w:t>16</w:t>
            </w:r>
          </w:p>
        </w:tc>
        <w:tc>
          <w:tcPr>
            <w:tcW w:w="895" w:type="dxa"/>
          </w:tcPr>
          <w:p>
            <w:pPr>
              <w:pStyle w:val="TableParagraph"/>
              <w:ind w:left="79" w:right="79"/>
              <w:rPr>
                <w:sz w:val="24"/>
              </w:rPr>
            </w:pPr>
            <w:r>
              <w:rPr>
                <w:spacing w:val="-10"/>
                <w:sz w:val="24"/>
              </w:rPr>
              <w:t>4</w:t>
            </w:r>
          </w:p>
        </w:tc>
        <w:tc>
          <w:tcPr>
            <w:tcW w:w="895" w:type="dxa"/>
          </w:tcPr>
          <w:p>
            <w:pPr>
              <w:pStyle w:val="TableParagraph"/>
              <w:ind w:left="79" w:right="79"/>
              <w:rPr>
                <w:sz w:val="24"/>
              </w:rPr>
            </w:pPr>
            <w:r>
              <w:rPr>
                <w:spacing w:val="-10"/>
                <w:sz w:val="24"/>
              </w:rPr>
              <w:t>0</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7" w:hRule="atLeast"/>
        </w:trPr>
        <w:tc>
          <w:tcPr>
            <w:tcW w:w="1639" w:type="dxa"/>
          </w:tcPr>
          <w:p>
            <w:pPr>
              <w:pStyle w:val="TableParagraph"/>
              <w:ind w:right="5"/>
              <w:rPr>
                <w:sz w:val="24"/>
              </w:rPr>
            </w:pPr>
            <w:r>
              <w:rPr>
                <w:spacing w:val="-5"/>
                <w:sz w:val="24"/>
              </w:rPr>
              <w:t>15</w:t>
            </w:r>
          </w:p>
        </w:tc>
        <w:tc>
          <w:tcPr>
            <w:tcW w:w="1129" w:type="dxa"/>
          </w:tcPr>
          <w:p>
            <w:pPr>
              <w:pStyle w:val="TableParagraph"/>
              <w:rPr>
                <w:sz w:val="24"/>
              </w:rPr>
            </w:pPr>
            <w:r>
              <w:rPr>
                <w:spacing w:val="-5"/>
                <w:sz w:val="24"/>
              </w:rPr>
              <w:t>174</w:t>
            </w:r>
          </w:p>
        </w:tc>
        <w:tc>
          <w:tcPr>
            <w:tcW w:w="916" w:type="dxa"/>
          </w:tcPr>
          <w:p>
            <w:pPr>
              <w:pStyle w:val="TableParagraph"/>
              <w:ind w:left="21" w:right="2"/>
              <w:rPr>
                <w:sz w:val="24"/>
              </w:rPr>
            </w:pPr>
            <w:r>
              <w:rPr>
                <w:spacing w:val="-5"/>
                <w:sz w:val="24"/>
              </w:rPr>
              <w:t>70</w:t>
            </w:r>
          </w:p>
        </w:tc>
        <w:tc>
          <w:tcPr>
            <w:tcW w:w="895" w:type="dxa"/>
          </w:tcPr>
          <w:p>
            <w:pPr>
              <w:pStyle w:val="TableParagraph"/>
              <w:ind w:left="78" w:right="79"/>
              <w:rPr>
                <w:sz w:val="24"/>
              </w:rPr>
            </w:pPr>
            <w:r>
              <w:rPr>
                <w:spacing w:val="-5"/>
                <w:sz w:val="24"/>
              </w:rPr>
              <w:t>38</w:t>
            </w:r>
          </w:p>
        </w:tc>
        <w:tc>
          <w:tcPr>
            <w:tcW w:w="895" w:type="dxa"/>
          </w:tcPr>
          <w:p>
            <w:pPr>
              <w:pStyle w:val="TableParagraph"/>
              <w:ind w:left="79" w:right="79"/>
              <w:rPr>
                <w:sz w:val="24"/>
              </w:rPr>
            </w:pPr>
            <w:r>
              <w:rPr>
                <w:spacing w:val="-5"/>
                <w:sz w:val="24"/>
              </w:rPr>
              <w:t>14</w:t>
            </w:r>
          </w:p>
        </w:tc>
        <w:tc>
          <w:tcPr>
            <w:tcW w:w="895" w:type="dxa"/>
          </w:tcPr>
          <w:p>
            <w:pPr>
              <w:pStyle w:val="TableParagraph"/>
              <w:ind w:left="79" w:right="79"/>
              <w:rPr>
                <w:sz w:val="24"/>
              </w:rPr>
            </w:pPr>
            <w:r>
              <w:rPr>
                <w:spacing w:val="-10"/>
                <w:sz w:val="24"/>
              </w:rPr>
              <w:t>2</w:t>
            </w:r>
          </w:p>
        </w:tc>
        <w:tc>
          <w:tcPr>
            <w:tcW w:w="895" w:type="dxa"/>
          </w:tcPr>
          <w:p>
            <w:pPr>
              <w:pStyle w:val="TableParagraph"/>
              <w:ind w:left="79" w:right="79"/>
              <w:rPr>
                <w:sz w:val="24"/>
              </w:rPr>
            </w:pPr>
            <w:r>
              <w:rPr>
                <w:spacing w:val="-10"/>
                <w:sz w:val="24"/>
              </w:rPr>
              <w:t>0</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5"/>
                <w:sz w:val="24"/>
              </w:rPr>
              <w:t>16</w:t>
            </w:r>
          </w:p>
        </w:tc>
        <w:tc>
          <w:tcPr>
            <w:tcW w:w="1129" w:type="dxa"/>
          </w:tcPr>
          <w:p>
            <w:pPr>
              <w:pStyle w:val="TableParagraph"/>
              <w:rPr>
                <w:sz w:val="24"/>
              </w:rPr>
            </w:pPr>
            <w:r>
              <w:rPr>
                <w:spacing w:val="-5"/>
                <w:sz w:val="24"/>
              </w:rPr>
              <w:t>70</w:t>
            </w:r>
          </w:p>
        </w:tc>
        <w:tc>
          <w:tcPr>
            <w:tcW w:w="916" w:type="dxa"/>
          </w:tcPr>
          <w:p>
            <w:pPr>
              <w:pStyle w:val="TableParagraph"/>
              <w:ind w:left="21" w:right="2"/>
              <w:rPr>
                <w:sz w:val="24"/>
              </w:rPr>
            </w:pPr>
            <w:r>
              <w:rPr>
                <w:spacing w:val="-5"/>
                <w:sz w:val="24"/>
              </w:rPr>
              <w:t>48</w:t>
            </w:r>
          </w:p>
        </w:tc>
        <w:tc>
          <w:tcPr>
            <w:tcW w:w="895" w:type="dxa"/>
          </w:tcPr>
          <w:p>
            <w:pPr>
              <w:pStyle w:val="TableParagraph"/>
              <w:ind w:left="78" w:right="79"/>
              <w:rPr>
                <w:sz w:val="24"/>
              </w:rPr>
            </w:pPr>
            <w:r>
              <w:rPr>
                <w:spacing w:val="-5"/>
                <w:sz w:val="24"/>
              </w:rPr>
              <w:t>22</w:t>
            </w:r>
          </w:p>
        </w:tc>
        <w:tc>
          <w:tcPr>
            <w:tcW w:w="895" w:type="dxa"/>
          </w:tcPr>
          <w:p>
            <w:pPr>
              <w:pStyle w:val="TableParagraph"/>
              <w:ind w:left="79" w:right="79"/>
              <w:rPr>
                <w:sz w:val="24"/>
              </w:rPr>
            </w:pPr>
            <w:r>
              <w:rPr>
                <w:spacing w:val="-5"/>
                <w:sz w:val="24"/>
              </w:rPr>
              <w:t>10</w:t>
            </w:r>
          </w:p>
        </w:tc>
        <w:tc>
          <w:tcPr>
            <w:tcW w:w="895" w:type="dxa"/>
          </w:tcPr>
          <w:p>
            <w:pPr>
              <w:pStyle w:val="TableParagraph"/>
              <w:ind w:left="79" w:right="79"/>
              <w:rPr>
                <w:sz w:val="24"/>
              </w:rPr>
            </w:pPr>
            <w:r>
              <w:rPr>
                <w:spacing w:val="-10"/>
                <w:sz w:val="24"/>
              </w:rPr>
              <w:t>4</w:t>
            </w:r>
          </w:p>
        </w:tc>
        <w:tc>
          <w:tcPr>
            <w:tcW w:w="895" w:type="dxa"/>
          </w:tcPr>
          <w:p>
            <w:pPr>
              <w:pStyle w:val="TableParagraph"/>
              <w:ind w:left="79" w:right="79"/>
              <w:rPr>
                <w:sz w:val="24"/>
              </w:rPr>
            </w:pPr>
            <w:r>
              <w:rPr>
                <w:spacing w:val="-10"/>
                <w:sz w:val="24"/>
              </w:rPr>
              <w:t>0</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5"/>
                <w:sz w:val="24"/>
              </w:rPr>
              <w:t>17</w:t>
            </w:r>
          </w:p>
        </w:tc>
        <w:tc>
          <w:tcPr>
            <w:tcW w:w="1129" w:type="dxa"/>
          </w:tcPr>
          <w:p>
            <w:pPr>
              <w:pStyle w:val="TableParagraph"/>
              <w:rPr>
                <w:sz w:val="24"/>
              </w:rPr>
            </w:pPr>
            <w:r>
              <w:rPr>
                <w:spacing w:val="-5"/>
                <w:sz w:val="24"/>
              </w:rPr>
              <w:t>98</w:t>
            </w:r>
          </w:p>
        </w:tc>
        <w:tc>
          <w:tcPr>
            <w:tcW w:w="916" w:type="dxa"/>
          </w:tcPr>
          <w:p>
            <w:pPr>
              <w:pStyle w:val="TableParagraph"/>
              <w:ind w:left="21" w:right="2"/>
              <w:rPr>
                <w:sz w:val="24"/>
              </w:rPr>
            </w:pPr>
            <w:r>
              <w:rPr>
                <w:spacing w:val="-5"/>
                <w:sz w:val="24"/>
              </w:rPr>
              <w:t>54</w:t>
            </w:r>
          </w:p>
        </w:tc>
        <w:tc>
          <w:tcPr>
            <w:tcW w:w="895" w:type="dxa"/>
          </w:tcPr>
          <w:p>
            <w:pPr>
              <w:pStyle w:val="TableParagraph"/>
              <w:ind w:left="78" w:right="79"/>
              <w:rPr>
                <w:sz w:val="24"/>
              </w:rPr>
            </w:pPr>
            <w:r>
              <w:rPr>
                <w:spacing w:val="-5"/>
                <w:sz w:val="24"/>
              </w:rPr>
              <w:t>30</w:t>
            </w:r>
          </w:p>
        </w:tc>
        <w:tc>
          <w:tcPr>
            <w:tcW w:w="895" w:type="dxa"/>
          </w:tcPr>
          <w:p>
            <w:pPr>
              <w:pStyle w:val="TableParagraph"/>
              <w:ind w:left="79" w:right="79"/>
              <w:rPr>
                <w:sz w:val="24"/>
              </w:rPr>
            </w:pPr>
            <w:r>
              <w:rPr>
                <w:spacing w:val="-5"/>
                <w:sz w:val="24"/>
              </w:rPr>
              <w:t>22</w:t>
            </w:r>
          </w:p>
        </w:tc>
        <w:tc>
          <w:tcPr>
            <w:tcW w:w="895" w:type="dxa"/>
          </w:tcPr>
          <w:p>
            <w:pPr>
              <w:pStyle w:val="TableParagraph"/>
              <w:ind w:left="79" w:right="79"/>
              <w:rPr>
                <w:sz w:val="24"/>
              </w:rPr>
            </w:pPr>
            <w:r>
              <w:rPr>
                <w:spacing w:val="-5"/>
                <w:sz w:val="24"/>
              </w:rPr>
              <w:t>10</w:t>
            </w:r>
          </w:p>
        </w:tc>
        <w:tc>
          <w:tcPr>
            <w:tcW w:w="895" w:type="dxa"/>
          </w:tcPr>
          <w:p>
            <w:pPr>
              <w:pStyle w:val="TableParagraph"/>
              <w:ind w:left="79" w:right="79"/>
              <w:rPr>
                <w:sz w:val="24"/>
              </w:rPr>
            </w:pPr>
            <w:r>
              <w:rPr>
                <w:spacing w:val="-10"/>
                <w:sz w:val="24"/>
              </w:rPr>
              <w:t>0</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8" w:hRule="atLeast"/>
        </w:trPr>
        <w:tc>
          <w:tcPr>
            <w:tcW w:w="1639" w:type="dxa"/>
          </w:tcPr>
          <w:p>
            <w:pPr>
              <w:pStyle w:val="TableParagraph"/>
              <w:ind w:right="5"/>
              <w:rPr>
                <w:sz w:val="24"/>
              </w:rPr>
            </w:pPr>
            <w:r>
              <w:rPr>
                <w:spacing w:val="-5"/>
                <w:sz w:val="24"/>
              </w:rPr>
              <w:t>18</w:t>
            </w:r>
          </w:p>
        </w:tc>
        <w:tc>
          <w:tcPr>
            <w:tcW w:w="1129" w:type="dxa"/>
          </w:tcPr>
          <w:p>
            <w:pPr>
              <w:pStyle w:val="TableParagraph"/>
              <w:rPr>
                <w:sz w:val="24"/>
              </w:rPr>
            </w:pPr>
            <w:r>
              <w:rPr>
                <w:spacing w:val="-5"/>
                <w:sz w:val="24"/>
              </w:rPr>
              <w:t>72</w:t>
            </w:r>
          </w:p>
        </w:tc>
        <w:tc>
          <w:tcPr>
            <w:tcW w:w="916" w:type="dxa"/>
          </w:tcPr>
          <w:p>
            <w:pPr>
              <w:pStyle w:val="TableParagraph"/>
              <w:ind w:left="21" w:right="2"/>
              <w:rPr>
                <w:sz w:val="24"/>
              </w:rPr>
            </w:pPr>
            <w:r>
              <w:rPr>
                <w:spacing w:val="-5"/>
                <w:sz w:val="24"/>
              </w:rPr>
              <w:t>40</w:t>
            </w:r>
          </w:p>
        </w:tc>
        <w:tc>
          <w:tcPr>
            <w:tcW w:w="895" w:type="dxa"/>
          </w:tcPr>
          <w:p>
            <w:pPr>
              <w:pStyle w:val="TableParagraph"/>
              <w:ind w:left="78" w:right="79"/>
              <w:rPr>
                <w:sz w:val="24"/>
              </w:rPr>
            </w:pPr>
            <w:r>
              <w:rPr>
                <w:spacing w:val="-5"/>
                <w:sz w:val="24"/>
              </w:rPr>
              <w:t>24</w:t>
            </w:r>
          </w:p>
        </w:tc>
        <w:tc>
          <w:tcPr>
            <w:tcW w:w="895" w:type="dxa"/>
          </w:tcPr>
          <w:p>
            <w:pPr>
              <w:pStyle w:val="TableParagraph"/>
              <w:ind w:left="79" w:right="79"/>
              <w:rPr>
                <w:sz w:val="24"/>
              </w:rPr>
            </w:pPr>
            <w:r>
              <w:rPr>
                <w:spacing w:val="-5"/>
                <w:sz w:val="24"/>
              </w:rPr>
              <w:t>12</w:t>
            </w:r>
          </w:p>
        </w:tc>
        <w:tc>
          <w:tcPr>
            <w:tcW w:w="895" w:type="dxa"/>
          </w:tcPr>
          <w:p>
            <w:pPr>
              <w:pStyle w:val="TableParagraph"/>
              <w:ind w:left="79" w:right="79"/>
              <w:rPr>
                <w:sz w:val="24"/>
              </w:rPr>
            </w:pPr>
            <w:r>
              <w:rPr>
                <w:spacing w:val="-10"/>
                <w:sz w:val="24"/>
              </w:rPr>
              <w:t>2</w:t>
            </w:r>
          </w:p>
        </w:tc>
        <w:tc>
          <w:tcPr>
            <w:tcW w:w="895" w:type="dxa"/>
          </w:tcPr>
          <w:p>
            <w:pPr>
              <w:pStyle w:val="TableParagraph"/>
              <w:ind w:left="79" w:right="79"/>
              <w:rPr>
                <w:sz w:val="24"/>
              </w:rPr>
            </w:pPr>
            <w:r>
              <w:rPr>
                <w:spacing w:val="-10"/>
                <w:sz w:val="24"/>
              </w:rPr>
              <w:t>0</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7" w:hRule="atLeast"/>
        </w:trPr>
        <w:tc>
          <w:tcPr>
            <w:tcW w:w="1639" w:type="dxa"/>
          </w:tcPr>
          <w:p>
            <w:pPr>
              <w:pStyle w:val="TableParagraph"/>
              <w:ind w:right="5"/>
              <w:rPr>
                <w:sz w:val="24"/>
              </w:rPr>
            </w:pPr>
            <w:r>
              <w:rPr>
                <w:spacing w:val="-5"/>
                <w:sz w:val="24"/>
              </w:rPr>
              <w:t>19</w:t>
            </w:r>
          </w:p>
        </w:tc>
        <w:tc>
          <w:tcPr>
            <w:tcW w:w="1129" w:type="dxa"/>
          </w:tcPr>
          <w:p>
            <w:pPr>
              <w:pStyle w:val="TableParagraph"/>
              <w:rPr>
                <w:sz w:val="24"/>
              </w:rPr>
            </w:pPr>
            <w:r>
              <w:rPr>
                <w:spacing w:val="-5"/>
                <w:sz w:val="24"/>
              </w:rPr>
              <w:t>152</w:t>
            </w:r>
          </w:p>
        </w:tc>
        <w:tc>
          <w:tcPr>
            <w:tcW w:w="916" w:type="dxa"/>
          </w:tcPr>
          <w:p>
            <w:pPr>
              <w:pStyle w:val="TableParagraph"/>
              <w:ind w:left="287"/>
              <w:jc w:val="left"/>
              <w:rPr>
                <w:sz w:val="24"/>
              </w:rPr>
            </w:pPr>
            <w:r>
              <w:rPr>
                <w:spacing w:val="-5"/>
                <w:sz w:val="24"/>
              </w:rPr>
              <w:t>120</w:t>
            </w:r>
          </w:p>
        </w:tc>
        <w:tc>
          <w:tcPr>
            <w:tcW w:w="895" w:type="dxa"/>
          </w:tcPr>
          <w:p>
            <w:pPr>
              <w:pStyle w:val="TableParagraph"/>
              <w:ind w:left="78" w:right="79"/>
              <w:rPr>
                <w:sz w:val="24"/>
              </w:rPr>
            </w:pPr>
            <w:r>
              <w:rPr>
                <w:spacing w:val="-5"/>
                <w:sz w:val="24"/>
              </w:rPr>
              <w:t>64</w:t>
            </w:r>
          </w:p>
        </w:tc>
        <w:tc>
          <w:tcPr>
            <w:tcW w:w="895" w:type="dxa"/>
          </w:tcPr>
          <w:p>
            <w:pPr>
              <w:pStyle w:val="TableParagraph"/>
              <w:ind w:left="79" w:right="79"/>
              <w:rPr>
                <w:sz w:val="24"/>
              </w:rPr>
            </w:pPr>
            <w:r>
              <w:rPr>
                <w:spacing w:val="-5"/>
                <w:sz w:val="24"/>
              </w:rPr>
              <w:t>32</w:t>
            </w:r>
          </w:p>
        </w:tc>
        <w:tc>
          <w:tcPr>
            <w:tcW w:w="895" w:type="dxa"/>
          </w:tcPr>
          <w:p>
            <w:pPr>
              <w:pStyle w:val="TableParagraph"/>
              <w:ind w:left="79" w:right="79"/>
              <w:rPr>
                <w:sz w:val="24"/>
              </w:rPr>
            </w:pPr>
            <w:r>
              <w:rPr>
                <w:spacing w:val="-5"/>
                <w:sz w:val="24"/>
              </w:rPr>
              <w:t>10</w:t>
            </w:r>
          </w:p>
        </w:tc>
        <w:tc>
          <w:tcPr>
            <w:tcW w:w="895" w:type="dxa"/>
          </w:tcPr>
          <w:p>
            <w:pPr>
              <w:pStyle w:val="TableParagraph"/>
              <w:ind w:left="79" w:right="79"/>
              <w:rPr>
                <w:sz w:val="24"/>
              </w:rPr>
            </w:pPr>
            <w:r>
              <w:rPr>
                <w:spacing w:val="-10"/>
                <w:sz w:val="24"/>
              </w:rPr>
              <w:t>2</w:t>
            </w:r>
          </w:p>
        </w:tc>
        <w:tc>
          <w:tcPr>
            <w:tcW w:w="894" w:type="dxa"/>
          </w:tcPr>
          <w:p>
            <w:pPr>
              <w:pStyle w:val="TableParagraph"/>
              <w:ind w:left="3"/>
              <w:rPr>
                <w:sz w:val="24"/>
              </w:rPr>
            </w:pPr>
            <w:r>
              <w:rPr>
                <w:spacing w:val="-10"/>
                <w:sz w:val="24"/>
              </w:rPr>
              <w:t>0</w:t>
            </w:r>
          </w:p>
        </w:tc>
        <w:tc>
          <w:tcPr>
            <w:tcW w:w="894" w:type="dxa"/>
          </w:tcPr>
          <w:p>
            <w:pPr>
              <w:pStyle w:val="TableParagraph"/>
              <w:ind w:left="3" w:right="2"/>
              <w:rPr>
                <w:sz w:val="24"/>
              </w:rPr>
            </w:pPr>
            <w:r>
              <w:rPr>
                <w:spacing w:val="-10"/>
                <w:sz w:val="24"/>
              </w:rPr>
              <w:t>0</w:t>
            </w:r>
          </w:p>
        </w:tc>
        <w:tc>
          <w:tcPr>
            <w:tcW w:w="758" w:type="dxa"/>
          </w:tcPr>
          <w:p>
            <w:pPr>
              <w:pStyle w:val="TableParagraph"/>
              <w:spacing w:line="240" w:lineRule="auto" w:before="0"/>
              <w:jc w:val="left"/>
              <w:rPr>
                <w:sz w:val="20"/>
              </w:rPr>
            </w:pPr>
          </w:p>
        </w:tc>
      </w:tr>
      <w:tr>
        <w:trPr>
          <w:trHeight w:val="284" w:hRule="atLeast"/>
        </w:trPr>
        <w:tc>
          <w:tcPr>
            <w:tcW w:w="1639" w:type="dxa"/>
            <w:tcBorders>
              <w:bottom w:val="single" w:sz="4" w:space="0" w:color="000000"/>
            </w:tcBorders>
          </w:tcPr>
          <w:p>
            <w:pPr>
              <w:pStyle w:val="TableParagraph"/>
              <w:spacing w:line="264" w:lineRule="exact"/>
              <w:ind w:right="5"/>
              <w:rPr>
                <w:sz w:val="24"/>
              </w:rPr>
            </w:pPr>
            <w:r>
              <w:rPr>
                <w:spacing w:val="-5"/>
                <w:sz w:val="24"/>
              </w:rPr>
              <w:t>20</w:t>
            </w:r>
          </w:p>
        </w:tc>
        <w:tc>
          <w:tcPr>
            <w:tcW w:w="1129" w:type="dxa"/>
            <w:tcBorders>
              <w:bottom w:val="single" w:sz="4" w:space="0" w:color="000000"/>
            </w:tcBorders>
          </w:tcPr>
          <w:p>
            <w:pPr>
              <w:pStyle w:val="TableParagraph"/>
              <w:spacing w:line="264" w:lineRule="exact"/>
              <w:rPr>
                <w:sz w:val="24"/>
              </w:rPr>
            </w:pPr>
            <w:r>
              <w:rPr>
                <w:spacing w:val="-5"/>
                <w:sz w:val="24"/>
              </w:rPr>
              <w:t>200</w:t>
            </w:r>
          </w:p>
        </w:tc>
        <w:tc>
          <w:tcPr>
            <w:tcW w:w="916" w:type="dxa"/>
            <w:tcBorders>
              <w:bottom w:val="single" w:sz="4" w:space="0" w:color="000000"/>
            </w:tcBorders>
          </w:tcPr>
          <w:p>
            <w:pPr>
              <w:pStyle w:val="TableParagraph"/>
              <w:spacing w:line="264" w:lineRule="exact"/>
              <w:ind w:left="287"/>
              <w:jc w:val="left"/>
              <w:rPr>
                <w:sz w:val="24"/>
              </w:rPr>
            </w:pPr>
            <w:r>
              <w:rPr>
                <w:spacing w:val="-5"/>
                <w:sz w:val="24"/>
              </w:rPr>
              <w:t>108</w:t>
            </w:r>
          </w:p>
        </w:tc>
        <w:tc>
          <w:tcPr>
            <w:tcW w:w="895" w:type="dxa"/>
            <w:tcBorders>
              <w:bottom w:val="single" w:sz="4" w:space="0" w:color="000000"/>
            </w:tcBorders>
          </w:tcPr>
          <w:p>
            <w:pPr>
              <w:pStyle w:val="TableParagraph"/>
              <w:spacing w:line="264" w:lineRule="exact"/>
              <w:ind w:left="78" w:right="79"/>
              <w:rPr>
                <w:sz w:val="24"/>
              </w:rPr>
            </w:pPr>
            <w:r>
              <w:rPr>
                <w:spacing w:val="-5"/>
                <w:sz w:val="24"/>
              </w:rPr>
              <w:t>28</w:t>
            </w:r>
          </w:p>
        </w:tc>
        <w:tc>
          <w:tcPr>
            <w:tcW w:w="895" w:type="dxa"/>
            <w:tcBorders>
              <w:bottom w:val="single" w:sz="4" w:space="0" w:color="000000"/>
            </w:tcBorders>
          </w:tcPr>
          <w:p>
            <w:pPr>
              <w:pStyle w:val="TableParagraph"/>
              <w:spacing w:line="264" w:lineRule="exact"/>
              <w:ind w:left="79" w:right="79"/>
              <w:rPr>
                <w:sz w:val="24"/>
              </w:rPr>
            </w:pPr>
            <w:r>
              <w:rPr>
                <w:spacing w:val="-5"/>
                <w:sz w:val="24"/>
              </w:rPr>
              <w:t>28</w:t>
            </w:r>
          </w:p>
        </w:tc>
        <w:tc>
          <w:tcPr>
            <w:tcW w:w="895" w:type="dxa"/>
            <w:tcBorders>
              <w:bottom w:val="single" w:sz="4" w:space="0" w:color="000000"/>
            </w:tcBorders>
          </w:tcPr>
          <w:p>
            <w:pPr>
              <w:pStyle w:val="TableParagraph"/>
              <w:spacing w:line="264" w:lineRule="exact"/>
              <w:ind w:left="79" w:right="79"/>
              <w:rPr>
                <w:sz w:val="24"/>
              </w:rPr>
            </w:pPr>
            <w:r>
              <w:rPr>
                <w:spacing w:val="-5"/>
                <w:sz w:val="24"/>
              </w:rPr>
              <w:t>12</w:t>
            </w:r>
          </w:p>
        </w:tc>
        <w:tc>
          <w:tcPr>
            <w:tcW w:w="895" w:type="dxa"/>
            <w:tcBorders>
              <w:bottom w:val="single" w:sz="4" w:space="0" w:color="000000"/>
            </w:tcBorders>
          </w:tcPr>
          <w:p>
            <w:pPr>
              <w:pStyle w:val="TableParagraph"/>
              <w:spacing w:line="264" w:lineRule="exact"/>
              <w:ind w:left="79" w:right="79"/>
              <w:rPr>
                <w:sz w:val="24"/>
              </w:rPr>
            </w:pPr>
            <w:r>
              <w:rPr>
                <w:spacing w:val="-10"/>
                <w:sz w:val="24"/>
              </w:rPr>
              <w:t>2</w:t>
            </w:r>
          </w:p>
        </w:tc>
        <w:tc>
          <w:tcPr>
            <w:tcW w:w="894" w:type="dxa"/>
            <w:tcBorders>
              <w:bottom w:val="single" w:sz="4" w:space="0" w:color="000000"/>
            </w:tcBorders>
          </w:tcPr>
          <w:p>
            <w:pPr>
              <w:pStyle w:val="TableParagraph"/>
              <w:spacing w:line="264" w:lineRule="exact"/>
              <w:ind w:left="3"/>
              <w:rPr>
                <w:sz w:val="24"/>
              </w:rPr>
            </w:pPr>
            <w:r>
              <w:rPr>
                <w:spacing w:val="-10"/>
                <w:sz w:val="24"/>
              </w:rPr>
              <w:t>0</w:t>
            </w:r>
          </w:p>
        </w:tc>
        <w:tc>
          <w:tcPr>
            <w:tcW w:w="894" w:type="dxa"/>
            <w:tcBorders>
              <w:bottom w:val="single" w:sz="4" w:space="0" w:color="000000"/>
            </w:tcBorders>
          </w:tcPr>
          <w:p>
            <w:pPr>
              <w:pStyle w:val="TableParagraph"/>
              <w:spacing w:line="264" w:lineRule="exact"/>
              <w:ind w:left="3" w:right="2"/>
              <w:rPr>
                <w:sz w:val="24"/>
              </w:rPr>
            </w:pPr>
            <w:r>
              <w:rPr>
                <w:spacing w:val="-10"/>
                <w:sz w:val="24"/>
              </w:rPr>
              <w:t>0</w:t>
            </w:r>
          </w:p>
        </w:tc>
        <w:tc>
          <w:tcPr>
            <w:tcW w:w="758" w:type="dxa"/>
          </w:tcPr>
          <w:p>
            <w:pPr>
              <w:pStyle w:val="TableParagraph"/>
              <w:spacing w:line="240" w:lineRule="auto" w:before="0"/>
              <w:jc w:val="left"/>
              <w:rPr>
                <w:sz w:val="20"/>
              </w:rPr>
            </w:pPr>
          </w:p>
        </w:tc>
      </w:tr>
    </w:tbl>
    <w:p>
      <w:pPr>
        <w:spacing w:after="0" w:line="240" w:lineRule="auto"/>
        <w:jc w:val="left"/>
        <w:rPr>
          <w:sz w:val="20"/>
        </w:rPr>
        <w:sectPr>
          <w:pgSz w:w="11910" w:h="16840"/>
          <w:pgMar w:header="0" w:footer="1254" w:top="1920" w:bottom="1440" w:left="1180" w:right="580"/>
        </w:sectPr>
      </w:pPr>
    </w:p>
    <w:p>
      <w:pPr>
        <w:pStyle w:val="BodyText"/>
        <w:spacing w:before="5"/>
        <w:rPr>
          <w:b/>
          <w:sz w:val="9"/>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3"/>
        <w:gridCol w:w="1152"/>
        <w:gridCol w:w="896"/>
        <w:gridCol w:w="896"/>
        <w:gridCol w:w="896"/>
        <w:gridCol w:w="896"/>
        <w:gridCol w:w="897"/>
        <w:gridCol w:w="895"/>
        <w:gridCol w:w="860"/>
        <w:gridCol w:w="759"/>
      </w:tblGrid>
      <w:tr>
        <w:trPr>
          <w:trHeight w:val="232" w:hRule="atLeast"/>
        </w:trPr>
        <w:tc>
          <w:tcPr>
            <w:tcW w:w="9820" w:type="dxa"/>
            <w:gridSpan w:val="10"/>
          </w:tcPr>
          <w:p>
            <w:pPr>
              <w:pStyle w:val="TableParagraph"/>
              <w:spacing w:line="213" w:lineRule="exact" w:before="0"/>
              <w:ind w:left="2858"/>
              <w:jc w:val="left"/>
              <w:rPr>
                <w:rFonts w:ascii="Calibri"/>
                <w:b/>
                <w:sz w:val="22"/>
              </w:rPr>
            </w:pPr>
            <w:r>
              <w:rPr>
                <w:rFonts w:ascii="Calibri"/>
                <w:b/>
                <w:sz w:val="22"/>
              </w:rPr>
              <w:t>Table</w:t>
            </w:r>
            <w:r>
              <w:rPr>
                <w:rFonts w:ascii="Calibri"/>
                <w:b/>
                <w:spacing w:val="-5"/>
                <w:sz w:val="22"/>
              </w:rPr>
              <w:t> </w:t>
            </w:r>
            <w:r>
              <w:rPr>
                <w:rFonts w:ascii="Calibri"/>
                <w:b/>
                <w:sz w:val="22"/>
              </w:rPr>
              <w:t>IV.4:</w:t>
            </w:r>
            <w:r>
              <w:rPr>
                <w:rFonts w:ascii="Calibri"/>
                <w:b/>
                <w:spacing w:val="-4"/>
                <w:sz w:val="22"/>
              </w:rPr>
              <w:t> </w:t>
            </w:r>
            <w:r>
              <w:rPr>
                <w:rFonts w:ascii="Calibri"/>
                <w:b/>
                <w:spacing w:val="-2"/>
                <w:sz w:val="22"/>
              </w:rPr>
              <w:t>Artesunate_amodiaquine</w:t>
            </w:r>
          </w:p>
        </w:tc>
      </w:tr>
      <w:tr>
        <w:trPr>
          <w:trHeight w:val="295" w:hRule="atLeast"/>
        </w:trPr>
        <w:tc>
          <w:tcPr>
            <w:tcW w:w="9820" w:type="dxa"/>
            <w:gridSpan w:val="10"/>
          </w:tcPr>
          <w:p>
            <w:pPr>
              <w:pStyle w:val="TableParagraph"/>
              <w:spacing w:line="20" w:lineRule="exact" w:before="0"/>
              <w:ind w:left="14"/>
              <w:jc w:val="left"/>
              <w:rPr>
                <w:sz w:val="2"/>
              </w:rPr>
            </w:pPr>
            <w:r>
              <w:rPr>
                <w:sz w:val="2"/>
              </w:rPr>
              <mc:AlternateContent>
                <mc:Choice Requires="wps">
                  <w:drawing>
                    <wp:inline distT="0" distB="0" distL="0" distR="0">
                      <wp:extent cx="5740400" cy="6350"/>
                      <wp:effectExtent l="0" t="0" r="0" b="0"/>
                      <wp:docPr id="47" name="Group 47"/>
                      <wp:cNvGraphicFramePr>
                        <a:graphicFrameLocks/>
                      </wp:cNvGraphicFramePr>
                      <a:graphic>
                        <a:graphicData uri="http://schemas.microsoft.com/office/word/2010/wordprocessingGroup">
                          <wpg:wgp>
                            <wpg:cNvPr id="47" name="Group 47"/>
                            <wpg:cNvGrpSpPr/>
                            <wpg:grpSpPr>
                              <a:xfrm>
                                <a:off x="0" y="0"/>
                                <a:ext cx="5740400" cy="6350"/>
                                <a:chExt cx="5740400" cy="6350"/>
                              </a:xfrm>
                            </wpg:grpSpPr>
                            <wps:wsp>
                              <wps:cNvPr id="48" name="Graphic 48"/>
                              <wps:cNvSpPr/>
                              <wps:spPr>
                                <a:xfrm>
                                  <a:off x="0" y="0"/>
                                  <a:ext cx="5740400" cy="6350"/>
                                </a:xfrm>
                                <a:custGeom>
                                  <a:avLst/>
                                  <a:gdLst/>
                                  <a:ahLst/>
                                  <a:cxnLst/>
                                  <a:rect l="l" t="t" r="r" b="b"/>
                                  <a:pathLst>
                                    <a:path w="5740400" h="6350">
                                      <a:moveTo>
                                        <a:pt x="5740273" y="0"/>
                                      </a:moveTo>
                                      <a:lnTo>
                                        <a:pt x="0" y="0"/>
                                      </a:lnTo>
                                      <a:lnTo>
                                        <a:pt x="0" y="6096"/>
                                      </a:lnTo>
                                      <a:lnTo>
                                        <a:pt x="5740273" y="6096"/>
                                      </a:lnTo>
                                      <a:lnTo>
                                        <a:pt x="57402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pt;height:.5pt;mso-position-horizontal-relative:char;mso-position-vertical-relative:line" id="docshapegroup24" coordorigin="0,0" coordsize="9040,10">
                      <v:rect style="position:absolute;left:0;top:0;width:9040;height:10" id="docshape25" filled="true" fillcolor="#000000" stroked="false">
                        <v:fill type="solid"/>
                      </v:rect>
                    </v:group>
                  </w:pict>
                </mc:Fallback>
              </mc:AlternateContent>
            </w:r>
            <w:r>
              <w:rPr>
                <w:sz w:val="2"/>
              </w:rPr>
            </w:r>
          </w:p>
          <w:p>
            <w:pPr>
              <w:pStyle w:val="TableParagraph"/>
              <w:spacing w:line="255" w:lineRule="exact" w:before="0"/>
              <w:ind w:left="2489"/>
              <w:jc w:val="left"/>
              <w:rPr>
                <w:sz w:val="24"/>
              </w:rPr>
            </w:pPr>
            <w:r>
              <w:rPr>
                <w:sz w:val="24"/>
              </w:rPr>
              <w:t>Schizont</w:t>
            </w:r>
            <w:r>
              <w:rPr>
                <w:spacing w:val="-1"/>
                <w:sz w:val="24"/>
              </w:rPr>
              <w:t> </w:t>
            </w:r>
            <w:r>
              <w:rPr>
                <w:sz w:val="24"/>
              </w:rPr>
              <w:t>counts</w:t>
            </w:r>
            <w:r>
              <w:rPr>
                <w:spacing w:val="-1"/>
                <w:sz w:val="24"/>
              </w:rPr>
              <w:t> </w:t>
            </w:r>
            <w:r>
              <w:rPr>
                <w:sz w:val="24"/>
              </w:rPr>
              <w:t>(per</w:t>
            </w:r>
            <w:r>
              <w:rPr>
                <w:spacing w:val="-1"/>
                <w:sz w:val="24"/>
              </w:rPr>
              <w:t> </w:t>
            </w:r>
            <w:r>
              <w:rPr>
                <w:sz w:val="24"/>
              </w:rPr>
              <w:t>200</w:t>
            </w:r>
            <w:r>
              <w:rPr>
                <w:spacing w:val="-2"/>
                <w:sz w:val="24"/>
              </w:rPr>
              <w:t> </w:t>
            </w:r>
            <w:r>
              <w:rPr>
                <w:sz w:val="24"/>
              </w:rPr>
              <w:t>parasites)</w:t>
            </w:r>
            <w:r>
              <w:rPr>
                <w:spacing w:val="-1"/>
                <w:sz w:val="24"/>
              </w:rPr>
              <w:t> </w:t>
            </w:r>
            <w:r>
              <w:rPr>
                <w:sz w:val="24"/>
              </w:rPr>
              <w:t>in</w:t>
            </w:r>
            <w:r>
              <w:rPr>
                <w:spacing w:val="-1"/>
                <w:sz w:val="24"/>
              </w:rPr>
              <w:t> </w:t>
            </w:r>
            <w:r>
              <w:rPr>
                <w:spacing w:val="-4"/>
                <w:sz w:val="24"/>
              </w:rPr>
              <w:t>well</w:t>
            </w:r>
          </w:p>
        </w:tc>
      </w:tr>
      <w:tr>
        <w:trPr>
          <w:trHeight w:val="287" w:hRule="atLeast"/>
        </w:trPr>
        <w:tc>
          <w:tcPr>
            <w:tcW w:w="1673" w:type="dxa"/>
          </w:tcPr>
          <w:p>
            <w:pPr>
              <w:pStyle w:val="TableParagraph"/>
              <w:spacing w:line="240" w:lineRule="auto" w:before="0"/>
              <w:jc w:val="left"/>
              <w:rPr>
                <w:sz w:val="20"/>
              </w:rPr>
            </w:pPr>
          </w:p>
        </w:tc>
        <w:tc>
          <w:tcPr>
            <w:tcW w:w="1152" w:type="dxa"/>
          </w:tcPr>
          <w:p>
            <w:pPr>
              <w:pStyle w:val="TableParagraph"/>
              <w:ind w:right="88"/>
              <w:rPr>
                <w:sz w:val="24"/>
              </w:rPr>
            </w:pPr>
            <w:r>
              <w:rPr>
                <w:spacing w:val="-10"/>
                <w:sz w:val="24"/>
              </w:rPr>
              <w:t>A</w:t>
            </w:r>
          </w:p>
        </w:tc>
        <w:tc>
          <w:tcPr>
            <w:tcW w:w="896" w:type="dxa"/>
          </w:tcPr>
          <w:p>
            <w:pPr>
              <w:pStyle w:val="TableParagraph"/>
              <w:ind w:left="4" w:right="74"/>
              <w:rPr>
                <w:sz w:val="24"/>
              </w:rPr>
            </w:pPr>
            <w:r>
              <w:rPr>
                <w:spacing w:val="-10"/>
                <w:sz w:val="24"/>
              </w:rPr>
              <w:t>B</w:t>
            </w:r>
          </w:p>
        </w:tc>
        <w:tc>
          <w:tcPr>
            <w:tcW w:w="896" w:type="dxa"/>
          </w:tcPr>
          <w:p>
            <w:pPr>
              <w:pStyle w:val="TableParagraph"/>
              <w:ind w:left="2" w:right="74"/>
              <w:rPr>
                <w:sz w:val="24"/>
              </w:rPr>
            </w:pPr>
            <w:r>
              <w:rPr>
                <w:spacing w:val="-10"/>
                <w:sz w:val="24"/>
              </w:rPr>
              <w:t>C</w:t>
            </w:r>
          </w:p>
        </w:tc>
        <w:tc>
          <w:tcPr>
            <w:tcW w:w="896" w:type="dxa"/>
          </w:tcPr>
          <w:p>
            <w:pPr>
              <w:pStyle w:val="TableParagraph"/>
              <w:ind w:right="74"/>
              <w:rPr>
                <w:sz w:val="24"/>
              </w:rPr>
            </w:pPr>
            <w:r>
              <w:rPr>
                <w:spacing w:val="-10"/>
                <w:sz w:val="24"/>
              </w:rPr>
              <w:t>D</w:t>
            </w:r>
          </w:p>
        </w:tc>
        <w:tc>
          <w:tcPr>
            <w:tcW w:w="896" w:type="dxa"/>
          </w:tcPr>
          <w:p>
            <w:pPr>
              <w:pStyle w:val="TableParagraph"/>
              <w:ind w:left="1" w:right="74"/>
              <w:rPr>
                <w:sz w:val="24"/>
              </w:rPr>
            </w:pPr>
            <w:r>
              <w:rPr>
                <w:spacing w:val="-10"/>
                <w:sz w:val="24"/>
              </w:rPr>
              <w:t>E</w:t>
            </w:r>
          </w:p>
        </w:tc>
        <w:tc>
          <w:tcPr>
            <w:tcW w:w="897" w:type="dxa"/>
          </w:tcPr>
          <w:p>
            <w:pPr>
              <w:pStyle w:val="TableParagraph"/>
              <w:ind w:right="80"/>
              <w:rPr>
                <w:sz w:val="24"/>
              </w:rPr>
            </w:pPr>
            <w:r>
              <w:rPr>
                <w:spacing w:val="-10"/>
                <w:sz w:val="24"/>
              </w:rPr>
              <w:t>F</w:t>
            </w:r>
          </w:p>
        </w:tc>
        <w:tc>
          <w:tcPr>
            <w:tcW w:w="895" w:type="dxa"/>
          </w:tcPr>
          <w:p>
            <w:pPr>
              <w:pStyle w:val="TableParagraph"/>
              <w:ind w:left="3" w:right="82"/>
              <w:rPr>
                <w:sz w:val="24"/>
              </w:rPr>
            </w:pPr>
            <w:r>
              <w:rPr>
                <w:spacing w:val="-10"/>
                <w:sz w:val="24"/>
              </w:rPr>
              <w:t>G</w:t>
            </w:r>
          </w:p>
        </w:tc>
        <w:tc>
          <w:tcPr>
            <w:tcW w:w="860" w:type="dxa"/>
          </w:tcPr>
          <w:p>
            <w:pPr>
              <w:pStyle w:val="TableParagraph"/>
              <w:ind w:right="48"/>
              <w:rPr>
                <w:sz w:val="24"/>
              </w:rPr>
            </w:pPr>
            <w:r>
              <w:rPr>
                <w:spacing w:val="-10"/>
                <w:sz w:val="24"/>
              </w:rPr>
              <w:t>H</w:t>
            </w:r>
          </w:p>
        </w:tc>
        <w:tc>
          <w:tcPr>
            <w:tcW w:w="759" w:type="dxa"/>
          </w:tcPr>
          <w:p>
            <w:pPr>
              <w:pStyle w:val="TableParagraph"/>
              <w:spacing w:line="240" w:lineRule="auto" w:before="0"/>
              <w:jc w:val="left"/>
              <w:rPr>
                <w:sz w:val="20"/>
              </w:rPr>
            </w:pPr>
          </w:p>
        </w:tc>
      </w:tr>
      <w:tr>
        <w:trPr>
          <w:trHeight w:val="293" w:hRule="atLeast"/>
        </w:trPr>
        <w:tc>
          <w:tcPr>
            <w:tcW w:w="1673" w:type="dxa"/>
          </w:tcPr>
          <w:p>
            <w:pPr>
              <w:pStyle w:val="TableParagraph"/>
              <w:tabs>
                <w:tab w:pos="1835" w:val="left" w:leader="none"/>
              </w:tabs>
              <w:spacing w:line="272" w:lineRule="exact"/>
              <w:ind w:left="14" w:right="-173"/>
              <w:jc w:val="left"/>
              <w:rPr>
                <w:sz w:val="24"/>
              </w:rPr>
            </w:pPr>
            <w:r>
              <w:rPr>
                <w:spacing w:val="78"/>
                <w:w w:val="150"/>
                <w:sz w:val="24"/>
                <w:u w:val="single"/>
              </w:rPr>
              <w:t> </w:t>
            </w:r>
            <w:r>
              <w:rPr>
                <w:sz w:val="24"/>
                <w:u w:val="single"/>
              </w:rPr>
              <w:t>Test </w:t>
            </w:r>
            <w:r>
              <w:rPr>
                <w:spacing w:val="-2"/>
                <w:sz w:val="24"/>
                <w:u w:val="single"/>
              </w:rPr>
              <w:t>Number</w:t>
            </w:r>
            <w:r>
              <w:rPr>
                <w:sz w:val="24"/>
                <w:u w:val="single"/>
              </w:rPr>
              <w:tab/>
            </w:r>
          </w:p>
        </w:tc>
        <w:tc>
          <w:tcPr>
            <w:tcW w:w="1152" w:type="dxa"/>
          </w:tcPr>
          <w:p>
            <w:pPr>
              <w:pStyle w:val="TableParagraph"/>
              <w:tabs>
                <w:tab w:pos="1293" w:val="left" w:leader="none"/>
              </w:tabs>
              <w:spacing w:line="272" w:lineRule="exact"/>
              <w:ind w:left="162" w:right="-144"/>
              <w:jc w:val="left"/>
              <w:rPr>
                <w:sz w:val="24"/>
              </w:rPr>
            </w:pPr>
            <w:r>
              <w:rPr>
                <w:spacing w:val="-2"/>
                <w:sz w:val="24"/>
                <w:u w:val="single"/>
              </w:rPr>
              <w:t>Control</w:t>
            </w:r>
            <w:r>
              <w:rPr>
                <w:sz w:val="24"/>
                <w:u w:val="single"/>
              </w:rPr>
              <w:tab/>
            </w:r>
          </w:p>
        </w:tc>
        <w:tc>
          <w:tcPr>
            <w:tcW w:w="896" w:type="dxa"/>
          </w:tcPr>
          <w:p>
            <w:pPr>
              <w:pStyle w:val="TableParagraph"/>
              <w:tabs>
                <w:tab w:pos="1037" w:val="left" w:leader="none"/>
              </w:tabs>
              <w:spacing w:line="272" w:lineRule="exact"/>
              <w:ind w:left="141" w:right="-144"/>
              <w:jc w:val="left"/>
              <w:rPr>
                <w:sz w:val="24"/>
              </w:rPr>
            </w:pPr>
            <w:r>
              <w:rPr>
                <w:spacing w:val="-2"/>
                <w:sz w:val="24"/>
                <w:u w:val="single"/>
              </w:rPr>
              <w:t>0.021</w:t>
            </w:r>
            <w:r>
              <w:rPr>
                <w:sz w:val="24"/>
                <w:u w:val="single"/>
              </w:rPr>
              <w:tab/>
            </w:r>
          </w:p>
        </w:tc>
        <w:tc>
          <w:tcPr>
            <w:tcW w:w="896" w:type="dxa"/>
          </w:tcPr>
          <w:p>
            <w:pPr>
              <w:pStyle w:val="TableParagraph"/>
              <w:tabs>
                <w:tab w:pos="1036" w:val="left" w:leader="none"/>
              </w:tabs>
              <w:spacing w:line="272" w:lineRule="exact"/>
              <w:ind w:left="141" w:right="-144"/>
              <w:jc w:val="left"/>
              <w:rPr>
                <w:sz w:val="24"/>
              </w:rPr>
            </w:pPr>
            <w:r>
              <w:rPr>
                <w:spacing w:val="-2"/>
                <w:sz w:val="24"/>
                <w:u w:val="single"/>
              </w:rPr>
              <w:t>0.042</w:t>
            </w:r>
            <w:r>
              <w:rPr>
                <w:sz w:val="24"/>
                <w:u w:val="single"/>
              </w:rPr>
              <w:tab/>
            </w:r>
          </w:p>
        </w:tc>
        <w:tc>
          <w:tcPr>
            <w:tcW w:w="896" w:type="dxa"/>
          </w:tcPr>
          <w:p>
            <w:pPr>
              <w:pStyle w:val="TableParagraph"/>
              <w:tabs>
                <w:tab w:pos="1035" w:val="left" w:leader="none"/>
              </w:tabs>
              <w:spacing w:line="272" w:lineRule="exact"/>
              <w:ind w:left="140" w:right="-144"/>
              <w:jc w:val="left"/>
              <w:rPr>
                <w:sz w:val="24"/>
              </w:rPr>
            </w:pPr>
            <w:r>
              <w:rPr>
                <w:spacing w:val="-2"/>
                <w:sz w:val="24"/>
                <w:u w:val="single"/>
              </w:rPr>
              <w:t>0.084</w:t>
            </w:r>
            <w:r>
              <w:rPr>
                <w:sz w:val="24"/>
                <w:u w:val="single"/>
              </w:rPr>
              <w:tab/>
            </w:r>
          </w:p>
        </w:tc>
        <w:tc>
          <w:tcPr>
            <w:tcW w:w="896" w:type="dxa"/>
          </w:tcPr>
          <w:p>
            <w:pPr>
              <w:pStyle w:val="TableParagraph"/>
              <w:tabs>
                <w:tab w:pos="1035" w:val="left" w:leader="none"/>
              </w:tabs>
              <w:spacing w:line="272" w:lineRule="exact"/>
              <w:ind w:left="139" w:right="-144"/>
              <w:jc w:val="left"/>
              <w:rPr>
                <w:sz w:val="24"/>
              </w:rPr>
            </w:pPr>
            <w:r>
              <w:rPr>
                <w:spacing w:val="-2"/>
                <w:sz w:val="24"/>
                <w:u w:val="single"/>
              </w:rPr>
              <w:t>0.168</w:t>
            </w:r>
            <w:r>
              <w:rPr>
                <w:sz w:val="24"/>
                <w:u w:val="single"/>
              </w:rPr>
              <w:tab/>
            </w:r>
          </w:p>
        </w:tc>
        <w:tc>
          <w:tcPr>
            <w:tcW w:w="897" w:type="dxa"/>
          </w:tcPr>
          <w:p>
            <w:pPr>
              <w:pStyle w:val="TableParagraph"/>
              <w:tabs>
                <w:tab w:pos="1034" w:val="left" w:leader="none"/>
              </w:tabs>
              <w:spacing w:line="272" w:lineRule="exact"/>
              <w:ind w:left="139" w:right="-144"/>
              <w:jc w:val="left"/>
              <w:rPr>
                <w:sz w:val="24"/>
              </w:rPr>
            </w:pPr>
            <w:r>
              <w:rPr>
                <w:spacing w:val="-2"/>
                <w:sz w:val="24"/>
                <w:u w:val="single"/>
              </w:rPr>
              <w:t>0.336</w:t>
            </w:r>
            <w:r>
              <w:rPr>
                <w:sz w:val="24"/>
                <w:u w:val="single"/>
              </w:rPr>
              <w:tab/>
            </w:r>
          </w:p>
        </w:tc>
        <w:tc>
          <w:tcPr>
            <w:tcW w:w="895" w:type="dxa"/>
          </w:tcPr>
          <w:p>
            <w:pPr>
              <w:pStyle w:val="TableParagraph"/>
              <w:tabs>
                <w:tab w:pos="1030" w:val="left" w:leader="none"/>
              </w:tabs>
              <w:spacing w:line="272" w:lineRule="exact"/>
              <w:ind w:left="137" w:right="-144"/>
              <w:jc w:val="left"/>
              <w:rPr>
                <w:sz w:val="24"/>
              </w:rPr>
            </w:pPr>
            <w:r>
              <w:rPr>
                <w:spacing w:val="-2"/>
                <w:sz w:val="24"/>
                <w:u w:val="single"/>
              </w:rPr>
              <w:t>0.672</w:t>
            </w:r>
            <w:r>
              <w:rPr>
                <w:sz w:val="24"/>
                <w:u w:val="single"/>
              </w:rPr>
              <w:tab/>
            </w:r>
          </w:p>
        </w:tc>
        <w:tc>
          <w:tcPr>
            <w:tcW w:w="860" w:type="dxa"/>
          </w:tcPr>
          <w:p>
            <w:pPr>
              <w:pStyle w:val="TableParagraph"/>
              <w:spacing w:line="272" w:lineRule="exact"/>
              <w:ind w:left="135"/>
              <w:jc w:val="left"/>
              <w:rPr>
                <w:sz w:val="24"/>
              </w:rPr>
            </w:pPr>
            <w:r>
              <w:rPr>
                <w:spacing w:val="-2"/>
                <w:sz w:val="24"/>
                <w:u w:val="single"/>
              </w:rPr>
              <w:t>1.344</w:t>
            </w:r>
            <w:r>
              <w:rPr>
                <w:spacing w:val="40"/>
                <w:sz w:val="24"/>
                <w:u w:val="single"/>
              </w:rPr>
              <w:t> </w:t>
            </w:r>
          </w:p>
        </w:tc>
        <w:tc>
          <w:tcPr>
            <w:tcW w:w="759" w:type="dxa"/>
          </w:tcPr>
          <w:p>
            <w:pPr>
              <w:pStyle w:val="TableParagraph"/>
              <w:spacing w:line="260" w:lineRule="exact" w:before="13"/>
              <w:ind w:left="101"/>
              <w:jc w:val="left"/>
              <w:rPr>
                <w:rFonts w:ascii="Calibri" w:hAnsi="Calibri"/>
                <w:sz w:val="22"/>
              </w:rPr>
            </w:pPr>
            <w:r>
              <w:rPr>
                <w:rFonts w:ascii="Calibri" w:hAnsi="Calibri"/>
                <w:spacing w:val="-2"/>
                <w:sz w:val="22"/>
              </w:rPr>
              <w:t>μmol/l</w:t>
            </w:r>
          </w:p>
        </w:tc>
      </w:tr>
      <w:tr>
        <w:trPr>
          <w:trHeight w:val="292" w:hRule="atLeast"/>
        </w:trPr>
        <w:tc>
          <w:tcPr>
            <w:tcW w:w="1673" w:type="dxa"/>
          </w:tcPr>
          <w:p>
            <w:pPr>
              <w:pStyle w:val="TableParagraph"/>
              <w:spacing w:before="5"/>
              <w:ind w:right="161"/>
              <w:jc w:val="right"/>
              <w:rPr>
                <w:sz w:val="24"/>
              </w:rPr>
            </w:pPr>
            <w:r>
              <w:rPr>
                <w:spacing w:val="-10"/>
                <w:sz w:val="24"/>
              </w:rPr>
              <w:t>1</w:t>
            </w:r>
          </w:p>
        </w:tc>
        <w:tc>
          <w:tcPr>
            <w:tcW w:w="1152" w:type="dxa"/>
          </w:tcPr>
          <w:p>
            <w:pPr>
              <w:pStyle w:val="TableParagraph"/>
              <w:spacing w:before="5"/>
              <w:ind w:right="141"/>
              <w:jc w:val="right"/>
              <w:rPr>
                <w:sz w:val="24"/>
              </w:rPr>
            </w:pPr>
            <w:r>
              <w:rPr>
                <w:spacing w:val="-5"/>
                <w:sz w:val="24"/>
              </w:rPr>
              <w:t>54</w:t>
            </w:r>
          </w:p>
        </w:tc>
        <w:tc>
          <w:tcPr>
            <w:tcW w:w="896" w:type="dxa"/>
          </w:tcPr>
          <w:p>
            <w:pPr>
              <w:pStyle w:val="TableParagraph"/>
              <w:spacing w:before="5"/>
              <w:ind w:left="511"/>
              <w:jc w:val="left"/>
              <w:rPr>
                <w:sz w:val="24"/>
              </w:rPr>
            </w:pPr>
            <w:r>
              <w:rPr>
                <w:spacing w:val="-5"/>
                <w:sz w:val="24"/>
              </w:rPr>
              <w:t>49</w:t>
            </w:r>
          </w:p>
        </w:tc>
        <w:tc>
          <w:tcPr>
            <w:tcW w:w="896" w:type="dxa"/>
          </w:tcPr>
          <w:p>
            <w:pPr>
              <w:pStyle w:val="TableParagraph"/>
              <w:spacing w:before="5"/>
              <w:ind w:left="510"/>
              <w:jc w:val="left"/>
              <w:rPr>
                <w:sz w:val="24"/>
              </w:rPr>
            </w:pPr>
            <w:r>
              <w:rPr>
                <w:spacing w:val="-5"/>
                <w:sz w:val="24"/>
              </w:rPr>
              <w:t>33</w:t>
            </w:r>
          </w:p>
        </w:tc>
        <w:tc>
          <w:tcPr>
            <w:tcW w:w="896" w:type="dxa"/>
          </w:tcPr>
          <w:p>
            <w:pPr>
              <w:pStyle w:val="TableParagraph"/>
              <w:spacing w:before="5"/>
              <w:ind w:left="510"/>
              <w:jc w:val="left"/>
              <w:rPr>
                <w:sz w:val="24"/>
              </w:rPr>
            </w:pPr>
            <w:r>
              <w:rPr>
                <w:spacing w:val="-5"/>
                <w:sz w:val="24"/>
              </w:rPr>
              <w:t>27</w:t>
            </w:r>
          </w:p>
        </w:tc>
        <w:tc>
          <w:tcPr>
            <w:tcW w:w="896" w:type="dxa"/>
          </w:tcPr>
          <w:p>
            <w:pPr>
              <w:pStyle w:val="TableParagraph"/>
              <w:spacing w:before="5"/>
              <w:ind w:left="509"/>
              <w:jc w:val="left"/>
              <w:rPr>
                <w:sz w:val="24"/>
              </w:rPr>
            </w:pPr>
            <w:r>
              <w:rPr>
                <w:spacing w:val="-5"/>
                <w:sz w:val="24"/>
              </w:rPr>
              <w:t>12</w:t>
            </w:r>
          </w:p>
        </w:tc>
        <w:tc>
          <w:tcPr>
            <w:tcW w:w="897" w:type="dxa"/>
          </w:tcPr>
          <w:p>
            <w:pPr>
              <w:pStyle w:val="TableParagraph"/>
              <w:spacing w:before="5"/>
              <w:ind w:right="145"/>
              <w:jc w:val="right"/>
              <w:rPr>
                <w:sz w:val="24"/>
              </w:rPr>
            </w:pPr>
            <w:r>
              <w:rPr>
                <w:spacing w:val="-10"/>
                <w:sz w:val="24"/>
              </w:rPr>
              <w:t>4</w:t>
            </w:r>
          </w:p>
        </w:tc>
        <w:tc>
          <w:tcPr>
            <w:tcW w:w="895" w:type="dxa"/>
          </w:tcPr>
          <w:p>
            <w:pPr>
              <w:pStyle w:val="TableParagraph"/>
              <w:spacing w:before="5"/>
              <w:ind w:right="145"/>
              <w:jc w:val="right"/>
              <w:rPr>
                <w:sz w:val="24"/>
              </w:rPr>
            </w:pPr>
            <w:r>
              <w:rPr>
                <w:spacing w:val="-10"/>
                <w:sz w:val="24"/>
              </w:rPr>
              <w:t>0</w:t>
            </w:r>
          </w:p>
        </w:tc>
        <w:tc>
          <w:tcPr>
            <w:tcW w:w="860" w:type="dxa"/>
          </w:tcPr>
          <w:p>
            <w:pPr>
              <w:pStyle w:val="TableParagraph"/>
              <w:spacing w:before="5"/>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10"/>
                <w:sz w:val="24"/>
              </w:rPr>
              <w:t>2</w:t>
            </w:r>
          </w:p>
        </w:tc>
        <w:tc>
          <w:tcPr>
            <w:tcW w:w="1152" w:type="dxa"/>
          </w:tcPr>
          <w:p>
            <w:pPr>
              <w:pStyle w:val="TableParagraph"/>
              <w:ind w:right="141"/>
              <w:jc w:val="right"/>
              <w:rPr>
                <w:sz w:val="24"/>
              </w:rPr>
            </w:pPr>
            <w:r>
              <w:rPr>
                <w:spacing w:val="-5"/>
                <w:sz w:val="24"/>
              </w:rPr>
              <w:t>72</w:t>
            </w:r>
          </w:p>
        </w:tc>
        <w:tc>
          <w:tcPr>
            <w:tcW w:w="896" w:type="dxa"/>
          </w:tcPr>
          <w:p>
            <w:pPr>
              <w:pStyle w:val="TableParagraph"/>
              <w:ind w:left="511"/>
              <w:jc w:val="left"/>
              <w:rPr>
                <w:sz w:val="24"/>
              </w:rPr>
            </w:pPr>
            <w:r>
              <w:rPr>
                <w:spacing w:val="-5"/>
                <w:sz w:val="24"/>
              </w:rPr>
              <w:t>52</w:t>
            </w:r>
          </w:p>
        </w:tc>
        <w:tc>
          <w:tcPr>
            <w:tcW w:w="896" w:type="dxa"/>
          </w:tcPr>
          <w:p>
            <w:pPr>
              <w:pStyle w:val="TableParagraph"/>
              <w:ind w:left="510"/>
              <w:jc w:val="left"/>
              <w:rPr>
                <w:sz w:val="24"/>
              </w:rPr>
            </w:pPr>
            <w:r>
              <w:rPr>
                <w:spacing w:val="-5"/>
                <w:sz w:val="24"/>
              </w:rPr>
              <w:t>30</w:t>
            </w:r>
          </w:p>
        </w:tc>
        <w:tc>
          <w:tcPr>
            <w:tcW w:w="896" w:type="dxa"/>
          </w:tcPr>
          <w:p>
            <w:pPr>
              <w:pStyle w:val="TableParagraph"/>
              <w:ind w:left="510"/>
              <w:jc w:val="left"/>
              <w:rPr>
                <w:sz w:val="24"/>
              </w:rPr>
            </w:pPr>
            <w:r>
              <w:rPr>
                <w:spacing w:val="-5"/>
                <w:sz w:val="24"/>
              </w:rPr>
              <w:t>19</w:t>
            </w:r>
          </w:p>
        </w:tc>
        <w:tc>
          <w:tcPr>
            <w:tcW w:w="896" w:type="dxa"/>
          </w:tcPr>
          <w:p>
            <w:pPr>
              <w:pStyle w:val="TableParagraph"/>
              <w:ind w:left="509"/>
              <w:jc w:val="left"/>
              <w:rPr>
                <w:sz w:val="24"/>
              </w:rPr>
            </w:pPr>
            <w:r>
              <w:rPr>
                <w:spacing w:val="-5"/>
                <w:sz w:val="24"/>
              </w:rPr>
              <w:t>10</w:t>
            </w:r>
          </w:p>
        </w:tc>
        <w:tc>
          <w:tcPr>
            <w:tcW w:w="897" w:type="dxa"/>
          </w:tcPr>
          <w:p>
            <w:pPr>
              <w:pStyle w:val="TableParagraph"/>
              <w:ind w:right="145"/>
              <w:jc w:val="right"/>
              <w:rPr>
                <w:sz w:val="24"/>
              </w:rPr>
            </w:pPr>
            <w:r>
              <w:rPr>
                <w:spacing w:val="-10"/>
                <w:sz w:val="24"/>
              </w:rPr>
              <w:t>3</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10"/>
                <w:sz w:val="24"/>
              </w:rPr>
              <w:t>3</w:t>
            </w:r>
          </w:p>
        </w:tc>
        <w:tc>
          <w:tcPr>
            <w:tcW w:w="1152" w:type="dxa"/>
          </w:tcPr>
          <w:p>
            <w:pPr>
              <w:pStyle w:val="TableParagraph"/>
              <w:ind w:right="141"/>
              <w:jc w:val="right"/>
              <w:rPr>
                <w:sz w:val="24"/>
              </w:rPr>
            </w:pPr>
            <w:r>
              <w:rPr>
                <w:spacing w:val="-5"/>
                <w:sz w:val="24"/>
              </w:rPr>
              <w:t>66</w:t>
            </w:r>
          </w:p>
        </w:tc>
        <w:tc>
          <w:tcPr>
            <w:tcW w:w="896" w:type="dxa"/>
          </w:tcPr>
          <w:p>
            <w:pPr>
              <w:pStyle w:val="TableParagraph"/>
              <w:ind w:left="511"/>
              <w:jc w:val="left"/>
              <w:rPr>
                <w:sz w:val="24"/>
              </w:rPr>
            </w:pPr>
            <w:r>
              <w:rPr>
                <w:spacing w:val="-5"/>
                <w:sz w:val="24"/>
              </w:rPr>
              <w:t>48</w:t>
            </w:r>
          </w:p>
        </w:tc>
        <w:tc>
          <w:tcPr>
            <w:tcW w:w="896" w:type="dxa"/>
          </w:tcPr>
          <w:p>
            <w:pPr>
              <w:pStyle w:val="TableParagraph"/>
              <w:ind w:left="510"/>
              <w:jc w:val="left"/>
              <w:rPr>
                <w:sz w:val="24"/>
              </w:rPr>
            </w:pPr>
            <w:r>
              <w:rPr>
                <w:spacing w:val="-5"/>
                <w:sz w:val="24"/>
              </w:rPr>
              <w:t>30</w:t>
            </w:r>
          </w:p>
        </w:tc>
        <w:tc>
          <w:tcPr>
            <w:tcW w:w="896" w:type="dxa"/>
          </w:tcPr>
          <w:p>
            <w:pPr>
              <w:pStyle w:val="TableParagraph"/>
              <w:ind w:left="510"/>
              <w:jc w:val="left"/>
              <w:rPr>
                <w:sz w:val="24"/>
              </w:rPr>
            </w:pPr>
            <w:r>
              <w:rPr>
                <w:spacing w:val="-5"/>
                <w:sz w:val="24"/>
              </w:rPr>
              <w:t>19</w:t>
            </w:r>
          </w:p>
        </w:tc>
        <w:tc>
          <w:tcPr>
            <w:tcW w:w="896" w:type="dxa"/>
          </w:tcPr>
          <w:p>
            <w:pPr>
              <w:pStyle w:val="TableParagraph"/>
              <w:ind w:left="509"/>
              <w:jc w:val="left"/>
              <w:rPr>
                <w:sz w:val="24"/>
              </w:rPr>
            </w:pPr>
            <w:r>
              <w:rPr>
                <w:spacing w:val="-5"/>
                <w:sz w:val="24"/>
              </w:rPr>
              <w:t>12</w:t>
            </w:r>
          </w:p>
        </w:tc>
        <w:tc>
          <w:tcPr>
            <w:tcW w:w="897" w:type="dxa"/>
          </w:tcPr>
          <w:p>
            <w:pPr>
              <w:pStyle w:val="TableParagraph"/>
              <w:ind w:right="145"/>
              <w:jc w:val="right"/>
              <w:rPr>
                <w:sz w:val="24"/>
              </w:rPr>
            </w:pPr>
            <w:r>
              <w:rPr>
                <w:spacing w:val="-10"/>
                <w:sz w:val="24"/>
              </w:rPr>
              <w:t>3</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673" w:type="dxa"/>
          </w:tcPr>
          <w:p>
            <w:pPr>
              <w:pStyle w:val="TableParagraph"/>
              <w:ind w:right="161"/>
              <w:jc w:val="right"/>
              <w:rPr>
                <w:sz w:val="24"/>
              </w:rPr>
            </w:pPr>
            <w:r>
              <w:rPr>
                <w:spacing w:val="-10"/>
                <w:sz w:val="24"/>
              </w:rPr>
              <w:t>4</w:t>
            </w:r>
          </w:p>
        </w:tc>
        <w:tc>
          <w:tcPr>
            <w:tcW w:w="1152" w:type="dxa"/>
          </w:tcPr>
          <w:p>
            <w:pPr>
              <w:pStyle w:val="TableParagraph"/>
              <w:ind w:right="141"/>
              <w:jc w:val="right"/>
              <w:rPr>
                <w:sz w:val="24"/>
              </w:rPr>
            </w:pPr>
            <w:r>
              <w:rPr>
                <w:spacing w:val="-5"/>
                <w:sz w:val="24"/>
              </w:rPr>
              <w:t>85</w:t>
            </w:r>
          </w:p>
        </w:tc>
        <w:tc>
          <w:tcPr>
            <w:tcW w:w="896" w:type="dxa"/>
          </w:tcPr>
          <w:p>
            <w:pPr>
              <w:pStyle w:val="TableParagraph"/>
              <w:ind w:left="511"/>
              <w:jc w:val="left"/>
              <w:rPr>
                <w:sz w:val="24"/>
              </w:rPr>
            </w:pPr>
            <w:r>
              <w:rPr>
                <w:spacing w:val="-5"/>
                <w:sz w:val="24"/>
              </w:rPr>
              <w:t>68</w:t>
            </w:r>
          </w:p>
        </w:tc>
        <w:tc>
          <w:tcPr>
            <w:tcW w:w="896" w:type="dxa"/>
          </w:tcPr>
          <w:p>
            <w:pPr>
              <w:pStyle w:val="TableParagraph"/>
              <w:ind w:left="510"/>
              <w:jc w:val="left"/>
              <w:rPr>
                <w:sz w:val="24"/>
              </w:rPr>
            </w:pPr>
            <w:r>
              <w:rPr>
                <w:spacing w:val="-5"/>
                <w:sz w:val="24"/>
              </w:rPr>
              <w:t>53</w:t>
            </w:r>
          </w:p>
        </w:tc>
        <w:tc>
          <w:tcPr>
            <w:tcW w:w="896" w:type="dxa"/>
          </w:tcPr>
          <w:p>
            <w:pPr>
              <w:pStyle w:val="TableParagraph"/>
              <w:ind w:left="510"/>
              <w:jc w:val="left"/>
              <w:rPr>
                <w:sz w:val="24"/>
              </w:rPr>
            </w:pPr>
            <w:r>
              <w:rPr>
                <w:spacing w:val="-5"/>
                <w:sz w:val="24"/>
              </w:rPr>
              <w:t>29</w:t>
            </w:r>
          </w:p>
        </w:tc>
        <w:tc>
          <w:tcPr>
            <w:tcW w:w="896" w:type="dxa"/>
          </w:tcPr>
          <w:p>
            <w:pPr>
              <w:pStyle w:val="TableParagraph"/>
              <w:ind w:left="509"/>
              <w:jc w:val="left"/>
              <w:rPr>
                <w:sz w:val="24"/>
              </w:rPr>
            </w:pPr>
            <w:r>
              <w:rPr>
                <w:spacing w:val="-5"/>
                <w:sz w:val="24"/>
              </w:rPr>
              <w:t>14</w:t>
            </w:r>
          </w:p>
        </w:tc>
        <w:tc>
          <w:tcPr>
            <w:tcW w:w="897" w:type="dxa"/>
          </w:tcPr>
          <w:p>
            <w:pPr>
              <w:pStyle w:val="TableParagraph"/>
              <w:ind w:right="145"/>
              <w:jc w:val="right"/>
              <w:rPr>
                <w:sz w:val="24"/>
              </w:rPr>
            </w:pPr>
            <w:r>
              <w:rPr>
                <w:spacing w:val="-10"/>
                <w:sz w:val="24"/>
              </w:rPr>
              <w:t>5</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10"/>
                <w:sz w:val="24"/>
              </w:rPr>
              <w:t>5</w:t>
            </w:r>
          </w:p>
        </w:tc>
        <w:tc>
          <w:tcPr>
            <w:tcW w:w="1152" w:type="dxa"/>
          </w:tcPr>
          <w:p>
            <w:pPr>
              <w:pStyle w:val="TableParagraph"/>
              <w:ind w:right="141"/>
              <w:jc w:val="right"/>
              <w:rPr>
                <w:sz w:val="24"/>
              </w:rPr>
            </w:pPr>
            <w:r>
              <w:rPr>
                <w:spacing w:val="-5"/>
                <w:sz w:val="24"/>
              </w:rPr>
              <w:t>73</w:t>
            </w:r>
          </w:p>
        </w:tc>
        <w:tc>
          <w:tcPr>
            <w:tcW w:w="896" w:type="dxa"/>
          </w:tcPr>
          <w:p>
            <w:pPr>
              <w:pStyle w:val="TableParagraph"/>
              <w:ind w:left="511"/>
              <w:jc w:val="left"/>
              <w:rPr>
                <w:sz w:val="24"/>
              </w:rPr>
            </w:pPr>
            <w:r>
              <w:rPr>
                <w:spacing w:val="-5"/>
                <w:sz w:val="24"/>
              </w:rPr>
              <w:t>49</w:t>
            </w:r>
          </w:p>
        </w:tc>
        <w:tc>
          <w:tcPr>
            <w:tcW w:w="896" w:type="dxa"/>
          </w:tcPr>
          <w:p>
            <w:pPr>
              <w:pStyle w:val="TableParagraph"/>
              <w:ind w:left="510"/>
              <w:jc w:val="left"/>
              <w:rPr>
                <w:sz w:val="24"/>
              </w:rPr>
            </w:pPr>
            <w:r>
              <w:rPr>
                <w:spacing w:val="-5"/>
                <w:sz w:val="24"/>
              </w:rPr>
              <w:t>30</w:t>
            </w:r>
          </w:p>
        </w:tc>
        <w:tc>
          <w:tcPr>
            <w:tcW w:w="896" w:type="dxa"/>
          </w:tcPr>
          <w:p>
            <w:pPr>
              <w:pStyle w:val="TableParagraph"/>
              <w:ind w:left="510"/>
              <w:jc w:val="left"/>
              <w:rPr>
                <w:sz w:val="24"/>
              </w:rPr>
            </w:pPr>
            <w:r>
              <w:rPr>
                <w:spacing w:val="-5"/>
                <w:sz w:val="24"/>
              </w:rPr>
              <w:t>18</w:t>
            </w:r>
          </w:p>
        </w:tc>
        <w:tc>
          <w:tcPr>
            <w:tcW w:w="896" w:type="dxa"/>
          </w:tcPr>
          <w:p>
            <w:pPr>
              <w:pStyle w:val="TableParagraph"/>
              <w:ind w:right="144"/>
              <w:jc w:val="right"/>
              <w:rPr>
                <w:sz w:val="24"/>
              </w:rPr>
            </w:pPr>
            <w:r>
              <w:rPr>
                <w:spacing w:val="-10"/>
                <w:sz w:val="24"/>
              </w:rPr>
              <w:t>7</w:t>
            </w:r>
          </w:p>
        </w:tc>
        <w:tc>
          <w:tcPr>
            <w:tcW w:w="897" w:type="dxa"/>
          </w:tcPr>
          <w:p>
            <w:pPr>
              <w:pStyle w:val="TableParagraph"/>
              <w:ind w:right="145"/>
              <w:jc w:val="right"/>
              <w:rPr>
                <w:sz w:val="24"/>
              </w:rPr>
            </w:pPr>
            <w:r>
              <w:rPr>
                <w:spacing w:val="-10"/>
                <w:sz w:val="24"/>
              </w:rPr>
              <w:t>3</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10"/>
                <w:sz w:val="24"/>
              </w:rPr>
              <w:t>6</w:t>
            </w:r>
          </w:p>
        </w:tc>
        <w:tc>
          <w:tcPr>
            <w:tcW w:w="1152" w:type="dxa"/>
          </w:tcPr>
          <w:p>
            <w:pPr>
              <w:pStyle w:val="TableParagraph"/>
              <w:ind w:right="141"/>
              <w:jc w:val="right"/>
              <w:rPr>
                <w:sz w:val="24"/>
              </w:rPr>
            </w:pPr>
            <w:r>
              <w:rPr>
                <w:spacing w:val="-5"/>
                <w:sz w:val="24"/>
              </w:rPr>
              <w:t>63</w:t>
            </w:r>
          </w:p>
        </w:tc>
        <w:tc>
          <w:tcPr>
            <w:tcW w:w="896" w:type="dxa"/>
          </w:tcPr>
          <w:p>
            <w:pPr>
              <w:pStyle w:val="TableParagraph"/>
              <w:ind w:left="511"/>
              <w:jc w:val="left"/>
              <w:rPr>
                <w:sz w:val="24"/>
              </w:rPr>
            </w:pPr>
            <w:r>
              <w:rPr>
                <w:spacing w:val="-5"/>
                <w:sz w:val="24"/>
              </w:rPr>
              <w:t>32</w:t>
            </w:r>
          </w:p>
        </w:tc>
        <w:tc>
          <w:tcPr>
            <w:tcW w:w="896" w:type="dxa"/>
          </w:tcPr>
          <w:p>
            <w:pPr>
              <w:pStyle w:val="TableParagraph"/>
              <w:ind w:left="510"/>
              <w:jc w:val="left"/>
              <w:rPr>
                <w:sz w:val="24"/>
              </w:rPr>
            </w:pPr>
            <w:r>
              <w:rPr>
                <w:spacing w:val="-5"/>
                <w:sz w:val="24"/>
              </w:rPr>
              <w:t>20</w:t>
            </w:r>
          </w:p>
        </w:tc>
        <w:tc>
          <w:tcPr>
            <w:tcW w:w="896" w:type="dxa"/>
          </w:tcPr>
          <w:p>
            <w:pPr>
              <w:pStyle w:val="TableParagraph"/>
              <w:ind w:left="510"/>
              <w:jc w:val="left"/>
              <w:rPr>
                <w:sz w:val="24"/>
              </w:rPr>
            </w:pPr>
            <w:r>
              <w:rPr>
                <w:spacing w:val="-5"/>
                <w:sz w:val="24"/>
              </w:rPr>
              <w:t>12</w:t>
            </w:r>
          </w:p>
        </w:tc>
        <w:tc>
          <w:tcPr>
            <w:tcW w:w="896" w:type="dxa"/>
          </w:tcPr>
          <w:p>
            <w:pPr>
              <w:pStyle w:val="TableParagraph"/>
              <w:ind w:right="144"/>
              <w:jc w:val="right"/>
              <w:rPr>
                <w:sz w:val="24"/>
              </w:rPr>
            </w:pPr>
            <w:r>
              <w:rPr>
                <w:spacing w:val="-10"/>
                <w:sz w:val="24"/>
              </w:rPr>
              <w:t>8</w:t>
            </w:r>
          </w:p>
        </w:tc>
        <w:tc>
          <w:tcPr>
            <w:tcW w:w="897" w:type="dxa"/>
          </w:tcPr>
          <w:p>
            <w:pPr>
              <w:pStyle w:val="TableParagraph"/>
              <w:ind w:right="145"/>
              <w:jc w:val="right"/>
              <w:rPr>
                <w:sz w:val="24"/>
              </w:rPr>
            </w:pPr>
            <w:r>
              <w:rPr>
                <w:spacing w:val="-10"/>
                <w:sz w:val="24"/>
              </w:rPr>
              <w:t>3</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673" w:type="dxa"/>
          </w:tcPr>
          <w:p>
            <w:pPr>
              <w:pStyle w:val="TableParagraph"/>
              <w:ind w:right="161"/>
              <w:jc w:val="right"/>
              <w:rPr>
                <w:sz w:val="24"/>
              </w:rPr>
            </w:pPr>
            <w:r>
              <w:rPr>
                <w:spacing w:val="-10"/>
                <w:sz w:val="24"/>
              </w:rPr>
              <w:t>7</w:t>
            </w:r>
          </w:p>
        </w:tc>
        <w:tc>
          <w:tcPr>
            <w:tcW w:w="1152" w:type="dxa"/>
          </w:tcPr>
          <w:p>
            <w:pPr>
              <w:pStyle w:val="TableParagraph"/>
              <w:ind w:right="141"/>
              <w:jc w:val="right"/>
              <w:rPr>
                <w:sz w:val="24"/>
              </w:rPr>
            </w:pPr>
            <w:r>
              <w:rPr>
                <w:spacing w:val="-5"/>
                <w:sz w:val="24"/>
              </w:rPr>
              <w:t>52</w:t>
            </w:r>
          </w:p>
        </w:tc>
        <w:tc>
          <w:tcPr>
            <w:tcW w:w="896" w:type="dxa"/>
          </w:tcPr>
          <w:p>
            <w:pPr>
              <w:pStyle w:val="TableParagraph"/>
              <w:ind w:left="511"/>
              <w:jc w:val="left"/>
              <w:rPr>
                <w:sz w:val="24"/>
              </w:rPr>
            </w:pPr>
            <w:r>
              <w:rPr>
                <w:spacing w:val="-5"/>
                <w:sz w:val="24"/>
              </w:rPr>
              <w:t>41</w:t>
            </w:r>
          </w:p>
        </w:tc>
        <w:tc>
          <w:tcPr>
            <w:tcW w:w="896" w:type="dxa"/>
          </w:tcPr>
          <w:p>
            <w:pPr>
              <w:pStyle w:val="TableParagraph"/>
              <w:ind w:left="510"/>
              <w:jc w:val="left"/>
              <w:rPr>
                <w:sz w:val="24"/>
              </w:rPr>
            </w:pPr>
            <w:r>
              <w:rPr>
                <w:spacing w:val="-5"/>
                <w:sz w:val="24"/>
              </w:rPr>
              <w:t>28</w:t>
            </w:r>
          </w:p>
        </w:tc>
        <w:tc>
          <w:tcPr>
            <w:tcW w:w="896" w:type="dxa"/>
          </w:tcPr>
          <w:p>
            <w:pPr>
              <w:pStyle w:val="TableParagraph"/>
              <w:ind w:left="510"/>
              <w:jc w:val="left"/>
              <w:rPr>
                <w:sz w:val="24"/>
              </w:rPr>
            </w:pPr>
            <w:r>
              <w:rPr>
                <w:spacing w:val="-5"/>
                <w:sz w:val="24"/>
              </w:rPr>
              <w:t>20</w:t>
            </w:r>
          </w:p>
        </w:tc>
        <w:tc>
          <w:tcPr>
            <w:tcW w:w="896" w:type="dxa"/>
          </w:tcPr>
          <w:p>
            <w:pPr>
              <w:pStyle w:val="TableParagraph"/>
              <w:ind w:left="509"/>
              <w:jc w:val="left"/>
              <w:rPr>
                <w:sz w:val="24"/>
              </w:rPr>
            </w:pPr>
            <w:r>
              <w:rPr>
                <w:spacing w:val="-5"/>
                <w:sz w:val="24"/>
              </w:rPr>
              <w:t>17</w:t>
            </w:r>
          </w:p>
        </w:tc>
        <w:tc>
          <w:tcPr>
            <w:tcW w:w="897" w:type="dxa"/>
          </w:tcPr>
          <w:p>
            <w:pPr>
              <w:pStyle w:val="TableParagraph"/>
              <w:ind w:left="509"/>
              <w:jc w:val="left"/>
              <w:rPr>
                <w:sz w:val="24"/>
              </w:rPr>
            </w:pPr>
            <w:r>
              <w:rPr>
                <w:spacing w:val="-5"/>
                <w:sz w:val="24"/>
              </w:rPr>
              <w:t>11</w:t>
            </w:r>
          </w:p>
        </w:tc>
        <w:tc>
          <w:tcPr>
            <w:tcW w:w="895" w:type="dxa"/>
          </w:tcPr>
          <w:p>
            <w:pPr>
              <w:pStyle w:val="TableParagraph"/>
              <w:ind w:right="145"/>
              <w:jc w:val="right"/>
              <w:rPr>
                <w:sz w:val="24"/>
              </w:rPr>
            </w:pPr>
            <w:r>
              <w:rPr>
                <w:spacing w:val="-10"/>
                <w:sz w:val="24"/>
              </w:rPr>
              <w:t>6</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10"/>
                <w:sz w:val="24"/>
              </w:rPr>
              <w:t>8</w:t>
            </w:r>
          </w:p>
        </w:tc>
        <w:tc>
          <w:tcPr>
            <w:tcW w:w="1152" w:type="dxa"/>
          </w:tcPr>
          <w:p>
            <w:pPr>
              <w:pStyle w:val="TableParagraph"/>
              <w:ind w:right="141"/>
              <w:jc w:val="right"/>
              <w:rPr>
                <w:sz w:val="24"/>
              </w:rPr>
            </w:pPr>
            <w:r>
              <w:rPr>
                <w:spacing w:val="-5"/>
                <w:sz w:val="24"/>
              </w:rPr>
              <w:t>65</w:t>
            </w:r>
          </w:p>
        </w:tc>
        <w:tc>
          <w:tcPr>
            <w:tcW w:w="896" w:type="dxa"/>
          </w:tcPr>
          <w:p>
            <w:pPr>
              <w:pStyle w:val="TableParagraph"/>
              <w:ind w:left="511"/>
              <w:jc w:val="left"/>
              <w:rPr>
                <w:sz w:val="24"/>
              </w:rPr>
            </w:pPr>
            <w:r>
              <w:rPr>
                <w:spacing w:val="-5"/>
                <w:sz w:val="24"/>
              </w:rPr>
              <w:t>50</w:t>
            </w:r>
          </w:p>
        </w:tc>
        <w:tc>
          <w:tcPr>
            <w:tcW w:w="896" w:type="dxa"/>
          </w:tcPr>
          <w:p>
            <w:pPr>
              <w:pStyle w:val="TableParagraph"/>
              <w:ind w:left="510"/>
              <w:jc w:val="left"/>
              <w:rPr>
                <w:sz w:val="24"/>
              </w:rPr>
            </w:pPr>
            <w:r>
              <w:rPr>
                <w:spacing w:val="-5"/>
                <w:sz w:val="24"/>
              </w:rPr>
              <w:t>41</w:t>
            </w:r>
          </w:p>
        </w:tc>
        <w:tc>
          <w:tcPr>
            <w:tcW w:w="896" w:type="dxa"/>
          </w:tcPr>
          <w:p>
            <w:pPr>
              <w:pStyle w:val="TableParagraph"/>
              <w:ind w:left="510"/>
              <w:jc w:val="left"/>
              <w:rPr>
                <w:sz w:val="24"/>
              </w:rPr>
            </w:pPr>
            <w:r>
              <w:rPr>
                <w:spacing w:val="-5"/>
                <w:sz w:val="24"/>
              </w:rPr>
              <w:t>28</w:t>
            </w:r>
          </w:p>
        </w:tc>
        <w:tc>
          <w:tcPr>
            <w:tcW w:w="896" w:type="dxa"/>
          </w:tcPr>
          <w:p>
            <w:pPr>
              <w:pStyle w:val="TableParagraph"/>
              <w:ind w:left="509"/>
              <w:jc w:val="left"/>
              <w:rPr>
                <w:sz w:val="24"/>
              </w:rPr>
            </w:pPr>
            <w:r>
              <w:rPr>
                <w:spacing w:val="-5"/>
                <w:sz w:val="24"/>
              </w:rPr>
              <w:t>17</w:t>
            </w:r>
          </w:p>
        </w:tc>
        <w:tc>
          <w:tcPr>
            <w:tcW w:w="897" w:type="dxa"/>
          </w:tcPr>
          <w:p>
            <w:pPr>
              <w:pStyle w:val="TableParagraph"/>
              <w:ind w:left="509"/>
              <w:jc w:val="left"/>
              <w:rPr>
                <w:sz w:val="24"/>
              </w:rPr>
            </w:pPr>
            <w:r>
              <w:rPr>
                <w:spacing w:val="-5"/>
                <w:sz w:val="24"/>
              </w:rPr>
              <w:t>12</w:t>
            </w:r>
          </w:p>
        </w:tc>
        <w:tc>
          <w:tcPr>
            <w:tcW w:w="895" w:type="dxa"/>
          </w:tcPr>
          <w:p>
            <w:pPr>
              <w:pStyle w:val="TableParagraph"/>
              <w:ind w:right="145"/>
              <w:jc w:val="right"/>
              <w:rPr>
                <w:sz w:val="24"/>
              </w:rPr>
            </w:pPr>
            <w:r>
              <w:rPr>
                <w:spacing w:val="-10"/>
                <w:sz w:val="24"/>
              </w:rPr>
              <w:t>6</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673" w:type="dxa"/>
          </w:tcPr>
          <w:p>
            <w:pPr>
              <w:pStyle w:val="TableParagraph"/>
              <w:ind w:right="161"/>
              <w:jc w:val="right"/>
              <w:rPr>
                <w:sz w:val="24"/>
              </w:rPr>
            </w:pPr>
            <w:r>
              <w:rPr>
                <w:spacing w:val="-10"/>
                <w:sz w:val="24"/>
              </w:rPr>
              <w:t>9</w:t>
            </w:r>
          </w:p>
        </w:tc>
        <w:tc>
          <w:tcPr>
            <w:tcW w:w="1152" w:type="dxa"/>
          </w:tcPr>
          <w:p>
            <w:pPr>
              <w:pStyle w:val="TableParagraph"/>
              <w:ind w:right="141"/>
              <w:jc w:val="right"/>
              <w:rPr>
                <w:sz w:val="24"/>
              </w:rPr>
            </w:pPr>
            <w:r>
              <w:rPr>
                <w:spacing w:val="-5"/>
                <w:sz w:val="24"/>
              </w:rPr>
              <w:t>54</w:t>
            </w:r>
          </w:p>
        </w:tc>
        <w:tc>
          <w:tcPr>
            <w:tcW w:w="896" w:type="dxa"/>
          </w:tcPr>
          <w:p>
            <w:pPr>
              <w:pStyle w:val="TableParagraph"/>
              <w:ind w:left="511"/>
              <w:jc w:val="left"/>
              <w:rPr>
                <w:sz w:val="24"/>
              </w:rPr>
            </w:pPr>
            <w:r>
              <w:rPr>
                <w:spacing w:val="-5"/>
                <w:sz w:val="24"/>
              </w:rPr>
              <w:t>42</w:t>
            </w:r>
          </w:p>
        </w:tc>
        <w:tc>
          <w:tcPr>
            <w:tcW w:w="896" w:type="dxa"/>
          </w:tcPr>
          <w:p>
            <w:pPr>
              <w:pStyle w:val="TableParagraph"/>
              <w:ind w:left="510"/>
              <w:jc w:val="left"/>
              <w:rPr>
                <w:sz w:val="24"/>
              </w:rPr>
            </w:pPr>
            <w:r>
              <w:rPr>
                <w:spacing w:val="-5"/>
                <w:sz w:val="24"/>
              </w:rPr>
              <w:t>25</w:t>
            </w:r>
          </w:p>
        </w:tc>
        <w:tc>
          <w:tcPr>
            <w:tcW w:w="896" w:type="dxa"/>
          </w:tcPr>
          <w:p>
            <w:pPr>
              <w:pStyle w:val="TableParagraph"/>
              <w:ind w:left="510"/>
              <w:jc w:val="left"/>
              <w:rPr>
                <w:sz w:val="24"/>
              </w:rPr>
            </w:pPr>
            <w:r>
              <w:rPr>
                <w:spacing w:val="-5"/>
                <w:sz w:val="24"/>
              </w:rPr>
              <w:t>19</w:t>
            </w:r>
          </w:p>
        </w:tc>
        <w:tc>
          <w:tcPr>
            <w:tcW w:w="896" w:type="dxa"/>
          </w:tcPr>
          <w:p>
            <w:pPr>
              <w:pStyle w:val="TableParagraph"/>
              <w:ind w:left="509"/>
              <w:jc w:val="left"/>
              <w:rPr>
                <w:sz w:val="24"/>
              </w:rPr>
            </w:pPr>
            <w:r>
              <w:rPr>
                <w:spacing w:val="-5"/>
                <w:sz w:val="24"/>
              </w:rPr>
              <w:t>10</w:t>
            </w:r>
          </w:p>
        </w:tc>
        <w:tc>
          <w:tcPr>
            <w:tcW w:w="897" w:type="dxa"/>
          </w:tcPr>
          <w:p>
            <w:pPr>
              <w:pStyle w:val="TableParagraph"/>
              <w:ind w:right="145"/>
              <w:jc w:val="right"/>
              <w:rPr>
                <w:sz w:val="24"/>
              </w:rPr>
            </w:pPr>
            <w:r>
              <w:rPr>
                <w:spacing w:val="-10"/>
                <w:sz w:val="24"/>
              </w:rPr>
              <w:t>6</w:t>
            </w:r>
          </w:p>
        </w:tc>
        <w:tc>
          <w:tcPr>
            <w:tcW w:w="895" w:type="dxa"/>
          </w:tcPr>
          <w:p>
            <w:pPr>
              <w:pStyle w:val="TableParagraph"/>
              <w:ind w:right="145"/>
              <w:jc w:val="right"/>
              <w:rPr>
                <w:sz w:val="24"/>
              </w:rPr>
            </w:pPr>
            <w:r>
              <w:rPr>
                <w:spacing w:val="-10"/>
                <w:sz w:val="24"/>
              </w:rPr>
              <w:t>2</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5"/>
                <w:sz w:val="24"/>
              </w:rPr>
              <w:t>10</w:t>
            </w:r>
          </w:p>
        </w:tc>
        <w:tc>
          <w:tcPr>
            <w:tcW w:w="1152" w:type="dxa"/>
          </w:tcPr>
          <w:p>
            <w:pPr>
              <w:pStyle w:val="TableParagraph"/>
              <w:ind w:right="141"/>
              <w:jc w:val="right"/>
              <w:rPr>
                <w:sz w:val="24"/>
              </w:rPr>
            </w:pPr>
            <w:r>
              <w:rPr>
                <w:spacing w:val="-5"/>
                <w:sz w:val="24"/>
              </w:rPr>
              <w:t>93</w:t>
            </w:r>
          </w:p>
        </w:tc>
        <w:tc>
          <w:tcPr>
            <w:tcW w:w="896" w:type="dxa"/>
          </w:tcPr>
          <w:p>
            <w:pPr>
              <w:pStyle w:val="TableParagraph"/>
              <w:ind w:left="511"/>
              <w:jc w:val="left"/>
              <w:rPr>
                <w:sz w:val="24"/>
              </w:rPr>
            </w:pPr>
            <w:r>
              <w:rPr>
                <w:spacing w:val="-5"/>
                <w:sz w:val="24"/>
              </w:rPr>
              <w:t>80</w:t>
            </w:r>
          </w:p>
        </w:tc>
        <w:tc>
          <w:tcPr>
            <w:tcW w:w="896" w:type="dxa"/>
          </w:tcPr>
          <w:p>
            <w:pPr>
              <w:pStyle w:val="TableParagraph"/>
              <w:ind w:left="510"/>
              <w:jc w:val="left"/>
              <w:rPr>
                <w:sz w:val="24"/>
              </w:rPr>
            </w:pPr>
            <w:r>
              <w:rPr>
                <w:spacing w:val="-5"/>
                <w:sz w:val="24"/>
              </w:rPr>
              <w:t>64</w:t>
            </w:r>
          </w:p>
        </w:tc>
        <w:tc>
          <w:tcPr>
            <w:tcW w:w="896" w:type="dxa"/>
          </w:tcPr>
          <w:p>
            <w:pPr>
              <w:pStyle w:val="TableParagraph"/>
              <w:ind w:left="510"/>
              <w:jc w:val="left"/>
              <w:rPr>
                <w:sz w:val="24"/>
              </w:rPr>
            </w:pPr>
            <w:r>
              <w:rPr>
                <w:spacing w:val="-5"/>
                <w:sz w:val="24"/>
              </w:rPr>
              <w:t>42</w:t>
            </w:r>
          </w:p>
        </w:tc>
        <w:tc>
          <w:tcPr>
            <w:tcW w:w="896" w:type="dxa"/>
          </w:tcPr>
          <w:p>
            <w:pPr>
              <w:pStyle w:val="TableParagraph"/>
              <w:ind w:left="509"/>
              <w:jc w:val="left"/>
              <w:rPr>
                <w:sz w:val="24"/>
              </w:rPr>
            </w:pPr>
            <w:r>
              <w:rPr>
                <w:spacing w:val="-5"/>
                <w:sz w:val="24"/>
              </w:rPr>
              <w:t>24</w:t>
            </w:r>
          </w:p>
        </w:tc>
        <w:tc>
          <w:tcPr>
            <w:tcW w:w="897" w:type="dxa"/>
          </w:tcPr>
          <w:p>
            <w:pPr>
              <w:pStyle w:val="TableParagraph"/>
              <w:ind w:left="509"/>
              <w:jc w:val="left"/>
              <w:rPr>
                <w:sz w:val="24"/>
              </w:rPr>
            </w:pPr>
            <w:r>
              <w:rPr>
                <w:spacing w:val="-5"/>
                <w:sz w:val="24"/>
              </w:rPr>
              <w:t>17</w:t>
            </w:r>
          </w:p>
        </w:tc>
        <w:tc>
          <w:tcPr>
            <w:tcW w:w="895" w:type="dxa"/>
          </w:tcPr>
          <w:p>
            <w:pPr>
              <w:pStyle w:val="TableParagraph"/>
              <w:ind w:right="145"/>
              <w:jc w:val="right"/>
              <w:rPr>
                <w:sz w:val="24"/>
              </w:rPr>
            </w:pPr>
            <w:r>
              <w:rPr>
                <w:spacing w:val="-10"/>
                <w:sz w:val="24"/>
              </w:rPr>
              <w:t>6</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5"/>
                <w:sz w:val="24"/>
              </w:rPr>
              <w:t>11</w:t>
            </w:r>
          </w:p>
        </w:tc>
        <w:tc>
          <w:tcPr>
            <w:tcW w:w="1152" w:type="dxa"/>
          </w:tcPr>
          <w:p>
            <w:pPr>
              <w:pStyle w:val="TableParagraph"/>
              <w:ind w:right="141"/>
              <w:jc w:val="right"/>
              <w:rPr>
                <w:sz w:val="24"/>
              </w:rPr>
            </w:pPr>
            <w:r>
              <w:rPr>
                <w:spacing w:val="-5"/>
                <w:sz w:val="24"/>
              </w:rPr>
              <w:t>69</w:t>
            </w:r>
          </w:p>
        </w:tc>
        <w:tc>
          <w:tcPr>
            <w:tcW w:w="896" w:type="dxa"/>
          </w:tcPr>
          <w:p>
            <w:pPr>
              <w:pStyle w:val="TableParagraph"/>
              <w:ind w:left="511"/>
              <w:jc w:val="left"/>
              <w:rPr>
                <w:sz w:val="24"/>
              </w:rPr>
            </w:pPr>
            <w:r>
              <w:rPr>
                <w:spacing w:val="-5"/>
                <w:sz w:val="24"/>
              </w:rPr>
              <w:t>49</w:t>
            </w:r>
          </w:p>
        </w:tc>
        <w:tc>
          <w:tcPr>
            <w:tcW w:w="896" w:type="dxa"/>
          </w:tcPr>
          <w:p>
            <w:pPr>
              <w:pStyle w:val="TableParagraph"/>
              <w:ind w:left="510"/>
              <w:jc w:val="left"/>
              <w:rPr>
                <w:sz w:val="24"/>
              </w:rPr>
            </w:pPr>
            <w:r>
              <w:rPr>
                <w:spacing w:val="-5"/>
                <w:sz w:val="24"/>
              </w:rPr>
              <w:t>32</w:t>
            </w:r>
          </w:p>
        </w:tc>
        <w:tc>
          <w:tcPr>
            <w:tcW w:w="896" w:type="dxa"/>
          </w:tcPr>
          <w:p>
            <w:pPr>
              <w:pStyle w:val="TableParagraph"/>
              <w:ind w:left="510"/>
              <w:jc w:val="left"/>
              <w:rPr>
                <w:sz w:val="24"/>
              </w:rPr>
            </w:pPr>
            <w:r>
              <w:rPr>
                <w:spacing w:val="-5"/>
                <w:sz w:val="24"/>
              </w:rPr>
              <w:t>20</w:t>
            </w:r>
          </w:p>
        </w:tc>
        <w:tc>
          <w:tcPr>
            <w:tcW w:w="896" w:type="dxa"/>
          </w:tcPr>
          <w:p>
            <w:pPr>
              <w:pStyle w:val="TableParagraph"/>
              <w:ind w:left="509"/>
              <w:jc w:val="left"/>
              <w:rPr>
                <w:sz w:val="24"/>
              </w:rPr>
            </w:pPr>
            <w:r>
              <w:rPr>
                <w:spacing w:val="-5"/>
                <w:sz w:val="24"/>
              </w:rPr>
              <w:t>14</w:t>
            </w:r>
          </w:p>
        </w:tc>
        <w:tc>
          <w:tcPr>
            <w:tcW w:w="897" w:type="dxa"/>
          </w:tcPr>
          <w:p>
            <w:pPr>
              <w:pStyle w:val="TableParagraph"/>
              <w:ind w:right="145"/>
              <w:jc w:val="right"/>
              <w:rPr>
                <w:sz w:val="24"/>
              </w:rPr>
            </w:pPr>
            <w:r>
              <w:rPr>
                <w:spacing w:val="-10"/>
                <w:sz w:val="24"/>
              </w:rPr>
              <w:t>5</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673" w:type="dxa"/>
          </w:tcPr>
          <w:p>
            <w:pPr>
              <w:pStyle w:val="TableParagraph"/>
              <w:ind w:right="161"/>
              <w:jc w:val="right"/>
              <w:rPr>
                <w:sz w:val="24"/>
              </w:rPr>
            </w:pPr>
            <w:r>
              <w:rPr>
                <w:spacing w:val="-5"/>
                <w:sz w:val="24"/>
              </w:rPr>
              <w:t>12</w:t>
            </w:r>
          </w:p>
        </w:tc>
        <w:tc>
          <w:tcPr>
            <w:tcW w:w="1152" w:type="dxa"/>
          </w:tcPr>
          <w:p>
            <w:pPr>
              <w:pStyle w:val="TableParagraph"/>
              <w:ind w:right="141"/>
              <w:jc w:val="right"/>
              <w:rPr>
                <w:sz w:val="24"/>
              </w:rPr>
            </w:pPr>
            <w:r>
              <w:rPr>
                <w:spacing w:val="-5"/>
                <w:sz w:val="24"/>
              </w:rPr>
              <w:t>69</w:t>
            </w:r>
          </w:p>
        </w:tc>
        <w:tc>
          <w:tcPr>
            <w:tcW w:w="896" w:type="dxa"/>
          </w:tcPr>
          <w:p>
            <w:pPr>
              <w:pStyle w:val="TableParagraph"/>
              <w:ind w:left="511"/>
              <w:jc w:val="left"/>
              <w:rPr>
                <w:sz w:val="24"/>
              </w:rPr>
            </w:pPr>
            <w:r>
              <w:rPr>
                <w:spacing w:val="-5"/>
                <w:sz w:val="24"/>
              </w:rPr>
              <w:t>52</w:t>
            </w:r>
          </w:p>
        </w:tc>
        <w:tc>
          <w:tcPr>
            <w:tcW w:w="896" w:type="dxa"/>
          </w:tcPr>
          <w:p>
            <w:pPr>
              <w:pStyle w:val="TableParagraph"/>
              <w:ind w:left="510"/>
              <w:jc w:val="left"/>
              <w:rPr>
                <w:sz w:val="24"/>
              </w:rPr>
            </w:pPr>
            <w:r>
              <w:rPr>
                <w:spacing w:val="-5"/>
                <w:sz w:val="24"/>
              </w:rPr>
              <w:t>28</w:t>
            </w:r>
          </w:p>
        </w:tc>
        <w:tc>
          <w:tcPr>
            <w:tcW w:w="896" w:type="dxa"/>
          </w:tcPr>
          <w:p>
            <w:pPr>
              <w:pStyle w:val="TableParagraph"/>
              <w:ind w:left="510"/>
              <w:jc w:val="left"/>
              <w:rPr>
                <w:sz w:val="24"/>
              </w:rPr>
            </w:pPr>
            <w:r>
              <w:rPr>
                <w:spacing w:val="-5"/>
                <w:sz w:val="24"/>
              </w:rPr>
              <w:t>20</w:t>
            </w:r>
          </w:p>
        </w:tc>
        <w:tc>
          <w:tcPr>
            <w:tcW w:w="896" w:type="dxa"/>
          </w:tcPr>
          <w:p>
            <w:pPr>
              <w:pStyle w:val="TableParagraph"/>
              <w:ind w:left="509"/>
              <w:jc w:val="left"/>
              <w:rPr>
                <w:sz w:val="24"/>
              </w:rPr>
            </w:pPr>
            <w:r>
              <w:rPr>
                <w:spacing w:val="-5"/>
                <w:sz w:val="24"/>
              </w:rPr>
              <w:t>11</w:t>
            </w:r>
          </w:p>
        </w:tc>
        <w:tc>
          <w:tcPr>
            <w:tcW w:w="897" w:type="dxa"/>
          </w:tcPr>
          <w:p>
            <w:pPr>
              <w:pStyle w:val="TableParagraph"/>
              <w:ind w:right="145"/>
              <w:jc w:val="right"/>
              <w:rPr>
                <w:sz w:val="24"/>
              </w:rPr>
            </w:pPr>
            <w:r>
              <w:rPr>
                <w:spacing w:val="-10"/>
                <w:sz w:val="24"/>
              </w:rPr>
              <w:t>5</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673" w:type="dxa"/>
          </w:tcPr>
          <w:p>
            <w:pPr>
              <w:pStyle w:val="TableParagraph"/>
              <w:ind w:right="161"/>
              <w:jc w:val="right"/>
              <w:rPr>
                <w:sz w:val="24"/>
              </w:rPr>
            </w:pPr>
            <w:r>
              <w:rPr>
                <w:spacing w:val="-5"/>
                <w:sz w:val="24"/>
              </w:rPr>
              <w:t>13</w:t>
            </w:r>
          </w:p>
        </w:tc>
        <w:tc>
          <w:tcPr>
            <w:tcW w:w="1152" w:type="dxa"/>
          </w:tcPr>
          <w:p>
            <w:pPr>
              <w:pStyle w:val="TableParagraph"/>
              <w:ind w:left="648"/>
              <w:jc w:val="left"/>
              <w:rPr>
                <w:sz w:val="24"/>
              </w:rPr>
            </w:pPr>
            <w:r>
              <w:rPr>
                <w:spacing w:val="-5"/>
                <w:sz w:val="24"/>
              </w:rPr>
              <w:t>146</w:t>
            </w:r>
          </w:p>
        </w:tc>
        <w:tc>
          <w:tcPr>
            <w:tcW w:w="896" w:type="dxa"/>
          </w:tcPr>
          <w:p>
            <w:pPr>
              <w:pStyle w:val="TableParagraph"/>
              <w:ind w:left="511"/>
              <w:jc w:val="left"/>
              <w:rPr>
                <w:sz w:val="24"/>
              </w:rPr>
            </w:pPr>
            <w:r>
              <w:rPr>
                <w:spacing w:val="-5"/>
                <w:sz w:val="24"/>
              </w:rPr>
              <w:t>46</w:t>
            </w:r>
          </w:p>
        </w:tc>
        <w:tc>
          <w:tcPr>
            <w:tcW w:w="896" w:type="dxa"/>
          </w:tcPr>
          <w:p>
            <w:pPr>
              <w:pStyle w:val="TableParagraph"/>
              <w:ind w:left="510"/>
              <w:jc w:val="left"/>
              <w:rPr>
                <w:sz w:val="24"/>
              </w:rPr>
            </w:pPr>
            <w:r>
              <w:rPr>
                <w:spacing w:val="-5"/>
                <w:sz w:val="24"/>
              </w:rPr>
              <w:t>30</w:t>
            </w:r>
          </w:p>
        </w:tc>
        <w:tc>
          <w:tcPr>
            <w:tcW w:w="896" w:type="dxa"/>
          </w:tcPr>
          <w:p>
            <w:pPr>
              <w:pStyle w:val="TableParagraph"/>
              <w:ind w:left="510"/>
              <w:jc w:val="left"/>
              <w:rPr>
                <w:sz w:val="24"/>
              </w:rPr>
            </w:pPr>
            <w:r>
              <w:rPr>
                <w:spacing w:val="-5"/>
                <w:sz w:val="24"/>
              </w:rPr>
              <w:t>12</w:t>
            </w:r>
          </w:p>
        </w:tc>
        <w:tc>
          <w:tcPr>
            <w:tcW w:w="896" w:type="dxa"/>
          </w:tcPr>
          <w:p>
            <w:pPr>
              <w:pStyle w:val="TableParagraph"/>
              <w:ind w:right="144"/>
              <w:jc w:val="right"/>
              <w:rPr>
                <w:sz w:val="24"/>
              </w:rPr>
            </w:pPr>
            <w:r>
              <w:rPr>
                <w:spacing w:val="-10"/>
                <w:sz w:val="24"/>
              </w:rPr>
              <w:t>4</w:t>
            </w:r>
          </w:p>
        </w:tc>
        <w:tc>
          <w:tcPr>
            <w:tcW w:w="897" w:type="dxa"/>
          </w:tcPr>
          <w:p>
            <w:pPr>
              <w:pStyle w:val="TableParagraph"/>
              <w:ind w:right="145"/>
              <w:jc w:val="right"/>
              <w:rPr>
                <w:sz w:val="24"/>
              </w:rPr>
            </w:pPr>
            <w:r>
              <w:rPr>
                <w:spacing w:val="-10"/>
                <w:sz w:val="24"/>
              </w:rPr>
              <w:t>0</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5"/>
                <w:sz w:val="24"/>
              </w:rPr>
              <w:t>14</w:t>
            </w:r>
          </w:p>
        </w:tc>
        <w:tc>
          <w:tcPr>
            <w:tcW w:w="1152" w:type="dxa"/>
          </w:tcPr>
          <w:p>
            <w:pPr>
              <w:pStyle w:val="TableParagraph"/>
              <w:ind w:right="141"/>
              <w:jc w:val="right"/>
              <w:rPr>
                <w:sz w:val="24"/>
              </w:rPr>
            </w:pPr>
            <w:r>
              <w:rPr>
                <w:spacing w:val="-5"/>
                <w:sz w:val="24"/>
              </w:rPr>
              <w:t>86</w:t>
            </w:r>
          </w:p>
        </w:tc>
        <w:tc>
          <w:tcPr>
            <w:tcW w:w="896" w:type="dxa"/>
          </w:tcPr>
          <w:p>
            <w:pPr>
              <w:pStyle w:val="TableParagraph"/>
              <w:ind w:left="511"/>
              <w:jc w:val="left"/>
              <w:rPr>
                <w:sz w:val="24"/>
              </w:rPr>
            </w:pPr>
            <w:r>
              <w:rPr>
                <w:spacing w:val="-5"/>
                <w:sz w:val="24"/>
              </w:rPr>
              <w:t>56</w:t>
            </w:r>
          </w:p>
        </w:tc>
        <w:tc>
          <w:tcPr>
            <w:tcW w:w="896" w:type="dxa"/>
          </w:tcPr>
          <w:p>
            <w:pPr>
              <w:pStyle w:val="TableParagraph"/>
              <w:ind w:left="510"/>
              <w:jc w:val="left"/>
              <w:rPr>
                <w:sz w:val="24"/>
              </w:rPr>
            </w:pPr>
            <w:r>
              <w:rPr>
                <w:spacing w:val="-5"/>
                <w:sz w:val="24"/>
              </w:rPr>
              <w:t>32</w:t>
            </w:r>
          </w:p>
        </w:tc>
        <w:tc>
          <w:tcPr>
            <w:tcW w:w="896" w:type="dxa"/>
          </w:tcPr>
          <w:p>
            <w:pPr>
              <w:pStyle w:val="TableParagraph"/>
              <w:ind w:left="510"/>
              <w:jc w:val="left"/>
              <w:rPr>
                <w:sz w:val="24"/>
              </w:rPr>
            </w:pPr>
            <w:r>
              <w:rPr>
                <w:spacing w:val="-5"/>
                <w:sz w:val="24"/>
              </w:rPr>
              <w:t>14</w:t>
            </w:r>
          </w:p>
        </w:tc>
        <w:tc>
          <w:tcPr>
            <w:tcW w:w="896" w:type="dxa"/>
          </w:tcPr>
          <w:p>
            <w:pPr>
              <w:pStyle w:val="TableParagraph"/>
              <w:ind w:right="144"/>
              <w:jc w:val="right"/>
              <w:rPr>
                <w:sz w:val="24"/>
              </w:rPr>
            </w:pPr>
            <w:r>
              <w:rPr>
                <w:spacing w:val="-10"/>
                <w:sz w:val="24"/>
              </w:rPr>
              <w:t>2</w:t>
            </w:r>
          </w:p>
        </w:tc>
        <w:tc>
          <w:tcPr>
            <w:tcW w:w="897" w:type="dxa"/>
          </w:tcPr>
          <w:p>
            <w:pPr>
              <w:pStyle w:val="TableParagraph"/>
              <w:ind w:right="145"/>
              <w:jc w:val="right"/>
              <w:rPr>
                <w:sz w:val="24"/>
              </w:rPr>
            </w:pPr>
            <w:r>
              <w:rPr>
                <w:spacing w:val="-10"/>
                <w:sz w:val="24"/>
              </w:rPr>
              <w:t>0</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673" w:type="dxa"/>
          </w:tcPr>
          <w:p>
            <w:pPr>
              <w:pStyle w:val="TableParagraph"/>
              <w:ind w:right="161"/>
              <w:jc w:val="right"/>
              <w:rPr>
                <w:sz w:val="24"/>
              </w:rPr>
            </w:pPr>
            <w:r>
              <w:rPr>
                <w:spacing w:val="-5"/>
                <w:sz w:val="24"/>
              </w:rPr>
              <w:t>15</w:t>
            </w:r>
          </w:p>
        </w:tc>
        <w:tc>
          <w:tcPr>
            <w:tcW w:w="1152" w:type="dxa"/>
          </w:tcPr>
          <w:p>
            <w:pPr>
              <w:pStyle w:val="TableParagraph"/>
              <w:ind w:left="648"/>
              <w:jc w:val="left"/>
              <w:rPr>
                <w:sz w:val="24"/>
              </w:rPr>
            </w:pPr>
            <w:r>
              <w:rPr>
                <w:spacing w:val="-5"/>
                <w:sz w:val="24"/>
              </w:rPr>
              <w:t>176</w:t>
            </w:r>
          </w:p>
        </w:tc>
        <w:tc>
          <w:tcPr>
            <w:tcW w:w="896" w:type="dxa"/>
          </w:tcPr>
          <w:p>
            <w:pPr>
              <w:pStyle w:val="TableParagraph"/>
              <w:ind w:left="511"/>
              <w:jc w:val="left"/>
              <w:rPr>
                <w:sz w:val="24"/>
              </w:rPr>
            </w:pPr>
            <w:r>
              <w:rPr>
                <w:spacing w:val="-5"/>
                <w:sz w:val="24"/>
              </w:rPr>
              <w:t>62</w:t>
            </w:r>
          </w:p>
        </w:tc>
        <w:tc>
          <w:tcPr>
            <w:tcW w:w="896" w:type="dxa"/>
          </w:tcPr>
          <w:p>
            <w:pPr>
              <w:pStyle w:val="TableParagraph"/>
              <w:ind w:left="510"/>
              <w:jc w:val="left"/>
              <w:rPr>
                <w:sz w:val="24"/>
              </w:rPr>
            </w:pPr>
            <w:r>
              <w:rPr>
                <w:spacing w:val="-5"/>
                <w:sz w:val="24"/>
              </w:rPr>
              <w:t>34</w:t>
            </w:r>
          </w:p>
        </w:tc>
        <w:tc>
          <w:tcPr>
            <w:tcW w:w="896" w:type="dxa"/>
          </w:tcPr>
          <w:p>
            <w:pPr>
              <w:pStyle w:val="TableParagraph"/>
              <w:ind w:left="510"/>
              <w:jc w:val="left"/>
              <w:rPr>
                <w:sz w:val="24"/>
              </w:rPr>
            </w:pPr>
            <w:r>
              <w:rPr>
                <w:spacing w:val="-5"/>
                <w:sz w:val="24"/>
              </w:rPr>
              <w:t>12</w:t>
            </w:r>
          </w:p>
        </w:tc>
        <w:tc>
          <w:tcPr>
            <w:tcW w:w="896" w:type="dxa"/>
          </w:tcPr>
          <w:p>
            <w:pPr>
              <w:pStyle w:val="TableParagraph"/>
              <w:ind w:right="144"/>
              <w:jc w:val="right"/>
              <w:rPr>
                <w:sz w:val="24"/>
              </w:rPr>
            </w:pPr>
            <w:r>
              <w:rPr>
                <w:spacing w:val="-10"/>
                <w:sz w:val="24"/>
              </w:rPr>
              <w:t>0</w:t>
            </w:r>
          </w:p>
        </w:tc>
        <w:tc>
          <w:tcPr>
            <w:tcW w:w="897" w:type="dxa"/>
          </w:tcPr>
          <w:p>
            <w:pPr>
              <w:pStyle w:val="TableParagraph"/>
              <w:ind w:right="145"/>
              <w:jc w:val="right"/>
              <w:rPr>
                <w:sz w:val="24"/>
              </w:rPr>
            </w:pPr>
            <w:r>
              <w:rPr>
                <w:spacing w:val="-10"/>
                <w:sz w:val="24"/>
              </w:rPr>
              <w:t>0</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5"/>
                <w:sz w:val="24"/>
              </w:rPr>
              <w:t>16</w:t>
            </w:r>
          </w:p>
        </w:tc>
        <w:tc>
          <w:tcPr>
            <w:tcW w:w="1152" w:type="dxa"/>
          </w:tcPr>
          <w:p>
            <w:pPr>
              <w:pStyle w:val="TableParagraph"/>
              <w:ind w:right="141"/>
              <w:jc w:val="right"/>
              <w:rPr>
                <w:sz w:val="24"/>
              </w:rPr>
            </w:pPr>
            <w:r>
              <w:rPr>
                <w:spacing w:val="-5"/>
                <w:sz w:val="24"/>
              </w:rPr>
              <w:t>72</w:t>
            </w:r>
          </w:p>
        </w:tc>
        <w:tc>
          <w:tcPr>
            <w:tcW w:w="896" w:type="dxa"/>
          </w:tcPr>
          <w:p>
            <w:pPr>
              <w:pStyle w:val="TableParagraph"/>
              <w:ind w:left="511"/>
              <w:jc w:val="left"/>
              <w:rPr>
                <w:sz w:val="24"/>
              </w:rPr>
            </w:pPr>
            <w:r>
              <w:rPr>
                <w:spacing w:val="-5"/>
                <w:sz w:val="24"/>
              </w:rPr>
              <w:t>52</w:t>
            </w:r>
          </w:p>
        </w:tc>
        <w:tc>
          <w:tcPr>
            <w:tcW w:w="896" w:type="dxa"/>
          </w:tcPr>
          <w:p>
            <w:pPr>
              <w:pStyle w:val="TableParagraph"/>
              <w:ind w:left="510"/>
              <w:jc w:val="left"/>
              <w:rPr>
                <w:sz w:val="24"/>
              </w:rPr>
            </w:pPr>
            <w:r>
              <w:rPr>
                <w:spacing w:val="-5"/>
                <w:sz w:val="24"/>
              </w:rPr>
              <w:t>24</w:t>
            </w:r>
          </w:p>
        </w:tc>
        <w:tc>
          <w:tcPr>
            <w:tcW w:w="896" w:type="dxa"/>
          </w:tcPr>
          <w:p>
            <w:pPr>
              <w:pStyle w:val="TableParagraph"/>
              <w:ind w:right="143"/>
              <w:jc w:val="right"/>
              <w:rPr>
                <w:sz w:val="24"/>
              </w:rPr>
            </w:pPr>
            <w:r>
              <w:rPr>
                <w:spacing w:val="-10"/>
                <w:sz w:val="24"/>
              </w:rPr>
              <w:t>8</w:t>
            </w:r>
          </w:p>
        </w:tc>
        <w:tc>
          <w:tcPr>
            <w:tcW w:w="896" w:type="dxa"/>
          </w:tcPr>
          <w:p>
            <w:pPr>
              <w:pStyle w:val="TableParagraph"/>
              <w:ind w:right="144"/>
              <w:jc w:val="right"/>
              <w:rPr>
                <w:sz w:val="24"/>
              </w:rPr>
            </w:pPr>
            <w:r>
              <w:rPr>
                <w:spacing w:val="-10"/>
                <w:sz w:val="24"/>
              </w:rPr>
              <w:t>0</w:t>
            </w:r>
          </w:p>
        </w:tc>
        <w:tc>
          <w:tcPr>
            <w:tcW w:w="897" w:type="dxa"/>
          </w:tcPr>
          <w:p>
            <w:pPr>
              <w:pStyle w:val="TableParagraph"/>
              <w:ind w:right="145"/>
              <w:jc w:val="right"/>
              <w:rPr>
                <w:sz w:val="24"/>
              </w:rPr>
            </w:pPr>
            <w:r>
              <w:rPr>
                <w:spacing w:val="-10"/>
                <w:sz w:val="24"/>
              </w:rPr>
              <w:t>0</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5"/>
                <w:sz w:val="24"/>
              </w:rPr>
              <w:t>17</w:t>
            </w:r>
          </w:p>
        </w:tc>
        <w:tc>
          <w:tcPr>
            <w:tcW w:w="1152" w:type="dxa"/>
          </w:tcPr>
          <w:p>
            <w:pPr>
              <w:pStyle w:val="TableParagraph"/>
              <w:ind w:right="141"/>
              <w:jc w:val="right"/>
              <w:rPr>
                <w:sz w:val="24"/>
              </w:rPr>
            </w:pPr>
            <w:r>
              <w:rPr>
                <w:spacing w:val="-5"/>
                <w:sz w:val="24"/>
              </w:rPr>
              <w:t>98</w:t>
            </w:r>
          </w:p>
        </w:tc>
        <w:tc>
          <w:tcPr>
            <w:tcW w:w="896" w:type="dxa"/>
          </w:tcPr>
          <w:p>
            <w:pPr>
              <w:pStyle w:val="TableParagraph"/>
              <w:ind w:left="511"/>
              <w:jc w:val="left"/>
              <w:rPr>
                <w:sz w:val="24"/>
              </w:rPr>
            </w:pPr>
            <w:r>
              <w:rPr>
                <w:spacing w:val="-5"/>
                <w:sz w:val="24"/>
              </w:rPr>
              <w:t>48</w:t>
            </w:r>
          </w:p>
        </w:tc>
        <w:tc>
          <w:tcPr>
            <w:tcW w:w="896" w:type="dxa"/>
          </w:tcPr>
          <w:p>
            <w:pPr>
              <w:pStyle w:val="TableParagraph"/>
              <w:ind w:left="510"/>
              <w:jc w:val="left"/>
              <w:rPr>
                <w:sz w:val="24"/>
              </w:rPr>
            </w:pPr>
            <w:r>
              <w:rPr>
                <w:spacing w:val="-5"/>
                <w:sz w:val="24"/>
              </w:rPr>
              <w:t>32</w:t>
            </w:r>
          </w:p>
        </w:tc>
        <w:tc>
          <w:tcPr>
            <w:tcW w:w="896" w:type="dxa"/>
          </w:tcPr>
          <w:p>
            <w:pPr>
              <w:pStyle w:val="TableParagraph"/>
              <w:ind w:left="510"/>
              <w:jc w:val="left"/>
              <w:rPr>
                <w:sz w:val="24"/>
              </w:rPr>
            </w:pPr>
            <w:r>
              <w:rPr>
                <w:spacing w:val="-5"/>
                <w:sz w:val="24"/>
              </w:rPr>
              <w:t>24</w:t>
            </w:r>
          </w:p>
        </w:tc>
        <w:tc>
          <w:tcPr>
            <w:tcW w:w="896" w:type="dxa"/>
          </w:tcPr>
          <w:p>
            <w:pPr>
              <w:pStyle w:val="TableParagraph"/>
              <w:ind w:right="144"/>
              <w:jc w:val="right"/>
              <w:rPr>
                <w:sz w:val="24"/>
              </w:rPr>
            </w:pPr>
            <w:r>
              <w:rPr>
                <w:spacing w:val="-10"/>
                <w:sz w:val="24"/>
              </w:rPr>
              <w:t>8</w:t>
            </w:r>
          </w:p>
        </w:tc>
        <w:tc>
          <w:tcPr>
            <w:tcW w:w="897" w:type="dxa"/>
          </w:tcPr>
          <w:p>
            <w:pPr>
              <w:pStyle w:val="TableParagraph"/>
              <w:ind w:right="145"/>
              <w:jc w:val="right"/>
              <w:rPr>
                <w:sz w:val="24"/>
              </w:rPr>
            </w:pPr>
            <w:r>
              <w:rPr>
                <w:spacing w:val="-10"/>
                <w:sz w:val="24"/>
              </w:rPr>
              <w:t>0</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8" w:hRule="atLeast"/>
        </w:trPr>
        <w:tc>
          <w:tcPr>
            <w:tcW w:w="1673" w:type="dxa"/>
          </w:tcPr>
          <w:p>
            <w:pPr>
              <w:pStyle w:val="TableParagraph"/>
              <w:ind w:right="161"/>
              <w:jc w:val="right"/>
              <w:rPr>
                <w:sz w:val="24"/>
              </w:rPr>
            </w:pPr>
            <w:r>
              <w:rPr>
                <w:spacing w:val="-5"/>
                <w:sz w:val="24"/>
              </w:rPr>
              <w:t>18</w:t>
            </w:r>
          </w:p>
        </w:tc>
        <w:tc>
          <w:tcPr>
            <w:tcW w:w="1152" w:type="dxa"/>
          </w:tcPr>
          <w:p>
            <w:pPr>
              <w:pStyle w:val="TableParagraph"/>
              <w:ind w:right="141"/>
              <w:jc w:val="right"/>
              <w:rPr>
                <w:sz w:val="24"/>
              </w:rPr>
            </w:pPr>
            <w:r>
              <w:rPr>
                <w:spacing w:val="-5"/>
                <w:sz w:val="24"/>
              </w:rPr>
              <w:t>72</w:t>
            </w:r>
          </w:p>
        </w:tc>
        <w:tc>
          <w:tcPr>
            <w:tcW w:w="896" w:type="dxa"/>
          </w:tcPr>
          <w:p>
            <w:pPr>
              <w:pStyle w:val="TableParagraph"/>
              <w:ind w:left="511"/>
              <w:jc w:val="left"/>
              <w:rPr>
                <w:sz w:val="24"/>
              </w:rPr>
            </w:pPr>
            <w:r>
              <w:rPr>
                <w:spacing w:val="-5"/>
                <w:sz w:val="24"/>
              </w:rPr>
              <w:t>44</w:t>
            </w:r>
          </w:p>
        </w:tc>
        <w:tc>
          <w:tcPr>
            <w:tcW w:w="896" w:type="dxa"/>
          </w:tcPr>
          <w:p>
            <w:pPr>
              <w:pStyle w:val="TableParagraph"/>
              <w:ind w:left="510"/>
              <w:jc w:val="left"/>
              <w:rPr>
                <w:sz w:val="24"/>
              </w:rPr>
            </w:pPr>
            <w:r>
              <w:rPr>
                <w:spacing w:val="-5"/>
                <w:sz w:val="24"/>
              </w:rPr>
              <w:t>22</w:t>
            </w:r>
          </w:p>
        </w:tc>
        <w:tc>
          <w:tcPr>
            <w:tcW w:w="896" w:type="dxa"/>
          </w:tcPr>
          <w:p>
            <w:pPr>
              <w:pStyle w:val="TableParagraph"/>
              <w:ind w:right="143"/>
              <w:jc w:val="right"/>
              <w:rPr>
                <w:sz w:val="24"/>
              </w:rPr>
            </w:pPr>
            <w:r>
              <w:rPr>
                <w:spacing w:val="-10"/>
                <w:sz w:val="24"/>
              </w:rPr>
              <w:t>8</w:t>
            </w:r>
          </w:p>
        </w:tc>
        <w:tc>
          <w:tcPr>
            <w:tcW w:w="896" w:type="dxa"/>
          </w:tcPr>
          <w:p>
            <w:pPr>
              <w:pStyle w:val="TableParagraph"/>
              <w:ind w:right="144"/>
              <w:jc w:val="right"/>
              <w:rPr>
                <w:sz w:val="24"/>
              </w:rPr>
            </w:pPr>
            <w:r>
              <w:rPr>
                <w:spacing w:val="-10"/>
                <w:sz w:val="24"/>
              </w:rPr>
              <w:t>0</w:t>
            </w:r>
          </w:p>
        </w:tc>
        <w:tc>
          <w:tcPr>
            <w:tcW w:w="897" w:type="dxa"/>
          </w:tcPr>
          <w:p>
            <w:pPr>
              <w:pStyle w:val="TableParagraph"/>
              <w:ind w:right="145"/>
              <w:jc w:val="right"/>
              <w:rPr>
                <w:sz w:val="24"/>
              </w:rPr>
            </w:pPr>
            <w:r>
              <w:rPr>
                <w:spacing w:val="-10"/>
                <w:sz w:val="24"/>
              </w:rPr>
              <w:t>0</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7" w:hRule="atLeast"/>
        </w:trPr>
        <w:tc>
          <w:tcPr>
            <w:tcW w:w="1673" w:type="dxa"/>
          </w:tcPr>
          <w:p>
            <w:pPr>
              <w:pStyle w:val="TableParagraph"/>
              <w:ind w:right="161"/>
              <w:jc w:val="right"/>
              <w:rPr>
                <w:sz w:val="24"/>
              </w:rPr>
            </w:pPr>
            <w:r>
              <w:rPr>
                <w:spacing w:val="-5"/>
                <w:sz w:val="24"/>
              </w:rPr>
              <w:t>19</w:t>
            </w:r>
          </w:p>
        </w:tc>
        <w:tc>
          <w:tcPr>
            <w:tcW w:w="1152" w:type="dxa"/>
          </w:tcPr>
          <w:p>
            <w:pPr>
              <w:pStyle w:val="TableParagraph"/>
              <w:ind w:left="648"/>
              <w:jc w:val="left"/>
              <w:rPr>
                <w:sz w:val="24"/>
              </w:rPr>
            </w:pPr>
            <w:r>
              <w:rPr>
                <w:spacing w:val="-5"/>
                <w:sz w:val="24"/>
              </w:rPr>
              <w:t>162</w:t>
            </w:r>
          </w:p>
        </w:tc>
        <w:tc>
          <w:tcPr>
            <w:tcW w:w="896" w:type="dxa"/>
          </w:tcPr>
          <w:p>
            <w:pPr>
              <w:pStyle w:val="TableParagraph"/>
              <w:ind w:left="391"/>
              <w:jc w:val="left"/>
              <w:rPr>
                <w:sz w:val="24"/>
              </w:rPr>
            </w:pPr>
            <w:r>
              <w:rPr>
                <w:spacing w:val="-5"/>
                <w:sz w:val="24"/>
              </w:rPr>
              <w:t>118</w:t>
            </w:r>
          </w:p>
        </w:tc>
        <w:tc>
          <w:tcPr>
            <w:tcW w:w="896" w:type="dxa"/>
          </w:tcPr>
          <w:p>
            <w:pPr>
              <w:pStyle w:val="TableParagraph"/>
              <w:ind w:left="510"/>
              <w:jc w:val="left"/>
              <w:rPr>
                <w:sz w:val="24"/>
              </w:rPr>
            </w:pPr>
            <w:r>
              <w:rPr>
                <w:spacing w:val="-5"/>
                <w:sz w:val="24"/>
              </w:rPr>
              <w:t>54</w:t>
            </w:r>
          </w:p>
        </w:tc>
        <w:tc>
          <w:tcPr>
            <w:tcW w:w="896" w:type="dxa"/>
          </w:tcPr>
          <w:p>
            <w:pPr>
              <w:pStyle w:val="TableParagraph"/>
              <w:ind w:left="510"/>
              <w:jc w:val="left"/>
              <w:rPr>
                <w:sz w:val="24"/>
              </w:rPr>
            </w:pPr>
            <w:r>
              <w:rPr>
                <w:spacing w:val="-5"/>
                <w:sz w:val="24"/>
              </w:rPr>
              <w:t>26</w:t>
            </w:r>
          </w:p>
        </w:tc>
        <w:tc>
          <w:tcPr>
            <w:tcW w:w="896" w:type="dxa"/>
          </w:tcPr>
          <w:p>
            <w:pPr>
              <w:pStyle w:val="TableParagraph"/>
              <w:ind w:right="144"/>
              <w:jc w:val="right"/>
              <w:rPr>
                <w:sz w:val="24"/>
              </w:rPr>
            </w:pPr>
            <w:r>
              <w:rPr>
                <w:spacing w:val="-10"/>
                <w:sz w:val="24"/>
              </w:rPr>
              <w:t>8</w:t>
            </w:r>
          </w:p>
        </w:tc>
        <w:tc>
          <w:tcPr>
            <w:tcW w:w="897" w:type="dxa"/>
          </w:tcPr>
          <w:p>
            <w:pPr>
              <w:pStyle w:val="TableParagraph"/>
              <w:ind w:right="145"/>
              <w:jc w:val="right"/>
              <w:rPr>
                <w:sz w:val="24"/>
              </w:rPr>
            </w:pPr>
            <w:r>
              <w:rPr>
                <w:spacing w:val="-10"/>
                <w:sz w:val="24"/>
              </w:rPr>
              <w:t>0</w:t>
            </w:r>
          </w:p>
        </w:tc>
        <w:tc>
          <w:tcPr>
            <w:tcW w:w="895" w:type="dxa"/>
          </w:tcPr>
          <w:p>
            <w:pPr>
              <w:pStyle w:val="TableParagraph"/>
              <w:ind w:right="145"/>
              <w:jc w:val="right"/>
              <w:rPr>
                <w:sz w:val="24"/>
              </w:rPr>
            </w:pPr>
            <w:r>
              <w:rPr>
                <w:spacing w:val="-10"/>
                <w:sz w:val="24"/>
              </w:rPr>
              <w:t>0</w:t>
            </w:r>
          </w:p>
        </w:tc>
        <w:tc>
          <w:tcPr>
            <w:tcW w:w="860" w:type="dxa"/>
          </w:tcPr>
          <w:p>
            <w:pPr>
              <w:pStyle w:val="TableParagraph"/>
              <w:ind w:right="112"/>
              <w:jc w:val="right"/>
              <w:rPr>
                <w:sz w:val="24"/>
              </w:rPr>
            </w:pPr>
            <w:r>
              <w:rPr>
                <w:spacing w:val="-10"/>
                <w:sz w:val="24"/>
              </w:rPr>
              <w:t>0</w:t>
            </w:r>
          </w:p>
        </w:tc>
        <w:tc>
          <w:tcPr>
            <w:tcW w:w="759" w:type="dxa"/>
          </w:tcPr>
          <w:p>
            <w:pPr>
              <w:pStyle w:val="TableParagraph"/>
              <w:spacing w:line="240" w:lineRule="auto" w:before="0"/>
              <w:jc w:val="left"/>
              <w:rPr>
                <w:sz w:val="20"/>
              </w:rPr>
            </w:pPr>
          </w:p>
        </w:tc>
      </w:tr>
      <w:tr>
        <w:trPr>
          <w:trHeight w:val="284" w:hRule="atLeast"/>
        </w:trPr>
        <w:tc>
          <w:tcPr>
            <w:tcW w:w="1673" w:type="dxa"/>
            <w:tcBorders>
              <w:bottom w:val="single" w:sz="4" w:space="0" w:color="000000"/>
            </w:tcBorders>
          </w:tcPr>
          <w:p>
            <w:pPr>
              <w:pStyle w:val="TableParagraph"/>
              <w:spacing w:line="264" w:lineRule="exact"/>
              <w:ind w:right="161"/>
              <w:jc w:val="right"/>
              <w:rPr>
                <w:sz w:val="24"/>
              </w:rPr>
            </w:pPr>
            <w:r>
              <w:rPr>
                <w:spacing w:val="-5"/>
                <w:sz w:val="24"/>
              </w:rPr>
              <w:t>20</w:t>
            </w:r>
          </w:p>
        </w:tc>
        <w:tc>
          <w:tcPr>
            <w:tcW w:w="1152" w:type="dxa"/>
            <w:tcBorders>
              <w:bottom w:val="single" w:sz="4" w:space="0" w:color="000000"/>
            </w:tcBorders>
          </w:tcPr>
          <w:p>
            <w:pPr>
              <w:pStyle w:val="TableParagraph"/>
              <w:spacing w:line="264" w:lineRule="exact"/>
              <w:ind w:left="648"/>
              <w:jc w:val="left"/>
              <w:rPr>
                <w:sz w:val="24"/>
              </w:rPr>
            </w:pPr>
            <w:r>
              <w:rPr>
                <w:spacing w:val="-5"/>
                <w:sz w:val="24"/>
              </w:rPr>
              <w:t>198</w:t>
            </w:r>
          </w:p>
        </w:tc>
        <w:tc>
          <w:tcPr>
            <w:tcW w:w="896" w:type="dxa"/>
            <w:tcBorders>
              <w:bottom w:val="single" w:sz="4" w:space="0" w:color="000000"/>
            </w:tcBorders>
          </w:tcPr>
          <w:p>
            <w:pPr>
              <w:pStyle w:val="TableParagraph"/>
              <w:spacing w:line="264" w:lineRule="exact"/>
              <w:ind w:left="391"/>
              <w:jc w:val="left"/>
              <w:rPr>
                <w:sz w:val="24"/>
              </w:rPr>
            </w:pPr>
            <w:r>
              <w:rPr>
                <w:spacing w:val="-5"/>
                <w:sz w:val="24"/>
              </w:rPr>
              <w:t>106</w:t>
            </w:r>
          </w:p>
        </w:tc>
        <w:tc>
          <w:tcPr>
            <w:tcW w:w="896" w:type="dxa"/>
            <w:tcBorders>
              <w:bottom w:val="single" w:sz="4" w:space="0" w:color="000000"/>
            </w:tcBorders>
          </w:tcPr>
          <w:p>
            <w:pPr>
              <w:pStyle w:val="TableParagraph"/>
              <w:spacing w:line="264" w:lineRule="exact"/>
              <w:ind w:left="510"/>
              <w:jc w:val="left"/>
              <w:rPr>
                <w:sz w:val="24"/>
              </w:rPr>
            </w:pPr>
            <w:r>
              <w:rPr>
                <w:spacing w:val="-5"/>
                <w:sz w:val="24"/>
              </w:rPr>
              <w:t>26</w:t>
            </w:r>
          </w:p>
        </w:tc>
        <w:tc>
          <w:tcPr>
            <w:tcW w:w="896" w:type="dxa"/>
            <w:tcBorders>
              <w:bottom w:val="single" w:sz="4" w:space="0" w:color="000000"/>
            </w:tcBorders>
          </w:tcPr>
          <w:p>
            <w:pPr>
              <w:pStyle w:val="TableParagraph"/>
              <w:spacing w:line="264" w:lineRule="exact"/>
              <w:ind w:left="510"/>
              <w:jc w:val="left"/>
              <w:rPr>
                <w:sz w:val="24"/>
              </w:rPr>
            </w:pPr>
            <w:r>
              <w:rPr>
                <w:spacing w:val="-5"/>
                <w:sz w:val="24"/>
              </w:rPr>
              <w:t>26</w:t>
            </w:r>
          </w:p>
        </w:tc>
        <w:tc>
          <w:tcPr>
            <w:tcW w:w="896" w:type="dxa"/>
            <w:tcBorders>
              <w:bottom w:val="single" w:sz="4" w:space="0" w:color="000000"/>
            </w:tcBorders>
          </w:tcPr>
          <w:p>
            <w:pPr>
              <w:pStyle w:val="TableParagraph"/>
              <w:spacing w:line="264" w:lineRule="exact"/>
              <w:ind w:left="509"/>
              <w:jc w:val="left"/>
              <w:rPr>
                <w:sz w:val="24"/>
              </w:rPr>
            </w:pPr>
            <w:r>
              <w:rPr>
                <w:spacing w:val="-5"/>
                <w:sz w:val="24"/>
              </w:rPr>
              <w:t>14</w:t>
            </w:r>
          </w:p>
        </w:tc>
        <w:tc>
          <w:tcPr>
            <w:tcW w:w="897" w:type="dxa"/>
            <w:tcBorders>
              <w:bottom w:val="single" w:sz="4" w:space="0" w:color="000000"/>
            </w:tcBorders>
          </w:tcPr>
          <w:p>
            <w:pPr>
              <w:pStyle w:val="TableParagraph"/>
              <w:spacing w:line="264" w:lineRule="exact"/>
              <w:ind w:right="145"/>
              <w:jc w:val="right"/>
              <w:rPr>
                <w:sz w:val="24"/>
              </w:rPr>
            </w:pPr>
            <w:r>
              <w:rPr>
                <w:spacing w:val="-10"/>
                <w:sz w:val="24"/>
              </w:rPr>
              <w:t>2</w:t>
            </w:r>
          </w:p>
        </w:tc>
        <w:tc>
          <w:tcPr>
            <w:tcW w:w="895" w:type="dxa"/>
            <w:tcBorders>
              <w:bottom w:val="single" w:sz="4" w:space="0" w:color="000000"/>
            </w:tcBorders>
          </w:tcPr>
          <w:p>
            <w:pPr>
              <w:pStyle w:val="TableParagraph"/>
              <w:spacing w:line="264" w:lineRule="exact"/>
              <w:ind w:right="145"/>
              <w:jc w:val="right"/>
              <w:rPr>
                <w:sz w:val="24"/>
              </w:rPr>
            </w:pPr>
            <w:r>
              <w:rPr>
                <w:spacing w:val="-10"/>
                <w:sz w:val="24"/>
              </w:rPr>
              <w:t>0</w:t>
            </w:r>
          </w:p>
        </w:tc>
        <w:tc>
          <w:tcPr>
            <w:tcW w:w="860" w:type="dxa"/>
            <w:tcBorders>
              <w:bottom w:val="single" w:sz="4" w:space="0" w:color="000000"/>
            </w:tcBorders>
          </w:tcPr>
          <w:p>
            <w:pPr>
              <w:pStyle w:val="TableParagraph"/>
              <w:spacing w:line="264" w:lineRule="exact"/>
              <w:ind w:right="112"/>
              <w:jc w:val="right"/>
              <w:rPr>
                <w:sz w:val="24"/>
              </w:rPr>
            </w:pPr>
            <w:r>
              <w:rPr>
                <w:spacing w:val="-10"/>
                <w:sz w:val="24"/>
              </w:rPr>
              <w:t>0</w:t>
            </w:r>
          </w:p>
        </w:tc>
        <w:tc>
          <w:tcPr>
            <w:tcW w:w="759" w:type="dxa"/>
          </w:tcPr>
          <w:p>
            <w:pPr>
              <w:pStyle w:val="TableParagraph"/>
              <w:spacing w:line="240" w:lineRule="auto" w:before="0"/>
              <w:jc w:val="left"/>
              <w:rPr>
                <w:sz w:val="20"/>
              </w:rPr>
            </w:pPr>
          </w:p>
        </w:tc>
      </w:tr>
    </w:tbl>
    <w:p>
      <w:pPr>
        <w:spacing w:after="0" w:line="240" w:lineRule="auto"/>
        <w:jc w:val="left"/>
        <w:rPr>
          <w:sz w:val="20"/>
        </w:rPr>
        <w:sectPr>
          <w:pgSz w:w="11910" w:h="16840"/>
          <w:pgMar w:header="0" w:footer="1254" w:top="1920" w:bottom="1440" w:left="1180" w:right="580"/>
        </w:sectPr>
      </w:pPr>
    </w:p>
    <w:p>
      <w:pPr>
        <w:spacing w:before="78"/>
        <w:ind w:left="260" w:right="0" w:firstLine="0"/>
        <w:jc w:val="left"/>
        <w:rPr>
          <w:b/>
          <w:sz w:val="24"/>
        </w:rPr>
      </w:pPr>
      <w:r>
        <w:rPr>
          <w:b/>
          <w:sz w:val="24"/>
        </w:rPr>
        <w:t>APPENDIX</w:t>
      </w:r>
      <w:r>
        <w:rPr>
          <w:b/>
          <w:spacing w:val="-4"/>
          <w:sz w:val="24"/>
        </w:rPr>
        <w:t> </w:t>
      </w:r>
      <w:r>
        <w:rPr>
          <w:b/>
          <w:spacing w:val="-5"/>
          <w:sz w:val="24"/>
        </w:rPr>
        <w:t>VII</w:t>
      </w:r>
    </w:p>
    <w:p>
      <w:pPr>
        <w:pStyle w:val="BodyText"/>
        <w:rPr>
          <w:b/>
        </w:rPr>
      </w:pPr>
    </w:p>
    <w:p>
      <w:pPr>
        <w:spacing w:before="0"/>
        <w:ind w:left="260" w:right="0" w:firstLine="0"/>
        <w:jc w:val="left"/>
        <w:rPr>
          <w:b/>
          <w:sz w:val="24"/>
        </w:rPr>
      </w:pPr>
      <w:r>
        <w:rPr>
          <w:b/>
          <w:sz w:val="24"/>
        </w:rPr>
        <w:t>PROBIT</w:t>
      </w:r>
      <w:r>
        <w:rPr>
          <w:b/>
          <w:spacing w:val="-2"/>
          <w:sz w:val="24"/>
        </w:rPr>
        <w:t> </w:t>
      </w:r>
      <w:r>
        <w:rPr>
          <w:b/>
          <w:sz w:val="24"/>
        </w:rPr>
        <w:t>OF</w:t>
      </w:r>
      <w:r>
        <w:rPr>
          <w:b/>
          <w:spacing w:val="-3"/>
          <w:sz w:val="24"/>
        </w:rPr>
        <w:t> </w:t>
      </w:r>
      <w:r>
        <w:rPr>
          <w:b/>
          <w:sz w:val="24"/>
        </w:rPr>
        <w:t>SMI</w:t>
      </w:r>
      <w:r>
        <w:rPr>
          <w:b/>
          <w:spacing w:val="-1"/>
          <w:sz w:val="24"/>
        </w:rPr>
        <w:t> </w:t>
      </w:r>
      <w:r>
        <w:rPr>
          <w:b/>
          <w:sz w:val="24"/>
        </w:rPr>
        <w:t>VERSUS</w:t>
      </w:r>
      <w:r>
        <w:rPr>
          <w:b/>
          <w:spacing w:val="-1"/>
          <w:sz w:val="24"/>
        </w:rPr>
        <w:t> </w:t>
      </w:r>
      <w:r>
        <w:rPr>
          <w:b/>
          <w:sz w:val="24"/>
        </w:rPr>
        <w:t>LOG</w:t>
      </w:r>
      <w:r>
        <w:rPr>
          <w:b/>
          <w:spacing w:val="-3"/>
          <w:sz w:val="24"/>
        </w:rPr>
        <w:t> </w:t>
      </w:r>
      <w:r>
        <w:rPr>
          <w:b/>
          <w:sz w:val="24"/>
        </w:rPr>
        <w:t>CONCENTRATION</w:t>
      </w:r>
      <w:r>
        <w:rPr>
          <w:b/>
          <w:spacing w:val="-1"/>
          <w:sz w:val="24"/>
        </w:rPr>
        <w:t> </w:t>
      </w:r>
      <w:r>
        <w:rPr>
          <w:b/>
          <w:sz w:val="24"/>
        </w:rPr>
        <w:t>FOR</w:t>
      </w:r>
      <w:r>
        <w:rPr>
          <w:b/>
          <w:spacing w:val="-1"/>
          <w:sz w:val="24"/>
        </w:rPr>
        <w:t> </w:t>
      </w:r>
      <w:r>
        <w:rPr>
          <w:b/>
          <w:spacing w:val="-2"/>
          <w:sz w:val="24"/>
        </w:rPr>
        <w:t>CHLOROQUINE</w:t>
      </w:r>
    </w:p>
    <w:p>
      <w:pPr>
        <w:pStyle w:val="BodyText"/>
        <w:spacing w:before="133"/>
        <w:rPr>
          <w:b/>
          <w:sz w:val="20"/>
        </w:rPr>
      </w:pPr>
      <w:r>
        <w:rPr/>
        <w:drawing>
          <wp:anchor distT="0" distB="0" distL="0" distR="0" allowOverlap="1" layoutInCell="1" locked="0" behindDoc="1" simplePos="0" relativeHeight="487598592">
            <wp:simplePos x="0" y="0"/>
            <wp:positionH relativeFrom="page">
              <wp:posOffset>1000670</wp:posOffset>
            </wp:positionH>
            <wp:positionV relativeFrom="paragraph">
              <wp:posOffset>246331</wp:posOffset>
            </wp:positionV>
            <wp:extent cx="3399712" cy="1620202"/>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45" cstate="print"/>
                    <a:stretch>
                      <a:fillRect/>
                    </a:stretch>
                  </pic:blipFill>
                  <pic:spPr>
                    <a:xfrm>
                      <a:off x="0" y="0"/>
                      <a:ext cx="3399712" cy="1620202"/>
                    </a:xfrm>
                    <a:prstGeom prst="rect">
                      <a:avLst/>
                    </a:prstGeom>
                  </pic:spPr>
                </pic:pic>
              </a:graphicData>
            </a:graphic>
          </wp:anchor>
        </w:drawing>
      </w:r>
    </w:p>
    <w:p>
      <w:pPr>
        <w:pStyle w:val="BodyText"/>
        <w:rPr>
          <w:b/>
          <w:sz w:val="20"/>
        </w:rPr>
      </w:pPr>
    </w:p>
    <w:p>
      <w:pPr>
        <w:pStyle w:val="BodyText"/>
        <w:spacing w:before="46"/>
        <w:rPr>
          <w:b/>
          <w:sz w:val="20"/>
        </w:rPr>
      </w:pPr>
      <w:r>
        <w:rPr/>
        <w:drawing>
          <wp:anchor distT="0" distB="0" distL="0" distR="0" allowOverlap="1" layoutInCell="1" locked="0" behindDoc="1" simplePos="0" relativeHeight="487599104">
            <wp:simplePos x="0" y="0"/>
            <wp:positionH relativeFrom="page">
              <wp:posOffset>994437</wp:posOffset>
            </wp:positionH>
            <wp:positionV relativeFrom="paragraph">
              <wp:posOffset>190606</wp:posOffset>
            </wp:positionV>
            <wp:extent cx="3502662" cy="1674209"/>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46" cstate="print"/>
                    <a:stretch>
                      <a:fillRect/>
                    </a:stretch>
                  </pic:blipFill>
                  <pic:spPr>
                    <a:xfrm>
                      <a:off x="0" y="0"/>
                      <a:ext cx="3502662" cy="1674209"/>
                    </a:xfrm>
                    <a:prstGeom prst="rect">
                      <a:avLst/>
                    </a:prstGeom>
                  </pic:spPr>
                </pic:pic>
              </a:graphicData>
            </a:graphic>
          </wp:anchor>
        </w:drawing>
      </w:r>
    </w:p>
    <w:p>
      <w:pPr>
        <w:pStyle w:val="BodyText"/>
        <w:rPr>
          <w:b/>
          <w:sz w:val="20"/>
        </w:rPr>
      </w:pPr>
    </w:p>
    <w:p>
      <w:pPr>
        <w:pStyle w:val="BodyText"/>
        <w:spacing w:before="63"/>
        <w:rPr>
          <w:b/>
          <w:sz w:val="20"/>
        </w:rPr>
      </w:pPr>
      <w:r>
        <w:rPr/>
        <w:drawing>
          <wp:anchor distT="0" distB="0" distL="0" distR="0" allowOverlap="1" layoutInCell="1" locked="0" behindDoc="1" simplePos="0" relativeHeight="487599616">
            <wp:simplePos x="0" y="0"/>
            <wp:positionH relativeFrom="page">
              <wp:posOffset>1019941</wp:posOffset>
            </wp:positionH>
            <wp:positionV relativeFrom="paragraph">
              <wp:posOffset>201562</wp:posOffset>
            </wp:positionV>
            <wp:extent cx="3465312" cy="1656207"/>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47" cstate="print"/>
                    <a:stretch>
                      <a:fillRect/>
                    </a:stretch>
                  </pic:blipFill>
                  <pic:spPr>
                    <a:xfrm>
                      <a:off x="0" y="0"/>
                      <a:ext cx="3465312" cy="1656207"/>
                    </a:xfrm>
                    <a:prstGeom prst="rect">
                      <a:avLst/>
                    </a:prstGeom>
                  </pic:spPr>
                </pic:pic>
              </a:graphicData>
            </a:graphic>
          </wp:anchor>
        </w:drawing>
      </w:r>
    </w:p>
    <w:p>
      <w:pPr>
        <w:pStyle w:val="BodyText"/>
        <w:rPr>
          <w:b/>
          <w:sz w:val="20"/>
        </w:rPr>
      </w:pPr>
    </w:p>
    <w:p>
      <w:pPr>
        <w:pStyle w:val="BodyText"/>
        <w:spacing w:before="89"/>
        <w:rPr>
          <w:b/>
          <w:sz w:val="20"/>
        </w:rPr>
      </w:pPr>
      <w:r>
        <w:rPr/>
        <w:drawing>
          <wp:anchor distT="0" distB="0" distL="0" distR="0" allowOverlap="1" layoutInCell="1" locked="0" behindDoc="1" simplePos="0" relativeHeight="487600128">
            <wp:simplePos x="0" y="0"/>
            <wp:positionH relativeFrom="page">
              <wp:posOffset>1006748</wp:posOffset>
            </wp:positionH>
            <wp:positionV relativeFrom="paragraph">
              <wp:posOffset>218286</wp:posOffset>
            </wp:positionV>
            <wp:extent cx="3615980" cy="1728215"/>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48" cstate="print"/>
                    <a:stretch>
                      <a:fillRect/>
                    </a:stretch>
                  </pic:blipFill>
                  <pic:spPr>
                    <a:xfrm>
                      <a:off x="0" y="0"/>
                      <a:ext cx="3615980" cy="1728215"/>
                    </a:xfrm>
                    <a:prstGeom prst="rect">
                      <a:avLst/>
                    </a:prstGeom>
                  </pic:spPr>
                </pic:pic>
              </a:graphicData>
            </a:graphic>
          </wp:anchor>
        </w:drawing>
      </w:r>
    </w:p>
    <w:p>
      <w:pPr>
        <w:spacing w:after="0"/>
        <w:rPr>
          <w:sz w:val="20"/>
        </w:rPr>
        <w:sectPr>
          <w:pgSz w:w="11910" w:h="16840"/>
          <w:pgMar w:header="0" w:footer="1254" w:top="1340" w:bottom="1440" w:left="1180" w:right="580"/>
        </w:sectPr>
      </w:pPr>
    </w:p>
    <w:p>
      <w:pPr>
        <w:pStyle w:val="BodyText"/>
        <w:spacing w:before="76"/>
        <w:ind w:left="260"/>
      </w:pPr>
      <w:r>
        <w:rPr/>
        <w:t>APPENDIX</w:t>
      </w:r>
      <w:r>
        <w:rPr>
          <w:spacing w:val="-5"/>
        </w:rPr>
        <w:t> </w:t>
      </w:r>
      <w:r>
        <w:rPr>
          <w:spacing w:val="-4"/>
        </w:rPr>
        <w:t>VIII</w:t>
      </w:r>
    </w:p>
    <w:p>
      <w:pPr>
        <w:pStyle w:val="BodyText"/>
        <w:rPr>
          <w:sz w:val="20"/>
        </w:rPr>
      </w:pPr>
    </w:p>
    <w:p>
      <w:pPr>
        <w:pStyle w:val="BodyText"/>
        <w:rPr>
          <w:sz w:val="20"/>
        </w:rPr>
      </w:pPr>
    </w:p>
    <w:p>
      <w:pPr>
        <w:pStyle w:val="BodyText"/>
        <w:spacing w:before="50"/>
        <w:rPr>
          <w:sz w:val="20"/>
        </w:rPr>
      </w:pPr>
      <w:r>
        <w:rPr/>
        <w:drawing>
          <wp:anchor distT="0" distB="0" distL="0" distR="0" allowOverlap="1" layoutInCell="1" locked="0" behindDoc="1" simplePos="0" relativeHeight="487600640">
            <wp:simplePos x="0" y="0"/>
            <wp:positionH relativeFrom="page">
              <wp:posOffset>914400</wp:posOffset>
            </wp:positionH>
            <wp:positionV relativeFrom="paragraph">
              <wp:posOffset>193333</wp:posOffset>
            </wp:positionV>
            <wp:extent cx="5952664" cy="4170045"/>
            <wp:effectExtent l="0" t="0" r="0" b="0"/>
            <wp:wrapTopAndBottom/>
            <wp:docPr id="53" name="Image 53" descr="H:\Mary Ehimidu\DNA Extracted.jpg"/>
            <wp:cNvGraphicFramePr>
              <a:graphicFrameLocks/>
            </wp:cNvGraphicFramePr>
            <a:graphic>
              <a:graphicData uri="http://schemas.openxmlformats.org/drawingml/2006/picture">
                <pic:pic>
                  <pic:nvPicPr>
                    <pic:cNvPr id="53" name="Image 53" descr="H:\Mary Ehimidu\DNA Extracted.jpg"/>
                    <pic:cNvPicPr/>
                  </pic:nvPicPr>
                  <pic:blipFill>
                    <a:blip r:embed="rId49" cstate="print"/>
                    <a:stretch>
                      <a:fillRect/>
                    </a:stretch>
                  </pic:blipFill>
                  <pic:spPr>
                    <a:xfrm>
                      <a:off x="0" y="0"/>
                      <a:ext cx="5952664" cy="4170045"/>
                    </a:xfrm>
                    <a:prstGeom prst="rect">
                      <a:avLst/>
                    </a:prstGeom>
                  </pic:spPr>
                </pic:pic>
              </a:graphicData>
            </a:graphic>
          </wp:anchor>
        </w:drawing>
      </w:r>
    </w:p>
    <w:p>
      <w:pPr>
        <w:spacing w:before="222"/>
        <w:ind w:left="260" w:right="0" w:firstLine="0"/>
        <w:jc w:val="left"/>
        <w:rPr>
          <w:b/>
          <w:sz w:val="24"/>
        </w:rPr>
      </w:pPr>
      <w:r>
        <w:rPr>
          <w:b/>
          <w:sz w:val="24"/>
        </w:rPr>
        <w:t>Plate</w:t>
      </w:r>
      <w:r>
        <w:rPr>
          <w:b/>
          <w:spacing w:val="-2"/>
          <w:sz w:val="24"/>
        </w:rPr>
        <w:t> </w:t>
      </w:r>
      <w:r>
        <w:rPr>
          <w:b/>
          <w:sz w:val="24"/>
        </w:rPr>
        <w:t>I:</w:t>
      </w:r>
      <w:r>
        <w:rPr>
          <w:b/>
          <w:spacing w:val="-1"/>
          <w:sz w:val="24"/>
        </w:rPr>
        <w:t> </w:t>
      </w:r>
      <w:r>
        <w:rPr>
          <w:b/>
          <w:sz w:val="24"/>
        </w:rPr>
        <w:t>DNA</w:t>
      </w:r>
      <w:r>
        <w:rPr>
          <w:b/>
          <w:spacing w:val="-2"/>
          <w:sz w:val="24"/>
        </w:rPr>
        <w:t> Extraction</w:t>
      </w:r>
    </w:p>
    <w:p>
      <w:pPr>
        <w:spacing w:after="0"/>
        <w:jc w:val="left"/>
        <w:rPr>
          <w:sz w:val="24"/>
        </w:rPr>
        <w:sectPr>
          <w:pgSz w:w="11910" w:h="16840"/>
          <w:pgMar w:header="0" w:footer="1254" w:top="1340" w:bottom="1440" w:left="1180" w:right="580"/>
        </w:sectPr>
      </w:pPr>
    </w:p>
    <w:p>
      <w:pPr>
        <w:pStyle w:val="BodyText"/>
        <w:spacing w:before="9"/>
        <w:rPr>
          <w:b/>
          <w:sz w:val="10"/>
        </w:rPr>
      </w:pPr>
    </w:p>
    <w:p>
      <w:pPr>
        <w:pStyle w:val="BodyText"/>
        <w:ind w:left="260"/>
        <w:rPr>
          <w:sz w:val="20"/>
        </w:rPr>
      </w:pPr>
      <w:r>
        <w:rPr>
          <w:sz w:val="20"/>
        </w:rPr>
        <w:drawing>
          <wp:inline distT="0" distB="0" distL="0" distR="0">
            <wp:extent cx="5697319" cy="3556158"/>
            <wp:effectExtent l="0" t="0" r="0" b="0"/>
            <wp:docPr id="54" name="Image 54" descr="C:\Users\Roman\Desktop\ATPase.jpg"/>
            <wp:cNvGraphicFramePr>
              <a:graphicFrameLocks/>
            </wp:cNvGraphicFramePr>
            <a:graphic>
              <a:graphicData uri="http://schemas.openxmlformats.org/drawingml/2006/picture">
                <pic:pic>
                  <pic:nvPicPr>
                    <pic:cNvPr id="54" name="Image 54" descr="C:\Users\Roman\Desktop\ATPase.jpg"/>
                    <pic:cNvPicPr/>
                  </pic:nvPicPr>
                  <pic:blipFill>
                    <a:blip r:embed="rId50" cstate="print"/>
                    <a:stretch>
                      <a:fillRect/>
                    </a:stretch>
                  </pic:blipFill>
                  <pic:spPr>
                    <a:xfrm>
                      <a:off x="0" y="0"/>
                      <a:ext cx="5697319" cy="3556158"/>
                    </a:xfrm>
                    <a:prstGeom prst="rect">
                      <a:avLst/>
                    </a:prstGeom>
                  </pic:spPr>
                </pic:pic>
              </a:graphicData>
            </a:graphic>
          </wp:inline>
        </w:drawing>
      </w:r>
      <w:r>
        <w:rPr>
          <w:sz w:val="20"/>
        </w:rPr>
      </w:r>
    </w:p>
    <w:p>
      <w:pPr>
        <w:tabs>
          <w:tab w:pos="1705" w:val="left" w:leader="none"/>
        </w:tabs>
        <w:spacing w:before="218"/>
        <w:ind w:left="620" w:right="0" w:firstLine="0"/>
        <w:jc w:val="left"/>
        <w:rPr>
          <w:b/>
          <w:sz w:val="24"/>
        </w:rPr>
      </w:pPr>
      <w:r>
        <w:rPr>
          <w:b/>
          <w:sz w:val="24"/>
        </w:rPr>
        <w:t>Plate</w:t>
      </w:r>
      <w:r>
        <w:rPr>
          <w:b/>
          <w:spacing w:val="-3"/>
          <w:sz w:val="24"/>
        </w:rPr>
        <w:t> </w:t>
      </w:r>
      <w:r>
        <w:rPr>
          <w:b/>
          <w:spacing w:val="-5"/>
          <w:sz w:val="24"/>
        </w:rPr>
        <w:t>II:</w:t>
      </w:r>
      <w:r>
        <w:rPr>
          <w:b/>
          <w:sz w:val="24"/>
        </w:rPr>
        <w:tab/>
        <w:t>Chloroquine</w:t>
      </w:r>
      <w:r>
        <w:rPr>
          <w:b/>
          <w:spacing w:val="-2"/>
          <w:sz w:val="24"/>
        </w:rPr>
        <w:t> </w:t>
      </w:r>
      <w:r>
        <w:rPr>
          <w:b/>
          <w:sz w:val="24"/>
        </w:rPr>
        <w:t>Transporter</w:t>
      </w:r>
      <w:r>
        <w:rPr>
          <w:b/>
          <w:spacing w:val="-1"/>
          <w:sz w:val="24"/>
        </w:rPr>
        <w:t> </w:t>
      </w:r>
      <w:r>
        <w:rPr>
          <w:b/>
          <w:sz w:val="24"/>
        </w:rPr>
        <w:t>(</w:t>
      </w:r>
      <w:r>
        <w:rPr>
          <w:b/>
          <w:i/>
          <w:sz w:val="24"/>
        </w:rPr>
        <w:t>Pfcrt</w:t>
      </w:r>
      <w:r>
        <w:rPr>
          <w:b/>
          <w:sz w:val="24"/>
        </w:rPr>
        <w:t>-</w:t>
      </w:r>
      <w:r>
        <w:rPr>
          <w:b/>
          <w:spacing w:val="-2"/>
          <w:sz w:val="24"/>
        </w:rPr>
        <w:t> </w:t>
      </w:r>
      <w:r>
        <w:rPr>
          <w:b/>
          <w:sz w:val="24"/>
        </w:rPr>
        <w:t>RA)</w:t>
      </w:r>
      <w:r>
        <w:rPr>
          <w:b/>
          <w:spacing w:val="59"/>
          <w:sz w:val="24"/>
        </w:rPr>
        <w:t> </w:t>
      </w:r>
      <w:r>
        <w:rPr>
          <w:b/>
          <w:sz w:val="24"/>
        </w:rPr>
        <w:t>(1.6kb) and Chloroquine</w:t>
      </w:r>
      <w:r>
        <w:rPr>
          <w:b/>
          <w:spacing w:val="-1"/>
          <w:sz w:val="24"/>
        </w:rPr>
        <w:t> </w:t>
      </w:r>
      <w:r>
        <w:rPr>
          <w:b/>
          <w:spacing w:val="-2"/>
          <w:sz w:val="24"/>
        </w:rPr>
        <w:t>(76bp)</w:t>
      </w:r>
    </w:p>
    <w:p>
      <w:pPr>
        <w:spacing w:after="0"/>
        <w:jc w:val="left"/>
        <w:rPr>
          <w:sz w:val="24"/>
        </w:rPr>
        <w:sectPr>
          <w:pgSz w:w="11910" w:h="16840"/>
          <w:pgMar w:header="0" w:footer="1254" w:top="1920" w:bottom="1440" w:left="1180" w:right="580"/>
        </w:sectPr>
      </w:pPr>
    </w:p>
    <w:p>
      <w:pPr>
        <w:pStyle w:val="BodyText"/>
        <w:ind w:left="260"/>
        <w:rPr>
          <w:sz w:val="20"/>
        </w:rPr>
      </w:pPr>
      <w:r>
        <w:rPr>
          <w:sz w:val="20"/>
        </w:rPr>
        <w:drawing>
          <wp:inline distT="0" distB="0" distL="0" distR="0">
            <wp:extent cx="5725838" cy="3920490"/>
            <wp:effectExtent l="0" t="0" r="0" b="0"/>
            <wp:docPr id="55" name="Image 55" descr="C:\Users\Roman\Desktop\PFCRT&amp;76T_PFCRT&amp;76K_18_08_2015.jpg"/>
            <wp:cNvGraphicFramePr>
              <a:graphicFrameLocks/>
            </wp:cNvGraphicFramePr>
            <a:graphic>
              <a:graphicData uri="http://schemas.openxmlformats.org/drawingml/2006/picture">
                <pic:pic>
                  <pic:nvPicPr>
                    <pic:cNvPr id="55" name="Image 55" descr="C:\Users\Roman\Desktop\PFCRT&amp;76T_PFCRT&amp;76K_18_08_2015.jpg"/>
                    <pic:cNvPicPr/>
                  </pic:nvPicPr>
                  <pic:blipFill>
                    <a:blip r:embed="rId51" cstate="print"/>
                    <a:stretch>
                      <a:fillRect/>
                    </a:stretch>
                  </pic:blipFill>
                  <pic:spPr>
                    <a:xfrm>
                      <a:off x="0" y="0"/>
                      <a:ext cx="5725838" cy="3920490"/>
                    </a:xfrm>
                    <a:prstGeom prst="rect">
                      <a:avLst/>
                    </a:prstGeom>
                  </pic:spPr>
                </pic:pic>
              </a:graphicData>
            </a:graphic>
          </wp:inline>
        </w:drawing>
      </w:r>
      <w:r>
        <w:rPr>
          <w:sz w:val="20"/>
        </w:rPr>
      </w:r>
    </w:p>
    <w:p>
      <w:pPr>
        <w:spacing w:before="246"/>
        <w:ind w:left="260" w:right="0" w:firstLine="0"/>
        <w:jc w:val="left"/>
        <w:rPr>
          <w:b/>
          <w:sz w:val="24"/>
        </w:rPr>
      </w:pPr>
      <w:r>
        <w:rPr>
          <w:b/>
          <w:sz w:val="24"/>
        </w:rPr>
        <w:t>Plate</w:t>
      </w:r>
      <w:r>
        <w:rPr>
          <w:b/>
          <w:spacing w:val="-3"/>
          <w:sz w:val="24"/>
        </w:rPr>
        <w:t> </w:t>
      </w:r>
      <w:r>
        <w:rPr>
          <w:b/>
          <w:sz w:val="24"/>
        </w:rPr>
        <w:t>III:</w:t>
      </w:r>
      <w:r>
        <w:rPr>
          <w:b/>
          <w:spacing w:val="-1"/>
          <w:sz w:val="24"/>
        </w:rPr>
        <w:t> </w:t>
      </w:r>
      <w:r>
        <w:rPr>
          <w:b/>
          <w:sz w:val="24"/>
        </w:rPr>
        <w:t>Multidrug</w:t>
      </w:r>
      <w:r>
        <w:rPr>
          <w:b/>
          <w:spacing w:val="-1"/>
          <w:sz w:val="24"/>
        </w:rPr>
        <w:t> </w:t>
      </w:r>
      <w:r>
        <w:rPr>
          <w:b/>
          <w:sz w:val="24"/>
        </w:rPr>
        <w:t>Resistance</w:t>
      </w:r>
      <w:r>
        <w:rPr>
          <w:b/>
          <w:spacing w:val="-4"/>
          <w:sz w:val="24"/>
        </w:rPr>
        <w:t> </w:t>
      </w:r>
      <w:r>
        <w:rPr>
          <w:b/>
          <w:sz w:val="24"/>
        </w:rPr>
        <w:t>Gene </w:t>
      </w:r>
      <w:r>
        <w:rPr>
          <w:b/>
          <w:i/>
          <w:sz w:val="24"/>
        </w:rPr>
        <w:t>Pfcrt</w:t>
      </w:r>
      <w:r>
        <w:rPr>
          <w:b/>
          <w:sz w:val="24"/>
        </w:rPr>
        <w:t>/FB</w:t>
      </w:r>
      <w:r>
        <w:rPr>
          <w:b/>
          <w:spacing w:val="2"/>
          <w:sz w:val="24"/>
        </w:rPr>
        <w:t> </w:t>
      </w:r>
      <w:r>
        <w:rPr>
          <w:b/>
          <w:spacing w:val="-2"/>
          <w:sz w:val="24"/>
        </w:rPr>
        <w:t>(76T)</w:t>
      </w:r>
    </w:p>
    <w:p>
      <w:pPr>
        <w:spacing w:after="0"/>
        <w:jc w:val="left"/>
        <w:rPr>
          <w:sz w:val="24"/>
        </w:rPr>
        <w:sectPr>
          <w:pgSz w:w="11910" w:h="16840"/>
          <w:pgMar w:header="0" w:footer="1254" w:top="1860" w:bottom="1440" w:left="1180" w:right="580"/>
        </w:sectPr>
      </w:pPr>
    </w:p>
    <w:p>
      <w:pPr>
        <w:pStyle w:val="BodyText"/>
        <w:ind w:left="260"/>
        <w:rPr>
          <w:sz w:val="20"/>
        </w:rPr>
      </w:pPr>
      <w:r>
        <w:rPr>
          <w:sz w:val="20"/>
        </w:rPr>
        <w:drawing>
          <wp:inline distT="0" distB="0" distL="0" distR="0">
            <wp:extent cx="5734423" cy="3516629"/>
            <wp:effectExtent l="0" t="0" r="0" b="0"/>
            <wp:docPr id="56" name="Image 56" descr="C:\Users\Roman\Desktop\PFCRT&amp;76K.jpg"/>
            <wp:cNvGraphicFramePr>
              <a:graphicFrameLocks/>
            </wp:cNvGraphicFramePr>
            <a:graphic>
              <a:graphicData uri="http://schemas.openxmlformats.org/drawingml/2006/picture">
                <pic:pic>
                  <pic:nvPicPr>
                    <pic:cNvPr id="56" name="Image 56" descr="C:\Users\Roman\Desktop\PFCRT&amp;76K.jpg"/>
                    <pic:cNvPicPr/>
                  </pic:nvPicPr>
                  <pic:blipFill>
                    <a:blip r:embed="rId52" cstate="print"/>
                    <a:stretch>
                      <a:fillRect/>
                    </a:stretch>
                  </pic:blipFill>
                  <pic:spPr>
                    <a:xfrm>
                      <a:off x="0" y="0"/>
                      <a:ext cx="5734423" cy="3516629"/>
                    </a:xfrm>
                    <a:prstGeom prst="rect">
                      <a:avLst/>
                    </a:prstGeom>
                  </pic:spPr>
                </pic:pic>
              </a:graphicData>
            </a:graphic>
          </wp:inline>
        </w:drawing>
      </w:r>
      <w:r>
        <w:rPr>
          <w:sz w:val="20"/>
        </w:rPr>
      </w:r>
    </w:p>
    <w:p>
      <w:pPr>
        <w:spacing w:before="264"/>
        <w:ind w:left="260" w:right="0" w:firstLine="0"/>
        <w:jc w:val="left"/>
        <w:rPr>
          <w:b/>
          <w:sz w:val="24"/>
        </w:rPr>
      </w:pPr>
      <w:r>
        <w:rPr>
          <w:b/>
          <w:sz w:val="24"/>
        </w:rPr>
        <w:t>Plate</w:t>
      </w:r>
      <w:r>
        <w:rPr>
          <w:b/>
          <w:spacing w:val="-3"/>
          <w:sz w:val="24"/>
        </w:rPr>
        <w:t> </w:t>
      </w:r>
      <w:r>
        <w:rPr>
          <w:b/>
          <w:sz w:val="24"/>
        </w:rPr>
        <w:t>IV:</w:t>
      </w:r>
      <w:r>
        <w:rPr>
          <w:b/>
          <w:spacing w:val="-4"/>
          <w:sz w:val="24"/>
        </w:rPr>
        <w:t> </w:t>
      </w:r>
      <w:r>
        <w:rPr>
          <w:b/>
          <w:sz w:val="24"/>
        </w:rPr>
        <w:t>Multi-antimalarial drug</w:t>
      </w:r>
      <w:r>
        <w:rPr>
          <w:b/>
          <w:spacing w:val="-1"/>
          <w:sz w:val="24"/>
        </w:rPr>
        <w:t> </w:t>
      </w:r>
      <w:r>
        <w:rPr>
          <w:b/>
          <w:sz w:val="24"/>
        </w:rPr>
        <w:t>Resistance</w:t>
      </w:r>
      <w:r>
        <w:rPr>
          <w:b/>
          <w:spacing w:val="-4"/>
          <w:sz w:val="24"/>
        </w:rPr>
        <w:t> </w:t>
      </w:r>
      <w:r>
        <w:rPr>
          <w:b/>
          <w:sz w:val="24"/>
        </w:rPr>
        <w:t>Gene</w:t>
      </w:r>
      <w:r>
        <w:rPr>
          <w:b/>
          <w:spacing w:val="-2"/>
          <w:sz w:val="24"/>
        </w:rPr>
        <w:t> </w:t>
      </w:r>
      <w:r>
        <w:rPr>
          <w:b/>
          <w:i/>
          <w:sz w:val="24"/>
        </w:rPr>
        <w:t>Pfcrt</w:t>
      </w:r>
      <w:r>
        <w:rPr>
          <w:b/>
          <w:sz w:val="24"/>
        </w:rPr>
        <w:t>/FB </w:t>
      </w:r>
      <w:r>
        <w:rPr>
          <w:b/>
          <w:spacing w:val="-2"/>
          <w:sz w:val="24"/>
        </w:rPr>
        <w:t>(76K)</w:t>
      </w:r>
    </w:p>
    <w:p>
      <w:pPr>
        <w:spacing w:after="0"/>
        <w:jc w:val="left"/>
        <w:rPr>
          <w:sz w:val="24"/>
        </w:rPr>
        <w:sectPr>
          <w:pgSz w:w="11910" w:h="16840"/>
          <w:pgMar w:header="0" w:footer="1254" w:top="1920" w:bottom="1440" w:left="1180" w:right="580"/>
        </w:sectPr>
      </w:pPr>
    </w:p>
    <w:p>
      <w:pPr>
        <w:pStyle w:val="BodyText"/>
        <w:ind w:left="260"/>
        <w:rPr>
          <w:sz w:val="20"/>
        </w:rPr>
      </w:pPr>
      <w:r>
        <w:rPr>
          <w:sz w:val="20"/>
        </w:rPr>
        <w:drawing>
          <wp:inline distT="0" distB="0" distL="0" distR="0">
            <wp:extent cx="5955118" cy="3874008"/>
            <wp:effectExtent l="0" t="0" r="0" b="0"/>
            <wp:docPr id="57" name="Image 57" descr="C:\Users\Roman\Desktop\PfATPase6.jpg"/>
            <wp:cNvGraphicFramePr>
              <a:graphicFrameLocks/>
            </wp:cNvGraphicFramePr>
            <a:graphic>
              <a:graphicData uri="http://schemas.openxmlformats.org/drawingml/2006/picture">
                <pic:pic>
                  <pic:nvPicPr>
                    <pic:cNvPr id="57" name="Image 57" descr="C:\Users\Roman\Desktop\PfATPase6.jpg"/>
                    <pic:cNvPicPr/>
                  </pic:nvPicPr>
                  <pic:blipFill>
                    <a:blip r:embed="rId53" cstate="print"/>
                    <a:stretch>
                      <a:fillRect/>
                    </a:stretch>
                  </pic:blipFill>
                  <pic:spPr>
                    <a:xfrm>
                      <a:off x="0" y="0"/>
                      <a:ext cx="5955118" cy="3874008"/>
                    </a:xfrm>
                    <a:prstGeom prst="rect">
                      <a:avLst/>
                    </a:prstGeom>
                  </pic:spPr>
                </pic:pic>
              </a:graphicData>
            </a:graphic>
          </wp:inline>
        </w:drawing>
      </w:r>
      <w:r>
        <w:rPr>
          <w:sz w:val="20"/>
        </w:rPr>
      </w:r>
    </w:p>
    <w:p>
      <w:pPr>
        <w:spacing w:before="248"/>
        <w:ind w:left="620" w:right="0" w:firstLine="0"/>
        <w:jc w:val="left"/>
        <w:rPr>
          <w:b/>
          <w:sz w:val="24"/>
        </w:rPr>
      </w:pPr>
      <w:r>
        <w:rPr>
          <w:b/>
          <w:sz w:val="24"/>
        </w:rPr>
        <w:t>Plate</w:t>
      </w:r>
      <w:r>
        <w:rPr>
          <w:b/>
          <w:spacing w:val="-3"/>
          <w:sz w:val="24"/>
        </w:rPr>
        <w:t> </w:t>
      </w:r>
      <w:r>
        <w:rPr>
          <w:b/>
          <w:sz w:val="24"/>
        </w:rPr>
        <w:t>V:</w:t>
      </w:r>
      <w:r>
        <w:rPr>
          <w:b/>
          <w:spacing w:val="-3"/>
          <w:sz w:val="24"/>
        </w:rPr>
        <w:t> </w:t>
      </w:r>
      <w:r>
        <w:rPr>
          <w:b/>
          <w:i/>
          <w:sz w:val="24"/>
        </w:rPr>
        <w:t>Pf</w:t>
      </w:r>
      <w:r>
        <w:rPr>
          <w:b/>
          <w:sz w:val="24"/>
        </w:rPr>
        <w:t>ATPase</w:t>
      </w:r>
      <w:r>
        <w:rPr>
          <w:b/>
          <w:spacing w:val="-2"/>
          <w:sz w:val="24"/>
        </w:rPr>
        <w:t> </w:t>
      </w:r>
      <w:r>
        <w:rPr>
          <w:b/>
          <w:sz w:val="24"/>
        </w:rPr>
        <w:t>for</w:t>
      </w:r>
      <w:r>
        <w:rPr>
          <w:b/>
          <w:spacing w:val="-1"/>
          <w:sz w:val="24"/>
        </w:rPr>
        <w:t> </w:t>
      </w:r>
      <w:r>
        <w:rPr>
          <w:b/>
          <w:sz w:val="24"/>
        </w:rPr>
        <w:t>Artemisinin </w:t>
      </w:r>
      <w:r>
        <w:rPr>
          <w:b/>
          <w:spacing w:val="-2"/>
          <w:sz w:val="24"/>
        </w:rPr>
        <w:t>derivatives</w:t>
      </w:r>
    </w:p>
    <w:sectPr>
      <w:pgSz w:w="11910" w:h="16840"/>
      <w:pgMar w:header="0" w:footer="1254" w:top="1920" w:bottom="1440" w:left="11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701312">
              <wp:simplePos x="0" y="0"/>
              <wp:positionH relativeFrom="page">
                <wp:posOffset>3662807</wp:posOffset>
              </wp:positionH>
              <wp:positionV relativeFrom="page">
                <wp:posOffset>9908540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80.200012pt;width:19.650pt;height:13.05pt;mso-position-horizontal-relative:page;mso-position-vertical-relative:page;z-index:-20615168"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701824">
              <wp:simplePos x="0" y="0"/>
              <wp:positionH relativeFrom="page">
                <wp:posOffset>3636898</wp:posOffset>
              </wp:positionH>
              <wp:positionV relativeFrom="page">
                <wp:posOffset>9756140</wp:posOffset>
              </wp:positionV>
              <wp:extent cx="301625"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68.200012pt;width:23.75pt;height:13.05pt;mso-position-horizontal-relative:page;mso-position-vertical-relative:page;z-index:-20614656" type="#_x0000_t202" id="docshape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lowerLetter"/>
      <w:lvlText w:val="(%1)"/>
      <w:lvlJc w:val="left"/>
      <w:pPr>
        <w:ind w:left="584" w:hanging="32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536" w:hanging="324"/>
      </w:pPr>
      <w:rPr>
        <w:rFonts w:hint="default"/>
        <w:lang w:val="en-US" w:eastAsia="en-US" w:bidi="ar-SA"/>
      </w:rPr>
    </w:lvl>
    <w:lvl w:ilvl="2">
      <w:start w:val="0"/>
      <w:numFmt w:val="bullet"/>
      <w:lvlText w:val="•"/>
      <w:lvlJc w:val="left"/>
      <w:pPr>
        <w:ind w:left="2493" w:hanging="324"/>
      </w:pPr>
      <w:rPr>
        <w:rFonts w:hint="default"/>
        <w:lang w:val="en-US" w:eastAsia="en-US" w:bidi="ar-SA"/>
      </w:rPr>
    </w:lvl>
    <w:lvl w:ilvl="3">
      <w:start w:val="0"/>
      <w:numFmt w:val="bullet"/>
      <w:lvlText w:val="•"/>
      <w:lvlJc w:val="left"/>
      <w:pPr>
        <w:ind w:left="3449" w:hanging="324"/>
      </w:pPr>
      <w:rPr>
        <w:rFonts w:hint="default"/>
        <w:lang w:val="en-US" w:eastAsia="en-US" w:bidi="ar-SA"/>
      </w:rPr>
    </w:lvl>
    <w:lvl w:ilvl="4">
      <w:start w:val="0"/>
      <w:numFmt w:val="bullet"/>
      <w:lvlText w:val="•"/>
      <w:lvlJc w:val="left"/>
      <w:pPr>
        <w:ind w:left="4406" w:hanging="324"/>
      </w:pPr>
      <w:rPr>
        <w:rFonts w:hint="default"/>
        <w:lang w:val="en-US" w:eastAsia="en-US" w:bidi="ar-SA"/>
      </w:rPr>
    </w:lvl>
    <w:lvl w:ilvl="5">
      <w:start w:val="0"/>
      <w:numFmt w:val="bullet"/>
      <w:lvlText w:val="•"/>
      <w:lvlJc w:val="left"/>
      <w:pPr>
        <w:ind w:left="5363" w:hanging="324"/>
      </w:pPr>
      <w:rPr>
        <w:rFonts w:hint="default"/>
        <w:lang w:val="en-US" w:eastAsia="en-US" w:bidi="ar-SA"/>
      </w:rPr>
    </w:lvl>
    <w:lvl w:ilvl="6">
      <w:start w:val="0"/>
      <w:numFmt w:val="bullet"/>
      <w:lvlText w:val="•"/>
      <w:lvlJc w:val="left"/>
      <w:pPr>
        <w:ind w:left="6319" w:hanging="324"/>
      </w:pPr>
      <w:rPr>
        <w:rFonts w:hint="default"/>
        <w:lang w:val="en-US" w:eastAsia="en-US" w:bidi="ar-SA"/>
      </w:rPr>
    </w:lvl>
    <w:lvl w:ilvl="7">
      <w:start w:val="0"/>
      <w:numFmt w:val="bullet"/>
      <w:lvlText w:val="•"/>
      <w:lvlJc w:val="left"/>
      <w:pPr>
        <w:ind w:left="7276" w:hanging="324"/>
      </w:pPr>
      <w:rPr>
        <w:rFonts w:hint="default"/>
        <w:lang w:val="en-US" w:eastAsia="en-US" w:bidi="ar-SA"/>
      </w:rPr>
    </w:lvl>
    <w:lvl w:ilvl="8">
      <w:start w:val="0"/>
      <w:numFmt w:val="bullet"/>
      <w:lvlText w:val="•"/>
      <w:lvlJc w:val="left"/>
      <w:pPr>
        <w:ind w:left="8233" w:hanging="324"/>
      </w:pPr>
      <w:rPr>
        <w:rFonts w:hint="default"/>
        <w:lang w:val="en-US" w:eastAsia="en-US" w:bidi="ar-SA"/>
      </w:rPr>
    </w:lvl>
  </w:abstractNum>
  <w:abstractNum w:abstractNumId="15">
    <w:multiLevelType w:val="hybridMultilevel"/>
    <w:lvl w:ilvl="0">
      <w:start w:val="5"/>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980" w:hanging="48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016" w:hanging="480"/>
      </w:pPr>
      <w:rPr>
        <w:rFonts w:hint="default"/>
        <w:lang w:val="en-US" w:eastAsia="en-US" w:bidi="ar-SA"/>
      </w:rPr>
    </w:lvl>
    <w:lvl w:ilvl="4">
      <w:start w:val="0"/>
      <w:numFmt w:val="bullet"/>
      <w:lvlText w:val="•"/>
      <w:lvlJc w:val="left"/>
      <w:pPr>
        <w:ind w:left="4035" w:hanging="480"/>
      </w:pPr>
      <w:rPr>
        <w:rFonts w:hint="default"/>
        <w:lang w:val="en-US" w:eastAsia="en-US" w:bidi="ar-SA"/>
      </w:rPr>
    </w:lvl>
    <w:lvl w:ilvl="5">
      <w:start w:val="0"/>
      <w:numFmt w:val="bullet"/>
      <w:lvlText w:val="•"/>
      <w:lvlJc w:val="left"/>
      <w:pPr>
        <w:ind w:left="5053" w:hanging="480"/>
      </w:pPr>
      <w:rPr>
        <w:rFonts w:hint="default"/>
        <w:lang w:val="en-US" w:eastAsia="en-US" w:bidi="ar-SA"/>
      </w:rPr>
    </w:lvl>
    <w:lvl w:ilvl="6">
      <w:start w:val="0"/>
      <w:numFmt w:val="bullet"/>
      <w:lvlText w:val="•"/>
      <w:lvlJc w:val="left"/>
      <w:pPr>
        <w:ind w:left="6072" w:hanging="480"/>
      </w:pPr>
      <w:rPr>
        <w:rFonts w:hint="default"/>
        <w:lang w:val="en-US" w:eastAsia="en-US" w:bidi="ar-SA"/>
      </w:rPr>
    </w:lvl>
    <w:lvl w:ilvl="7">
      <w:start w:val="0"/>
      <w:numFmt w:val="bullet"/>
      <w:lvlText w:val="•"/>
      <w:lvlJc w:val="left"/>
      <w:pPr>
        <w:ind w:left="7090" w:hanging="480"/>
      </w:pPr>
      <w:rPr>
        <w:rFonts w:hint="default"/>
        <w:lang w:val="en-US" w:eastAsia="en-US" w:bidi="ar-SA"/>
      </w:rPr>
    </w:lvl>
    <w:lvl w:ilvl="8">
      <w:start w:val="0"/>
      <w:numFmt w:val="bullet"/>
      <w:lvlText w:val="•"/>
      <w:lvlJc w:val="left"/>
      <w:pPr>
        <w:ind w:left="8109" w:hanging="480"/>
      </w:pPr>
      <w:rPr>
        <w:rFonts w:hint="default"/>
        <w:lang w:val="en-US" w:eastAsia="en-US" w:bidi="ar-SA"/>
      </w:rPr>
    </w:lvl>
  </w:abstractNum>
  <w:abstractNum w:abstractNumId="14">
    <w:multiLevelType w:val="hybridMultilevel"/>
    <w:lvl w:ilvl="0">
      <w:start w:val="4"/>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76" w:hanging="540"/>
      </w:pPr>
      <w:rPr>
        <w:rFonts w:hint="default"/>
        <w:lang w:val="en-US" w:eastAsia="en-US" w:bidi="ar-SA"/>
      </w:rPr>
    </w:lvl>
    <w:lvl w:ilvl="4">
      <w:start w:val="0"/>
      <w:numFmt w:val="bullet"/>
      <w:lvlText w:val="•"/>
      <w:lvlJc w:val="left"/>
      <w:pPr>
        <w:ind w:left="3915" w:hanging="540"/>
      </w:pPr>
      <w:rPr>
        <w:rFonts w:hint="default"/>
        <w:lang w:val="en-US" w:eastAsia="en-US" w:bidi="ar-SA"/>
      </w:rPr>
    </w:lvl>
    <w:lvl w:ilvl="5">
      <w:start w:val="0"/>
      <w:numFmt w:val="bullet"/>
      <w:lvlText w:val="•"/>
      <w:lvlJc w:val="left"/>
      <w:pPr>
        <w:ind w:left="4953"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7030" w:hanging="540"/>
      </w:pPr>
      <w:rPr>
        <w:rFonts w:hint="default"/>
        <w:lang w:val="en-US" w:eastAsia="en-US" w:bidi="ar-SA"/>
      </w:rPr>
    </w:lvl>
    <w:lvl w:ilvl="8">
      <w:start w:val="0"/>
      <w:numFmt w:val="bullet"/>
      <w:lvlText w:val="•"/>
      <w:lvlJc w:val="left"/>
      <w:pPr>
        <w:ind w:left="8069" w:hanging="540"/>
      </w:pPr>
      <w:rPr>
        <w:rFonts w:hint="default"/>
        <w:lang w:val="en-US" w:eastAsia="en-US" w:bidi="ar-SA"/>
      </w:rPr>
    </w:lvl>
  </w:abstractNum>
  <w:abstractNum w:abstractNumId="13">
    <w:multiLevelType w:val="hybridMultilevel"/>
    <w:lvl w:ilvl="0">
      <w:start w:val="1"/>
      <w:numFmt w:val="decimal"/>
      <w:lvlText w:val="%1."/>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6" w:hanging="360"/>
      </w:pPr>
      <w:rPr>
        <w:rFonts w:hint="default"/>
        <w:lang w:val="en-US" w:eastAsia="en-US" w:bidi="ar-SA"/>
      </w:rPr>
    </w:lvl>
    <w:lvl w:ilvl="2">
      <w:start w:val="0"/>
      <w:numFmt w:val="bullet"/>
      <w:lvlText w:val="•"/>
      <w:lvlJc w:val="left"/>
      <w:pPr>
        <w:ind w:left="2813" w:hanging="360"/>
      </w:pPr>
      <w:rPr>
        <w:rFonts w:hint="default"/>
        <w:lang w:val="en-US" w:eastAsia="en-US" w:bidi="ar-SA"/>
      </w:rPr>
    </w:lvl>
    <w:lvl w:ilvl="3">
      <w:start w:val="0"/>
      <w:numFmt w:val="bullet"/>
      <w:lvlText w:val="•"/>
      <w:lvlJc w:val="left"/>
      <w:pPr>
        <w:ind w:left="3729" w:hanging="360"/>
      </w:pPr>
      <w:rPr>
        <w:rFonts w:hint="default"/>
        <w:lang w:val="en-US" w:eastAsia="en-US" w:bidi="ar-SA"/>
      </w:rPr>
    </w:lvl>
    <w:lvl w:ilvl="4">
      <w:start w:val="0"/>
      <w:numFmt w:val="bullet"/>
      <w:lvlText w:val="•"/>
      <w:lvlJc w:val="left"/>
      <w:pPr>
        <w:ind w:left="4646" w:hanging="360"/>
      </w:pPr>
      <w:rPr>
        <w:rFonts w:hint="default"/>
        <w:lang w:val="en-US" w:eastAsia="en-US" w:bidi="ar-SA"/>
      </w:rPr>
    </w:lvl>
    <w:lvl w:ilvl="5">
      <w:start w:val="0"/>
      <w:numFmt w:val="bullet"/>
      <w:lvlText w:val="•"/>
      <w:lvlJc w:val="left"/>
      <w:pPr>
        <w:ind w:left="5563" w:hanging="360"/>
      </w:pPr>
      <w:rPr>
        <w:rFonts w:hint="default"/>
        <w:lang w:val="en-US" w:eastAsia="en-US" w:bidi="ar-SA"/>
      </w:rPr>
    </w:lvl>
    <w:lvl w:ilvl="6">
      <w:start w:val="0"/>
      <w:numFmt w:val="bullet"/>
      <w:lvlText w:val="•"/>
      <w:lvlJc w:val="left"/>
      <w:pPr>
        <w:ind w:left="6479" w:hanging="360"/>
      </w:pPr>
      <w:rPr>
        <w:rFonts w:hint="default"/>
        <w:lang w:val="en-US" w:eastAsia="en-US" w:bidi="ar-SA"/>
      </w:rPr>
    </w:lvl>
    <w:lvl w:ilvl="7">
      <w:start w:val="0"/>
      <w:numFmt w:val="bullet"/>
      <w:lvlText w:val="•"/>
      <w:lvlJc w:val="left"/>
      <w:pPr>
        <w:ind w:left="7396" w:hanging="360"/>
      </w:pPr>
      <w:rPr>
        <w:rFonts w:hint="default"/>
        <w:lang w:val="en-US" w:eastAsia="en-US" w:bidi="ar-SA"/>
      </w:rPr>
    </w:lvl>
    <w:lvl w:ilvl="8">
      <w:start w:val="0"/>
      <w:numFmt w:val="bullet"/>
      <w:lvlText w:val="•"/>
      <w:lvlJc w:val="left"/>
      <w:pPr>
        <w:ind w:left="8313" w:hanging="360"/>
      </w:pPr>
      <w:rPr>
        <w:rFonts w:hint="default"/>
        <w:lang w:val="en-US" w:eastAsia="en-US" w:bidi="ar-SA"/>
      </w:rPr>
    </w:lvl>
  </w:abstractNum>
  <w:abstractNum w:abstractNumId="12">
    <w:multiLevelType w:val="hybridMultilevel"/>
    <w:lvl w:ilvl="0">
      <w:start w:val="1"/>
      <w:numFmt w:val="lowerLetter"/>
      <w:lvlText w:val="%1."/>
      <w:lvlJc w:val="left"/>
      <w:pPr>
        <w:ind w:left="50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64" w:hanging="240"/>
      </w:pPr>
      <w:rPr>
        <w:rFonts w:hint="default"/>
        <w:lang w:val="en-US" w:eastAsia="en-US" w:bidi="ar-SA"/>
      </w:rPr>
    </w:lvl>
    <w:lvl w:ilvl="2">
      <w:start w:val="0"/>
      <w:numFmt w:val="bullet"/>
      <w:lvlText w:val="•"/>
      <w:lvlJc w:val="left"/>
      <w:pPr>
        <w:ind w:left="2429" w:hanging="240"/>
      </w:pPr>
      <w:rPr>
        <w:rFonts w:hint="default"/>
        <w:lang w:val="en-US" w:eastAsia="en-US" w:bidi="ar-SA"/>
      </w:rPr>
    </w:lvl>
    <w:lvl w:ilvl="3">
      <w:start w:val="0"/>
      <w:numFmt w:val="bullet"/>
      <w:lvlText w:val="•"/>
      <w:lvlJc w:val="left"/>
      <w:pPr>
        <w:ind w:left="3393" w:hanging="240"/>
      </w:pPr>
      <w:rPr>
        <w:rFonts w:hint="default"/>
        <w:lang w:val="en-US" w:eastAsia="en-US" w:bidi="ar-SA"/>
      </w:rPr>
    </w:lvl>
    <w:lvl w:ilvl="4">
      <w:start w:val="0"/>
      <w:numFmt w:val="bullet"/>
      <w:lvlText w:val="•"/>
      <w:lvlJc w:val="left"/>
      <w:pPr>
        <w:ind w:left="4358" w:hanging="240"/>
      </w:pPr>
      <w:rPr>
        <w:rFonts w:hint="default"/>
        <w:lang w:val="en-US" w:eastAsia="en-US" w:bidi="ar-SA"/>
      </w:rPr>
    </w:lvl>
    <w:lvl w:ilvl="5">
      <w:start w:val="0"/>
      <w:numFmt w:val="bullet"/>
      <w:lvlText w:val="•"/>
      <w:lvlJc w:val="left"/>
      <w:pPr>
        <w:ind w:left="5323" w:hanging="240"/>
      </w:pPr>
      <w:rPr>
        <w:rFonts w:hint="default"/>
        <w:lang w:val="en-US" w:eastAsia="en-US" w:bidi="ar-SA"/>
      </w:rPr>
    </w:lvl>
    <w:lvl w:ilvl="6">
      <w:start w:val="0"/>
      <w:numFmt w:val="bullet"/>
      <w:lvlText w:val="•"/>
      <w:lvlJc w:val="left"/>
      <w:pPr>
        <w:ind w:left="6287" w:hanging="240"/>
      </w:pPr>
      <w:rPr>
        <w:rFonts w:hint="default"/>
        <w:lang w:val="en-US" w:eastAsia="en-US" w:bidi="ar-SA"/>
      </w:rPr>
    </w:lvl>
    <w:lvl w:ilvl="7">
      <w:start w:val="0"/>
      <w:numFmt w:val="bullet"/>
      <w:lvlText w:val="•"/>
      <w:lvlJc w:val="left"/>
      <w:pPr>
        <w:ind w:left="7252" w:hanging="240"/>
      </w:pPr>
      <w:rPr>
        <w:rFonts w:hint="default"/>
        <w:lang w:val="en-US" w:eastAsia="en-US" w:bidi="ar-SA"/>
      </w:rPr>
    </w:lvl>
    <w:lvl w:ilvl="8">
      <w:start w:val="0"/>
      <w:numFmt w:val="bullet"/>
      <w:lvlText w:val="•"/>
      <w:lvlJc w:val="left"/>
      <w:pPr>
        <w:ind w:left="8217" w:hanging="240"/>
      </w:pPr>
      <w:rPr>
        <w:rFonts w:hint="default"/>
        <w:lang w:val="en-US" w:eastAsia="en-US" w:bidi="ar-SA"/>
      </w:rPr>
    </w:lvl>
  </w:abstractNum>
  <w:abstractNum w:abstractNumId="11">
    <w:multiLevelType w:val="hybridMultilevel"/>
    <w:lvl w:ilvl="0">
      <w:start w:val="3"/>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00" w:hanging="540"/>
        <w:jc w:val="left"/>
      </w:pPr>
      <w:rPr>
        <w:rFonts w:hint="default"/>
        <w:spacing w:val="0"/>
        <w:w w:val="100"/>
        <w:lang w:val="en-US" w:eastAsia="en-US" w:bidi="ar-SA"/>
      </w:rPr>
    </w:lvl>
    <w:lvl w:ilvl="3">
      <w:start w:val="1"/>
      <w:numFmt w:val="decimal"/>
      <w:lvlText w:val="%1.%2.%3.%4"/>
      <w:lvlJc w:val="left"/>
      <w:pPr>
        <w:ind w:left="260" w:hanging="838"/>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2289" w:hanging="838"/>
      </w:pPr>
      <w:rPr>
        <w:rFonts w:hint="default"/>
        <w:lang w:val="en-US" w:eastAsia="en-US" w:bidi="ar-SA"/>
      </w:rPr>
    </w:lvl>
    <w:lvl w:ilvl="5">
      <w:start w:val="0"/>
      <w:numFmt w:val="bullet"/>
      <w:lvlText w:val="•"/>
      <w:lvlJc w:val="left"/>
      <w:pPr>
        <w:ind w:left="3598" w:hanging="838"/>
      </w:pPr>
      <w:rPr>
        <w:rFonts w:hint="default"/>
        <w:lang w:val="en-US" w:eastAsia="en-US" w:bidi="ar-SA"/>
      </w:rPr>
    </w:lvl>
    <w:lvl w:ilvl="6">
      <w:start w:val="0"/>
      <w:numFmt w:val="bullet"/>
      <w:lvlText w:val="•"/>
      <w:lvlJc w:val="left"/>
      <w:pPr>
        <w:ind w:left="4908" w:hanging="838"/>
      </w:pPr>
      <w:rPr>
        <w:rFonts w:hint="default"/>
        <w:lang w:val="en-US" w:eastAsia="en-US" w:bidi="ar-SA"/>
      </w:rPr>
    </w:lvl>
    <w:lvl w:ilvl="7">
      <w:start w:val="0"/>
      <w:numFmt w:val="bullet"/>
      <w:lvlText w:val="•"/>
      <w:lvlJc w:val="left"/>
      <w:pPr>
        <w:ind w:left="6217" w:hanging="838"/>
      </w:pPr>
      <w:rPr>
        <w:rFonts w:hint="default"/>
        <w:lang w:val="en-US" w:eastAsia="en-US" w:bidi="ar-SA"/>
      </w:rPr>
    </w:lvl>
    <w:lvl w:ilvl="8">
      <w:start w:val="0"/>
      <w:numFmt w:val="bullet"/>
      <w:lvlText w:val="•"/>
      <w:lvlJc w:val="left"/>
      <w:pPr>
        <w:ind w:left="7527" w:hanging="838"/>
      </w:pPr>
      <w:rPr>
        <w:rFonts w:hint="default"/>
        <w:lang w:val="en-US" w:eastAsia="en-US" w:bidi="ar-SA"/>
      </w:rPr>
    </w:lvl>
  </w:abstractNum>
  <w:abstractNum w:abstractNumId="10">
    <w:multiLevelType w:val="hybridMultilevel"/>
    <w:lvl w:ilvl="0">
      <w:start w:val="1"/>
      <w:numFmt w:val="decimal"/>
      <w:lvlText w:val="%1."/>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6" w:hanging="360"/>
      </w:pPr>
      <w:rPr>
        <w:rFonts w:hint="default"/>
        <w:lang w:val="en-US" w:eastAsia="en-US" w:bidi="ar-SA"/>
      </w:rPr>
    </w:lvl>
    <w:lvl w:ilvl="2">
      <w:start w:val="0"/>
      <w:numFmt w:val="bullet"/>
      <w:lvlText w:val="•"/>
      <w:lvlJc w:val="left"/>
      <w:pPr>
        <w:ind w:left="2813" w:hanging="360"/>
      </w:pPr>
      <w:rPr>
        <w:rFonts w:hint="default"/>
        <w:lang w:val="en-US" w:eastAsia="en-US" w:bidi="ar-SA"/>
      </w:rPr>
    </w:lvl>
    <w:lvl w:ilvl="3">
      <w:start w:val="0"/>
      <w:numFmt w:val="bullet"/>
      <w:lvlText w:val="•"/>
      <w:lvlJc w:val="left"/>
      <w:pPr>
        <w:ind w:left="3729" w:hanging="360"/>
      </w:pPr>
      <w:rPr>
        <w:rFonts w:hint="default"/>
        <w:lang w:val="en-US" w:eastAsia="en-US" w:bidi="ar-SA"/>
      </w:rPr>
    </w:lvl>
    <w:lvl w:ilvl="4">
      <w:start w:val="0"/>
      <w:numFmt w:val="bullet"/>
      <w:lvlText w:val="•"/>
      <w:lvlJc w:val="left"/>
      <w:pPr>
        <w:ind w:left="4646" w:hanging="360"/>
      </w:pPr>
      <w:rPr>
        <w:rFonts w:hint="default"/>
        <w:lang w:val="en-US" w:eastAsia="en-US" w:bidi="ar-SA"/>
      </w:rPr>
    </w:lvl>
    <w:lvl w:ilvl="5">
      <w:start w:val="0"/>
      <w:numFmt w:val="bullet"/>
      <w:lvlText w:val="•"/>
      <w:lvlJc w:val="left"/>
      <w:pPr>
        <w:ind w:left="5563" w:hanging="360"/>
      </w:pPr>
      <w:rPr>
        <w:rFonts w:hint="default"/>
        <w:lang w:val="en-US" w:eastAsia="en-US" w:bidi="ar-SA"/>
      </w:rPr>
    </w:lvl>
    <w:lvl w:ilvl="6">
      <w:start w:val="0"/>
      <w:numFmt w:val="bullet"/>
      <w:lvlText w:val="•"/>
      <w:lvlJc w:val="left"/>
      <w:pPr>
        <w:ind w:left="6479" w:hanging="360"/>
      </w:pPr>
      <w:rPr>
        <w:rFonts w:hint="default"/>
        <w:lang w:val="en-US" w:eastAsia="en-US" w:bidi="ar-SA"/>
      </w:rPr>
    </w:lvl>
    <w:lvl w:ilvl="7">
      <w:start w:val="0"/>
      <w:numFmt w:val="bullet"/>
      <w:lvlText w:val="•"/>
      <w:lvlJc w:val="left"/>
      <w:pPr>
        <w:ind w:left="7396" w:hanging="360"/>
      </w:pPr>
      <w:rPr>
        <w:rFonts w:hint="default"/>
        <w:lang w:val="en-US" w:eastAsia="en-US" w:bidi="ar-SA"/>
      </w:rPr>
    </w:lvl>
    <w:lvl w:ilvl="8">
      <w:start w:val="0"/>
      <w:numFmt w:val="bullet"/>
      <w:lvlText w:val="•"/>
      <w:lvlJc w:val="left"/>
      <w:pPr>
        <w:ind w:left="8313" w:hanging="360"/>
      </w:pPr>
      <w:rPr>
        <w:rFonts w:hint="default"/>
        <w:lang w:val="en-US" w:eastAsia="en-US" w:bidi="ar-SA"/>
      </w:rPr>
    </w:lvl>
  </w:abstractNum>
  <w:abstractNum w:abstractNumId="9">
    <w:multiLevelType w:val="hybridMultilevel"/>
    <w:lvl w:ilvl="0">
      <w:start w:val="2"/>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1.%2.%3"/>
      <w:lvlJc w:val="left"/>
      <w:pPr>
        <w:ind w:left="8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260" w:hanging="661"/>
        <w:jc w:val="left"/>
      </w:pPr>
      <w:rPr>
        <w:rFonts w:hint="default" w:ascii="Times New Roman" w:hAnsi="Times New Roman" w:eastAsia="Times New Roman" w:cs="Times New Roman"/>
        <w:b/>
        <w:bCs/>
        <w:i w:val="0"/>
        <w:iCs w:val="0"/>
        <w:spacing w:val="-1"/>
        <w:w w:val="100"/>
        <w:sz w:val="22"/>
        <w:szCs w:val="22"/>
        <w:lang w:val="en-US" w:eastAsia="en-US" w:bidi="ar-SA"/>
      </w:rPr>
    </w:lvl>
    <w:lvl w:ilvl="4">
      <w:start w:val="0"/>
      <w:numFmt w:val="bullet"/>
      <w:lvlText w:val="•"/>
      <w:lvlJc w:val="left"/>
      <w:pPr>
        <w:ind w:left="3136" w:hanging="661"/>
      </w:pPr>
      <w:rPr>
        <w:rFonts w:hint="default"/>
        <w:lang w:val="en-US" w:eastAsia="en-US" w:bidi="ar-SA"/>
      </w:rPr>
    </w:lvl>
    <w:lvl w:ilvl="5">
      <w:start w:val="0"/>
      <w:numFmt w:val="bullet"/>
      <w:lvlText w:val="•"/>
      <w:lvlJc w:val="left"/>
      <w:pPr>
        <w:ind w:left="4304" w:hanging="661"/>
      </w:pPr>
      <w:rPr>
        <w:rFonts w:hint="default"/>
        <w:lang w:val="en-US" w:eastAsia="en-US" w:bidi="ar-SA"/>
      </w:rPr>
    </w:lvl>
    <w:lvl w:ilvl="6">
      <w:start w:val="0"/>
      <w:numFmt w:val="bullet"/>
      <w:lvlText w:val="•"/>
      <w:lvlJc w:val="left"/>
      <w:pPr>
        <w:ind w:left="5473" w:hanging="661"/>
      </w:pPr>
      <w:rPr>
        <w:rFonts w:hint="default"/>
        <w:lang w:val="en-US" w:eastAsia="en-US" w:bidi="ar-SA"/>
      </w:rPr>
    </w:lvl>
    <w:lvl w:ilvl="7">
      <w:start w:val="0"/>
      <w:numFmt w:val="bullet"/>
      <w:lvlText w:val="•"/>
      <w:lvlJc w:val="left"/>
      <w:pPr>
        <w:ind w:left="6641" w:hanging="661"/>
      </w:pPr>
      <w:rPr>
        <w:rFonts w:hint="default"/>
        <w:lang w:val="en-US" w:eastAsia="en-US" w:bidi="ar-SA"/>
      </w:rPr>
    </w:lvl>
    <w:lvl w:ilvl="8">
      <w:start w:val="0"/>
      <w:numFmt w:val="bullet"/>
      <w:lvlText w:val="•"/>
      <w:lvlJc w:val="left"/>
      <w:pPr>
        <w:ind w:left="7809" w:hanging="661"/>
      </w:pPr>
      <w:rPr>
        <w:rFonts w:hint="default"/>
        <w:lang w:val="en-US" w:eastAsia="en-US" w:bidi="ar-SA"/>
      </w:rPr>
    </w:lvl>
  </w:abstractNum>
  <w:abstractNum w:abstractNumId="8">
    <w:multiLevelType w:val="hybridMultilevel"/>
    <w:lvl w:ilvl="0">
      <w:start w:val="1"/>
      <w:numFmt w:val="decimal"/>
      <w:lvlText w:val="%1"/>
      <w:lvlJc w:val="left"/>
      <w:pPr>
        <w:ind w:left="680" w:hanging="420"/>
        <w:jc w:val="left"/>
      </w:pPr>
      <w:rPr>
        <w:rFonts w:hint="default"/>
        <w:lang w:val="en-US" w:eastAsia="en-US" w:bidi="ar-SA"/>
      </w:rPr>
    </w:lvl>
    <w:lvl w:ilvl="1">
      <w:start w:val="4"/>
      <w:numFmt w:val="decimal"/>
      <w:lvlText w:val="%1.%2."/>
      <w:lvlJc w:val="left"/>
      <w:pPr>
        <w:ind w:left="6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3271" w:hanging="360"/>
      </w:pPr>
      <w:rPr>
        <w:rFonts w:hint="default"/>
        <w:lang w:val="en-US" w:eastAsia="en-US" w:bidi="ar-SA"/>
      </w:rPr>
    </w:lvl>
    <w:lvl w:ilvl="5">
      <w:start w:val="0"/>
      <w:numFmt w:val="bullet"/>
      <w:lvlText w:val="•"/>
      <w:lvlJc w:val="left"/>
      <w:pPr>
        <w:ind w:left="4417" w:hanging="360"/>
      </w:pPr>
      <w:rPr>
        <w:rFonts w:hint="default"/>
        <w:lang w:val="en-US" w:eastAsia="en-US" w:bidi="ar-SA"/>
      </w:rPr>
    </w:lvl>
    <w:lvl w:ilvl="6">
      <w:start w:val="0"/>
      <w:numFmt w:val="bullet"/>
      <w:lvlText w:val="•"/>
      <w:lvlJc w:val="left"/>
      <w:pPr>
        <w:ind w:left="5563" w:hanging="360"/>
      </w:pPr>
      <w:rPr>
        <w:rFonts w:hint="default"/>
        <w:lang w:val="en-US" w:eastAsia="en-US" w:bidi="ar-SA"/>
      </w:rPr>
    </w:lvl>
    <w:lvl w:ilvl="7">
      <w:start w:val="0"/>
      <w:numFmt w:val="bullet"/>
      <w:lvlText w:val="•"/>
      <w:lvlJc w:val="left"/>
      <w:pPr>
        <w:ind w:left="6709" w:hanging="360"/>
      </w:pPr>
      <w:rPr>
        <w:rFonts w:hint="default"/>
        <w:lang w:val="en-US" w:eastAsia="en-US" w:bidi="ar-SA"/>
      </w:rPr>
    </w:lvl>
    <w:lvl w:ilvl="8">
      <w:start w:val="0"/>
      <w:numFmt w:val="bullet"/>
      <w:lvlText w:val="•"/>
      <w:lvlJc w:val="left"/>
      <w:pPr>
        <w:ind w:left="7854" w:hanging="360"/>
      </w:pPr>
      <w:rPr>
        <w:rFonts w:hint="default"/>
        <w:lang w:val="en-US" w:eastAsia="en-US" w:bidi="ar-SA"/>
      </w:rPr>
    </w:lvl>
  </w:abstractNum>
  <w:abstractNum w:abstractNumId="7">
    <w:multiLevelType w:val="hybridMultilevel"/>
    <w:lvl w:ilvl="0">
      <w:start w:val="1"/>
      <w:numFmt w:val="decimal"/>
      <w:lvlText w:val="%1"/>
      <w:lvlJc w:val="left"/>
      <w:pPr>
        <w:ind w:left="680" w:hanging="420"/>
        <w:jc w:val="left"/>
      </w:pPr>
      <w:rPr>
        <w:rFonts w:hint="default"/>
        <w:lang w:val="en-US" w:eastAsia="en-US" w:bidi="ar-SA"/>
      </w:rPr>
    </w:lvl>
    <w:lvl w:ilvl="1">
      <w:start w:val="3"/>
      <w:numFmt w:val="decimal"/>
      <w:lvlText w:val="%1.%2"/>
      <w:lvlJc w:val="left"/>
      <w:pPr>
        <w:ind w:left="6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73" w:hanging="420"/>
      </w:pPr>
      <w:rPr>
        <w:rFonts w:hint="default"/>
        <w:lang w:val="en-US" w:eastAsia="en-US" w:bidi="ar-SA"/>
      </w:rPr>
    </w:lvl>
    <w:lvl w:ilvl="3">
      <w:start w:val="0"/>
      <w:numFmt w:val="bullet"/>
      <w:lvlText w:val="•"/>
      <w:lvlJc w:val="left"/>
      <w:pPr>
        <w:ind w:left="3519" w:hanging="420"/>
      </w:pPr>
      <w:rPr>
        <w:rFonts w:hint="default"/>
        <w:lang w:val="en-US" w:eastAsia="en-US" w:bidi="ar-SA"/>
      </w:rPr>
    </w:lvl>
    <w:lvl w:ilvl="4">
      <w:start w:val="0"/>
      <w:numFmt w:val="bullet"/>
      <w:lvlText w:val="•"/>
      <w:lvlJc w:val="left"/>
      <w:pPr>
        <w:ind w:left="4466" w:hanging="420"/>
      </w:pPr>
      <w:rPr>
        <w:rFonts w:hint="default"/>
        <w:lang w:val="en-US" w:eastAsia="en-US" w:bidi="ar-SA"/>
      </w:rPr>
    </w:lvl>
    <w:lvl w:ilvl="5">
      <w:start w:val="0"/>
      <w:numFmt w:val="bullet"/>
      <w:lvlText w:val="•"/>
      <w:lvlJc w:val="left"/>
      <w:pPr>
        <w:ind w:left="5413" w:hanging="420"/>
      </w:pPr>
      <w:rPr>
        <w:rFonts w:hint="default"/>
        <w:lang w:val="en-US" w:eastAsia="en-US" w:bidi="ar-SA"/>
      </w:rPr>
    </w:lvl>
    <w:lvl w:ilvl="6">
      <w:start w:val="0"/>
      <w:numFmt w:val="bullet"/>
      <w:lvlText w:val="•"/>
      <w:lvlJc w:val="left"/>
      <w:pPr>
        <w:ind w:left="6359" w:hanging="420"/>
      </w:pPr>
      <w:rPr>
        <w:rFonts w:hint="default"/>
        <w:lang w:val="en-US" w:eastAsia="en-US" w:bidi="ar-SA"/>
      </w:rPr>
    </w:lvl>
    <w:lvl w:ilvl="7">
      <w:start w:val="0"/>
      <w:numFmt w:val="bullet"/>
      <w:lvlText w:val="•"/>
      <w:lvlJc w:val="left"/>
      <w:pPr>
        <w:ind w:left="7306" w:hanging="420"/>
      </w:pPr>
      <w:rPr>
        <w:rFonts w:hint="default"/>
        <w:lang w:val="en-US" w:eastAsia="en-US" w:bidi="ar-SA"/>
      </w:rPr>
    </w:lvl>
    <w:lvl w:ilvl="8">
      <w:start w:val="0"/>
      <w:numFmt w:val="bullet"/>
      <w:lvlText w:val="•"/>
      <w:lvlJc w:val="left"/>
      <w:pPr>
        <w:ind w:left="8253" w:hanging="420"/>
      </w:pPr>
      <w:rPr>
        <w:rFonts w:hint="default"/>
        <w:lang w:val="en-US" w:eastAsia="en-US" w:bidi="ar-SA"/>
      </w:rPr>
    </w:lvl>
  </w:abstractNum>
  <w:abstractNum w:abstractNumId="6">
    <w:multiLevelType w:val="hybridMultilevel"/>
    <w:lvl w:ilvl="0">
      <w:start w:val="1"/>
      <w:numFmt w:val="decimal"/>
      <w:lvlText w:val="%1"/>
      <w:lvlJc w:val="left"/>
      <w:pPr>
        <w:ind w:left="680" w:hanging="420"/>
        <w:jc w:val="left"/>
      </w:pPr>
      <w:rPr>
        <w:rFonts w:hint="default"/>
        <w:lang w:val="en-US" w:eastAsia="en-US" w:bidi="ar-SA"/>
      </w:rPr>
    </w:lvl>
    <w:lvl w:ilvl="1">
      <w:start w:val="2"/>
      <w:numFmt w:val="decimal"/>
      <w:lvlText w:val="%1.%2."/>
      <w:lvlJc w:val="left"/>
      <w:pPr>
        <w:ind w:left="6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73" w:hanging="420"/>
      </w:pPr>
      <w:rPr>
        <w:rFonts w:hint="default"/>
        <w:lang w:val="en-US" w:eastAsia="en-US" w:bidi="ar-SA"/>
      </w:rPr>
    </w:lvl>
    <w:lvl w:ilvl="3">
      <w:start w:val="0"/>
      <w:numFmt w:val="bullet"/>
      <w:lvlText w:val="•"/>
      <w:lvlJc w:val="left"/>
      <w:pPr>
        <w:ind w:left="3519" w:hanging="420"/>
      </w:pPr>
      <w:rPr>
        <w:rFonts w:hint="default"/>
        <w:lang w:val="en-US" w:eastAsia="en-US" w:bidi="ar-SA"/>
      </w:rPr>
    </w:lvl>
    <w:lvl w:ilvl="4">
      <w:start w:val="0"/>
      <w:numFmt w:val="bullet"/>
      <w:lvlText w:val="•"/>
      <w:lvlJc w:val="left"/>
      <w:pPr>
        <w:ind w:left="4466" w:hanging="420"/>
      </w:pPr>
      <w:rPr>
        <w:rFonts w:hint="default"/>
        <w:lang w:val="en-US" w:eastAsia="en-US" w:bidi="ar-SA"/>
      </w:rPr>
    </w:lvl>
    <w:lvl w:ilvl="5">
      <w:start w:val="0"/>
      <w:numFmt w:val="bullet"/>
      <w:lvlText w:val="•"/>
      <w:lvlJc w:val="left"/>
      <w:pPr>
        <w:ind w:left="5413" w:hanging="420"/>
      </w:pPr>
      <w:rPr>
        <w:rFonts w:hint="default"/>
        <w:lang w:val="en-US" w:eastAsia="en-US" w:bidi="ar-SA"/>
      </w:rPr>
    </w:lvl>
    <w:lvl w:ilvl="6">
      <w:start w:val="0"/>
      <w:numFmt w:val="bullet"/>
      <w:lvlText w:val="•"/>
      <w:lvlJc w:val="left"/>
      <w:pPr>
        <w:ind w:left="6359" w:hanging="420"/>
      </w:pPr>
      <w:rPr>
        <w:rFonts w:hint="default"/>
        <w:lang w:val="en-US" w:eastAsia="en-US" w:bidi="ar-SA"/>
      </w:rPr>
    </w:lvl>
    <w:lvl w:ilvl="7">
      <w:start w:val="0"/>
      <w:numFmt w:val="bullet"/>
      <w:lvlText w:val="•"/>
      <w:lvlJc w:val="left"/>
      <w:pPr>
        <w:ind w:left="7306" w:hanging="420"/>
      </w:pPr>
      <w:rPr>
        <w:rFonts w:hint="default"/>
        <w:lang w:val="en-US" w:eastAsia="en-US" w:bidi="ar-SA"/>
      </w:rPr>
    </w:lvl>
    <w:lvl w:ilvl="8">
      <w:start w:val="0"/>
      <w:numFmt w:val="bullet"/>
      <w:lvlText w:val="•"/>
      <w:lvlJc w:val="left"/>
      <w:pPr>
        <w:ind w:left="8253" w:hanging="420"/>
      </w:pPr>
      <w:rPr>
        <w:rFonts w:hint="default"/>
        <w:lang w:val="en-US" w:eastAsia="en-US" w:bidi="ar-SA"/>
      </w:rPr>
    </w:lvl>
  </w:abstractNum>
  <w:abstractNum w:abstractNumId="5">
    <w:multiLevelType w:val="hybridMultilevel"/>
    <w:lvl w:ilvl="0">
      <w:start w:val="1"/>
      <w:numFmt w:val="decimal"/>
      <w:lvlText w:val="%1"/>
      <w:lvlJc w:val="left"/>
      <w:pPr>
        <w:ind w:left="920" w:hanging="660"/>
        <w:jc w:val="left"/>
      </w:pPr>
      <w:rPr>
        <w:rFonts w:hint="default"/>
        <w:lang w:val="en-US" w:eastAsia="en-US" w:bidi="ar-SA"/>
      </w:rPr>
    </w:lvl>
    <w:lvl w:ilvl="1">
      <w:start w:val="0"/>
      <w:numFmt w:val="decimal"/>
      <w:lvlText w:val="%1.%2"/>
      <w:lvlJc w:val="left"/>
      <w:pPr>
        <w:ind w:left="920"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65" w:hanging="660"/>
      </w:pPr>
      <w:rPr>
        <w:rFonts w:hint="default"/>
        <w:lang w:val="en-US" w:eastAsia="en-US" w:bidi="ar-SA"/>
      </w:rPr>
    </w:lvl>
    <w:lvl w:ilvl="3">
      <w:start w:val="0"/>
      <w:numFmt w:val="bullet"/>
      <w:lvlText w:val="•"/>
      <w:lvlJc w:val="left"/>
      <w:pPr>
        <w:ind w:left="3687" w:hanging="660"/>
      </w:pPr>
      <w:rPr>
        <w:rFonts w:hint="default"/>
        <w:lang w:val="en-US" w:eastAsia="en-US" w:bidi="ar-SA"/>
      </w:rPr>
    </w:lvl>
    <w:lvl w:ilvl="4">
      <w:start w:val="0"/>
      <w:numFmt w:val="bullet"/>
      <w:lvlText w:val="•"/>
      <w:lvlJc w:val="left"/>
      <w:pPr>
        <w:ind w:left="4610" w:hanging="660"/>
      </w:pPr>
      <w:rPr>
        <w:rFonts w:hint="default"/>
        <w:lang w:val="en-US" w:eastAsia="en-US" w:bidi="ar-SA"/>
      </w:rPr>
    </w:lvl>
    <w:lvl w:ilvl="5">
      <w:start w:val="0"/>
      <w:numFmt w:val="bullet"/>
      <w:lvlText w:val="•"/>
      <w:lvlJc w:val="left"/>
      <w:pPr>
        <w:ind w:left="5533" w:hanging="660"/>
      </w:pPr>
      <w:rPr>
        <w:rFonts w:hint="default"/>
        <w:lang w:val="en-US" w:eastAsia="en-US" w:bidi="ar-SA"/>
      </w:rPr>
    </w:lvl>
    <w:lvl w:ilvl="6">
      <w:start w:val="0"/>
      <w:numFmt w:val="bullet"/>
      <w:lvlText w:val="•"/>
      <w:lvlJc w:val="left"/>
      <w:pPr>
        <w:ind w:left="6455" w:hanging="660"/>
      </w:pPr>
      <w:rPr>
        <w:rFonts w:hint="default"/>
        <w:lang w:val="en-US" w:eastAsia="en-US" w:bidi="ar-SA"/>
      </w:rPr>
    </w:lvl>
    <w:lvl w:ilvl="7">
      <w:start w:val="0"/>
      <w:numFmt w:val="bullet"/>
      <w:lvlText w:val="•"/>
      <w:lvlJc w:val="left"/>
      <w:pPr>
        <w:ind w:left="7378" w:hanging="660"/>
      </w:pPr>
      <w:rPr>
        <w:rFonts w:hint="default"/>
        <w:lang w:val="en-US" w:eastAsia="en-US" w:bidi="ar-SA"/>
      </w:rPr>
    </w:lvl>
    <w:lvl w:ilvl="8">
      <w:start w:val="0"/>
      <w:numFmt w:val="bullet"/>
      <w:lvlText w:val="•"/>
      <w:lvlJc w:val="left"/>
      <w:pPr>
        <w:ind w:left="8301" w:hanging="660"/>
      </w:pPr>
      <w:rPr>
        <w:rFonts w:hint="default"/>
        <w:lang w:val="en-US" w:eastAsia="en-US" w:bidi="ar-SA"/>
      </w:rPr>
    </w:lvl>
  </w:abstractNum>
  <w:abstractNum w:abstractNumId="4">
    <w:multiLevelType w:val="hybridMultilevel"/>
    <w:lvl w:ilvl="0">
      <w:start w:val="5"/>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25" w:hanging="360"/>
      </w:pPr>
      <w:rPr>
        <w:rFonts w:hint="default"/>
        <w:lang w:val="en-US" w:eastAsia="en-US" w:bidi="ar-SA"/>
      </w:rPr>
    </w:lvl>
    <w:lvl w:ilvl="3">
      <w:start w:val="0"/>
      <w:numFmt w:val="bullet"/>
      <w:lvlText w:val="•"/>
      <w:lvlJc w:val="left"/>
      <w:pPr>
        <w:ind w:left="3477" w:hanging="360"/>
      </w:pPr>
      <w:rPr>
        <w:rFonts w:hint="default"/>
        <w:lang w:val="en-US" w:eastAsia="en-US" w:bidi="ar-SA"/>
      </w:rPr>
    </w:lvl>
    <w:lvl w:ilvl="4">
      <w:start w:val="0"/>
      <w:numFmt w:val="bullet"/>
      <w:lvlText w:val="•"/>
      <w:lvlJc w:val="left"/>
      <w:pPr>
        <w:ind w:left="4430"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335" w:hanging="360"/>
      </w:pPr>
      <w:rPr>
        <w:rFonts w:hint="default"/>
        <w:lang w:val="en-US" w:eastAsia="en-US" w:bidi="ar-SA"/>
      </w:rPr>
    </w:lvl>
    <w:lvl w:ilvl="7">
      <w:start w:val="0"/>
      <w:numFmt w:val="bullet"/>
      <w:lvlText w:val="•"/>
      <w:lvlJc w:val="left"/>
      <w:pPr>
        <w:ind w:left="7288" w:hanging="360"/>
      </w:pPr>
      <w:rPr>
        <w:rFonts w:hint="default"/>
        <w:lang w:val="en-US" w:eastAsia="en-US" w:bidi="ar-SA"/>
      </w:rPr>
    </w:lvl>
    <w:lvl w:ilvl="8">
      <w:start w:val="0"/>
      <w:numFmt w:val="bullet"/>
      <w:lvlText w:val="•"/>
      <w:lvlJc w:val="left"/>
      <w:pPr>
        <w:ind w:left="8241" w:hanging="360"/>
      </w:pPr>
      <w:rPr>
        <w:rFonts w:hint="default"/>
        <w:lang w:val="en-US" w:eastAsia="en-US" w:bidi="ar-SA"/>
      </w:rPr>
    </w:lvl>
  </w:abstractNum>
  <w:abstractNum w:abstractNumId="3">
    <w:multiLevelType w:val="hybridMultilevel"/>
    <w:lvl w:ilvl="0">
      <w:start w:val="4"/>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76" w:hanging="540"/>
      </w:pPr>
      <w:rPr>
        <w:rFonts w:hint="default"/>
        <w:lang w:val="en-US" w:eastAsia="en-US" w:bidi="ar-SA"/>
      </w:rPr>
    </w:lvl>
    <w:lvl w:ilvl="4">
      <w:start w:val="0"/>
      <w:numFmt w:val="bullet"/>
      <w:lvlText w:val="•"/>
      <w:lvlJc w:val="left"/>
      <w:pPr>
        <w:ind w:left="3915" w:hanging="540"/>
      </w:pPr>
      <w:rPr>
        <w:rFonts w:hint="default"/>
        <w:lang w:val="en-US" w:eastAsia="en-US" w:bidi="ar-SA"/>
      </w:rPr>
    </w:lvl>
    <w:lvl w:ilvl="5">
      <w:start w:val="0"/>
      <w:numFmt w:val="bullet"/>
      <w:lvlText w:val="•"/>
      <w:lvlJc w:val="left"/>
      <w:pPr>
        <w:ind w:left="4953"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7030" w:hanging="540"/>
      </w:pPr>
      <w:rPr>
        <w:rFonts w:hint="default"/>
        <w:lang w:val="en-US" w:eastAsia="en-US" w:bidi="ar-SA"/>
      </w:rPr>
    </w:lvl>
    <w:lvl w:ilvl="8">
      <w:start w:val="0"/>
      <w:numFmt w:val="bullet"/>
      <w:lvlText w:val="•"/>
      <w:lvlJc w:val="left"/>
      <w:pPr>
        <w:ind w:left="8069" w:hanging="540"/>
      </w:pPr>
      <w:rPr>
        <w:rFonts w:hint="default"/>
        <w:lang w:val="en-US" w:eastAsia="en-US" w:bidi="ar-SA"/>
      </w:rPr>
    </w:lvl>
  </w:abstractNum>
  <w:abstractNum w:abstractNumId="2">
    <w:multiLevelType w:val="hybridMultilevel"/>
    <w:lvl w:ilvl="0">
      <w:start w:val="3"/>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00" w:hanging="54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3">
      <w:start w:val="0"/>
      <w:numFmt w:val="bullet"/>
      <w:lvlText w:val="•"/>
      <w:lvlJc w:val="left"/>
      <w:pPr>
        <w:ind w:left="2876" w:hanging="540"/>
      </w:pPr>
      <w:rPr>
        <w:rFonts w:hint="default"/>
        <w:lang w:val="en-US" w:eastAsia="en-US" w:bidi="ar-SA"/>
      </w:rPr>
    </w:lvl>
    <w:lvl w:ilvl="4">
      <w:start w:val="0"/>
      <w:numFmt w:val="bullet"/>
      <w:lvlText w:val="•"/>
      <w:lvlJc w:val="left"/>
      <w:pPr>
        <w:ind w:left="3915" w:hanging="540"/>
      </w:pPr>
      <w:rPr>
        <w:rFonts w:hint="default"/>
        <w:lang w:val="en-US" w:eastAsia="en-US" w:bidi="ar-SA"/>
      </w:rPr>
    </w:lvl>
    <w:lvl w:ilvl="5">
      <w:start w:val="0"/>
      <w:numFmt w:val="bullet"/>
      <w:lvlText w:val="•"/>
      <w:lvlJc w:val="left"/>
      <w:pPr>
        <w:ind w:left="4953"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7030" w:hanging="540"/>
      </w:pPr>
      <w:rPr>
        <w:rFonts w:hint="default"/>
        <w:lang w:val="en-US" w:eastAsia="en-US" w:bidi="ar-SA"/>
      </w:rPr>
    </w:lvl>
    <w:lvl w:ilvl="8">
      <w:start w:val="0"/>
      <w:numFmt w:val="bullet"/>
      <w:lvlText w:val="•"/>
      <w:lvlJc w:val="left"/>
      <w:pPr>
        <w:ind w:left="8069" w:hanging="540"/>
      </w:pPr>
      <w:rPr>
        <w:rFonts w:hint="default"/>
        <w:lang w:val="en-US" w:eastAsia="en-US" w:bidi="ar-SA"/>
      </w:rPr>
    </w:lvl>
  </w:abstractNum>
  <w:abstractNum w:abstractNumId="1">
    <w:multiLevelType w:val="hybridMultilevel"/>
    <w:lvl w:ilvl="0">
      <w:start w:val="2"/>
      <w:numFmt w:val="decimal"/>
      <w:lvlText w:val="%1"/>
      <w:lvlJc w:val="left"/>
      <w:pPr>
        <w:ind w:left="622" w:hanging="363"/>
        <w:jc w:val="left"/>
      </w:pPr>
      <w:rPr>
        <w:rFonts w:hint="default"/>
        <w:lang w:val="en-US" w:eastAsia="en-US" w:bidi="ar-SA"/>
      </w:rPr>
    </w:lvl>
    <w:lvl w:ilvl="1">
      <w:start w:val="0"/>
      <w:numFmt w:val="decimal"/>
      <w:lvlText w:val="%1.%2"/>
      <w:lvlJc w:val="left"/>
      <w:pPr>
        <w:ind w:left="62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76" w:hanging="540"/>
      </w:pPr>
      <w:rPr>
        <w:rFonts w:hint="default"/>
        <w:lang w:val="en-US" w:eastAsia="en-US" w:bidi="ar-SA"/>
      </w:rPr>
    </w:lvl>
    <w:lvl w:ilvl="4">
      <w:start w:val="0"/>
      <w:numFmt w:val="bullet"/>
      <w:lvlText w:val="•"/>
      <w:lvlJc w:val="left"/>
      <w:pPr>
        <w:ind w:left="3915" w:hanging="540"/>
      </w:pPr>
      <w:rPr>
        <w:rFonts w:hint="default"/>
        <w:lang w:val="en-US" w:eastAsia="en-US" w:bidi="ar-SA"/>
      </w:rPr>
    </w:lvl>
    <w:lvl w:ilvl="5">
      <w:start w:val="0"/>
      <w:numFmt w:val="bullet"/>
      <w:lvlText w:val="•"/>
      <w:lvlJc w:val="left"/>
      <w:pPr>
        <w:ind w:left="4953"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7030" w:hanging="540"/>
      </w:pPr>
      <w:rPr>
        <w:rFonts w:hint="default"/>
        <w:lang w:val="en-US" w:eastAsia="en-US" w:bidi="ar-SA"/>
      </w:rPr>
    </w:lvl>
    <w:lvl w:ilvl="8">
      <w:start w:val="0"/>
      <w:numFmt w:val="bullet"/>
      <w:lvlText w:val="•"/>
      <w:lvlJc w:val="left"/>
      <w:pPr>
        <w:ind w:left="8069" w:hanging="540"/>
      </w:pPr>
      <w:rPr>
        <w:rFonts w:hint="default"/>
        <w:lang w:val="en-US" w:eastAsia="en-US" w:bidi="ar-SA"/>
      </w:rPr>
    </w:lvl>
  </w:abstractNum>
  <w:abstractNum w:abstractNumId="0">
    <w:multiLevelType w:val="hybridMultilevel"/>
    <w:lvl w:ilvl="0">
      <w:start w:val="1"/>
      <w:numFmt w:val="decimal"/>
      <w:lvlText w:val="%1"/>
      <w:lvlJc w:val="left"/>
      <w:pPr>
        <w:ind w:left="622" w:hanging="363"/>
        <w:jc w:val="left"/>
      </w:pPr>
      <w:rPr>
        <w:rFonts w:hint="default"/>
        <w:lang w:val="en-US" w:eastAsia="en-US" w:bidi="ar-SA"/>
      </w:rPr>
    </w:lvl>
    <w:lvl w:ilvl="1">
      <w:start w:val="0"/>
      <w:numFmt w:val="decimal"/>
      <w:lvlText w:val="%1.%2"/>
      <w:lvlJc w:val="left"/>
      <w:pPr>
        <w:ind w:left="62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76" w:hanging="540"/>
      </w:pPr>
      <w:rPr>
        <w:rFonts w:hint="default"/>
        <w:lang w:val="en-US" w:eastAsia="en-US" w:bidi="ar-SA"/>
      </w:rPr>
    </w:lvl>
    <w:lvl w:ilvl="4">
      <w:start w:val="0"/>
      <w:numFmt w:val="bullet"/>
      <w:lvlText w:val="•"/>
      <w:lvlJc w:val="left"/>
      <w:pPr>
        <w:ind w:left="3915" w:hanging="540"/>
      </w:pPr>
      <w:rPr>
        <w:rFonts w:hint="default"/>
        <w:lang w:val="en-US" w:eastAsia="en-US" w:bidi="ar-SA"/>
      </w:rPr>
    </w:lvl>
    <w:lvl w:ilvl="5">
      <w:start w:val="0"/>
      <w:numFmt w:val="bullet"/>
      <w:lvlText w:val="•"/>
      <w:lvlJc w:val="left"/>
      <w:pPr>
        <w:ind w:left="4953" w:hanging="540"/>
      </w:pPr>
      <w:rPr>
        <w:rFonts w:hint="default"/>
        <w:lang w:val="en-US" w:eastAsia="en-US" w:bidi="ar-SA"/>
      </w:rPr>
    </w:lvl>
    <w:lvl w:ilvl="6">
      <w:start w:val="0"/>
      <w:numFmt w:val="bullet"/>
      <w:lvlText w:val="•"/>
      <w:lvlJc w:val="left"/>
      <w:pPr>
        <w:ind w:left="5992" w:hanging="540"/>
      </w:pPr>
      <w:rPr>
        <w:rFonts w:hint="default"/>
        <w:lang w:val="en-US" w:eastAsia="en-US" w:bidi="ar-SA"/>
      </w:rPr>
    </w:lvl>
    <w:lvl w:ilvl="7">
      <w:start w:val="0"/>
      <w:numFmt w:val="bullet"/>
      <w:lvlText w:val="•"/>
      <w:lvlJc w:val="left"/>
      <w:pPr>
        <w:ind w:left="7030" w:hanging="540"/>
      </w:pPr>
      <w:rPr>
        <w:rFonts w:hint="default"/>
        <w:lang w:val="en-US" w:eastAsia="en-US" w:bidi="ar-SA"/>
      </w:rPr>
    </w:lvl>
    <w:lvl w:ilvl="8">
      <w:start w:val="0"/>
      <w:numFmt w:val="bullet"/>
      <w:lvlText w:val="•"/>
      <w:lvlJc w:val="left"/>
      <w:pPr>
        <w:ind w:left="8069" w:hanging="54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26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76"/>
      <w:ind w:left="800" w:hanging="540"/>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8"/>
      <w:ind w:left="26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0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 w:line="267"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http://www.cdc.gov/malaria/about/disease.html" TargetMode="External"/><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yperlink" Target="http://www/" TargetMode="Externa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hyperlink" Target="http://www.ncbi.nlm.nih.gov/pubmed/?term=Adjuik%20M%5BAuthor%5D&amp;cauthor=true&amp;cauthor_uid=14723987" TargetMode="External"/><Relationship Id="rId30" Type="http://schemas.openxmlformats.org/officeDocument/2006/relationships/hyperlink" Target="http://www.ncbi.nlm.nih.gov/pubmed/?term=Babiker%20A%5BAuthor%5D&amp;cauthor=true&amp;cauthor_uid=14723987" TargetMode="External"/><Relationship Id="rId31" Type="http://schemas.openxmlformats.org/officeDocument/2006/relationships/hyperlink" Target="http://www.ncbi.nlm.nih.gov/pubmed/?term=Garner%20P%5BAuthor%5D&amp;cauthor=true&amp;cauthor_uid=14723987" TargetMode="External"/><Relationship Id="rId32" Type="http://schemas.openxmlformats.org/officeDocument/2006/relationships/hyperlink" Target="http://www.ncbi.nlm.nih.gov/pubmed/?term=Olliaro%20P%5BAuthor%5D&amp;cauthor=true&amp;cauthor_uid=14723987" TargetMode="External"/><Relationship Id="rId33" Type="http://schemas.openxmlformats.org/officeDocument/2006/relationships/hyperlink" Target="http://www.ncbi.nlm.nih.gov/pubmed/?term=Taylor%20W%5BAuthor%5D&amp;cauthor=true&amp;cauthor_uid=14723987" TargetMode="External"/><Relationship Id="rId34" Type="http://schemas.openxmlformats.org/officeDocument/2006/relationships/hyperlink" Target="http://www.ncbi.nlm.nih.gov/pubmed/?term=White%20N%5BAuthor%5D&amp;cauthor=true&amp;cauthor_uid=14723987" TargetMode="External"/><Relationship Id="rId35" Type="http://schemas.openxmlformats.org/officeDocument/2006/relationships/hyperlink" Target="http://www.ncbi.nlm.nih.gov/pubmed/14723987" TargetMode="External"/><Relationship Id="rId36" Type="http://schemas.openxmlformats.org/officeDocument/2006/relationships/hyperlink" Target="http://www.cdc.gov/malaria/about/biology/" TargetMode="External"/><Relationship Id="rId37" Type="http://schemas.openxmlformats.org/officeDocument/2006/relationships/hyperlink" Target="https://www.cia.gov/library/publications/the-world-factbook/" TargetMode="External"/><Relationship Id="rId38" Type="http://schemas.openxmlformats.org/officeDocument/2006/relationships/hyperlink" Target="http://www.malariasie.com/malaria/DrugResistance.htm" TargetMode="External"/><Relationship Id="rId39" Type="http://schemas.openxmlformats.org/officeDocument/2006/relationships/hyperlink" Target="http://www.niaid.nih.gov/topics/malaria/pages/lifecycle.aspx" TargetMode="External"/><Relationship Id="rId40" Type="http://schemas.openxmlformats.org/officeDocument/2006/relationships/hyperlink" Target="http://www.who.int/malaria/publications/atoz/9789241547925/en/index.html)" TargetMode="External"/><Relationship Id="rId41" Type="http://schemas.openxmlformats.org/officeDocument/2006/relationships/hyperlink" Target="http://www.tulane.edu/~wiser/protozoology/notes/drugs.html" TargetMode="External"/><Relationship Id="rId42" Type="http://schemas.openxmlformats.org/officeDocument/2006/relationships/hyperlink" Target="http://siteresources.worldbank.org/INTMALARIA/Resources/SESMalariaBackgroundPaper.pdf" TargetMode="External"/><Relationship Id="rId43" Type="http://schemas.openxmlformats.org/officeDocument/2006/relationships/image" Target="media/image21.jpeg"/><Relationship Id="rId44" Type="http://schemas.openxmlformats.org/officeDocument/2006/relationships/image" Target="media/image22.png"/><Relationship Id="rId45" Type="http://schemas.openxmlformats.org/officeDocument/2006/relationships/image" Target="media/image23.png"/><Relationship Id="rId46" Type="http://schemas.openxmlformats.org/officeDocument/2006/relationships/image" Target="media/image24.png"/><Relationship Id="rId47" Type="http://schemas.openxmlformats.org/officeDocument/2006/relationships/image" Target="media/image25.png"/><Relationship Id="rId48" Type="http://schemas.openxmlformats.org/officeDocument/2006/relationships/image" Target="media/image26.png"/><Relationship Id="rId49" Type="http://schemas.openxmlformats.org/officeDocument/2006/relationships/image" Target="media/image27.jpeg"/><Relationship Id="rId50" Type="http://schemas.openxmlformats.org/officeDocument/2006/relationships/image" Target="media/image28.jpeg"/><Relationship Id="rId51" Type="http://schemas.openxmlformats.org/officeDocument/2006/relationships/image" Target="media/image29.jpeg"/><Relationship Id="rId52" Type="http://schemas.openxmlformats.org/officeDocument/2006/relationships/image" Target="media/image30.jpeg"/><Relationship Id="rId53" Type="http://schemas.openxmlformats.org/officeDocument/2006/relationships/image" Target="media/image31.jpeg"/><Relationship Id="rId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2023-11-02T21:53:03Z</dcterms:created>
  <dcterms:modified xsi:type="dcterms:W3CDTF">2023-11-02T21:53:03Z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