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7"/>
        <w:ind w:left="510" w:right="1122" w:firstLine="1"/>
        <w:jc w:val="center"/>
      </w:pPr>
      <w:r>
        <w:rPr/>
        <w:t>ANTIDIARRHOEAL AND TOXICITY STUDIES ON METHANOL LEAF</w:t>
      </w:r>
      <w:r>
        <w:rPr>
          <w:spacing w:val="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</w:t>
      </w:r>
      <w:r>
        <w:rPr>
          <w:i/>
          <w:spacing w:val="-2"/>
        </w:rPr>
        <w:t> </w:t>
      </w:r>
      <w:r>
        <w:rPr/>
        <w:t>DIELS</w:t>
      </w:r>
      <w:r>
        <w:rPr>
          <w:spacing w:val="-1"/>
        </w:rPr>
        <w:t> </w:t>
      </w:r>
      <w:r>
        <w:rPr/>
        <w:t>(COMBRETACEAE)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MICE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1"/>
        <w:ind w:left="750" w:right="136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ind w:left="750" w:right="1361"/>
        <w:jc w:val="center"/>
      </w:pPr>
      <w:r>
        <w:rPr/>
        <w:t>MUBARAK</w:t>
      </w:r>
      <w:r>
        <w:rPr>
          <w:spacing w:val="-4"/>
        </w:rPr>
        <w:t> </w:t>
      </w:r>
      <w:r>
        <w:rPr/>
        <w:t>HUSSAINI</w:t>
      </w:r>
      <w:r>
        <w:rPr>
          <w:spacing w:val="-1"/>
        </w:rPr>
        <w:t> </w:t>
      </w:r>
      <w:r>
        <w:rPr/>
        <w:t>AHMAD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line="276" w:lineRule="auto" w:before="0"/>
        <w:ind w:left="750" w:right="1363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</w:t>
      </w:r>
    </w:p>
    <w:p>
      <w:pPr>
        <w:pStyle w:val="Heading1"/>
        <w:spacing w:line="275" w:lineRule="exact"/>
        <w:ind w:left="651" w:right="1265"/>
        <w:jc w:val="center"/>
      </w:pPr>
      <w:r>
        <w:rPr/>
        <w:t>ZARIA-NIGERIA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spacing w:before="0"/>
        <w:ind w:left="410" w:right="1845" w:firstLine="0"/>
        <w:jc w:val="center"/>
        <w:rPr>
          <w:b/>
          <w:sz w:val="24"/>
        </w:rPr>
      </w:pPr>
      <w:r>
        <w:rPr>
          <w:b/>
          <w:sz w:val="24"/>
        </w:rPr>
        <w:t>MAY,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40" w:bottom="280" w:left="1720" w:right="540"/>
        </w:sectPr>
      </w:pPr>
    </w:p>
    <w:p>
      <w:pPr>
        <w:pStyle w:val="Heading1"/>
        <w:spacing w:line="276" w:lineRule="auto" w:before="77"/>
        <w:ind w:left="510" w:right="1121" w:firstLine="4"/>
        <w:jc w:val="center"/>
      </w:pPr>
      <w:r>
        <w:rPr/>
        <w:t>ANTIDIARRHOEAL AND TOXICITY STUDIES ON METHANOL LEAF</w:t>
      </w:r>
      <w:r>
        <w:rPr>
          <w:spacing w:val="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COMBRETUM</w:t>
      </w:r>
      <w:r>
        <w:rPr>
          <w:i/>
          <w:spacing w:val="-2"/>
        </w:rPr>
        <w:t> </w:t>
      </w:r>
      <w:r>
        <w:rPr>
          <w:i/>
        </w:rPr>
        <w:t>HYPOPILINUM </w:t>
      </w:r>
      <w:r>
        <w:rPr/>
        <w:t>DIELS (COMBRETACEAE)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MICE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7"/>
        </w:rPr>
      </w:pPr>
    </w:p>
    <w:p>
      <w:pPr>
        <w:spacing w:before="0"/>
        <w:ind w:left="750" w:right="136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Heading1"/>
        <w:ind w:left="750" w:right="1361"/>
        <w:jc w:val="center"/>
      </w:pPr>
      <w:r>
        <w:rPr/>
        <w:t>Mubarak</w:t>
      </w:r>
      <w:r>
        <w:rPr>
          <w:spacing w:val="-3"/>
        </w:rPr>
        <w:t> </w:t>
      </w:r>
      <w:r>
        <w:rPr/>
        <w:t>Hussaini</w:t>
      </w:r>
      <w:r>
        <w:rPr>
          <w:spacing w:val="-1"/>
        </w:rPr>
        <w:t> </w:t>
      </w:r>
      <w:r>
        <w:rPr/>
        <w:t>AHMAD,</w:t>
      </w:r>
    </w:p>
    <w:p>
      <w:pPr>
        <w:spacing w:line="276" w:lineRule="auto" w:before="41"/>
        <w:ind w:left="3916" w:right="4108" w:hanging="420"/>
        <w:jc w:val="left"/>
        <w:rPr>
          <w:b/>
          <w:sz w:val="24"/>
        </w:rPr>
      </w:pPr>
      <w:r>
        <w:rPr>
          <w:b/>
          <w:sz w:val="24"/>
        </w:rPr>
        <w:t>B.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Pharm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(A.B.U)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2014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P16PHPG8003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pStyle w:val="Heading1"/>
        <w:spacing w:line="276" w:lineRule="auto"/>
        <w:ind w:left="651" w:right="1269"/>
        <w:jc w:val="center"/>
      </w:pPr>
      <w:r>
        <w:rPr/>
        <w:t>A</w:t>
      </w:r>
      <w:r>
        <w:rPr>
          <w:spacing w:val="-3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POSTGRADUATE</w:t>
      </w:r>
      <w:r>
        <w:rPr>
          <w:spacing w:val="-57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AHMADU BELLO UNIVERSITY, ZARIA</w:t>
      </w:r>
    </w:p>
    <w:p>
      <w:pPr>
        <w:spacing w:line="278" w:lineRule="auto" w:before="0"/>
        <w:ind w:left="0" w:right="612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FULFILLMENT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AWARD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 IN 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1"/>
        <w:spacing w:line="278" w:lineRule="auto"/>
        <w:ind w:left="750" w:right="1366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PHARMACOLOGY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THERAPEUTICS,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 SCIENCES,</w:t>
      </w:r>
    </w:p>
    <w:p>
      <w:pPr>
        <w:spacing w:line="276" w:lineRule="auto" w:before="0"/>
        <w:ind w:left="2872" w:right="3485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ZARIA-NIGERIA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pStyle w:val="Heading1"/>
        <w:ind w:left="651" w:right="1265"/>
        <w:jc w:val="center"/>
      </w:pPr>
      <w:r>
        <w:rPr/>
        <w:t>MAY,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pgSz w:w="12240" w:h="15840"/>
          <w:pgMar w:footer="294" w:header="0" w:top="1340" w:bottom="480" w:left="1720" w:right="540"/>
          <w:pgNumType w:start="1"/>
        </w:sectPr>
      </w:pPr>
    </w:p>
    <w:p>
      <w:pPr>
        <w:pStyle w:val="Heading1"/>
        <w:spacing w:before="77"/>
        <w:ind w:left="750" w:right="1360"/>
        <w:jc w:val="center"/>
      </w:pPr>
      <w:bookmarkStart w:name="_TOC_250074" w:id="1"/>
      <w:bookmarkEnd w:id="1"/>
      <w:r>
        <w:rPr/>
        <w:t>DECLARATION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76" w:lineRule="auto"/>
        <w:ind w:left="265" w:right="877"/>
        <w:jc w:val="both"/>
      </w:pPr>
      <w:r>
        <w:rPr/>
        <w:t>I declare that the work in this dissertation entitled: “Antidiarrhoeal and Toxicity Studies on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 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Diels</w:t>
      </w:r>
      <w:r>
        <w:rPr>
          <w:spacing w:val="1"/>
        </w:rPr>
        <w:t> </w:t>
      </w:r>
      <w:r>
        <w:rPr/>
        <w:t>(Combretaceae)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Rats” has been performed by me in the Department of Pharmacology and Therapeutics. The</w:t>
      </w:r>
      <w:r>
        <w:rPr>
          <w:spacing w:val="-58"/>
        </w:rPr>
        <w:t> </w:t>
      </w:r>
      <w:r>
        <w:rPr/>
        <w:t>information derived from the literature has been duly acknowledged in the text and a list of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provided.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previously presented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degree</w:t>
      </w:r>
      <w:r>
        <w:rPr>
          <w:spacing w:val="-2"/>
        </w:rPr>
        <w:t> </w:t>
      </w:r>
      <w:r>
        <w:rPr/>
        <w:t>or diploma at this or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 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265"/>
        <w:jc w:val="both"/>
      </w:pPr>
      <w:r>
        <w:rPr/>
        <w:pict>
          <v:shape style="position:absolute;margin-left:96.599998pt;margin-top:16.83313pt;width:150.8pt;height:.1pt;mso-position-horizontal-relative:page;mso-position-vertical-relative:paragraph;z-index:-15728640;mso-wrap-distance-left:0;mso-wrap-distance-right:0" coordorigin="1932,337" coordsize="3016,0" path="m1932,337l4948,33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8.649994pt;margin-top:16.783131pt;width:125.65pt;height:.1pt;mso-position-horizontal-relative:page;mso-position-vertical-relative:paragraph;z-index:-15728128;mso-wrap-distance-left:0;mso-wrap-distance-right:0" coordorigin="5573,336" coordsize="2513,1" path="m5565,336l8093,336e" filled="false" stroked="true" strokeweight=".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6.899994pt;margin-top:16.783131pt;width:105.3pt;height:.1pt;mso-position-horizontal-relative:page;mso-position-vertical-relative:paragraph;z-index:-15727616;mso-wrap-distance-left:0;mso-wrap-distance-right:0" coordorigin="8738,336" coordsize="2106,1" path="m8730,336l10851,336e" filled="false" stroked="true" strokeweight=".8pt" strokecolor="#000000">
            <v:path arrowok="t"/>
            <v:stroke dashstyle="solid"/>
            <w10:wrap type="topAndBottom"/>
          </v:shape>
        </w:pict>
      </w:r>
      <w:r>
        <w:rPr/>
        <w:t>Mubarak</w:t>
      </w:r>
      <w:r>
        <w:rPr>
          <w:spacing w:val="-2"/>
        </w:rPr>
        <w:t> </w:t>
      </w:r>
      <w:r>
        <w:rPr/>
        <w:t>Hussaini</w:t>
      </w:r>
      <w:r>
        <w:rPr>
          <w:spacing w:val="-1"/>
        </w:rPr>
        <w:t> </w:t>
      </w:r>
      <w:r>
        <w:rPr/>
        <w:t>AHMAD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4304" w:val="left" w:leader="none"/>
          <w:tab w:pos="7865" w:val="left" w:leader="none"/>
        </w:tabs>
        <w:ind w:left="265"/>
        <w:jc w:val="both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student</w:t>
        <w:tab/>
        <w:t>Signature</w:t>
        <w:tab/>
        <w:t>Date</w:t>
      </w:r>
    </w:p>
    <w:p>
      <w:pPr>
        <w:spacing w:after="0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spacing w:before="77"/>
        <w:ind w:left="750" w:right="1365"/>
        <w:jc w:val="center"/>
      </w:pPr>
      <w:bookmarkStart w:name="_TOC_250073" w:id="2"/>
      <w:bookmarkEnd w:id="2"/>
      <w:r>
        <w:rPr/>
        <w:t>CERTIFICATION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76" w:lineRule="auto"/>
        <w:ind w:left="265" w:right="878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“ANTIDIARRHOEAL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DIELS</w:t>
      </w:r>
      <w:r>
        <w:rPr>
          <w:spacing w:val="1"/>
        </w:rPr>
        <w:t> </w:t>
      </w:r>
      <w:r>
        <w:rPr/>
        <w:t>(COMBRETACEAE)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MICE</w:t>
      </w:r>
      <w:r>
        <w:rPr>
          <w:spacing w:val="2"/>
        </w:rPr>
        <w:t> </w:t>
      </w:r>
      <w:r>
        <w:rPr/>
        <w:t>AND RATS”</w:t>
      </w:r>
      <w:r>
        <w:rPr>
          <w:spacing w:val="-1"/>
        </w:rPr>
        <w:t> </w:t>
      </w:r>
      <w:r>
        <w:rPr/>
        <w:t>by</w:t>
      </w:r>
      <w:r>
        <w:rPr>
          <w:spacing w:val="1"/>
        </w:rPr>
        <w:t> </w:t>
      </w:r>
      <w:r>
        <w:rPr/>
        <w:t>MUBARAK</w:t>
      </w:r>
      <w:r>
        <w:rPr>
          <w:spacing w:val="2"/>
        </w:rPr>
        <w:t> </w:t>
      </w:r>
      <w:r>
        <w:rPr/>
        <w:t>HUSSAINI</w:t>
      </w:r>
      <w:r>
        <w:rPr>
          <w:spacing w:val="-1"/>
        </w:rPr>
        <w:t> </w:t>
      </w:r>
      <w:r>
        <w:rPr/>
        <w:t>AHMAD</w:t>
      </w:r>
      <w:r>
        <w:rPr>
          <w:spacing w:val="2"/>
        </w:rPr>
        <w:t> </w:t>
      </w:r>
      <w:r>
        <w:rPr/>
        <w:t>meets</w:t>
      </w:r>
    </w:p>
    <w:p>
      <w:pPr>
        <w:pStyle w:val="BodyText"/>
        <w:spacing w:line="276" w:lineRule="auto" w:before="1"/>
        <w:ind w:left="265" w:right="876"/>
        <w:jc w:val="both"/>
      </w:pPr>
      <w:r>
        <w:rPr/>
        <w:t>the regulations governing the award of the degree of Master of Science in Pharmacology of</w:t>
      </w:r>
      <w:r>
        <w:rPr>
          <w:spacing w:val="1"/>
        </w:rPr>
        <w:t> </w:t>
      </w:r>
      <w:r>
        <w:rPr/>
        <w:t>the Ahmadu Bello University, and is approved for its’ contribution to knowledge and</w:t>
      </w:r>
      <w:r>
        <w:rPr>
          <w:spacing w:val="1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265"/>
        <w:jc w:val="both"/>
      </w:pPr>
      <w:r>
        <w:rPr/>
        <w:t>Professor</w:t>
      </w:r>
      <w:r>
        <w:rPr>
          <w:spacing w:val="-2"/>
        </w:rPr>
        <w:t> </w:t>
      </w:r>
      <w:r>
        <w:rPr/>
        <w:t>A.U. Zezi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02.260002pt;margin-top:13.574072pt;width:168pt;height:.1pt;mso-position-horizontal-relative:page;mso-position-vertical-relative:paragraph;z-index:-15727104;mso-wrap-distance-left:0;mso-wrap-distance-right:0" coordorigin="2045,271" coordsize="3360,0" path="m2045,271l5405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0.290009pt;margin-top:13.574072pt;width:114pt;height:.1pt;mso-position-horizontal-relative:page;mso-position-vertical-relative:paragraph;z-index:-15726592;mso-wrap-distance-left:0;mso-wrap-distance-right:0" coordorigin="6006,271" coordsize="2280,0" path="m6006,271l8286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4.309998pt;margin-top:13.574072pt;width:78pt;height:.1pt;mso-position-horizontal-relative:page;mso-position-vertical-relative:paragraph;z-index:-15726080;mso-wrap-distance-left:0;mso-wrap-distance-right:0" coordorigin="8886,271" coordsize="1560,0" path="m8886,271l10446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006" w:val="left" w:leader="none"/>
          <w:tab w:pos="7725" w:val="left" w:leader="none"/>
        </w:tabs>
        <w:spacing w:line="247" w:lineRule="exact"/>
        <w:ind w:left="265"/>
      </w:pPr>
      <w:r>
        <w:rPr/>
        <w:t>Chairman, Supervisory</w:t>
      </w:r>
      <w:r>
        <w:rPr>
          <w:spacing w:val="-6"/>
        </w:rPr>
        <w:t> </w:t>
      </w:r>
      <w:r>
        <w:rPr/>
        <w:t>Committee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265"/>
      </w:pPr>
      <w:r>
        <w:rPr/>
        <w:t>Dr</w:t>
      </w:r>
      <w:r>
        <w:rPr>
          <w:spacing w:val="-3"/>
        </w:rPr>
        <w:t> </w:t>
      </w:r>
      <w:r>
        <w:rPr/>
        <w:t>S. B.</w:t>
      </w:r>
      <w:r>
        <w:rPr>
          <w:spacing w:val="-1"/>
        </w:rPr>
        <w:t> </w:t>
      </w:r>
      <w:r>
        <w:rPr/>
        <w:t>Anafi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99.264pt;margin-top:13.524073pt;width:168pt;height:.1pt;mso-position-horizontal-relative:page;mso-position-vertical-relative:paragraph;z-index:-15725568;mso-wrap-distance-left:0;mso-wrap-distance-right:0" coordorigin="1985,270" coordsize="3360,0" path="m1985,270l5345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3.290009pt;margin-top:13.524073pt;width:114pt;height:.1pt;mso-position-horizontal-relative:page;mso-position-vertical-relative:paragraph;z-index:-15725056;mso-wrap-distance-left:0;mso-wrap-distance-right:0" coordorigin="6066,270" coordsize="2280,0" path="m6066,270l8346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4.309998pt;margin-top:13.524073pt;width:78pt;height:.1pt;mso-position-horizontal-relative:page;mso-position-vertical-relative:paragraph;z-index:-15724544;mso-wrap-distance-left:0;mso-wrap-distance-right:0" coordorigin="8886,270" coordsize="1560,0" path="m8886,270l10446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006" w:val="left" w:leader="none"/>
          <w:tab w:pos="7766" w:val="left" w:leader="none"/>
        </w:tabs>
        <w:spacing w:line="248" w:lineRule="exact"/>
        <w:ind w:left="265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265"/>
      </w:pPr>
      <w:r>
        <w:rPr/>
        <w:t>Dr</w:t>
      </w:r>
      <w:r>
        <w:rPr>
          <w:spacing w:val="-3"/>
        </w:rPr>
        <w:t> </w:t>
      </w:r>
      <w:r>
        <w:rPr/>
        <w:t>M.G.</w:t>
      </w:r>
      <w:r>
        <w:rPr>
          <w:spacing w:val="-1"/>
        </w:rPr>
        <w:t> </w:t>
      </w:r>
      <w:r>
        <w:rPr/>
        <w:t>Magaji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99.264pt;margin-top:13.579997pt;width:174pt;height:.1pt;mso-position-horizontal-relative:page;mso-position-vertical-relative:paragraph;z-index:-15724032;mso-wrap-distance-left:0;mso-wrap-distance-right:0" coordorigin="1985,272" coordsize="3480,0" path="m1985,272l5465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3.290009pt;margin-top:13.579997pt;width:114pt;height:.1pt;mso-position-horizontal-relative:page;mso-position-vertical-relative:paragraph;z-index:-15723520;mso-wrap-distance-left:0;mso-wrap-distance-right:0" coordorigin="6066,272" coordsize="2280,0" path="m6066,272l8346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4.290009pt;margin-top:13.579997pt;width:78pt;height:.1pt;mso-position-horizontal-relative:page;mso-position-vertical-relative:paragraph;z-index:-15723008;mso-wrap-distance-left:0;mso-wrap-distance-right:0" coordorigin="8886,272" coordsize="1560,0" path="m8886,272l10446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006" w:val="left" w:leader="none"/>
          <w:tab w:pos="7766" w:val="left" w:leader="none"/>
        </w:tabs>
        <w:spacing w:line="247" w:lineRule="exact"/>
        <w:ind w:left="265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265"/>
      </w:pPr>
      <w:r>
        <w:rPr/>
        <w:t>Professor</w:t>
      </w:r>
      <w:r>
        <w:rPr>
          <w:spacing w:val="-3"/>
        </w:rPr>
        <w:t> </w:t>
      </w:r>
      <w:r>
        <w:rPr/>
        <w:t>S.A.</w:t>
      </w:r>
      <w:r>
        <w:rPr>
          <w:spacing w:val="-1"/>
        </w:rPr>
        <w:t> </w:t>
      </w:r>
      <w:r>
        <w:rPr/>
        <w:t>Abdullahi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99.264pt;margin-top:13.524073pt;width:174pt;height:.1pt;mso-position-horizontal-relative:page;mso-position-vertical-relative:paragraph;z-index:-15722496;mso-wrap-distance-left:0;mso-wrap-distance-right:0" coordorigin="1985,270" coordsize="3480,0" path="m1985,270l5465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3.290009pt;margin-top:13.524073pt;width:114pt;height:.1pt;mso-position-horizontal-relative:page;mso-position-vertical-relative:paragraph;z-index:-15721984;mso-wrap-distance-left:0;mso-wrap-distance-right:0" coordorigin="6066,270" coordsize="2280,0" path="m6066,270l8346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309998pt;margin-top:13.524073pt;width:84pt;height:.1pt;mso-position-horizontal-relative:page;mso-position-vertical-relative:paragraph;z-index:-15721472;mso-wrap-distance-left:0;mso-wrap-distance-right:0" coordorigin="8766,270" coordsize="1680,0" path="m8766,270l10446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965" w:val="left" w:leader="none"/>
          <w:tab w:pos="7766" w:val="left" w:leader="none"/>
        </w:tabs>
        <w:spacing w:line="248" w:lineRule="exact"/>
        <w:ind w:left="265"/>
      </w:pPr>
      <w:r>
        <w:rPr/>
        <w:t>Dean,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 Studies</w:t>
        <w:tab/>
        <w:t>Signature</w:t>
        <w:tab/>
        <w:t>Date</w:t>
      </w:r>
    </w:p>
    <w:p>
      <w:pPr>
        <w:spacing w:after="0" w:line="248" w:lineRule="exact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spacing w:before="77"/>
        <w:ind w:left="750" w:right="1361"/>
        <w:jc w:val="center"/>
      </w:pPr>
      <w:bookmarkStart w:name="_TOC_250072" w:id="3"/>
      <w:bookmarkEnd w:id="3"/>
      <w:r>
        <w:rPr/>
        <w:t>ACKNOWLEDGEMENT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76" w:lineRule="auto"/>
        <w:ind w:left="265" w:right="874"/>
        <w:jc w:val="both"/>
      </w:pPr>
      <w:r>
        <w:rPr/>
        <w:t>All praises and gratitude are to Almighty Allah the</w:t>
      </w:r>
      <w:r>
        <w:rPr>
          <w:spacing w:val="1"/>
        </w:rPr>
        <w:t> </w:t>
      </w:r>
      <w:r>
        <w:rPr/>
        <w:t>most compassionate, the most merciful</w:t>
      </w:r>
      <w:r>
        <w:rPr>
          <w:spacing w:val="1"/>
        </w:rPr>
        <w:t> </w:t>
      </w:r>
      <w:r>
        <w:rPr/>
        <w:t>and the sustainer of this world who gave me the chance to complete this work. May the</w:t>
      </w:r>
      <w:r>
        <w:rPr>
          <w:spacing w:val="1"/>
        </w:rPr>
        <w:t> </w:t>
      </w:r>
      <w:r>
        <w:rPr/>
        <w:t>blessings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noble</w:t>
      </w:r>
      <w:r>
        <w:rPr>
          <w:spacing w:val="1"/>
        </w:rPr>
        <w:t> </w:t>
      </w:r>
      <w:r>
        <w:rPr/>
        <w:t>messenger,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companions,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his</w:t>
      </w:r>
      <w:r>
        <w:rPr>
          <w:spacing w:val="1"/>
        </w:rPr>
        <w:t> </w:t>
      </w:r>
      <w:r>
        <w:rPr/>
        <w:t>household</w:t>
      </w:r>
      <w:r>
        <w:rPr>
          <w:spacing w:val="-1"/>
        </w:rPr>
        <w:t> </w:t>
      </w:r>
      <w:r>
        <w:rPr/>
        <w:t>and all those that follow his path</w:t>
      </w:r>
      <w:r>
        <w:rPr>
          <w:spacing w:val="-1"/>
        </w:rPr>
        <w:t> </w:t>
      </w:r>
      <w:r>
        <w:rPr/>
        <w:t>up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last day.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265" w:right="872"/>
        <w:jc w:val="both"/>
      </w:pPr>
      <w:r>
        <w:rPr/>
        <w:t>My special gratitude goes to my supervisors, Professor A.U. Zezi and Dr S.B. Anafi for</w:t>
      </w:r>
      <w:r>
        <w:rPr>
          <w:spacing w:val="1"/>
        </w:rPr>
        <w:t> </w:t>
      </w:r>
      <w:r>
        <w:rPr/>
        <w:t>their</w:t>
      </w:r>
      <w:r>
        <w:rPr>
          <w:spacing w:val="30"/>
        </w:rPr>
        <w:t> </w:t>
      </w:r>
      <w:r>
        <w:rPr/>
        <w:t>tireless</w:t>
      </w:r>
      <w:r>
        <w:rPr>
          <w:spacing w:val="32"/>
        </w:rPr>
        <w:t> </w:t>
      </w:r>
      <w:r>
        <w:rPr/>
        <w:t>support,</w:t>
      </w:r>
      <w:r>
        <w:rPr>
          <w:spacing w:val="32"/>
        </w:rPr>
        <w:t> </w:t>
      </w:r>
      <w:r>
        <w:rPr/>
        <w:t>guidance,</w:t>
      </w:r>
      <w:r>
        <w:rPr>
          <w:spacing w:val="32"/>
        </w:rPr>
        <w:t> </w:t>
      </w:r>
      <w:r>
        <w:rPr/>
        <w:t>motivation,</w:t>
      </w:r>
      <w:r>
        <w:rPr>
          <w:spacing w:val="31"/>
        </w:rPr>
        <w:t> </w:t>
      </w:r>
      <w:r>
        <w:rPr/>
        <w:t>sacrifice,</w:t>
      </w:r>
      <w:r>
        <w:rPr>
          <w:spacing w:val="34"/>
        </w:rPr>
        <w:t> </w:t>
      </w:r>
      <w:r>
        <w:rPr/>
        <w:t>generosity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patience</w:t>
      </w:r>
      <w:r>
        <w:rPr>
          <w:spacing w:val="31"/>
        </w:rPr>
        <w:t> </w:t>
      </w:r>
      <w:r>
        <w:rPr/>
        <w:t>throughout</w:t>
      </w:r>
      <w:r>
        <w:rPr>
          <w:spacing w:val="-58"/>
        </w:rPr>
        <w:t> </w:t>
      </w:r>
      <w:r>
        <w:rPr/>
        <w:t>the period of this work. May Almighty Allah reward them abundantly. Also, my sincere</w:t>
      </w:r>
      <w:r>
        <w:rPr>
          <w:spacing w:val="1"/>
        </w:rPr>
        <w:t> </w:t>
      </w:r>
      <w:r>
        <w:rPr/>
        <w:t>appreciation goes to my lecturers in the Department of Pharmacology and Therapeutics for</w:t>
      </w:r>
      <w:r>
        <w:rPr>
          <w:spacing w:val="1"/>
        </w:rPr>
        <w:t> </w:t>
      </w:r>
      <w:r>
        <w:rPr/>
        <w:t>their advices and contributions towards the successful completion of this study. I extend my</w:t>
      </w:r>
      <w:r>
        <w:rPr>
          <w:spacing w:val="-57"/>
        </w:rPr>
        <w:t> </w:t>
      </w:r>
      <w:r>
        <w:rPr/>
        <w:t>special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Magaji</w:t>
      </w:r>
      <w:r>
        <w:rPr>
          <w:spacing w:val="1"/>
        </w:rPr>
        <w:t> </w:t>
      </w:r>
      <w:r>
        <w:rPr/>
        <w:t>Garba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Hassan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continuously</w:t>
      </w:r>
      <w:r>
        <w:rPr>
          <w:spacing w:val="-5"/>
        </w:rPr>
        <w:t> </w:t>
      </w:r>
      <w:r>
        <w:rPr/>
        <w:t>motivating</w:t>
      </w:r>
      <w:r>
        <w:rPr>
          <w:spacing w:val="-1"/>
        </w:rPr>
        <w:t> </w:t>
      </w:r>
      <w:r>
        <w:rPr/>
        <w:t>and moving</w:t>
      </w:r>
      <w:r>
        <w:rPr>
          <w:spacing w:val="-3"/>
        </w:rPr>
        <w:t> </w:t>
      </w:r>
      <w:r>
        <w:rPr/>
        <w:t>me towards the</w:t>
      </w:r>
      <w:r>
        <w:rPr>
          <w:spacing w:val="-1"/>
        </w:rPr>
        <w:t> </w:t>
      </w:r>
      <w:r>
        <w:rPr/>
        <w:t>success of 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265" w:right="872"/>
        <w:jc w:val="both"/>
      </w:pP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Alhaji</w:t>
      </w:r>
      <w:r>
        <w:rPr>
          <w:spacing w:val="1"/>
        </w:rPr>
        <w:t> </w:t>
      </w:r>
      <w:r>
        <w:rPr/>
        <w:t>Hussaini</w:t>
      </w:r>
      <w:r>
        <w:rPr>
          <w:spacing w:val="1"/>
        </w:rPr>
        <w:t> </w:t>
      </w:r>
      <w:r>
        <w:rPr/>
        <w:t>Ahmad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Zainab</w:t>
      </w:r>
      <w:r>
        <w:rPr>
          <w:spacing w:val="1"/>
        </w:rPr>
        <w:t> </w:t>
      </w:r>
      <w:r>
        <w:rPr/>
        <w:t>Muhammad,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unconditional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May</w:t>
      </w:r>
      <w:r>
        <w:rPr>
          <w:spacing w:val="-57"/>
        </w:rPr>
        <w:t> </w:t>
      </w:r>
      <w:r>
        <w:rPr/>
        <w:t>Almighty</w:t>
      </w:r>
      <w:r>
        <w:rPr>
          <w:spacing w:val="-4"/>
        </w:rPr>
        <w:t> </w:t>
      </w:r>
      <w:r>
        <w:rPr/>
        <w:t>Allah reward them in this life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hereafter.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265" w:right="876"/>
        <w:jc w:val="both"/>
      </w:pPr>
      <w:r>
        <w:rPr/>
        <w:t>I also appreciate all my classmates, friends and siblings for always being there for me</w:t>
      </w:r>
      <w:r>
        <w:rPr>
          <w:spacing w:val="1"/>
        </w:rPr>
        <w:t> </w:t>
      </w:r>
      <w:r>
        <w:rPr/>
        <w:t>whenever</w:t>
      </w:r>
      <w:r>
        <w:rPr>
          <w:spacing w:val="1"/>
        </w:rPr>
        <w:t> </w:t>
      </w:r>
      <w:r>
        <w:rPr/>
        <w:t>I need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particularly Rabi’u</w:t>
      </w:r>
      <w:r>
        <w:rPr>
          <w:spacing w:val="1"/>
        </w:rPr>
        <w:t> </w:t>
      </w:r>
      <w:r>
        <w:rPr/>
        <w:t>Nuhu</w:t>
      </w:r>
      <w:r>
        <w:rPr>
          <w:spacing w:val="1"/>
        </w:rPr>
        <w:t> </w:t>
      </w:r>
      <w:r>
        <w:rPr/>
        <w:t>Danraka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Maryam</w:t>
      </w:r>
      <w:r>
        <w:rPr>
          <w:spacing w:val="-1"/>
        </w:rPr>
        <w:t> </w:t>
      </w:r>
      <w:r>
        <w:rPr/>
        <w:t>Salahuddeen Adenike. May</w:t>
      </w:r>
      <w:r>
        <w:rPr>
          <w:spacing w:val="-5"/>
        </w:rPr>
        <w:t> </w:t>
      </w:r>
      <w:r>
        <w:rPr/>
        <w:t>Almighty</w:t>
      </w:r>
      <w:r>
        <w:rPr>
          <w:spacing w:val="-4"/>
        </w:rPr>
        <w:t> </w:t>
      </w:r>
      <w:r>
        <w:rPr/>
        <w:t>Allah</w:t>
      </w:r>
      <w:r>
        <w:rPr>
          <w:spacing w:val="-1"/>
        </w:rPr>
        <w:t> </w:t>
      </w:r>
      <w:r>
        <w:rPr/>
        <w:t>assist them in all their</w:t>
      </w:r>
      <w:r>
        <w:rPr>
          <w:spacing w:val="-2"/>
        </w:rPr>
        <w:t> </w:t>
      </w:r>
      <w:r>
        <w:rPr/>
        <w:t>endeavours.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265" w:right="875"/>
        <w:jc w:val="both"/>
      </w:pPr>
      <w:r>
        <w:rPr/>
        <w:t>The special contribution of all the members of Young Pharmacists Scholars (YPS) forum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forgotten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Jatau,</w:t>
      </w:r>
      <w:r>
        <w:rPr>
          <w:spacing w:val="1"/>
        </w:rPr>
        <w:t> </w:t>
      </w:r>
      <w:r>
        <w:rPr/>
        <w:t>Khalid</w:t>
      </w:r>
      <w:r>
        <w:rPr>
          <w:spacing w:val="1"/>
        </w:rPr>
        <w:t> </w:t>
      </w:r>
      <w:r>
        <w:rPr/>
        <w:t>Garba</w:t>
      </w:r>
      <w:r>
        <w:rPr>
          <w:spacing w:val="1"/>
        </w:rPr>
        <w:t> </w:t>
      </w:r>
      <w:r>
        <w:rPr/>
        <w:t>Muhammad and Mustapha Muhammad for their tireless support and motivation. Thank you</w:t>
      </w:r>
      <w:r>
        <w:rPr>
          <w:spacing w:val="-57"/>
        </w:rPr>
        <w:t> </w:t>
      </w:r>
      <w:r>
        <w:rPr/>
        <w:t>so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 academic</w:t>
      </w:r>
      <w:r>
        <w:rPr>
          <w:spacing w:val="-2"/>
        </w:rPr>
        <w:t> </w:t>
      </w:r>
      <w:r>
        <w:rPr/>
        <w:t>mentorship.</w:t>
      </w:r>
      <w:r>
        <w:rPr>
          <w:spacing w:val="3"/>
        </w:rPr>
        <w:t> </w:t>
      </w:r>
      <w:r>
        <w:rPr/>
        <w:t>I</w:t>
      </w:r>
      <w:r>
        <w:rPr>
          <w:spacing w:val="-6"/>
        </w:rPr>
        <w:t> </w:t>
      </w:r>
      <w:r>
        <w:rPr/>
        <w:t>pray</w:t>
      </w:r>
      <w:r>
        <w:rPr>
          <w:spacing w:val="-6"/>
        </w:rPr>
        <w:t> </w:t>
      </w:r>
      <w:r>
        <w:rPr/>
        <w:t>to</w:t>
      </w:r>
      <w:r>
        <w:rPr>
          <w:spacing w:val="3"/>
        </w:rPr>
        <w:t> </w:t>
      </w:r>
      <w:r>
        <w:rPr/>
        <w:t>Almighty</w:t>
      </w:r>
      <w:r>
        <w:rPr>
          <w:spacing w:val="-3"/>
        </w:rPr>
        <w:t> </w:t>
      </w:r>
      <w:r>
        <w:rPr/>
        <w:t>Allah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ease all</w:t>
      </w:r>
      <w:r>
        <w:rPr>
          <w:spacing w:val="2"/>
        </w:rPr>
        <w:t> </w:t>
      </w:r>
      <w:r>
        <w:rPr/>
        <w:t>your affairs.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265" w:right="871"/>
        <w:jc w:val="both"/>
      </w:pPr>
      <w:r>
        <w:rPr/>
        <w:t>I thank all the management and staff of Aminu Dabo College of Health Sciences and</w:t>
      </w:r>
      <w:r>
        <w:rPr>
          <w:spacing w:val="1"/>
        </w:rPr>
        <w:t> </w:t>
      </w:r>
      <w:r>
        <w:rPr/>
        <w:t>Technology, Kano State particularly the Proprietor; Architect Aminu Abubakar Dabo, all</w:t>
      </w:r>
      <w:r>
        <w:rPr>
          <w:spacing w:val="1"/>
        </w:rPr>
        <w:t> </w:t>
      </w:r>
      <w:r>
        <w:rPr/>
        <w:t>staff of Pharmacy Department, Provost; Hamza Garba, Sadik Muhammad Sanusi, College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Officer;</w:t>
      </w:r>
      <w:r>
        <w:rPr>
          <w:spacing w:val="1"/>
        </w:rPr>
        <w:t> </w:t>
      </w:r>
      <w:r>
        <w:rPr/>
        <w:t>Adam</w:t>
      </w:r>
      <w:r>
        <w:rPr>
          <w:spacing w:val="1"/>
        </w:rPr>
        <w:t> </w:t>
      </w:r>
      <w:r>
        <w:rPr/>
        <w:t>Uba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Officer;</w:t>
      </w:r>
      <w:r>
        <w:rPr>
          <w:spacing w:val="1"/>
        </w:rPr>
        <w:t> </w:t>
      </w:r>
      <w:r>
        <w:rPr/>
        <w:t>Abdullahi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 of this work. I also heartily appreciate all the students of the College especially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Pharmacy</w:t>
      </w:r>
      <w:r>
        <w:rPr>
          <w:spacing w:val="-3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for their prayers and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will at all time.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265" w:right="876"/>
        <w:jc w:val="both"/>
      </w:pPr>
      <w:r>
        <w:rPr/>
        <w:t>My special appreciation to all the technical staff of the Department of Pharmacology and</w:t>
      </w:r>
      <w:r>
        <w:rPr>
          <w:spacing w:val="1"/>
        </w:rPr>
        <w:t> </w:t>
      </w:r>
      <w:r>
        <w:rPr/>
        <w:t>Therapeutics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Muazu,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Balarabe,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Idris,</w:t>
      </w:r>
      <w:r>
        <w:rPr>
          <w:spacing w:val="1"/>
        </w:rPr>
        <w:t> </w:t>
      </w:r>
      <w:r>
        <w:rPr/>
        <w:t>Mallam</w:t>
      </w:r>
      <w:r>
        <w:rPr>
          <w:spacing w:val="-1"/>
        </w:rPr>
        <w:t> </w:t>
      </w:r>
      <w:r>
        <w:rPr/>
        <w:t>Bashir,</w:t>
      </w:r>
      <w:r>
        <w:rPr>
          <w:spacing w:val="-1"/>
        </w:rPr>
        <w:t> </w:t>
      </w:r>
      <w:r>
        <w:rPr/>
        <w:t>Mallam</w:t>
      </w:r>
      <w:r>
        <w:rPr>
          <w:spacing w:val="1"/>
        </w:rPr>
        <w:t> </w:t>
      </w:r>
      <w:r>
        <w:rPr/>
        <w:t>Salihu 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towards the</w:t>
      </w:r>
      <w:r>
        <w:rPr>
          <w:spacing w:val="-2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spacing w:after="0" w:line="276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spacing w:before="75"/>
        <w:ind w:left="750" w:right="1362"/>
        <w:jc w:val="center"/>
      </w:pPr>
      <w:bookmarkStart w:name="_TOC_250071" w:id="4"/>
      <w:bookmarkEnd w:id="4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The plant </w:t>
      </w:r>
      <w:r>
        <w:rPr>
          <w:i/>
        </w:rPr>
        <w:t>Combretum hypopilinum </w:t>
      </w:r>
      <w:r>
        <w:rPr/>
        <w:t>has been used in traditional medicine to treat diarrhoea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Combretum</w:t>
      </w:r>
      <w:r>
        <w:rPr>
          <w:spacing w:val="1"/>
        </w:rPr>
        <w:t> </w:t>
      </w:r>
      <w:r>
        <w:rPr/>
        <w:t>hypopilinum</w:t>
      </w:r>
      <w:r>
        <w:rPr>
          <w:spacing w:val="1"/>
        </w:rPr>
        <w:t> </w:t>
      </w:r>
      <w:r>
        <w:rPr/>
        <w:t>(MECH) in mice and rats. The phytochemical screening was conducted and the oral median</w:t>
      </w:r>
      <w:r>
        <w:rPr>
          <w:spacing w:val="-57"/>
        </w:rPr>
        <w:t> </w:t>
      </w:r>
      <w:r>
        <w:rPr/>
        <w:t>lethal dose (LD</w:t>
      </w:r>
      <w:r>
        <w:rPr>
          <w:vertAlign w:val="subscript"/>
        </w:rPr>
        <w:t>50</w:t>
      </w:r>
      <w:r>
        <w:rPr>
          <w:vertAlign w:val="baseline"/>
        </w:rPr>
        <w:t>) was determined using standard methods.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Antidiarrhoeal activity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MECH</w:t>
      </w:r>
      <w:r>
        <w:rPr>
          <w:spacing w:val="1"/>
          <w:vertAlign w:val="baseline"/>
        </w:rPr>
        <w:t> </w:t>
      </w:r>
      <w:r>
        <w:rPr>
          <w:vertAlign w:val="baseline"/>
        </w:rPr>
        <w:t>(250,</w:t>
      </w:r>
      <w:r>
        <w:rPr>
          <w:spacing w:val="1"/>
          <w:vertAlign w:val="baseline"/>
        </w:rPr>
        <w:t> </w:t>
      </w:r>
      <w:r>
        <w:rPr>
          <w:vertAlign w:val="baseline"/>
        </w:rPr>
        <w:t>500</w:t>
      </w:r>
      <w:r>
        <w:rPr>
          <w:spacing w:val="1"/>
          <w:vertAlign w:val="baseline"/>
        </w:rPr>
        <w:t> </w:t>
      </w:r>
      <w:r>
        <w:rPr>
          <w:vertAlign w:val="baseline"/>
        </w:rPr>
        <w:t>and 1,000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castor</w:t>
      </w:r>
      <w:r>
        <w:rPr>
          <w:spacing w:val="1"/>
          <w:vertAlign w:val="baseline"/>
        </w:rPr>
        <w:t> </w:t>
      </w:r>
      <w:r>
        <w:rPr>
          <w:vertAlign w:val="baseline"/>
        </w:rPr>
        <w:t>oil-induced</w:t>
      </w:r>
      <w:r>
        <w:rPr>
          <w:spacing w:val="60"/>
          <w:vertAlign w:val="baseline"/>
        </w:rPr>
        <w:t> </w:t>
      </w:r>
      <w:r>
        <w:rPr>
          <w:vertAlign w:val="baseline"/>
        </w:rPr>
        <w:t>diarrhoea,</w:t>
      </w:r>
      <w:r>
        <w:rPr>
          <w:spacing w:val="-57"/>
          <w:vertAlign w:val="baseline"/>
        </w:rPr>
        <w:t> </w:t>
      </w:r>
      <w:r>
        <w:rPr>
          <w:vertAlign w:val="baseline"/>
        </w:rPr>
        <w:t>castor oil-induced enteropooling and intestinal motility tests. The probable mechanisms of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antidiarrhoeal activity of MECH were investigated following pretreatment with naloxone,</w:t>
      </w:r>
      <w:r>
        <w:rPr>
          <w:spacing w:val="1"/>
          <w:vertAlign w:val="baseline"/>
        </w:rPr>
        <w:t> </w:t>
      </w:r>
      <w:r>
        <w:rPr>
          <w:vertAlign w:val="baseline"/>
        </w:rPr>
        <w:t>prazosin, yohimbine, propranolol, pilocarpine and isosorbide dinitrate. For the sub-acute</w:t>
      </w:r>
      <w:r>
        <w:rPr>
          <w:spacing w:val="1"/>
          <w:vertAlign w:val="baseline"/>
        </w:rPr>
        <w:t> </w:t>
      </w:r>
      <w:r>
        <w:rPr>
          <w:vertAlign w:val="baseline"/>
        </w:rPr>
        <w:t>toxicity study, the extract was orally administered to rats daily for 28-days at the doses of</w:t>
      </w:r>
      <w:r>
        <w:rPr>
          <w:spacing w:val="1"/>
          <w:vertAlign w:val="baseline"/>
        </w:rPr>
        <w:t> </w:t>
      </w:r>
      <w:r>
        <w:rPr>
          <w:vertAlign w:val="baseline"/>
        </w:rPr>
        <w:t>250, 500, and 1,000 mg/kg. Mortality and weekly body weight were observed. The 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sacrificed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29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ethylenediaminetetraacetic acid (EDTA) and plain bottles to analyse haematological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biochemical parameters. The liver, kidney, heart, lung, small intestine, and stomach 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removed and their relative organ weight was determined. The organs were examined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histopathological changes. Phytochemical screening revealed the presence of flavonoids,</w:t>
      </w:r>
      <w:r>
        <w:rPr>
          <w:spacing w:val="1"/>
          <w:vertAlign w:val="baseline"/>
        </w:rPr>
        <w:t> </w:t>
      </w:r>
      <w:r>
        <w:rPr>
          <w:vertAlign w:val="baseline"/>
        </w:rPr>
        <w:t>cardiac glycosides, saponins, tannins, steroids, triterpenes and alkaloids. The oral LD</w:t>
      </w:r>
      <w:r>
        <w:rPr>
          <w:vertAlign w:val="subscript"/>
        </w:rPr>
        <w:t>50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than 5,000 mg/kg in mice and rats. The extract at the dose of 500 and 1,000 mg/kg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vertAlign w:val="baseline"/>
        </w:rPr>
        <w:t>˂0.05)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diarrhoea</w:t>
      </w:r>
      <w:r>
        <w:rPr>
          <w:spacing w:val="1"/>
          <w:vertAlign w:val="baseline"/>
        </w:rPr>
        <w:t> </w:t>
      </w:r>
      <w:r>
        <w:rPr>
          <w:vertAlign w:val="baseline"/>
        </w:rPr>
        <w:t>stools,</w:t>
      </w:r>
      <w:r>
        <w:rPr>
          <w:spacing w:val="1"/>
          <w:vertAlign w:val="baseline"/>
        </w:rPr>
        <w:t> </w:t>
      </w:r>
      <w:r>
        <w:rPr>
          <w:vertAlign w:val="baseline"/>
        </w:rPr>
        <w:t>intestinal</w:t>
      </w:r>
      <w:r>
        <w:rPr>
          <w:spacing w:val="1"/>
          <w:vertAlign w:val="baseline"/>
        </w:rPr>
        <w:t> </w:t>
      </w:r>
      <w:r>
        <w:rPr>
          <w:vertAlign w:val="baseline"/>
        </w:rPr>
        <w:t>fluid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57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vertAlign w:val="baseline"/>
        </w:rPr>
        <w:t>˂0.05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˂0.01)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charcoal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vertAlign w:val="baseline"/>
        </w:rPr>
        <w:t>˂0.05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˂0.001)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pretreatment of the animals with naloxone, prazosin and propranolol each 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p˂</w:t>
      </w:r>
      <w:r>
        <w:rPr>
          <w:vertAlign w:val="baseline"/>
        </w:rPr>
        <w:t>0.01)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antidiarrhoeal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charcoal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pretreatment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yohimbine,</w:t>
      </w:r>
      <w:r>
        <w:rPr>
          <w:spacing w:val="1"/>
          <w:vertAlign w:val="baseline"/>
        </w:rPr>
        <w:t> </w:t>
      </w:r>
      <w:r>
        <w:rPr>
          <w:vertAlign w:val="baseline"/>
        </w:rPr>
        <w:t>pilocarpine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isosorbide</w:t>
      </w:r>
      <w:r>
        <w:rPr>
          <w:spacing w:val="18"/>
          <w:vertAlign w:val="baseline"/>
        </w:rPr>
        <w:t> </w:t>
      </w:r>
      <w:r>
        <w:rPr>
          <w:vertAlign w:val="baseline"/>
        </w:rPr>
        <w:t>dinitrate</w:t>
      </w:r>
      <w:r>
        <w:rPr>
          <w:spacing w:val="18"/>
          <w:vertAlign w:val="baseline"/>
        </w:rPr>
        <w:t> </w:t>
      </w:r>
      <w:r>
        <w:rPr>
          <w:vertAlign w:val="baseline"/>
        </w:rPr>
        <w:t>did</w:t>
      </w:r>
      <w:r>
        <w:rPr>
          <w:spacing w:val="21"/>
          <w:vertAlign w:val="baseline"/>
        </w:rPr>
        <w:t> </w:t>
      </w:r>
      <w:r>
        <w:rPr>
          <w:vertAlign w:val="baseline"/>
        </w:rPr>
        <w:t>not</w:t>
      </w:r>
      <w:r>
        <w:rPr>
          <w:spacing w:val="2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6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vertAlign w:val="baseline"/>
        </w:rPr>
        <w:t>&gt;0.05)</w:t>
      </w:r>
      <w:r>
        <w:rPr>
          <w:spacing w:val="2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antidiarrhoeal</w:t>
      </w:r>
      <w:r>
        <w:rPr>
          <w:spacing w:val="19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64"/>
        <w:jc w:val="both"/>
      </w:pPr>
      <w:r>
        <w:rPr/>
        <w:t>MECH. The extract at the dose of 500 mg/kg significantly (</w:t>
      </w:r>
      <w:r>
        <w:rPr>
          <w:i/>
        </w:rPr>
        <w:t>p</w:t>
      </w:r>
      <w:r>
        <w:rPr/>
        <w:t>˂0.05) reduced the body</w:t>
      </w:r>
      <w:r>
        <w:rPr>
          <w:spacing w:val="1"/>
        </w:rPr>
        <w:t> </w:t>
      </w:r>
      <w:r>
        <w:rPr/>
        <w:t>weights of the animals in the first and second week. There was significant (</w:t>
      </w:r>
      <w:r>
        <w:rPr>
          <w:i/>
        </w:rPr>
        <w:t>p</w:t>
      </w:r>
      <w:r>
        <w:rPr/>
        <w:t>˂0.05 and</w:t>
      </w:r>
      <w:r>
        <w:rPr>
          <w:spacing w:val="1"/>
        </w:rPr>
        <w:t> </w:t>
      </w:r>
      <w:r>
        <w:rPr>
          <w:i/>
        </w:rPr>
        <w:t>p</w:t>
      </w:r>
      <w:r>
        <w:rPr/>
        <w:t>˂0.01) reduction in relative kidney weight at the dose of 500 and 1,000 mg/kg. The extract</w:t>
      </w:r>
      <w:r>
        <w:rPr>
          <w:spacing w:val="-57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(ALP)</w:t>
      </w:r>
      <w:r>
        <w:rPr>
          <w:spacing w:val="1"/>
        </w:rPr>
        <w:t> </w:t>
      </w:r>
      <w:r>
        <w:rPr>
          <w:i/>
        </w:rPr>
        <w:t>p</w:t>
      </w:r>
      <w:r>
        <w:rPr/>
        <w:t>˂0.01</w:t>
      </w:r>
      <w:r>
        <w:rPr>
          <w:spacing w:val="1"/>
        </w:rPr>
        <w:t> </w:t>
      </w:r>
      <w:r>
        <w:rPr/>
        <w:t>(500mg/kg)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</w:t>
      </w:r>
      <w:r>
        <w:rPr/>
        <w:t>˂0.001</w:t>
      </w:r>
      <w:r>
        <w:rPr>
          <w:spacing w:val="-57"/>
        </w:rPr>
        <w:t> </w:t>
      </w:r>
      <w:r>
        <w:rPr/>
        <w:t>(1,000 mg/kg), glucose </w:t>
      </w:r>
      <w:r>
        <w:rPr>
          <w:i/>
        </w:rPr>
        <w:t>p</w:t>
      </w:r>
      <w:r>
        <w:rPr/>
        <w:t>˂0.01 (1,000 mg/kg), potassium (</w:t>
      </w:r>
      <w:r>
        <w:rPr>
          <w:i/>
        </w:rPr>
        <w:t>p</w:t>
      </w:r>
      <w:r>
        <w:rPr/>
        <w:t>˂0.01, </w:t>
      </w:r>
      <w:r>
        <w:rPr>
          <w:i/>
        </w:rPr>
        <w:t>p</w:t>
      </w:r>
      <w:r>
        <w:rPr/>
        <w:t>˂0.001 and </w:t>
      </w:r>
      <w:r>
        <w:rPr>
          <w:i/>
        </w:rPr>
        <w:t>p</w:t>
      </w:r>
      <w:r>
        <w:rPr/>
        <w:t>˂0.001),</w:t>
      </w:r>
      <w:r>
        <w:rPr>
          <w:spacing w:val="1"/>
        </w:rPr>
        <w:t> </w:t>
      </w:r>
      <w:r>
        <w:rPr/>
        <w:t>and low density-lipoprotein (LDL) </w:t>
      </w:r>
      <w:r>
        <w:rPr>
          <w:i/>
        </w:rPr>
        <w:t>p</w:t>
      </w:r>
      <w:r>
        <w:rPr/>
        <w:t>˂0.01 (250 mg/kg), </w:t>
      </w:r>
      <w:r>
        <w:rPr>
          <w:i/>
        </w:rPr>
        <w:t>p</w:t>
      </w:r>
      <w:r>
        <w:rPr/>
        <w:t>˂0.001 (500 mg/kg) and </w:t>
      </w:r>
      <w:r>
        <w:rPr>
          <w:i/>
        </w:rPr>
        <w:t>p</w:t>
      </w:r>
      <w:r>
        <w:rPr/>
        <w:t>˂0.05</w:t>
      </w:r>
      <w:r>
        <w:rPr>
          <w:spacing w:val="1"/>
        </w:rPr>
        <w:t> </w:t>
      </w:r>
      <w:r>
        <w:rPr/>
        <w:t>(1,000</w:t>
      </w:r>
      <w:r>
        <w:rPr>
          <w:spacing w:val="1"/>
        </w:rPr>
        <w:t> </w:t>
      </w:r>
      <w:r>
        <w:rPr/>
        <w:t>mg/kg).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&gt;0.05)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lymphocytes, red blood cells, haemoglobin, haematocrit, mean corpuscular volume, mean</w:t>
      </w:r>
      <w:r>
        <w:rPr>
          <w:spacing w:val="1"/>
        </w:rPr>
        <w:t> </w:t>
      </w:r>
      <w:r>
        <w:rPr/>
        <w:t>corpuscular haemoglobin and mean corpuscular haemoglobin concentration. There was a</w:t>
      </w:r>
      <w:r>
        <w:rPr>
          <w:spacing w:val="1"/>
        </w:rPr>
        <w:t> </w:t>
      </w:r>
      <w:r>
        <w:rPr/>
        <w:t>significant (</w:t>
      </w:r>
      <w:r>
        <w:rPr>
          <w:i/>
        </w:rPr>
        <w:t>p</w:t>
      </w:r>
      <w:r>
        <w:rPr/>
        <w:t>˂0.05) increase in the percentage of eosinophils, basophils and monocytes and</w:t>
      </w:r>
      <w:r>
        <w:rPr>
          <w:spacing w:val="-57"/>
        </w:rPr>
        <w:t> </w:t>
      </w:r>
      <w:r>
        <w:rPr/>
        <w:t>an increase in granulocyte (</w:t>
      </w:r>
      <w:r>
        <w:rPr>
          <w:i/>
        </w:rPr>
        <w:t>p</w:t>
      </w:r>
      <w:r>
        <w:rPr/>
        <w:t>˂0.01) at the dose of 1,000 mg/kg. The extract significantly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˂0.01) increased the platelet levels at a dose of 500 mg/kg. There were histopathological</w:t>
      </w:r>
      <w:r>
        <w:rPr>
          <w:spacing w:val="1"/>
        </w:rPr>
        <w:t> </w:t>
      </w:r>
      <w:r>
        <w:rPr/>
        <w:t>abnormalities on the kidney, lung, stomach, and small intestine. The MECH possesses</w:t>
      </w:r>
      <w:r>
        <w:rPr>
          <w:spacing w:val="1"/>
        </w:rPr>
        <w:t> </w:t>
      </w:r>
      <w:r>
        <w:rPr/>
        <w:t>antidiarrhoeal activity possibly through its interaction with opioidergic and (α</w:t>
      </w:r>
      <w:r>
        <w:rPr>
          <w:vertAlign w:val="subscript"/>
        </w:rPr>
        <w:t>1</w:t>
      </w:r>
      <w:r>
        <w:rPr>
          <w:vertAlign w:val="baseline"/>
        </w:rPr>
        <w:t> and β)-</w:t>
      </w:r>
      <w:r>
        <w:rPr>
          <w:spacing w:val="1"/>
          <w:vertAlign w:val="baseline"/>
        </w:rPr>
        <w:t> </w:t>
      </w:r>
      <w:r>
        <w:rPr>
          <w:vertAlign w:val="baseline"/>
        </w:rPr>
        <w:t>adrenergic systems. The extract is relatively safe on acute exposure but moderately toxic at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2"/>
          <w:vertAlign w:val="baseline"/>
        </w:rPr>
        <w:t> </w:t>
      </w:r>
      <w:r>
        <w:rPr>
          <w:vertAlign w:val="baseline"/>
        </w:rPr>
        <w:t>doses on sub-acute</w:t>
      </w:r>
      <w:r>
        <w:rPr>
          <w:spacing w:val="-1"/>
          <w:vertAlign w:val="baseline"/>
        </w:rPr>
        <w:t> </w:t>
      </w:r>
      <w:r>
        <w:rPr>
          <w:vertAlign w:val="baseline"/>
        </w:rPr>
        <w:t>administration particularly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kidney.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before="72"/>
        <w:ind w:left="750" w:right="1062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</w:r>
    </w:p>
    <w:p>
      <w:pPr>
        <w:spacing w:after="0"/>
        <w:jc w:val="center"/>
        <w:sectPr>
          <w:pgSz w:w="12240" w:h="15840"/>
          <w:pgMar w:header="0" w:footer="294" w:top="1340" w:bottom="1289" w:left="172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28" w:val="left" w:leader="dot"/>
            </w:tabs>
            <w:spacing w:before="277"/>
            <w:ind w:right="252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</w:t>
          </w:r>
        </w:p>
        <w:p>
          <w:pPr>
            <w:pStyle w:val="TOC1"/>
            <w:tabs>
              <w:tab w:pos="9039" w:val="left" w:leader="dot"/>
            </w:tabs>
            <w:ind w:right="273"/>
          </w:pPr>
          <w:hyperlink w:history="true" w:anchor="_TOC_250074">
            <w:r>
              <w:rPr/>
              <w:t>Declaration…</w:t>
              <w:tab/>
              <w:t>ii</w:t>
            </w:r>
          </w:hyperlink>
        </w:p>
        <w:p>
          <w:pPr>
            <w:pStyle w:val="TOC1"/>
            <w:tabs>
              <w:tab w:pos="9013" w:val="left" w:leader="dot"/>
            </w:tabs>
          </w:pPr>
          <w:hyperlink w:history="true" w:anchor="_TOC_250073">
            <w:r>
              <w:rPr/>
              <w:t>Certification</w:t>
              <w:tab/>
              <w:t>iii</w:t>
            </w:r>
          </w:hyperlink>
        </w:p>
        <w:p>
          <w:pPr>
            <w:pStyle w:val="TOC1"/>
            <w:tabs>
              <w:tab w:pos="9013" w:val="left" w:leader="dot"/>
            </w:tabs>
            <w:ind w:right="246"/>
          </w:pPr>
          <w:hyperlink w:history="true" w:anchor="_TOC_250072">
            <w:r>
              <w:rPr/>
              <w:t>Acknowledgement.</w:t>
              <w:tab/>
              <w:t>iv</w:t>
            </w:r>
          </w:hyperlink>
        </w:p>
        <w:p>
          <w:pPr>
            <w:pStyle w:val="TOC3"/>
            <w:tabs>
              <w:tab w:pos="9240" w:val="left" w:leader="dot"/>
            </w:tabs>
            <w:ind w:left="265" w:firstLine="0"/>
          </w:pPr>
          <w:hyperlink w:history="true" w:anchor="_TOC_250071">
            <w:r>
              <w:rPr/>
              <w:t>Abstract…</w:t>
              <w:tab/>
              <w:t>v</w:t>
            </w:r>
          </w:hyperlink>
        </w:p>
        <w:p>
          <w:pPr>
            <w:pStyle w:val="TOC3"/>
            <w:tabs>
              <w:tab w:pos="9187" w:val="left" w:leader="dot"/>
            </w:tabs>
            <w:ind w:left="265" w:firstLine="0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Contents…</w:t>
            <w:tab/>
            <w:t>vii</w:t>
          </w:r>
        </w:p>
        <w:p>
          <w:pPr>
            <w:pStyle w:val="TOC3"/>
            <w:tabs>
              <w:tab w:pos="9218" w:val="left" w:leader="dot"/>
            </w:tabs>
            <w:spacing w:before="277"/>
            <w:ind w:left="265" w:firstLine="0"/>
          </w:pPr>
          <w:hyperlink w:history="true" w:anchor="_TOC_25007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Tables.</w:t>
              <w:tab/>
              <w:t>xii</w:t>
            </w:r>
          </w:hyperlink>
        </w:p>
        <w:p>
          <w:pPr>
            <w:pStyle w:val="TOC3"/>
            <w:tabs>
              <w:tab w:pos="9120" w:val="left" w:leader="dot"/>
            </w:tabs>
            <w:spacing w:before="278"/>
            <w:ind w:left="265" w:firstLine="0"/>
          </w:pPr>
          <w:hyperlink w:history="true" w:anchor="_TOC_250069">
            <w:r>
              <w:rPr/>
              <w:t>List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Figures…</w:t>
              <w:tab/>
              <w:t>xiii</w:t>
            </w:r>
          </w:hyperlink>
        </w:p>
        <w:p>
          <w:pPr>
            <w:pStyle w:val="TOC3"/>
            <w:tabs>
              <w:tab w:pos="9153" w:val="left" w:leader="dot"/>
            </w:tabs>
            <w:ind w:left="26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Plates…</w:t>
            <w:tab/>
            <w:t>xiv</w:t>
          </w:r>
        </w:p>
        <w:p>
          <w:pPr>
            <w:pStyle w:val="TOC3"/>
            <w:tabs>
              <w:tab w:pos="9173" w:val="left" w:leader="dot"/>
            </w:tabs>
            <w:ind w:left="265" w:firstLine="0"/>
          </w:pPr>
          <w:r>
            <w:rPr/>
            <w:t>List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Appendices…</w:t>
            <w:tab/>
            <w:t>xv</w:t>
          </w:r>
        </w:p>
        <w:p>
          <w:pPr>
            <w:pStyle w:val="TOC3"/>
            <w:tabs>
              <w:tab w:pos="9158" w:val="left" w:leader="dot"/>
            </w:tabs>
            <w:ind w:left="265" w:firstLine="0"/>
          </w:pPr>
          <w:r>
            <w:rPr/>
            <w:t>List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Abbreviations</w:t>
            <w:tab/>
            <w:t>xvi</w:t>
          </w:r>
        </w:p>
        <w:p>
          <w:pPr>
            <w:pStyle w:val="TOC5"/>
            <w:tabs>
              <w:tab w:pos="9281" w:val="left" w:leader="dot"/>
            </w:tabs>
            <w:spacing w:before="286"/>
          </w:pPr>
          <w:hyperlink w:history="true" w:anchor="_TOC_250068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ONE</w:t>
            </w:r>
            <w:r>
              <w:rPr/>
              <w:tab/>
            </w:r>
            <w:r>
              <w:rPr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3" w:val="left" w:leader="none"/>
              <w:tab w:pos="894" w:val="left" w:leader="none"/>
              <w:tab w:pos="9295" w:val="lef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67">
            <w:r>
              <w:rPr/>
              <w:t>INTRODUCTION…</w:t>
            </w:r>
            <w:r>
              <w:rPr/>
              <w:tab/>
            </w:r>
            <w:r>
              <w:rPr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3" w:val="left" w:leader="none"/>
              <w:tab w:pos="894" w:val="left" w:leader="none"/>
              <w:tab w:pos="9302" w:val="lef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66">
            <w:r>
              <w:rPr/>
              <w:t>Statement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Research Problem</w:t>
            </w:r>
            <w:r>
              <w:rPr/>
              <w:tab/>
            </w:r>
            <w:r>
              <w:rPr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926" w:val="left" w:leader="none"/>
              <w:tab w:pos="9252" w:val="left" w:leader="dot"/>
            </w:tabs>
            <w:spacing w:line="240" w:lineRule="auto" w:before="276" w:after="0"/>
            <w:ind w:left="925" w:right="0" w:hanging="661"/>
            <w:jc w:val="left"/>
          </w:pPr>
          <w:hyperlink w:history="true" w:anchor="_TOC_250065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3" w:val="left" w:leader="none"/>
              <w:tab w:pos="894" w:val="left" w:leader="none"/>
              <w:tab w:pos="9341" w:val="lef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64">
            <w:r>
              <w:rPr/>
              <w:t>Aim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Objectives…</w:t>
            </w:r>
            <w:r>
              <w:rPr/>
              <w:tab/>
            </w:r>
            <w:r>
              <w:rPr/>
              <w:t>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894" w:val="left" w:leader="none"/>
              <w:tab w:pos="9362" w:val="left" w:leader="dot"/>
            </w:tabs>
            <w:spacing w:line="240" w:lineRule="auto" w:before="267" w:after="0"/>
            <w:ind w:left="894" w:right="0" w:hanging="629"/>
            <w:jc w:val="left"/>
          </w:pPr>
          <w:hyperlink w:history="true" w:anchor="_TOC_250063">
            <w:r>
              <w:rPr/>
              <w:t>Aim…</w:t>
              <w:tab/>
              <w:t>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926" w:val="left" w:leader="none"/>
              <w:tab w:pos="9338" w:val="left" w:leader="dot"/>
            </w:tabs>
            <w:spacing w:line="240" w:lineRule="auto" w:before="276" w:after="0"/>
            <w:ind w:left="925" w:right="0" w:hanging="661"/>
            <w:jc w:val="left"/>
          </w:pPr>
          <w:hyperlink w:history="true" w:anchor="_TOC_250062">
            <w:r>
              <w:rPr/>
              <w:t>Specific</w:t>
            </w:r>
            <w:r>
              <w:rPr>
                <w:spacing w:val="-2"/>
              </w:rPr>
              <w:t> </w:t>
            </w:r>
            <w:r>
              <w:rPr/>
              <w:t>Objectives…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3" w:val="left" w:leader="none"/>
              <w:tab w:pos="894" w:val="left" w:leader="none"/>
              <w:tab w:pos="9336" w:val="left" w:leader="dot"/>
            </w:tabs>
            <w:spacing w:line="240" w:lineRule="auto" w:before="286" w:after="0"/>
            <w:ind w:left="894" w:right="0" w:hanging="629"/>
            <w:jc w:val="left"/>
          </w:pPr>
          <w:hyperlink w:history="true" w:anchor="_TOC_250061"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Hypothesis</w:t>
            </w:r>
            <w:r>
              <w:rPr/>
              <w:tab/>
            </w:r>
            <w:r>
              <w:rPr/>
              <w:t>6</w:t>
            </w:r>
          </w:hyperlink>
        </w:p>
        <w:p>
          <w:pPr>
            <w:pStyle w:val="TOC5"/>
            <w:tabs>
              <w:tab w:pos="9345" w:val="left" w:leader="dot"/>
            </w:tabs>
          </w:pPr>
          <w:hyperlink w:history="true" w:anchor="_TOC_250060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TWO</w:t>
            </w:r>
            <w:r>
              <w:rPr/>
              <w:tab/>
            </w:r>
            <w:r>
              <w:rPr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93" w:val="left" w:leader="none"/>
              <w:tab w:pos="894" w:val="left" w:leader="none"/>
              <w:tab w:pos="9302" w:val="left" w:leader="dot"/>
            </w:tabs>
            <w:spacing w:line="240" w:lineRule="auto" w:before="281" w:after="0"/>
            <w:ind w:left="894" w:right="0" w:hanging="629"/>
            <w:jc w:val="left"/>
          </w:pPr>
          <w:hyperlink w:history="true" w:anchor="_TOC_250059">
            <w:r>
              <w:rPr/>
              <w:t>LITERATURE</w:t>
            </w:r>
            <w:r>
              <w:rPr>
                <w:spacing w:val="-3"/>
              </w:rPr>
              <w:t> </w:t>
            </w:r>
            <w:r>
              <w:rPr/>
              <w:t>REVIEW…</w:t>
            </w:r>
            <w:r>
              <w:rPr/>
              <w:tab/>
            </w:r>
            <w:r>
              <w:rPr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93" w:val="left" w:leader="none"/>
              <w:tab w:pos="894" w:val="left" w:leader="none"/>
              <w:tab w:pos="9329" w:val="lef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58">
            <w:r>
              <w:rPr/>
              <w:t>Diarrhoea…</w:t>
            </w:r>
            <w:r>
              <w:rPr/>
              <w:tab/>
            </w:r>
            <w:r>
              <w:rPr/>
              <w:t>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94" w:val="left" w:leader="none"/>
              <w:tab w:pos="9314" w:val="left" w:leader="dot"/>
            </w:tabs>
            <w:spacing w:line="240" w:lineRule="auto" w:before="266" w:after="161"/>
            <w:ind w:left="894" w:right="0" w:hanging="629"/>
            <w:jc w:val="left"/>
          </w:pPr>
          <w:hyperlink w:history="true" w:anchor="_TOC_250057">
            <w:r>
              <w:rPr/>
              <w:t>Aetiology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Diarrhoea</w:t>
              <w:tab/>
              <w:t>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94" w:val="left" w:leader="none"/>
              <w:tab w:pos="9468" w:val="right" w:leader="dot"/>
            </w:tabs>
            <w:spacing w:line="240" w:lineRule="auto" w:before="70" w:after="0"/>
            <w:ind w:left="894" w:right="0" w:hanging="629"/>
            <w:jc w:val="left"/>
          </w:pPr>
          <w:hyperlink w:history="true" w:anchor="_TOC_250056">
            <w:r>
              <w:rPr/>
              <w:t>Transmission</w:t>
            </w:r>
            <w:r>
              <w:rPr>
                <w:spacing w:val="-1"/>
              </w:rPr>
              <w:t> </w:t>
            </w:r>
            <w:r>
              <w:rPr/>
              <w:t>of Diarrhoea</w:t>
              <w:tab/>
              <w:t>10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94" w:val="left" w:leader="none"/>
              <w:tab w:pos="9441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55"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Factors of</w:t>
            </w:r>
            <w:r>
              <w:rPr>
                <w:spacing w:val="-1"/>
              </w:rPr>
              <w:t> </w:t>
            </w:r>
            <w:r>
              <w:rPr/>
              <w:t>Diarrhoea</w:t>
              <w:tab/>
              <w:t>11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94" w:val="left" w:leader="none"/>
              <w:tab w:pos="9422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54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Diarrhoea</w:t>
              <w:tab/>
              <w:t>12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94" w:val="left" w:leader="none"/>
              <w:tab w:pos="9468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53">
            <w:r>
              <w:rPr/>
              <w:t>Physiology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Fluid and</w:t>
            </w:r>
            <w:r>
              <w:rPr>
                <w:spacing w:val="1"/>
              </w:rPr>
              <w:t> </w:t>
            </w:r>
            <w:r>
              <w:rPr/>
              <w:t>Electrolytes Regulation in the</w:t>
            </w:r>
            <w:r>
              <w:rPr>
                <w:spacing w:val="-1"/>
              </w:rPr>
              <w:t> </w:t>
            </w:r>
            <w:r>
              <w:rPr/>
              <w:t>GIT</w:t>
              <w:tab/>
              <w:t>14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94" w:val="left" w:leader="none"/>
              <w:tab w:pos="9429" w:val="right" w:leader="dot"/>
            </w:tabs>
            <w:spacing w:line="240" w:lineRule="auto" w:before="216" w:after="0"/>
            <w:ind w:left="894" w:right="0" w:hanging="629"/>
            <w:jc w:val="left"/>
          </w:pPr>
          <w:hyperlink w:history="true" w:anchor="_TOC_250052">
            <w:r>
              <w:rPr/>
              <w:t>Pathophysiology</w:t>
            </w:r>
            <w:r>
              <w:rPr>
                <w:spacing w:val="-6"/>
              </w:rPr>
              <w:t> </w:t>
            </w:r>
            <w:r>
              <w:rPr/>
              <w:t>of Diarrhoea</w:t>
              <w:tab/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94" w:val="left" w:leader="none"/>
              <w:tab w:pos="9446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51">
            <w:r>
              <w:rPr/>
              <w:t>Clinical</w:t>
            </w:r>
            <w:r>
              <w:rPr>
                <w:spacing w:val="-1"/>
              </w:rPr>
              <w:t> </w:t>
            </w:r>
            <w:r>
              <w:rPr/>
              <w:t>Features</w:t>
            </w:r>
            <w:r>
              <w:rPr>
                <w:spacing w:val="-1"/>
              </w:rPr>
              <w:t> </w:t>
            </w:r>
            <w:r>
              <w:rPr/>
              <w:t>of Diarrhoea</w:t>
              <w:tab/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926" w:val="left" w:leader="none"/>
              <w:tab w:pos="9427" w:val="right" w:leader="dot"/>
            </w:tabs>
            <w:spacing w:line="240" w:lineRule="auto" w:before="276" w:after="0"/>
            <w:ind w:left="925" w:right="0" w:hanging="661"/>
            <w:jc w:val="left"/>
          </w:pPr>
          <w:hyperlink w:history="true" w:anchor="_TOC_250050">
            <w:r>
              <w:rPr/>
              <w:t>Complications</w:t>
            </w:r>
            <w:r>
              <w:rPr>
                <w:spacing w:val="-1"/>
              </w:rPr>
              <w:t> </w:t>
            </w:r>
            <w:r>
              <w:rPr/>
              <w:t>of Diarrhoea</w:t>
              <w:tab/>
              <w:t>16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94" w:val="left" w:leader="none"/>
              <w:tab w:pos="9427" w:val="right" w:leader="dot"/>
            </w:tabs>
            <w:spacing w:line="240" w:lineRule="auto" w:before="276" w:after="0"/>
            <w:ind w:left="894" w:right="0" w:hanging="629"/>
            <w:jc w:val="left"/>
          </w:pPr>
          <w:r>
            <w:rPr/>
            <w:t>Management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Diarrhoea</w:t>
            <w:tab/>
            <w:t>18</w:t>
          </w:r>
        </w:p>
        <w:p>
          <w:pPr>
            <w:pStyle w:val="TOC3"/>
            <w:numPr>
              <w:ilvl w:val="2"/>
              <w:numId w:val="2"/>
            </w:numPr>
            <w:tabs>
              <w:tab w:pos="954" w:val="left" w:leader="none"/>
              <w:tab w:pos="9453" w:val="right" w:leader="dot"/>
            </w:tabs>
            <w:spacing w:line="240" w:lineRule="auto" w:before="276" w:after="0"/>
            <w:ind w:left="954" w:right="0" w:hanging="689"/>
            <w:jc w:val="left"/>
          </w:pPr>
          <w:hyperlink w:history="true" w:anchor="_TOC_250049">
            <w:r>
              <w:rPr/>
              <w:t>Prevention</w:t>
            </w:r>
            <w:r>
              <w:rPr>
                <w:spacing w:val="-1"/>
              </w:rPr>
              <w:t> </w:t>
            </w:r>
            <w:r>
              <w:rPr/>
              <w:t>of Diarrhoea</w:t>
              <w:tab/>
              <w:t>21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954" w:val="left" w:leader="none"/>
              <w:tab w:pos="9422" w:val="right" w:leader="dot"/>
            </w:tabs>
            <w:spacing w:line="240" w:lineRule="auto" w:before="276" w:after="0"/>
            <w:ind w:left="954" w:right="0" w:hanging="689"/>
            <w:jc w:val="left"/>
          </w:pPr>
          <w:hyperlink w:history="true" w:anchor="_TOC_250048">
            <w:r>
              <w:rPr/>
              <w:t>Antidiarrhoeal</w:t>
            </w:r>
            <w:r>
              <w:rPr>
                <w:spacing w:val="-1"/>
              </w:rPr>
              <w:t> </w:t>
            </w:r>
            <w:r>
              <w:rPr/>
              <w:t>Drugs…</w:t>
              <w:tab/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93" w:val="left" w:leader="none"/>
              <w:tab w:pos="894" w:val="left" w:leader="none"/>
              <w:tab w:pos="9482" w:val="right" w:leader="dot"/>
            </w:tabs>
            <w:spacing w:line="240" w:lineRule="auto" w:before="281" w:after="0"/>
            <w:ind w:left="894" w:right="0" w:hanging="629"/>
            <w:jc w:val="left"/>
          </w:pPr>
          <w:hyperlink w:history="true" w:anchor="_TOC_250047">
            <w:r>
              <w:rPr/>
              <w:t>Toxicity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Medicinal Plants</w:t>
              <w:tab/>
              <w:t>27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93" w:val="left" w:leader="none"/>
              <w:tab w:pos="894" w:val="left" w:leader="none"/>
              <w:tab w:pos="9360" w:val="right" w:leader="dot"/>
            </w:tabs>
            <w:spacing w:line="240" w:lineRule="auto" w:before="276" w:after="0"/>
            <w:ind w:left="894" w:right="0" w:hanging="629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The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plant </w:t>
          </w:r>
          <w:r>
            <w:rPr>
              <w:b w:val="0"/>
              <w:sz w:val="24"/>
            </w:rPr>
            <w:t>Combretum hypopilinum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Diels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(Combretaceae)</w:t>
            <w:tab/>
            <w:t>28</w:t>
          </w:r>
        </w:p>
        <w:p>
          <w:pPr>
            <w:pStyle w:val="TOC4"/>
            <w:numPr>
              <w:ilvl w:val="2"/>
              <w:numId w:val="2"/>
            </w:numPr>
            <w:tabs>
              <w:tab w:pos="894" w:val="left" w:leader="none"/>
              <w:tab w:pos="9449" w:val="right" w:leader="dot"/>
            </w:tabs>
            <w:spacing w:line="240" w:lineRule="auto" w:before="272" w:after="0"/>
            <w:ind w:left="894" w:right="0" w:hanging="629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Taxonomy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Combretum hypopilinum</w:t>
            <w:tab/>
          </w:r>
          <w:r>
            <w:rPr>
              <w:b w:val="0"/>
              <w:i w:val="0"/>
              <w:sz w:val="24"/>
            </w:rPr>
            <w:t>28</w:t>
          </w:r>
        </w:p>
        <w:p>
          <w:pPr>
            <w:pStyle w:val="TOC4"/>
            <w:numPr>
              <w:ilvl w:val="2"/>
              <w:numId w:val="2"/>
            </w:numPr>
            <w:tabs>
              <w:tab w:pos="894" w:val="left" w:leader="none"/>
              <w:tab w:pos="9494" w:val="right" w:leader="dot"/>
            </w:tabs>
            <w:spacing w:line="240" w:lineRule="auto" w:before="276" w:after="0"/>
            <w:ind w:left="894" w:right="0" w:hanging="629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Ethnomedicinal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Uses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Combretum hypopilinum</w:t>
            <w:tab/>
          </w:r>
          <w:r>
            <w:rPr>
              <w:b w:val="0"/>
              <w:i w:val="0"/>
              <w:sz w:val="24"/>
            </w:rPr>
            <w:t>29</w:t>
          </w:r>
        </w:p>
        <w:p>
          <w:pPr>
            <w:pStyle w:val="TOC4"/>
            <w:numPr>
              <w:ilvl w:val="2"/>
              <w:numId w:val="2"/>
            </w:numPr>
            <w:tabs>
              <w:tab w:pos="894" w:val="left" w:leader="none"/>
              <w:tab w:pos="9474" w:val="right" w:leader="dot"/>
            </w:tabs>
            <w:spacing w:line="240" w:lineRule="auto" w:before="276" w:after="0"/>
            <w:ind w:left="894" w:right="0" w:hanging="629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Previous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Scientific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Studies on </w:t>
          </w:r>
          <w:r>
            <w:rPr>
              <w:b w:val="0"/>
              <w:sz w:val="24"/>
            </w:rPr>
            <w:t>Combretum hypopilinum</w:t>
            <w:tab/>
          </w:r>
          <w:r>
            <w:rPr>
              <w:b w:val="0"/>
              <w:i w:val="0"/>
              <w:sz w:val="24"/>
            </w:rPr>
            <w:t>29</w:t>
          </w:r>
        </w:p>
        <w:p>
          <w:pPr>
            <w:pStyle w:val="TOC6"/>
            <w:tabs>
              <w:tab w:pos="9479" w:val="right" w:leader="dot"/>
            </w:tabs>
            <w:spacing w:before="281"/>
          </w:pPr>
          <w:hyperlink w:history="true" w:anchor="_TOC_25004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  <w:r>
              <w:rPr/>
              <w:tab/>
            </w:r>
            <w:r>
              <w:rPr/>
              <w:t>32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493" w:val="right" w:leader="dot"/>
            </w:tabs>
            <w:spacing w:line="240" w:lineRule="auto" w:before="281" w:after="0"/>
            <w:ind w:left="894" w:right="0" w:hanging="629"/>
            <w:jc w:val="left"/>
          </w:pPr>
          <w:hyperlink w:history="true" w:anchor="_TOC_250045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METHODS…</w:t>
            </w:r>
            <w:r>
              <w:rPr/>
              <w:tab/>
            </w:r>
            <w:r>
              <w:rPr/>
              <w:t>32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455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44">
            <w:r>
              <w:rPr/>
              <w:t>Chemicals</w:t>
            </w:r>
            <w:r>
              <w:rPr>
                <w:spacing w:val="-1"/>
              </w:rPr>
              <w:t> </w:t>
            </w:r>
            <w:r>
              <w:rPr/>
              <w:t>and Drugs</w:t>
              <w:tab/>
              <w:t>32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496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43">
            <w:r>
              <w:rPr/>
              <w:t>Equipments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Apparatus</w:t>
              <w:tab/>
              <w:t>32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509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42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Animals</w:t>
              <w:tab/>
              <w:t>33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475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41">
            <w:r>
              <w:rPr/>
              <w:t>Plant</w:t>
            </w:r>
            <w:r>
              <w:rPr>
                <w:spacing w:val="-1"/>
              </w:rPr>
              <w:t> </w:t>
            </w:r>
            <w:r>
              <w:rPr/>
              <w:t>Collection and Identification</w:t>
              <w:tab/>
              <w:t>33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516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40">
            <w:r>
              <w:rPr/>
              <w:t>Preparation and Extraction of</w:t>
            </w:r>
            <w:r>
              <w:rPr>
                <w:spacing w:val="4"/>
              </w:rPr>
              <w:t> </w:t>
            </w:r>
            <w:r>
              <w:rPr/>
              <w:t>Plant Material</w:t>
            </w:r>
            <w:r>
              <w:rPr/>
              <w:tab/>
            </w:r>
            <w:r>
              <w:rPr/>
              <w:t>33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453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39">
            <w:r>
              <w:rPr/>
              <w:t>Preliminary</w:t>
            </w:r>
            <w:r>
              <w:rPr>
                <w:spacing w:val="1"/>
              </w:rPr>
              <w:t> </w:t>
            </w:r>
            <w:r>
              <w:rPr/>
              <w:t>Phytochemical Screening…</w:t>
            </w:r>
            <w:r>
              <w:rPr/>
              <w:tab/>
            </w:r>
            <w:r>
              <w:rPr/>
              <w:t>34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34" w:val="right" w:leader="dot"/>
            </w:tabs>
            <w:spacing w:line="240" w:lineRule="auto" w:before="267" w:after="87"/>
            <w:ind w:left="894" w:right="0" w:hanging="629"/>
            <w:jc w:val="left"/>
          </w:pPr>
          <w:hyperlink w:history="true" w:anchor="_TOC_250038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Flavonoids</w:t>
              <w:tab/>
              <w:t>34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61" w:val="right" w:leader="dot"/>
            </w:tabs>
            <w:spacing w:line="240" w:lineRule="auto" w:before="62" w:after="0"/>
            <w:ind w:left="894" w:right="0" w:hanging="629"/>
            <w:jc w:val="left"/>
          </w:pPr>
          <w:hyperlink w:history="true" w:anchor="_TOC_250037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Cardiac</w:t>
            </w:r>
            <w:r>
              <w:rPr>
                <w:spacing w:val="-1"/>
              </w:rPr>
              <w:t> </w:t>
            </w:r>
            <w:r>
              <w:rPr/>
              <w:t>Glycosides…</w:t>
              <w:tab/>
              <w:t>34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29" w:val="right" w:leader="dot"/>
            </w:tabs>
            <w:spacing w:line="240" w:lineRule="auto" w:before="202" w:after="0"/>
            <w:ind w:left="894" w:right="0" w:hanging="629"/>
            <w:jc w:val="left"/>
          </w:pPr>
          <w:hyperlink w:history="true" w:anchor="_TOC_250036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Saponins</w:t>
              <w:tab/>
              <w:t>35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41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35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Tannins</w:t>
              <w:tab/>
              <w:t>35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53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34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Steroids and Triterpenes…</w:t>
              <w:tab/>
              <w:t>35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82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33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Alkaloids</w:t>
              <w:tab/>
              <w:t>36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22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32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Anthraquinones</w:t>
              <w:tab/>
              <w:t>36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475" w:val="right" w:leader="dot"/>
            </w:tabs>
            <w:spacing w:line="240" w:lineRule="auto" w:before="286" w:after="0"/>
            <w:ind w:left="894" w:right="0" w:hanging="629"/>
            <w:jc w:val="left"/>
          </w:pPr>
          <w:hyperlink w:history="true" w:anchor="_TOC_250031">
            <w:r>
              <w:rPr/>
              <w:t>Acute</w:t>
            </w:r>
            <w:r>
              <w:rPr>
                <w:spacing w:val="-3"/>
              </w:rPr>
              <w:t> </w:t>
            </w:r>
            <w:r>
              <w:rPr/>
              <w:t>Toxicity Study…</w:t>
            </w:r>
            <w:r>
              <w:rPr/>
              <w:tab/>
            </w:r>
            <w:r>
              <w:rPr/>
              <w:t>36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422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30">
            <w:r>
              <w:rPr/>
              <w:t>Evaluation of</w:t>
            </w:r>
            <w:r>
              <w:rPr>
                <w:spacing w:val="1"/>
              </w:rPr>
              <w:t> </w:t>
            </w:r>
            <w:r>
              <w:rPr/>
              <w:t>Antidiarrhoeal Activity…</w:t>
            </w:r>
            <w:r>
              <w:rPr/>
              <w:tab/>
            </w:r>
            <w:r>
              <w:rPr/>
              <w:t>37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20" w:val="right" w:leader="dot"/>
            </w:tabs>
            <w:spacing w:line="240" w:lineRule="auto" w:before="267" w:after="0"/>
            <w:ind w:left="894" w:right="0" w:hanging="629"/>
            <w:jc w:val="left"/>
          </w:pPr>
          <w:hyperlink w:history="true" w:anchor="_TOC_250029">
            <w:r>
              <w:rPr/>
              <w:t>Castor</w:t>
            </w:r>
            <w:r>
              <w:rPr>
                <w:spacing w:val="-1"/>
              </w:rPr>
              <w:t> </w:t>
            </w:r>
            <w:r>
              <w:rPr/>
              <w:t>Oil-Induced</w:t>
            </w:r>
            <w:r>
              <w:rPr>
                <w:spacing w:val="2"/>
              </w:rPr>
              <w:t> </w:t>
            </w:r>
            <w:r>
              <w:rPr/>
              <w:t>Diarrhoea</w:t>
            </w:r>
            <w:r>
              <w:rPr>
                <w:spacing w:val="-1"/>
              </w:rPr>
              <w:t> </w:t>
            </w:r>
            <w:r>
              <w:rPr/>
              <w:t>in Mice</w:t>
              <w:tab/>
              <w:t>37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355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28">
            <w:r>
              <w:rPr/>
              <w:t>Castor</w:t>
            </w:r>
            <w:r>
              <w:rPr>
                <w:spacing w:val="-1"/>
              </w:rPr>
              <w:t> </w:t>
            </w:r>
            <w:r>
              <w:rPr/>
              <w:t>Oil-Induced Enteropooling</w:t>
            </w:r>
            <w:r>
              <w:rPr>
                <w:spacing w:val="-3"/>
              </w:rPr>
              <w:t> </w:t>
            </w:r>
            <w:r>
              <w:rPr/>
              <w:t>in Mice</w:t>
              <w:tab/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29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27">
            <w:r>
              <w:rPr/>
              <w:t>Intestinal</w:t>
            </w:r>
            <w:r>
              <w:rPr>
                <w:spacing w:val="-1"/>
              </w:rPr>
              <w:t> </w:t>
            </w:r>
            <w:r>
              <w:rPr/>
              <w:t>Motility</w:t>
            </w:r>
            <w:r>
              <w:rPr>
                <w:spacing w:val="-5"/>
              </w:rPr>
              <w:t> </w:t>
            </w:r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in Mice</w:t>
              <w:tab/>
              <w:t>39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461" w:val="right" w:leader="dot"/>
            </w:tabs>
            <w:spacing w:line="240" w:lineRule="auto" w:before="285" w:after="0"/>
            <w:ind w:left="894" w:right="0" w:hanging="629"/>
            <w:jc w:val="left"/>
          </w:pPr>
          <w:hyperlink w:history="true" w:anchor="_TOC_250026">
            <w:r>
              <w:rPr/>
              <w:t>Mechanisms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Antidiarrhoeal Activity…</w:t>
            </w:r>
            <w:r>
              <w:rPr/>
              <w:tab/>
            </w:r>
            <w:r>
              <w:rPr/>
              <w:t>40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67" w:val="right" w:leader="dot"/>
            </w:tabs>
            <w:spacing w:line="240" w:lineRule="auto" w:before="277" w:after="0"/>
            <w:ind w:left="894" w:right="0" w:hanging="629"/>
            <w:jc w:val="left"/>
          </w:pPr>
          <w:hyperlink w:history="true" w:anchor="_TOC_250025">
            <w:r>
              <w:rPr/>
              <w:t>Opioidergic Pathway</w:t>
              <w:tab/>
              <w:t>40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99" w:val="right" w:leader="dot"/>
            </w:tabs>
            <w:spacing w:line="240" w:lineRule="auto" w:before="281" w:after="0"/>
            <w:ind w:left="894" w:right="0" w:hanging="629"/>
            <w:jc w:val="left"/>
          </w:pPr>
          <w:hyperlink w:history="true" w:anchor="_TOC_250024">
            <w:r>
              <w:rPr/>
              <w:t>α</w:t>
            </w:r>
            <w:r>
              <w:rPr>
                <w:vertAlign w:val="subscript"/>
              </w:rPr>
              <w:t>1</w:t>
            </w:r>
            <w:r>
              <w:rPr>
                <w:vertAlign w:val="baseline"/>
              </w:rPr>
              <w:t>-adrenergic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Pathway</w:t>
              <w:tab/>
              <w:t>41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99" w:val="right" w:leader="dot"/>
            </w:tabs>
            <w:spacing w:line="240" w:lineRule="auto" w:before="281" w:after="0"/>
            <w:ind w:left="894" w:right="0" w:hanging="629"/>
            <w:jc w:val="left"/>
          </w:pPr>
          <w:hyperlink w:history="true" w:anchor="_TOC_250023">
            <w:r>
              <w:rPr/>
              <w:t>α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-adrenergic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Pathway</w:t>
              <w:tab/>
              <w:t>41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4" w:val="left" w:leader="none"/>
              <w:tab w:pos="9477" w:val="right" w:leader="dot"/>
            </w:tabs>
            <w:spacing w:line="240" w:lineRule="auto" w:before="280" w:after="0"/>
            <w:ind w:left="894" w:right="0" w:hanging="629"/>
            <w:jc w:val="left"/>
          </w:pPr>
          <w:hyperlink w:history="true" w:anchor="_TOC_250022">
            <w:r>
              <w:rPr/>
              <w:t>β</w:t>
            </w:r>
            <w:r>
              <w:rPr>
                <w:b/>
              </w:rPr>
              <w:t>-</w:t>
            </w:r>
            <w:r>
              <w:rPr/>
              <w:t>adrenergic</w:t>
            </w:r>
            <w:r>
              <w:rPr>
                <w:spacing w:val="-1"/>
              </w:rPr>
              <w:t> </w:t>
            </w:r>
            <w:r>
              <w:rPr/>
              <w:t>Pathway</w:t>
              <w:tab/>
              <w:t>41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894" w:val="left" w:leader="none"/>
              <w:tab w:pos="9456" w:val="right" w:leader="dot"/>
            </w:tabs>
            <w:spacing w:line="240" w:lineRule="auto" w:before="281" w:after="0"/>
            <w:ind w:left="894" w:right="0" w:hanging="629"/>
            <w:jc w:val="left"/>
          </w:pPr>
          <w:r>
            <w:rPr/>
            <w:t>Cholinergic</w:t>
          </w:r>
          <w:r>
            <w:rPr>
              <w:spacing w:val="-1"/>
            </w:rPr>
            <w:t> </w:t>
          </w:r>
          <w:r>
            <w:rPr/>
            <w:t>Pathway</w:t>
            <w:tab/>
            <w:t>42</w:t>
          </w:r>
        </w:p>
        <w:p>
          <w:pPr>
            <w:pStyle w:val="TOC3"/>
            <w:numPr>
              <w:ilvl w:val="2"/>
              <w:numId w:val="4"/>
            </w:numPr>
            <w:tabs>
              <w:tab w:pos="894" w:val="left" w:leader="none"/>
              <w:tab w:pos="9468" w:val="right" w:leader="dot"/>
            </w:tabs>
            <w:spacing w:line="240" w:lineRule="auto" w:before="281" w:after="0"/>
            <w:ind w:left="894" w:right="0" w:hanging="629"/>
            <w:jc w:val="left"/>
          </w:pPr>
          <w:r>
            <w:rPr/>
            <w:t>Nitric</w:t>
          </w:r>
          <w:r>
            <w:rPr>
              <w:spacing w:val="-1"/>
            </w:rPr>
            <w:t> </w:t>
          </w:r>
          <w:r>
            <w:rPr/>
            <w:t>Oxide</w:t>
          </w:r>
          <w:r>
            <w:rPr>
              <w:spacing w:val="-1"/>
            </w:rPr>
            <w:t> </w:t>
          </w:r>
          <w:r>
            <w:rPr/>
            <w:t>Pathway</w:t>
            <w:tab/>
            <w:t>42</w:t>
          </w:r>
        </w:p>
        <w:p>
          <w:pPr>
            <w:pStyle w:val="TOC2"/>
            <w:numPr>
              <w:ilvl w:val="1"/>
              <w:numId w:val="3"/>
            </w:numPr>
            <w:tabs>
              <w:tab w:pos="893" w:val="left" w:leader="none"/>
              <w:tab w:pos="894" w:val="left" w:leader="none"/>
              <w:tab w:pos="9177" w:val="right" w:leader="dot"/>
            </w:tabs>
            <w:spacing w:line="240" w:lineRule="auto" w:before="201" w:after="0"/>
            <w:ind w:left="894" w:right="0" w:hanging="629"/>
            <w:jc w:val="left"/>
          </w:pPr>
          <w:hyperlink w:history="true" w:anchor="_TOC_250021">
            <w:r>
              <w:rPr/>
              <w:t>Sub-Acute</w:t>
            </w:r>
            <w:r>
              <w:rPr>
                <w:spacing w:val="-3"/>
              </w:rPr>
              <w:t> </w:t>
            </w:r>
            <w:r>
              <w:rPr/>
              <w:t>Toxicity Study.</w:t>
              <w:tab/>
              <w:t>43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954" w:val="left" w:leader="none"/>
              <w:tab w:pos="9487" w:val="right" w:leader="dot"/>
            </w:tabs>
            <w:spacing w:line="240" w:lineRule="auto" w:before="272" w:after="0"/>
            <w:ind w:left="954" w:right="0" w:hanging="689"/>
            <w:jc w:val="left"/>
          </w:pPr>
          <w:hyperlink w:history="true" w:anchor="_TOC_250020">
            <w:r>
              <w:rPr/>
              <w:t>Biochemical Analysis</w:t>
              <w:tab/>
              <w:t>43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954" w:val="left" w:leader="none"/>
              <w:tab w:pos="9434" w:val="right" w:leader="dot"/>
            </w:tabs>
            <w:spacing w:line="240" w:lineRule="auto" w:before="276" w:after="0"/>
            <w:ind w:left="954" w:right="0" w:hanging="689"/>
            <w:jc w:val="left"/>
          </w:pPr>
          <w:hyperlink w:history="true" w:anchor="_TOC_250019">
            <w:r>
              <w:rPr/>
              <w:t>Haematological</w:t>
            </w:r>
            <w:r>
              <w:rPr>
                <w:spacing w:val="-1"/>
              </w:rPr>
              <w:t> </w:t>
            </w:r>
            <w:r>
              <w:rPr/>
              <w:t>Analysis…</w:t>
              <w:tab/>
              <w:t>43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954" w:val="left" w:leader="none"/>
              <w:tab w:pos="9386" w:val="right" w:leader="dot"/>
            </w:tabs>
            <w:spacing w:line="240" w:lineRule="auto" w:before="276" w:after="0"/>
            <w:ind w:left="954" w:right="0" w:hanging="689"/>
            <w:jc w:val="left"/>
          </w:pPr>
          <w:r>
            <w:rPr/>
            <w:t>Histopathology</w:t>
          </w:r>
          <w:r>
            <w:rPr>
              <w:spacing w:val="-6"/>
            </w:rPr>
            <w:t> </w:t>
          </w:r>
          <w:r>
            <w:rPr/>
            <w:t>and Relative</w:t>
          </w:r>
          <w:r>
            <w:rPr>
              <w:spacing w:val="-1"/>
            </w:rPr>
            <w:t> </w:t>
          </w:r>
          <w:r>
            <w:rPr/>
            <w:t>Organ Weight…</w:t>
            <w:tab/>
            <w:t>44</w:t>
          </w:r>
        </w:p>
        <w:p>
          <w:pPr>
            <w:pStyle w:val="TOC2"/>
            <w:numPr>
              <w:ilvl w:val="1"/>
              <w:numId w:val="3"/>
            </w:numPr>
            <w:tabs>
              <w:tab w:pos="866" w:val="left" w:leader="none"/>
              <w:tab w:pos="9487" w:val="right" w:leader="dot"/>
            </w:tabs>
            <w:spacing w:line="240" w:lineRule="auto" w:before="283" w:after="0"/>
            <w:ind w:left="865" w:right="0" w:hanging="601"/>
            <w:jc w:val="left"/>
          </w:pPr>
          <w:hyperlink w:history="true" w:anchor="_TOC_250018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/>
              <w:tab/>
            </w:r>
            <w:r>
              <w:rPr/>
              <w:t>44</w:t>
            </w:r>
          </w:hyperlink>
        </w:p>
        <w:p>
          <w:pPr>
            <w:pStyle w:val="TOC6"/>
            <w:tabs>
              <w:tab w:pos="9499" w:val="right" w:leader="dot"/>
            </w:tabs>
            <w:spacing w:after="128"/>
          </w:pPr>
          <w:hyperlink w:history="true" w:anchor="_TOC_250017">
            <w:r>
              <w:rPr/>
              <w:t>CHAPTER FOUR…</w:t>
            </w:r>
            <w:r>
              <w:rPr/>
              <w:tab/>
            </w:r>
            <w:r>
              <w:rPr/>
              <w:t>45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93" w:val="left" w:leader="none"/>
              <w:tab w:pos="894" w:val="left" w:leader="none"/>
              <w:tab w:pos="9249" w:val="left" w:leader="dot"/>
            </w:tabs>
            <w:spacing w:line="240" w:lineRule="auto" w:before="74" w:after="0"/>
            <w:ind w:left="894" w:right="0" w:hanging="629"/>
            <w:jc w:val="left"/>
          </w:pPr>
          <w:hyperlink w:history="true" w:anchor="_TOC_250016">
            <w:r>
              <w:rPr/>
              <w:t>RESULTS</w:t>
            </w:r>
            <w:r>
              <w:rPr/>
              <w:tab/>
            </w:r>
            <w:r>
              <w:rPr/>
              <w:t>45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893" w:val="left" w:leader="none"/>
              <w:tab w:pos="894" w:val="left" w:leader="none"/>
              <w:tab w:pos="9192" w:val="left" w:leader="dot"/>
            </w:tabs>
            <w:spacing w:line="240" w:lineRule="auto" w:before="276" w:after="0"/>
            <w:ind w:left="894" w:right="0" w:hanging="629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Percentage</w:t>
          </w:r>
          <w:r>
            <w:rPr>
              <w:i w:val="0"/>
              <w:spacing w:val="-4"/>
              <w:sz w:val="24"/>
            </w:rPr>
            <w:t> </w:t>
          </w:r>
          <w:r>
            <w:rPr>
              <w:i w:val="0"/>
              <w:sz w:val="24"/>
            </w:rPr>
            <w:t>Yield of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Methanol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Leaf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Extract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2"/>
              <w:sz w:val="24"/>
            </w:rPr>
            <w:t> </w:t>
          </w:r>
          <w:r>
            <w:rPr>
              <w:sz w:val="24"/>
            </w:rPr>
            <w:t>Combretum</w:t>
          </w:r>
          <w:r>
            <w:rPr>
              <w:spacing w:val="1"/>
              <w:sz w:val="24"/>
            </w:rPr>
            <w:t> </w:t>
          </w:r>
          <w:r>
            <w:rPr>
              <w:sz w:val="24"/>
            </w:rPr>
            <w:t>hypopilinum</w:t>
            <w:tab/>
          </w:r>
          <w:r>
            <w:rPr>
              <w:i w:val="0"/>
              <w:sz w:val="24"/>
            </w:rPr>
            <w:t>45</w:t>
          </w:r>
        </w:p>
        <w:p>
          <w:pPr>
            <w:pStyle w:val="TOC2"/>
            <w:numPr>
              <w:ilvl w:val="1"/>
              <w:numId w:val="5"/>
            </w:numPr>
            <w:tabs>
              <w:tab w:pos="893" w:val="left" w:leader="none"/>
              <w:tab w:pos="894" w:val="left" w:leader="none"/>
              <w:tab w:pos="9213" w:val="left" w:leader="dot"/>
            </w:tabs>
            <w:spacing w:line="240" w:lineRule="auto" w:before="276" w:after="0"/>
            <w:ind w:left="894" w:right="0" w:hanging="629"/>
            <w:jc w:val="left"/>
          </w:pPr>
          <w:r>
            <w:rPr/>
            <w:t>Phytochemical</w:t>
          </w:r>
          <w:r>
            <w:rPr>
              <w:spacing w:val="-4"/>
            </w:rPr>
            <w:t> </w:t>
          </w:r>
          <w:r>
            <w:rPr/>
            <w:t>Constituents…</w:t>
          </w:r>
          <w:r>
            <w:rPr/>
            <w:tab/>
          </w:r>
          <w:r>
            <w:rPr/>
            <w:t>45</w:t>
          </w:r>
        </w:p>
        <w:p>
          <w:pPr>
            <w:pStyle w:val="TOC2"/>
            <w:numPr>
              <w:ilvl w:val="1"/>
              <w:numId w:val="5"/>
            </w:numPr>
            <w:tabs>
              <w:tab w:pos="893" w:val="left" w:leader="none"/>
              <w:tab w:pos="894" w:val="left" w:leader="none"/>
              <w:tab w:pos="9173" w:val="left" w:leader="dot"/>
            </w:tabs>
            <w:spacing w:line="240" w:lineRule="auto" w:before="277" w:after="0"/>
            <w:ind w:left="894" w:right="0" w:hanging="629"/>
            <w:jc w:val="left"/>
          </w:pPr>
          <w:hyperlink w:history="true" w:anchor="_TOC_250015">
            <w:r>
              <w:rPr/>
              <w:t>Acute</w:t>
            </w:r>
            <w:r>
              <w:rPr>
                <w:spacing w:val="-3"/>
              </w:rPr>
              <w:t> </w:t>
            </w:r>
            <w:r>
              <w:rPr/>
              <w:t>Toxicity</w:t>
            </w:r>
            <w:r>
              <w:rPr>
                <w:spacing w:val="-1"/>
              </w:rPr>
              <w:t> </w:t>
            </w:r>
            <w:r>
              <w:rPr/>
              <w:t>Study…</w:t>
            </w:r>
            <w:r>
              <w:rPr/>
              <w:tab/>
            </w:r>
            <w:r>
              <w:rPr/>
              <w:t>47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893" w:val="left" w:leader="none"/>
              <w:tab w:pos="894" w:val="left" w:leader="none"/>
            </w:tabs>
            <w:spacing w:line="240" w:lineRule="auto" w:before="276" w:after="0"/>
            <w:ind w:left="894" w:right="0" w:hanging="629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Antidiarrhoeal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Activity</w:t>
          </w:r>
          <w:r>
            <w:rPr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of Methanol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Leaf</w:t>
          </w:r>
          <w:r>
            <w:rPr>
              <w:i w:val="0"/>
              <w:spacing w:val="59"/>
              <w:sz w:val="24"/>
            </w:rPr>
            <w:t> </w:t>
          </w:r>
          <w:r>
            <w:rPr>
              <w:i w:val="0"/>
              <w:sz w:val="24"/>
            </w:rPr>
            <w:t>Extract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of </w:t>
          </w:r>
          <w:r>
            <w:rPr>
              <w:sz w:val="24"/>
            </w:rPr>
            <w:t>Combretum</w:t>
          </w:r>
          <w:r>
            <w:rPr>
              <w:spacing w:val="1"/>
              <w:sz w:val="24"/>
            </w:rPr>
            <w:t> </w:t>
          </w:r>
          <w:r>
            <w:rPr>
              <w:sz w:val="24"/>
            </w:rPr>
            <w:t>hypopilinum…</w:t>
          </w:r>
          <w:r>
            <w:rPr>
              <w:spacing w:val="56"/>
              <w:sz w:val="24"/>
            </w:rPr>
            <w:t> </w:t>
          </w:r>
          <w:r>
            <w:rPr>
              <w:i w:val="0"/>
              <w:sz w:val="24"/>
            </w:rPr>
            <w:t>48</w:t>
          </w:r>
        </w:p>
        <w:p>
          <w:pPr>
            <w:pStyle w:val="TOC4"/>
            <w:numPr>
              <w:ilvl w:val="2"/>
              <w:numId w:val="5"/>
            </w:numPr>
            <w:tabs>
              <w:tab w:pos="894" w:val="left" w:leader="none"/>
              <w:tab w:pos="9194" w:val="left" w:leader="dot"/>
            </w:tabs>
            <w:spacing w:line="199" w:lineRule="auto" w:before="219" w:after="0"/>
            <w:ind w:left="893" w:right="478" w:hanging="629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59"/>
              <w:sz w:val="24"/>
            </w:rPr>
            <w:t> </w:t>
          </w:r>
          <w:r>
            <w:rPr>
              <w:b w:val="0"/>
              <w:i w:val="0"/>
              <w:sz w:val="24"/>
            </w:rPr>
            <w:t>Methanol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Leaf  Extract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Combretum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hypopilinum</w:t>
          </w:r>
          <w:r>
            <w:rPr>
              <w:b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Castor</w:t>
          </w:r>
          <w:r>
            <w:rPr>
              <w:b w:val="0"/>
              <w:i w:val="0"/>
              <w:spacing w:val="59"/>
              <w:sz w:val="24"/>
            </w:rPr>
            <w:t> </w:t>
          </w:r>
          <w:r>
            <w:rPr>
              <w:b w:val="0"/>
              <w:i w:val="0"/>
              <w:sz w:val="24"/>
            </w:rPr>
            <w:t>Oil-induced</w:t>
          </w:r>
          <w:r>
            <w:rPr>
              <w:b w:val="0"/>
              <w:i w:val="0"/>
              <w:spacing w:val="-57"/>
              <w:sz w:val="24"/>
            </w:rPr>
            <w:t> </w:t>
          </w:r>
          <w:r>
            <w:rPr>
              <w:b w:val="0"/>
              <w:i w:val="0"/>
              <w:sz w:val="24"/>
            </w:rPr>
            <w:t>Diarrhoea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in Mice</w:t>
            <w:tab/>
            <w:t>48</w:t>
          </w:r>
        </w:p>
        <w:p>
          <w:pPr>
            <w:pStyle w:val="TOC4"/>
            <w:numPr>
              <w:ilvl w:val="2"/>
              <w:numId w:val="5"/>
            </w:numPr>
            <w:tabs>
              <w:tab w:pos="894" w:val="left" w:leader="none"/>
              <w:tab w:pos="9187" w:val="left" w:leader="dot"/>
            </w:tabs>
            <w:spacing w:line="240" w:lineRule="auto" w:before="209" w:after="0"/>
            <w:ind w:left="893" w:right="514" w:hanging="629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55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55"/>
              <w:sz w:val="24"/>
            </w:rPr>
            <w:t> </w:t>
          </w:r>
          <w:r>
            <w:rPr>
              <w:b w:val="0"/>
              <w:i w:val="0"/>
              <w:sz w:val="24"/>
            </w:rPr>
            <w:t>Methanol</w:t>
          </w:r>
          <w:r>
            <w:rPr>
              <w:b w:val="0"/>
              <w:i w:val="0"/>
              <w:spacing w:val="58"/>
              <w:sz w:val="24"/>
            </w:rPr>
            <w:t> </w:t>
          </w:r>
          <w:r>
            <w:rPr>
              <w:b w:val="0"/>
              <w:i w:val="0"/>
              <w:sz w:val="24"/>
            </w:rPr>
            <w:t>Leaf</w:t>
          </w:r>
          <w:r>
            <w:rPr>
              <w:b w:val="0"/>
              <w:i w:val="0"/>
              <w:spacing w:val="54"/>
              <w:sz w:val="24"/>
            </w:rPr>
            <w:t> </w:t>
          </w:r>
          <w:r>
            <w:rPr>
              <w:b w:val="0"/>
              <w:i w:val="0"/>
              <w:sz w:val="24"/>
            </w:rPr>
            <w:t>Extract</w:t>
          </w:r>
          <w:r>
            <w:rPr>
              <w:b w:val="0"/>
              <w:i w:val="0"/>
              <w:spacing w:val="56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56"/>
              <w:sz w:val="24"/>
            </w:rPr>
            <w:t> </w:t>
          </w:r>
          <w:r>
            <w:rPr>
              <w:b w:val="0"/>
              <w:sz w:val="24"/>
            </w:rPr>
            <w:t>Combretum</w:t>
          </w:r>
          <w:r>
            <w:rPr>
              <w:b w:val="0"/>
              <w:spacing w:val="55"/>
              <w:sz w:val="24"/>
            </w:rPr>
            <w:t> </w:t>
          </w:r>
          <w:r>
            <w:rPr>
              <w:b w:val="0"/>
              <w:sz w:val="24"/>
            </w:rPr>
            <w:t>hypopilinum</w:t>
          </w:r>
          <w:r>
            <w:rPr>
              <w:b w:val="0"/>
              <w:spacing w:val="57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55"/>
              <w:sz w:val="24"/>
            </w:rPr>
            <w:t> </w:t>
          </w:r>
          <w:r>
            <w:rPr>
              <w:b w:val="0"/>
              <w:i w:val="0"/>
              <w:sz w:val="24"/>
            </w:rPr>
            <w:t>Castor</w:t>
          </w:r>
          <w:r>
            <w:rPr>
              <w:b w:val="0"/>
              <w:i w:val="0"/>
              <w:spacing w:val="55"/>
              <w:sz w:val="24"/>
            </w:rPr>
            <w:t> </w:t>
          </w:r>
          <w:r>
            <w:rPr>
              <w:b w:val="0"/>
              <w:i w:val="0"/>
              <w:sz w:val="24"/>
            </w:rPr>
            <w:t>Oil-Induced</w:t>
          </w:r>
          <w:r>
            <w:rPr>
              <w:b w:val="0"/>
              <w:i w:val="0"/>
              <w:spacing w:val="-57"/>
              <w:sz w:val="24"/>
            </w:rPr>
            <w:t> </w:t>
          </w:r>
          <w:r>
            <w:rPr>
              <w:b w:val="0"/>
              <w:i w:val="0"/>
              <w:sz w:val="24"/>
            </w:rPr>
            <w:t>Enteropooling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in Mice</w:t>
            <w:tab/>
            <w:t>50</w:t>
          </w:r>
        </w:p>
        <w:p>
          <w:pPr>
            <w:pStyle w:val="TOC4"/>
            <w:numPr>
              <w:ilvl w:val="2"/>
              <w:numId w:val="5"/>
            </w:numPr>
            <w:tabs>
              <w:tab w:pos="894" w:val="left" w:leader="none"/>
              <w:tab w:pos="9194" w:val="left" w:leader="dot"/>
            </w:tabs>
            <w:spacing w:line="242" w:lineRule="auto" w:before="196" w:after="0"/>
            <w:ind w:left="893" w:right="518" w:hanging="629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17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6"/>
              <w:sz w:val="24"/>
            </w:rPr>
            <w:t> </w:t>
          </w:r>
          <w:r>
            <w:rPr>
              <w:b w:val="0"/>
              <w:i w:val="0"/>
              <w:sz w:val="24"/>
            </w:rPr>
            <w:t>Methanol</w:t>
          </w:r>
          <w:r>
            <w:rPr>
              <w:b w:val="0"/>
              <w:i w:val="0"/>
              <w:spacing w:val="19"/>
              <w:sz w:val="24"/>
            </w:rPr>
            <w:t> </w:t>
          </w:r>
          <w:r>
            <w:rPr>
              <w:b w:val="0"/>
              <w:i w:val="0"/>
              <w:sz w:val="24"/>
            </w:rPr>
            <w:t>Leaf</w:t>
          </w:r>
          <w:r>
            <w:rPr>
              <w:b w:val="0"/>
              <w:i w:val="0"/>
              <w:spacing w:val="19"/>
              <w:sz w:val="24"/>
            </w:rPr>
            <w:t> </w:t>
          </w:r>
          <w:r>
            <w:rPr>
              <w:b w:val="0"/>
              <w:i w:val="0"/>
              <w:sz w:val="24"/>
            </w:rPr>
            <w:t>Extract</w:t>
          </w:r>
          <w:r>
            <w:rPr>
              <w:b w:val="0"/>
              <w:i w:val="0"/>
              <w:spacing w:val="17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8"/>
              <w:sz w:val="24"/>
            </w:rPr>
            <w:t> </w:t>
          </w:r>
          <w:r>
            <w:rPr>
              <w:b w:val="0"/>
              <w:sz w:val="24"/>
            </w:rPr>
            <w:t>Combretum</w:t>
          </w:r>
          <w:r>
            <w:rPr>
              <w:b w:val="0"/>
              <w:spacing w:val="15"/>
              <w:sz w:val="24"/>
            </w:rPr>
            <w:t> </w:t>
          </w:r>
          <w:r>
            <w:rPr>
              <w:b w:val="0"/>
              <w:sz w:val="24"/>
            </w:rPr>
            <w:t>hypopilinum</w:t>
          </w:r>
          <w:r>
            <w:rPr>
              <w:b w:val="0"/>
              <w:spacing w:val="18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19"/>
              <w:sz w:val="24"/>
            </w:rPr>
            <w:t> </w:t>
          </w:r>
          <w:r>
            <w:rPr>
              <w:b w:val="0"/>
              <w:i w:val="0"/>
              <w:sz w:val="24"/>
            </w:rPr>
            <w:t>Intestinal</w:t>
          </w:r>
          <w:r>
            <w:rPr>
              <w:b w:val="0"/>
              <w:i w:val="0"/>
              <w:spacing w:val="17"/>
              <w:sz w:val="24"/>
            </w:rPr>
            <w:t> </w:t>
          </w:r>
          <w:r>
            <w:rPr>
              <w:b w:val="0"/>
              <w:i w:val="0"/>
              <w:sz w:val="24"/>
            </w:rPr>
            <w:t>Motility</w:t>
          </w:r>
          <w:r>
            <w:rPr>
              <w:b w:val="0"/>
              <w:i w:val="0"/>
              <w:spacing w:val="10"/>
              <w:sz w:val="24"/>
            </w:rPr>
            <w:t> </w:t>
          </w:r>
          <w:r>
            <w:rPr>
              <w:b w:val="0"/>
              <w:i w:val="0"/>
              <w:sz w:val="24"/>
            </w:rPr>
            <w:t>Test</w:t>
          </w:r>
          <w:r>
            <w:rPr>
              <w:b w:val="0"/>
              <w:i w:val="0"/>
              <w:spacing w:val="-57"/>
              <w:sz w:val="24"/>
            </w:rPr>
            <w:t> </w:t>
          </w:r>
          <w:r>
            <w:rPr>
              <w:b w:val="0"/>
              <w:i w:val="0"/>
              <w:sz w:val="24"/>
            </w:rPr>
            <w:t>in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Mice</w:t>
            <w:tab/>
            <w:t>52</w:t>
          </w:r>
        </w:p>
        <w:p>
          <w:pPr>
            <w:pStyle w:val="TOC4"/>
            <w:numPr>
              <w:ilvl w:val="1"/>
              <w:numId w:val="5"/>
            </w:numPr>
            <w:tabs>
              <w:tab w:pos="893" w:val="left" w:leader="none"/>
              <w:tab w:pos="894" w:val="left" w:leader="none"/>
              <w:tab w:pos="9228" w:val="left" w:leader="dot"/>
            </w:tabs>
            <w:spacing w:line="240" w:lineRule="auto" w:before="201" w:after="0"/>
            <w:ind w:left="893" w:right="479" w:hanging="629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Mechanisms</w:t>
          </w:r>
          <w:r>
            <w:rPr>
              <w:i w:val="0"/>
              <w:spacing w:val="48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47"/>
              <w:sz w:val="24"/>
            </w:rPr>
            <w:t> </w:t>
          </w:r>
          <w:r>
            <w:rPr>
              <w:i w:val="0"/>
              <w:sz w:val="24"/>
            </w:rPr>
            <w:t>Antidiarrhoeal</w:t>
          </w:r>
          <w:r>
            <w:rPr>
              <w:i w:val="0"/>
              <w:spacing w:val="46"/>
              <w:sz w:val="24"/>
            </w:rPr>
            <w:t> </w:t>
          </w:r>
          <w:r>
            <w:rPr>
              <w:i w:val="0"/>
              <w:sz w:val="24"/>
            </w:rPr>
            <w:t>Activity</w:t>
          </w:r>
          <w:r>
            <w:rPr>
              <w:i w:val="0"/>
              <w:spacing w:val="48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48"/>
              <w:sz w:val="24"/>
            </w:rPr>
            <w:t> </w:t>
          </w:r>
          <w:r>
            <w:rPr>
              <w:i w:val="0"/>
              <w:sz w:val="24"/>
            </w:rPr>
            <w:t>Methanol</w:t>
          </w:r>
          <w:r>
            <w:rPr>
              <w:i w:val="0"/>
              <w:spacing w:val="46"/>
              <w:sz w:val="24"/>
            </w:rPr>
            <w:t> </w:t>
          </w:r>
          <w:r>
            <w:rPr>
              <w:i w:val="0"/>
              <w:sz w:val="24"/>
            </w:rPr>
            <w:t>Leaf</w:t>
          </w:r>
          <w:r>
            <w:rPr>
              <w:i w:val="0"/>
              <w:spacing w:val="47"/>
              <w:sz w:val="24"/>
            </w:rPr>
            <w:t> </w:t>
          </w:r>
          <w:r>
            <w:rPr>
              <w:i w:val="0"/>
              <w:sz w:val="24"/>
            </w:rPr>
            <w:t>Extract</w:t>
          </w:r>
          <w:r>
            <w:rPr>
              <w:i w:val="0"/>
              <w:spacing w:val="45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50"/>
              <w:sz w:val="24"/>
            </w:rPr>
            <w:t> </w:t>
          </w:r>
          <w:r>
            <w:rPr>
              <w:sz w:val="24"/>
            </w:rPr>
            <w:t>Combretum</w:t>
          </w:r>
          <w:r>
            <w:rPr>
              <w:spacing w:val="-57"/>
              <w:sz w:val="24"/>
            </w:rPr>
            <w:t> </w:t>
          </w:r>
          <w:r>
            <w:rPr>
              <w:sz w:val="24"/>
            </w:rPr>
            <w:t>hypopilinum</w:t>
            <w:tab/>
          </w:r>
          <w:r>
            <w:rPr>
              <w:i w:val="0"/>
              <w:sz w:val="24"/>
            </w:rPr>
            <w:t>54</w:t>
          </w:r>
        </w:p>
        <w:p>
          <w:pPr>
            <w:pStyle w:val="TOC2"/>
            <w:numPr>
              <w:ilvl w:val="1"/>
              <w:numId w:val="5"/>
            </w:numPr>
            <w:tabs>
              <w:tab w:pos="893" w:val="left" w:leader="none"/>
              <w:tab w:pos="894" w:val="left" w:leader="none"/>
              <w:tab w:pos="9177" w:val="lef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14">
            <w:r>
              <w:rPr/>
              <w:t>Sub-Acute</w:t>
            </w:r>
            <w:r>
              <w:rPr>
                <w:spacing w:val="-4"/>
              </w:rPr>
              <w:t> </w:t>
            </w:r>
            <w:r>
              <w:rPr/>
              <w:t>Toxicity</w:t>
            </w:r>
            <w:r>
              <w:rPr>
                <w:spacing w:val="-1"/>
              </w:rPr>
              <w:t> </w:t>
            </w:r>
            <w:r>
              <w:rPr/>
              <w:t>Study…</w:t>
            </w:r>
            <w:r>
              <w:rPr/>
              <w:tab/>
            </w:r>
            <w:r>
              <w:rPr/>
              <w:t>62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899" w:val="left" w:leader="none"/>
              <w:tab w:pos="9113" w:val="left" w:leader="dot"/>
            </w:tabs>
            <w:spacing w:line="240" w:lineRule="auto" w:before="194" w:after="0"/>
            <w:ind w:left="985" w:right="478" w:hanging="720"/>
            <w:jc w:val="left"/>
          </w:pPr>
          <w:hyperlink w:history="true" w:anchor="_TOC_250013">
            <w:r>
              <w:rPr/>
              <w:t>Effect</w:t>
            </w:r>
            <w:r>
              <w:rPr>
                <w:spacing w:val="32"/>
              </w:rPr>
              <w:t> </w:t>
            </w:r>
            <w:r>
              <w:rPr/>
              <w:t>of</w:t>
            </w:r>
            <w:r>
              <w:rPr>
                <w:spacing w:val="32"/>
              </w:rPr>
              <w:t> </w:t>
            </w:r>
            <w:r>
              <w:rPr/>
              <w:t>28-Days</w:t>
            </w:r>
            <w:r>
              <w:rPr>
                <w:spacing w:val="32"/>
              </w:rPr>
              <w:t> </w:t>
            </w:r>
            <w:r>
              <w:rPr/>
              <w:t>Oral</w:t>
            </w:r>
            <w:r>
              <w:rPr>
                <w:spacing w:val="32"/>
              </w:rPr>
              <w:t> </w:t>
            </w:r>
            <w:r>
              <w:rPr/>
              <w:t>Administration</w:t>
            </w:r>
            <w:r>
              <w:rPr>
                <w:spacing w:val="32"/>
              </w:rPr>
              <w:t> </w:t>
            </w:r>
            <w:r>
              <w:rPr/>
              <w:t>of</w:t>
            </w:r>
            <w:r>
              <w:rPr>
                <w:spacing w:val="33"/>
              </w:rPr>
              <w:t> </w:t>
            </w:r>
            <w:r>
              <w:rPr/>
              <w:t>Methanol</w:t>
            </w:r>
            <w:r>
              <w:rPr>
                <w:spacing w:val="35"/>
              </w:rPr>
              <w:t> </w:t>
            </w:r>
            <w:r>
              <w:rPr/>
              <w:t>Leaf</w:t>
            </w:r>
            <w:r>
              <w:rPr>
                <w:spacing w:val="31"/>
              </w:rPr>
              <w:t> </w:t>
            </w:r>
            <w:r>
              <w:rPr/>
              <w:t>Extract</w:t>
            </w:r>
            <w:r>
              <w:rPr>
                <w:spacing w:val="32"/>
              </w:rPr>
              <w:t> </w:t>
            </w:r>
            <w:r>
              <w:rPr/>
              <w:t>of</w:t>
            </w:r>
            <w:r>
              <w:rPr>
                <w:spacing w:val="33"/>
              </w:rPr>
              <w:t> </w:t>
            </w:r>
            <w:r>
              <w:rPr>
                <w:i/>
              </w:rPr>
              <w:t>Combretum</w:t>
            </w:r>
            <w:r>
              <w:rPr>
                <w:i/>
                <w:spacing w:val="-57"/>
              </w:rPr>
              <w:t> </w:t>
            </w:r>
            <w:r>
              <w:rPr>
                <w:i/>
              </w:rPr>
              <w:t>hypopilinum</w:t>
            </w:r>
            <w:r>
              <w:rPr>
                <w:i/>
                <w:spacing w:val="-1"/>
              </w:rPr>
              <w:t> </w:t>
            </w:r>
            <w:r>
              <w:rPr/>
              <w:t>on Body</w:t>
            </w:r>
            <w:r>
              <w:rPr>
                <w:spacing w:val="-5"/>
              </w:rPr>
              <w:t> </w:t>
            </w:r>
            <w:r>
              <w:rPr/>
              <w:t>Weights</w:t>
            </w:r>
            <w:r>
              <w:rPr>
                <w:spacing w:val="-1"/>
              </w:rPr>
              <w:t> </w:t>
            </w:r>
            <w:r>
              <w:rPr/>
              <w:t>of Rats…</w:t>
              <w:tab/>
              <w:t>62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028" w:val="left" w:leader="none"/>
              <w:tab w:pos="1029" w:val="left" w:leader="none"/>
              <w:tab w:pos="9045" w:val="left" w:leader="dot"/>
            </w:tabs>
            <w:spacing w:line="240" w:lineRule="auto" w:before="277" w:after="0"/>
            <w:ind w:left="973" w:right="478" w:hanging="708"/>
            <w:jc w:val="left"/>
          </w:pPr>
          <w:r>
            <w:rPr/>
            <w:tab/>
          </w:r>
          <w:r>
            <w:rPr/>
            <w:t>Effect</w:t>
          </w:r>
          <w:r>
            <w:rPr>
              <w:spacing w:val="19"/>
            </w:rPr>
            <w:t> </w:t>
          </w:r>
          <w:r>
            <w:rPr/>
            <w:t>of</w:t>
          </w:r>
          <w:r>
            <w:rPr>
              <w:spacing w:val="18"/>
            </w:rPr>
            <w:t> </w:t>
          </w:r>
          <w:r>
            <w:rPr/>
            <w:t>28-Days</w:t>
          </w:r>
          <w:r>
            <w:rPr>
              <w:spacing w:val="21"/>
            </w:rPr>
            <w:t> </w:t>
          </w:r>
          <w:r>
            <w:rPr/>
            <w:t>Oral</w:t>
          </w:r>
          <w:r>
            <w:rPr>
              <w:spacing w:val="19"/>
            </w:rPr>
            <w:t> </w:t>
          </w:r>
          <w:r>
            <w:rPr/>
            <w:t>Administration</w:t>
          </w:r>
          <w:r>
            <w:rPr>
              <w:spacing w:val="19"/>
            </w:rPr>
            <w:t> </w:t>
          </w:r>
          <w:r>
            <w:rPr/>
            <w:t>of</w:t>
          </w:r>
          <w:r>
            <w:rPr>
              <w:spacing w:val="20"/>
            </w:rPr>
            <w:t> </w:t>
          </w:r>
          <w:r>
            <w:rPr/>
            <w:t>Methanol</w:t>
          </w:r>
          <w:r>
            <w:rPr>
              <w:spacing w:val="22"/>
            </w:rPr>
            <w:t> </w:t>
          </w:r>
          <w:r>
            <w:rPr/>
            <w:t>Leaf</w:t>
          </w:r>
          <w:r>
            <w:rPr>
              <w:spacing w:val="18"/>
            </w:rPr>
            <w:t> </w:t>
          </w:r>
          <w:r>
            <w:rPr/>
            <w:t>Extract</w:t>
          </w:r>
          <w:r>
            <w:rPr>
              <w:spacing w:val="19"/>
            </w:rPr>
            <w:t> </w:t>
          </w:r>
          <w:r>
            <w:rPr/>
            <w:t>of</w:t>
          </w:r>
          <w:r>
            <w:rPr>
              <w:spacing w:val="20"/>
            </w:rPr>
            <w:t> </w:t>
          </w:r>
          <w:r>
            <w:rPr>
              <w:i/>
            </w:rPr>
            <w:t>Combretum</w:t>
          </w:r>
          <w:r>
            <w:rPr>
              <w:i/>
              <w:spacing w:val="-57"/>
            </w:rPr>
            <w:t> </w:t>
          </w:r>
          <w:r>
            <w:rPr>
              <w:i/>
            </w:rPr>
            <w:t>hypopilinum</w:t>
          </w:r>
          <w:r>
            <w:rPr>
              <w:i/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Relative</w:t>
          </w:r>
          <w:r>
            <w:rPr>
              <w:spacing w:val="-2"/>
            </w:rPr>
            <w:t> </w:t>
          </w:r>
          <w:r>
            <w:rPr/>
            <w:t>Organ</w:t>
          </w:r>
          <w:r>
            <w:rPr>
              <w:spacing w:val="-1"/>
            </w:rPr>
            <w:t> </w:t>
          </w:r>
          <w:r>
            <w:rPr/>
            <w:t>Weight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Rats…</w:t>
            <w:tab/>
            <w:t>64</w:t>
          </w:r>
        </w:p>
        <w:p>
          <w:pPr>
            <w:pStyle w:val="TOC3"/>
            <w:numPr>
              <w:ilvl w:val="2"/>
              <w:numId w:val="5"/>
            </w:numPr>
            <w:tabs>
              <w:tab w:pos="899" w:val="left" w:leader="none"/>
              <w:tab w:pos="9173" w:val="left" w:leader="dot"/>
            </w:tabs>
            <w:spacing w:line="240" w:lineRule="auto" w:before="276" w:after="0"/>
            <w:ind w:left="973" w:right="478" w:hanging="708"/>
            <w:jc w:val="left"/>
          </w:pPr>
          <w:hyperlink w:history="true" w:anchor="_TOC_250012">
            <w:r>
              <w:rPr/>
              <w:t>Effect</w:t>
            </w:r>
            <w:r>
              <w:rPr>
                <w:spacing w:val="32"/>
              </w:rPr>
              <w:t> </w:t>
            </w:r>
            <w:r>
              <w:rPr/>
              <w:t>of</w:t>
            </w:r>
            <w:r>
              <w:rPr>
                <w:spacing w:val="31"/>
              </w:rPr>
              <w:t> </w:t>
            </w:r>
            <w:r>
              <w:rPr/>
              <w:t>28-Days</w:t>
            </w:r>
            <w:r>
              <w:rPr>
                <w:spacing w:val="32"/>
              </w:rPr>
              <w:t> </w:t>
            </w:r>
            <w:r>
              <w:rPr/>
              <w:t>Oral</w:t>
            </w:r>
            <w:r>
              <w:rPr>
                <w:spacing w:val="32"/>
              </w:rPr>
              <w:t> </w:t>
            </w:r>
            <w:r>
              <w:rPr/>
              <w:t>Administration</w:t>
            </w:r>
            <w:r>
              <w:rPr>
                <w:spacing w:val="32"/>
              </w:rPr>
              <w:t> </w:t>
            </w:r>
            <w:r>
              <w:rPr/>
              <w:t>of</w:t>
            </w:r>
            <w:r>
              <w:rPr>
                <w:spacing w:val="33"/>
              </w:rPr>
              <w:t> </w:t>
            </w:r>
            <w:r>
              <w:rPr/>
              <w:t>Methanol</w:t>
            </w:r>
            <w:r>
              <w:rPr>
                <w:spacing w:val="35"/>
              </w:rPr>
              <w:t> </w:t>
            </w:r>
            <w:r>
              <w:rPr/>
              <w:t>Leaf</w:t>
            </w:r>
            <w:r>
              <w:rPr>
                <w:spacing w:val="31"/>
              </w:rPr>
              <w:t> </w:t>
            </w:r>
            <w:r>
              <w:rPr/>
              <w:t>Extract</w:t>
            </w:r>
            <w:r>
              <w:rPr>
                <w:spacing w:val="32"/>
              </w:rPr>
              <w:t> </w:t>
            </w:r>
            <w:r>
              <w:rPr/>
              <w:t>of</w:t>
            </w:r>
            <w:r>
              <w:rPr>
                <w:spacing w:val="33"/>
              </w:rPr>
              <w:t> </w:t>
            </w:r>
            <w:r>
              <w:rPr>
                <w:i/>
              </w:rPr>
              <w:t>Combretum</w:t>
            </w:r>
            <w:r>
              <w:rPr>
                <w:i/>
                <w:spacing w:val="-57"/>
              </w:rPr>
              <w:t> </w:t>
            </w:r>
            <w:r>
              <w:rPr>
                <w:i/>
              </w:rPr>
              <w:t>hypopilinum</w:t>
            </w:r>
            <w:r>
              <w:rPr>
                <w:i/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Hepatic Parameters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Rats.</w:t>
              <w:tab/>
              <w:t>66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018" w:val="left" w:leader="none"/>
              <w:tab w:pos="1019" w:val="left" w:leader="none"/>
              <w:tab w:pos="9165" w:val="left" w:leader="dot"/>
            </w:tabs>
            <w:spacing w:line="240" w:lineRule="auto" w:before="273" w:after="0"/>
            <w:ind w:left="973" w:right="476" w:hanging="708"/>
            <w:jc w:val="left"/>
          </w:pPr>
          <w:hyperlink w:history="true" w:anchor="_TOC_250011">
            <w:r>
              <w:rPr/>
              <w:tab/>
            </w:r>
            <w:r>
              <w:rPr/>
              <w:t>Effect</w:t>
            </w:r>
            <w:r>
              <w:rPr>
                <w:spacing w:val="16"/>
              </w:rPr>
              <w:t> </w:t>
            </w:r>
            <w:r>
              <w:rPr/>
              <w:t>of</w:t>
            </w:r>
            <w:r>
              <w:rPr>
                <w:spacing w:val="14"/>
              </w:rPr>
              <w:t> </w:t>
            </w:r>
            <w:r>
              <w:rPr/>
              <w:t>28</w:t>
            </w:r>
            <w:r>
              <w:rPr>
                <w:spacing w:val="15"/>
              </w:rPr>
              <w:t> </w:t>
            </w:r>
            <w:r>
              <w:rPr/>
              <w:t>Days</w:t>
            </w:r>
            <w:r>
              <w:rPr>
                <w:spacing w:val="15"/>
              </w:rPr>
              <w:t> </w:t>
            </w:r>
            <w:r>
              <w:rPr/>
              <w:t>Oral</w:t>
            </w:r>
            <w:r>
              <w:rPr>
                <w:spacing w:val="16"/>
              </w:rPr>
              <w:t> </w:t>
            </w:r>
            <w:r>
              <w:rPr/>
              <w:t>Administration</w:t>
            </w:r>
            <w:r>
              <w:rPr>
                <w:spacing w:val="15"/>
              </w:rPr>
              <w:t> </w:t>
            </w:r>
            <w:r>
              <w:rPr/>
              <w:t>of</w:t>
            </w:r>
            <w:r>
              <w:rPr>
                <w:spacing w:val="16"/>
              </w:rPr>
              <w:t> </w:t>
            </w:r>
            <w:r>
              <w:rPr/>
              <w:t>Methanol</w:t>
            </w:r>
            <w:r>
              <w:rPr>
                <w:spacing w:val="18"/>
              </w:rPr>
              <w:t> </w:t>
            </w:r>
            <w:r>
              <w:rPr/>
              <w:t>Leaf</w:t>
            </w:r>
            <w:r>
              <w:rPr>
                <w:spacing w:val="14"/>
              </w:rPr>
              <w:t> </w:t>
            </w:r>
            <w:r>
              <w:rPr/>
              <w:t>Extract</w:t>
            </w:r>
            <w:r>
              <w:rPr>
                <w:spacing w:val="16"/>
              </w:rPr>
              <w:t> </w:t>
            </w:r>
            <w:r>
              <w:rPr/>
              <w:t>of</w:t>
            </w:r>
            <w:r>
              <w:rPr>
                <w:spacing w:val="17"/>
              </w:rPr>
              <w:t> </w:t>
            </w:r>
            <w:r>
              <w:rPr>
                <w:i/>
              </w:rPr>
              <w:t>Combretum</w:t>
            </w:r>
            <w:r>
              <w:rPr>
                <w:i/>
                <w:spacing w:val="-57"/>
              </w:rPr>
              <w:t> </w:t>
            </w:r>
            <w:r>
              <w:rPr>
                <w:i/>
              </w:rPr>
              <w:t>hypopilinum</w:t>
            </w:r>
            <w:r>
              <w:rPr>
                <w:i/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Renal</w:t>
            </w:r>
            <w:r>
              <w:rPr>
                <w:spacing w:val="-1"/>
              </w:rPr>
              <w:t> </w:t>
            </w:r>
            <w:r>
              <w:rPr/>
              <w:t>Parameters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Rats…</w:t>
              <w:tab/>
              <w:t>68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028" w:val="left" w:leader="none"/>
              <w:tab w:pos="1029" w:val="left" w:leader="none"/>
              <w:tab w:pos="9180" w:val="left" w:leader="dot"/>
            </w:tabs>
            <w:spacing w:line="240" w:lineRule="auto" w:before="276" w:after="0"/>
            <w:ind w:left="985" w:right="478" w:hanging="720"/>
            <w:jc w:val="left"/>
          </w:pPr>
          <w:hyperlink w:history="true" w:anchor="_TOC_250010">
            <w:r>
              <w:rPr/>
              <w:tab/>
            </w:r>
            <w:r>
              <w:rPr/>
              <w:t>Effect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/>
              <w:t>28-Days</w:t>
            </w:r>
            <w:r>
              <w:rPr>
                <w:spacing w:val="21"/>
              </w:rPr>
              <w:t> </w:t>
            </w:r>
            <w:r>
              <w:rPr/>
              <w:t>Oral</w:t>
            </w:r>
            <w:r>
              <w:rPr>
                <w:spacing w:val="19"/>
              </w:rPr>
              <w:t> </w:t>
            </w:r>
            <w:r>
              <w:rPr/>
              <w:t>Administration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20"/>
              </w:rPr>
              <w:t> </w:t>
            </w:r>
            <w:r>
              <w:rPr/>
              <w:t>Methanol</w:t>
            </w:r>
            <w:r>
              <w:rPr>
                <w:spacing w:val="22"/>
              </w:rPr>
              <w:t> </w:t>
            </w:r>
            <w:r>
              <w:rPr/>
              <w:t>Leaf</w:t>
            </w:r>
            <w:r>
              <w:rPr>
                <w:spacing w:val="18"/>
              </w:rPr>
              <w:t> </w:t>
            </w:r>
            <w:r>
              <w:rPr/>
              <w:t>Extract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20"/>
              </w:rPr>
              <w:t> </w:t>
            </w:r>
            <w:r>
              <w:rPr>
                <w:i/>
              </w:rPr>
              <w:t>Combretum</w:t>
            </w:r>
            <w:r>
              <w:rPr>
                <w:i/>
                <w:spacing w:val="-57"/>
              </w:rPr>
              <w:t> </w:t>
            </w:r>
            <w:r>
              <w:rPr>
                <w:i/>
              </w:rPr>
              <w:t>hypopilinum</w:t>
            </w:r>
            <w:r>
              <w:rPr>
                <w:i/>
                <w:spacing w:val="-2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Haematological</w:t>
            </w:r>
            <w:r>
              <w:rPr>
                <w:spacing w:val="-1"/>
              </w:rPr>
              <w:t> </w:t>
            </w:r>
            <w:r>
              <w:rPr/>
              <w:t>Parameters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Rats…</w:t>
              <w:tab/>
              <w:t>70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028" w:val="left" w:leader="none"/>
              <w:tab w:pos="1029" w:val="left" w:leader="none"/>
              <w:tab w:pos="9254" w:val="left" w:leader="dot"/>
            </w:tabs>
            <w:spacing w:line="240" w:lineRule="auto" w:before="277" w:after="0"/>
            <w:ind w:left="973" w:right="478" w:hanging="708"/>
            <w:jc w:val="left"/>
          </w:pPr>
          <w:hyperlink w:history="true" w:anchor="_TOC_250009">
            <w:r>
              <w:rPr/>
              <w:tab/>
            </w:r>
            <w:r>
              <w:rPr/>
              <w:t>Effect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/>
              <w:t>28-Days</w:t>
            </w:r>
            <w:r>
              <w:rPr>
                <w:spacing w:val="21"/>
              </w:rPr>
              <w:t> </w:t>
            </w:r>
            <w:r>
              <w:rPr/>
              <w:t>Oral</w:t>
            </w:r>
            <w:r>
              <w:rPr>
                <w:spacing w:val="19"/>
              </w:rPr>
              <w:t> </w:t>
            </w:r>
            <w:r>
              <w:rPr/>
              <w:t>Administration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20"/>
              </w:rPr>
              <w:t> </w:t>
            </w:r>
            <w:r>
              <w:rPr/>
              <w:t>Methanol</w:t>
            </w:r>
            <w:r>
              <w:rPr>
                <w:spacing w:val="22"/>
              </w:rPr>
              <w:t> </w:t>
            </w:r>
            <w:r>
              <w:rPr/>
              <w:t>Leaf</w:t>
            </w:r>
            <w:r>
              <w:rPr>
                <w:spacing w:val="18"/>
              </w:rPr>
              <w:t> </w:t>
            </w:r>
            <w:r>
              <w:rPr/>
              <w:t>Extract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20"/>
              </w:rPr>
              <w:t> </w:t>
            </w:r>
            <w:r>
              <w:rPr>
                <w:i/>
              </w:rPr>
              <w:t>Combretum</w:t>
            </w:r>
            <w:r>
              <w:rPr>
                <w:i/>
                <w:spacing w:val="-57"/>
              </w:rPr>
              <w:t> </w:t>
            </w:r>
            <w:r>
              <w:rPr>
                <w:i/>
              </w:rPr>
              <w:t>hypopilinum</w:t>
            </w:r>
            <w:r>
              <w:rPr>
                <w:i/>
                <w:spacing w:val="-2"/>
              </w:rPr>
              <w:t> </w:t>
            </w:r>
            <w:r>
              <w:rPr/>
              <w:t>on</w:t>
            </w:r>
            <w:r>
              <w:rPr>
                <w:spacing w:val="1"/>
              </w:rPr>
              <w:t> </w:t>
            </w:r>
            <w:r>
              <w:rPr/>
              <w:t>Lipid</w:t>
            </w:r>
            <w:r>
              <w:rPr>
                <w:spacing w:val="-1"/>
              </w:rPr>
              <w:t> </w:t>
            </w:r>
            <w:r>
              <w:rPr/>
              <w:t>Profile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Rats…</w:t>
              <w:tab/>
              <w:t>72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028" w:val="left" w:leader="none"/>
              <w:tab w:pos="1029" w:val="left" w:leader="none"/>
              <w:tab w:pos="9149" w:val="left" w:leader="dot"/>
            </w:tabs>
            <w:spacing w:line="240" w:lineRule="auto" w:before="276" w:after="0"/>
            <w:ind w:left="973" w:right="478" w:hanging="708"/>
            <w:jc w:val="left"/>
          </w:pPr>
          <w:hyperlink w:history="true" w:anchor="_TOC_250008">
            <w:r>
              <w:rPr/>
              <w:tab/>
            </w:r>
            <w:r>
              <w:rPr/>
              <w:t>Effect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/>
              <w:t>28-Days</w:t>
            </w:r>
            <w:r>
              <w:rPr>
                <w:spacing w:val="21"/>
              </w:rPr>
              <w:t> </w:t>
            </w:r>
            <w:r>
              <w:rPr/>
              <w:t>Oral</w:t>
            </w:r>
            <w:r>
              <w:rPr>
                <w:spacing w:val="19"/>
              </w:rPr>
              <w:t> </w:t>
            </w:r>
            <w:r>
              <w:rPr/>
              <w:t>Administration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20"/>
              </w:rPr>
              <w:t> </w:t>
            </w:r>
            <w:r>
              <w:rPr/>
              <w:t>Methanol</w:t>
            </w:r>
            <w:r>
              <w:rPr>
                <w:spacing w:val="22"/>
              </w:rPr>
              <w:t> </w:t>
            </w:r>
            <w:r>
              <w:rPr/>
              <w:t>Leaf</w:t>
            </w:r>
            <w:r>
              <w:rPr>
                <w:spacing w:val="18"/>
              </w:rPr>
              <w:t> </w:t>
            </w:r>
            <w:r>
              <w:rPr/>
              <w:t>Extract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20"/>
              </w:rPr>
              <w:t> </w:t>
            </w:r>
            <w:r>
              <w:rPr>
                <w:i/>
              </w:rPr>
              <w:t>Combretum</w:t>
            </w:r>
            <w:r>
              <w:rPr>
                <w:i/>
                <w:spacing w:val="-57"/>
              </w:rPr>
              <w:t> </w:t>
            </w:r>
            <w:r>
              <w:rPr>
                <w:i/>
              </w:rPr>
              <w:t>hypopilinum</w:t>
            </w:r>
            <w:r>
              <w:rPr>
                <w:i/>
                <w:spacing w:val="-1"/>
              </w:rPr>
              <w:t> </w:t>
            </w:r>
            <w:r>
              <w:rPr/>
              <w:t>on Histology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Some</w:t>
            </w:r>
            <w:r>
              <w:rPr>
                <w:spacing w:val="-1"/>
              </w:rPr>
              <w:t> </w:t>
            </w:r>
            <w:r>
              <w:rPr/>
              <w:t>Organs of Rats</w:t>
              <w:tab/>
              <w:t>74</w:t>
            </w:r>
          </w:hyperlink>
        </w:p>
        <w:p>
          <w:pPr>
            <w:pStyle w:val="TOC5"/>
            <w:tabs>
              <w:tab w:pos="9213" w:val="left" w:leader="dot"/>
            </w:tabs>
            <w:spacing w:before="314"/>
          </w:pPr>
          <w:hyperlink w:history="true" w:anchor="_TOC_250007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  <w:r>
              <w:rPr/>
              <w:tab/>
            </w:r>
            <w:r>
              <w:rPr/>
              <w:t>81</w:t>
            </w:r>
          </w:hyperlink>
        </w:p>
        <w:p>
          <w:pPr>
            <w:pStyle w:val="TOC2"/>
            <w:tabs>
              <w:tab w:pos="893" w:val="left" w:leader="none"/>
              <w:tab w:pos="9199" w:val="left" w:leader="dot"/>
            </w:tabs>
            <w:spacing w:after="20"/>
            <w:ind w:left="265" w:firstLine="0"/>
          </w:pPr>
          <w:hyperlink w:history="true" w:anchor="_TOC_250006">
            <w:r>
              <w:rPr/>
              <w:t>5.0</w:t>
              <w:tab/>
              <w:t>DISCUSSION…</w:t>
            </w:r>
            <w:r>
              <w:rPr/>
              <w:tab/>
            </w:r>
            <w:r>
              <w:rPr/>
              <w:t>81</w:t>
            </w:r>
          </w:hyperlink>
        </w:p>
        <w:p>
          <w:pPr>
            <w:pStyle w:val="TOC6"/>
            <w:tabs>
              <w:tab w:pos="9401" w:val="right" w:leader="dot"/>
            </w:tabs>
            <w:spacing w:before="74"/>
          </w:pPr>
          <w:hyperlink w:history="true" w:anchor="_TOC_25000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</w:r>
            <w:r>
              <w:rPr/>
              <w:tab/>
            </w:r>
            <w:r>
              <w:rPr/>
              <w:t>95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93" w:val="left" w:leader="none"/>
              <w:tab w:pos="894" w:val="left" w:leader="none"/>
              <w:tab w:pos="9343" w:val="right" w:leader="dot"/>
            </w:tabs>
            <w:spacing w:line="240" w:lineRule="auto" w:before="276" w:after="0"/>
            <w:ind w:left="894" w:right="0" w:hanging="629"/>
            <w:jc w:val="left"/>
          </w:pPr>
          <w:r>
            <w:rPr/>
            <w:t>SUMMARY, RECOMMENDATION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CONCLUSION…</w:t>
          </w:r>
          <w:r>
            <w:rPr/>
            <w:tab/>
          </w:r>
          <w:r>
            <w:rPr/>
            <w:t>95</w:t>
          </w:r>
        </w:p>
        <w:p>
          <w:pPr>
            <w:pStyle w:val="TOC2"/>
            <w:numPr>
              <w:ilvl w:val="1"/>
              <w:numId w:val="6"/>
            </w:numPr>
            <w:tabs>
              <w:tab w:pos="893" w:val="left" w:leader="none"/>
              <w:tab w:pos="894" w:val="left" w:leader="none"/>
              <w:tab w:pos="9468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04">
            <w:r>
              <w:rPr/>
              <w:t>Summary…</w:t>
            </w:r>
            <w:r>
              <w:rPr/>
              <w:tab/>
            </w:r>
            <w:r>
              <w:rPr/>
              <w:t>95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93" w:val="left" w:leader="none"/>
              <w:tab w:pos="894" w:val="left" w:leader="none"/>
              <w:tab w:pos="9482" w:val="right" w:leader="dot"/>
            </w:tabs>
            <w:spacing w:line="240" w:lineRule="auto" w:before="277" w:after="0"/>
            <w:ind w:left="894" w:right="0" w:hanging="629"/>
            <w:jc w:val="left"/>
          </w:pPr>
          <w:hyperlink w:history="true" w:anchor="_TOC_250003">
            <w:r>
              <w:rPr/>
              <w:t>Conclusion</w:t>
            </w:r>
            <w:r>
              <w:rPr/>
              <w:tab/>
            </w:r>
            <w:r>
              <w:rPr/>
              <w:t>95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93" w:val="left" w:leader="none"/>
              <w:tab w:pos="894" w:val="left" w:leader="none"/>
              <w:tab w:pos="9449" w:val="right" w:leader="dot"/>
            </w:tabs>
            <w:spacing w:line="240" w:lineRule="auto" w:before="276" w:after="0"/>
            <w:ind w:left="894" w:right="0" w:hanging="629"/>
            <w:jc w:val="left"/>
          </w:pPr>
          <w:hyperlink w:history="true" w:anchor="_TOC_250002">
            <w:r>
              <w:rPr/>
              <w:t>Recommendations</w:t>
            </w:r>
            <w:r>
              <w:rPr/>
              <w:tab/>
            </w:r>
            <w:r>
              <w:rPr/>
              <w:t>96</w:t>
            </w:r>
          </w:hyperlink>
        </w:p>
        <w:p>
          <w:pPr>
            <w:pStyle w:val="TOC6"/>
            <w:tabs>
              <w:tab w:pos="9468" w:val="right" w:leader="dot"/>
            </w:tabs>
            <w:ind w:left="893"/>
          </w:pPr>
          <w:hyperlink w:history="true" w:anchor="_TOC_250001">
            <w:r>
              <w:rPr/>
              <w:t>REFERENCES</w:t>
            </w:r>
            <w:r>
              <w:rPr/>
              <w:tab/>
            </w:r>
            <w:r>
              <w:rPr/>
              <w:t>97</w:t>
            </w:r>
          </w:hyperlink>
        </w:p>
        <w:p>
          <w:pPr>
            <w:pStyle w:val="TOC6"/>
            <w:tabs>
              <w:tab w:pos="9449" w:val="right" w:leader="dot"/>
            </w:tabs>
            <w:ind w:left="893"/>
          </w:pPr>
          <w:hyperlink w:history="true" w:anchor="_TOC_250000">
            <w:r>
              <w:rPr/>
              <w:t>APPENDICES</w:t>
            </w:r>
            <w:r>
              <w:rPr/>
              <w:tab/>
            </w:r>
            <w:r>
              <w:rPr/>
              <w:t>116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419" w:bottom="1289" w:left="1720" w:right="540"/>
        </w:sectPr>
      </w:pPr>
    </w:p>
    <w:p>
      <w:pPr>
        <w:pStyle w:val="Heading1"/>
        <w:spacing w:before="75"/>
        <w:ind w:left="750" w:right="1360"/>
        <w:jc w:val="center"/>
      </w:pPr>
      <w:bookmarkStart w:name="_TOC_250070" w:id="5"/>
      <w:r>
        <w:rPr/>
        <w:t>List</w:t>
      </w:r>
      <w:r>
        <w:rPr>
          <w:spacing w:val="-1"/>
        </w:rPr>
        <w:t> </w:t>
      </w:r>
      <w:bookmarkEnd w:id="5"/>
      <w:r>
        <w:rPr/>
        <w:t>of Tables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1023" w:val="left" w:leader="none"/>
          <w:tab w:pos="1604" w:val="left" w:leader="none"/>
          <w:tab w:pos="9019" w:val="left" w:leader="dot"/>
        </w:tabs>
        <w:spacing w:before="0"/>
        <w:ind w:left="1398" w:right="670" w:hanging="1133"/>
        <w:jc w:val="left"/>
        <w:rPr>
          <w:sz w:val="24"/>
        </w:rPr>
      </w:pPr>
      <w:r>
        <w:rPr>
          <w:sz w:val="24"/>
        </w:rPr>
        <w:t>Table</w:t>
        <w:tab/>
        <w:t>4.1:</w:t>
        <w:tab/>
        <w:tab/>
        <w:t>Phytochemical</w:t>
      </w:r>
      <w:r>
        <w:rPr>
          <w:spacing w:val="32"/>
          <w:sz w:val="24"/>
        </w:rPr>
        <w:t> </w:t>
      </w:r>
      <w:r>
        <w:rPr>
          <w:sz w:val="24"/>
        </w:rPr>
        <w:t>Constituents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Methanol</w:t>
      </w:r>
      <w:r>
        <w:rPr>
          <w:spacing w:val="36"/>
          <w:sz w:val="24"/>
        </w:rPr>
        <w:t> </w:t>
      </w:r>
      <w:r>
        <w:rPr>
          <w:sz w:val="24"/>
        </w:rPr>
        <w:t>Leaf</w:t>
      </w:r>
      <w:r>
        <w:rPr>
          <w:spacing w:val="31"/>
          <w:sz w:val="24"/>
        </w:rPr>
        <w:t> </w:t>
      </w:r>
      <w:r>
        <w:rPr>
          <w:sz w:val="24"/>
        </w:rPr>
        <w:t>Extract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hypopilinum</w:t>
        <w:tab/>
      </w:r>
      <w:r>
        <w:rPr>
          <w:sz w:val="24"/>
        </w:rPr>
        <w:t>46</w:t>
      </w:r>
    </w:p>
    <w:p>
      <w:pPr>
        <w:pStyle w:val="BodyText"/>
      </w:pPr>
    </w:p>
    <w:p>
      <w:pPr>
        <w:pStyle w:val="BodyText"/>
        <w:tabs>
          <w:tab w:pos="9048" w:val="left" w:leader="dot"/>
        </w:tabs>
        <w:ind w:left="1285" w:right="684" w:hanging="1020"/>
      </w:pPr>
      <w:r>
        <w:rPr/>
        <w:t>Table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Combretum</w:t>
      </w:r>
      <w:r>
        <w:rPr>
          <w:i/>
          <w:spacing w:val="-2"/>
        </w:rPr>
        <w:t> </w:t>
      </w:r>
      <w:r>
        <w:rPr>
          <w:i/>
        </w:rPr>
        <w:t>hypopilinum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Castor</w:t>
      </w:r>
      <w:r>
        <w:rPr>
          <w:spacing w:val="-1"/>
        </w:rPr>
        <w:t> </w:t>
      </w:r>
      <w:r>
        <w:rPr/>
        <w:t>Oil-Induced</w:t>
      </w:r>
      <w:r>
        <w:rPr>
          <w:spacing w:val="-57"/>
        </w:rPr>
        <w:t> </w:t>
      </w:r>
      <w:r>
        <w:rPr/>
        <w:t>Diarrhoea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Mice</w:t>
        <w:tab/>
        <w:t>49</w:t>
      </w:r>
    </w:p>
    <w:p>
      <w:pPr>
        <w:pStyle w:val="BodyText"/>
      </w:pPr>
    </w:p>
    <w:p>
      <w:pPr>
        <w:pStyle w:val="BodyText"/>
        <w:tabs>
          <w:tab w:pos="9067" w:val="left" w:leader="dot"/>
        </w:tabs>
        <w:ind w:left="1285" w:right="670" w:hanging="1020"/>
      </w:pPr>
      <w:r>
        <w:rPr/>
        <w:t>Table 4.3: 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Hepatic</w:t>
      </w:r>
      <w:r>
        <w:rPr>
          <w:spacing w:val="-2"/>
        </w:rPr>
        <w:t> </w:t>
      </w:r>
      <w:r>
        <w:rPr/>
        <w:t>Parameters of Rats…</w:t>
        <w:tab/>
      </w:r>
      <w:r>
        <w:rPr>
          <w:spacing w:val="-3"/>
        </w:rPr>
        <w:t>67</w:t>
      </w:r>
    </w:p>
    <w:p>
      <w:pPr>
        <w:pStyle w:val="BodyText"/>
      </w:pPr>
    </w:p>
    <w:p>
      <w:pPr>
        <w:pStyle w:val="BodyText"/>
        <w:tabs>
          <w:tab w:pos="9026" w:val="left" w:leader="dot"/>
        </w:tabs>
        <w:ind w:left="1285" w:right="711" w:hanging="1020"/>
      </w:pPr>
      <w:r>
        <w:rPr/>
        <w:t>Table 4.4: 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Renal</w:t>
      </w:r>
      <w:r>
        <w:rPr>
          <w:spacing w:val="-1"/>
        </w:rPr>
        <w:t> </w:t>
      </w:r>
      <w:r>
        <w:rPr/>
        <w:t>Parameter of</w:t>
      </w:r>
      <w:r>
        <w:rPr>
          <w:spacing w:val="-3"/>
        </w:rPr>
        <w:t> </w:t>
      </w:r>
      <w:r>
        <w:rPr/>
        <w:t>Rats…</w:t>
        <w:tab/>
      </w:r>
      <w:r>
        <w:rPr>
          <w:spacing w:val="-2"/>
        </w:rPr>
        <w:t>69</w:t>
      </w:r>
    </w:p>
    <w:p>
      <w:pPr>
        <w:pStyle w:val="BodyText"/>
        <w:spacing w:before="1"/>
      </w:pPr>
    </w:p>
    <w:p>
      <w:pPr>
        <w:pStyle w:val="BodyText"/>
        <w:tabs>
          <w:tab w:pos="9072" w:val="left" w:leader="dot"/>
        </w:tabs>
        <w:ind w:left="1285" w:right="665" w:hanging="1020"/>
      </w:pPr>
      <w:r>
        <w:rPr/>
        <w:t>Table 4.5: 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Hematological</w:t>
      </w:r>
      <w:r>
        <w:rPr>
          <w:spacing w:val="-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Rats…</w:t>
        <w:tab/>
      </w:r>
      <w:r>
        <w:rPr>
          <w:spacing w:val="-3"/>
        </w:rPr>
        <w:t>71</w:t>
      </w:r>
    </w:p>
    <w:p>
      <w:pPr>
        <w:spacing w:after="0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spacing w:before="74"/>
        <w:ind w:left="750" w:right="986"/>
        <w:jc w:val="center"/>
      </w:pPr>
      <w:bookmarkStart w:name="_TOC_250069" w:id="6"/>
      <w:r>
        <w:rPr/>
        <w:t>List</w:t>
      </w:r>
      <w:r>
        <w:rPr>
          <w:spacing w:val="-2"/>
        </w:rPr>
        <w:t> </w:t>
      </w:r>
      <w:bookmarkEnd w:id="6"/>
      <w:r>
        <w:rPr/>
        <w:t>of Figures</w:t>
      </w:r>
    </w:p>
    <w:p>
      <w:pPr>
        <w:pStyle w:val="BodyText"/>
        <w:tabs>
          <w:tab w:pos="9338" w:val="left" w:leader="dot"/>
        </w:tabs>
        <w:spacing w:before="192"/>
        <w:ind w:left="1345" w:right="399" w:hanging="1080"/>
      </w:pPr>
      <w:r>
        <w:rPr/>
        <w:t>Figure 4.1: Effect of Methanol Leaf Extract of </w:t>
      </w:r>
      <w:r>
        <w:rPr>
          <w:i/>
        </w:rPr>
        <w:t>Combretum hypopilinum </w:t>
      </w:r>
      <w:r>
        <w:rPr/>
        <w:t>on Castor Oil-Induced</w:t>
      </w:r>
      <w:r>
        <w:rPr>
          <w:spacing w:val="1"/>
        </w:rPr>
        <w:t> </w:t>
      </w:r>
      <w:r>
        <w:rPr/>
        <w:t>Enteropooling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Mice</w:t>
        <w:tab/>
      </w:r>
      <w:r>
        <w:rPr>
          <w:spacing w:val="-3"/>
        </w:rPr>
        <w:t>51</w:t>
      </w:r>
    </w:p>
    <w:p>
      <w:pPr>
        <w:tabs>
          <w:tab w:pos="9333" w:val="left" w:leader="dot"/>
        </w:tabs>
        <w:spacing w:before="277"/>
        <w:ind w:left="1398" w:right="378" w:hanging="1133"/>
        <w:jc w:val="left"/>
        <w:rPr>
          <w:sz w:val="24"/>
        </w:rPr>
      </w:pPr>
      <w:r>
        <w:rPr>
          <w:sz w:val="24"/>
        </w:rPr>
        <w:t>Figure</w:t>
      </w:r>
      <w:r>
        <w:rPr>
          <w:spacing w:val="10"/>
          <w:sz w:val="24"/>
        </w:rPr>
        <w:t> </w:t>
      </w:r>
      <w:r>
        <w:rPr>
          <w:sz w:val="24"/>
        </w:rPr>
        <w:t>4.2:</w:t>
      </w:r>
      <w:r>
        <w:rPr>
          <w:spacing w:val="13"/>
          <w:sz w:val="24"/>
        </w:rPr>
        <w:t> </w:t>
      </w:r>
      <w:r>
        <w:rPr>
          <w:sz w:val="24"/>
        </w:rPr>
        <w:t>Effect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Methanol</w:t>
      </w:r>
      <w:r>
        <w:rPr>
          <w:spacing w:val="14"/>
          <w:sz w:val="24"/>
        </w:rPr>
        <w:t> </w:t>
      </w:r>
      <w:r>
        <w:rPr>
          <w:sz w:val="24"/>
        </w:rPr>
        <w:t>Leaf</w:t>
      </w:r>
      <w:r>
        <w:rPr>
          <w:spacing w:val="14"/>
          <w:sz w:val="24"/>
        </w:rPr>
        <w:t> </w:t>
      </w:r>
      <w:r>
        <w:rPr>
          <w:sz w:val="24"/>
        </w:rPr>
        <w:t>Extract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Intestinal</w:t>
      </w:r>
      <w:r>
        <w:rPr>
          <w:spacing w:val="15"/>
          <w:sz w:val="24"/>
        </w:rPr>
        <w:t> </w:t>
      </w:r>
      <w:r>
        <w:rPr>
          <w:sz w:val="24"/>
        </w:rPr>
        <w:t>Transit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Mice</w:t>
        <w:tab/>
        <w:t>53</w:t>
      </w:r>
    </w:p>
    <w:p>
      <w:pPr>
        <w:pStyle w:val="BodyText"/>
        <w:spacing w:before="276"/>
        <w:ind w:left="265"/>
      </w:pPr>
      <w:r>
        <w:rPr/>
        <w:t>Figure</w:t>
      </w:r>
      <w:r>
        <w:rPr>
          <w:spacing w:val="49"/>
        </w:rPr>
        <w:t> </w:t>
      </w:r>
      <w:r>
        <w:rPr/>
        <w:t>4.3:</w:t>
      </w:r>
      <w:r>
        <w:rPr>
          <w:spacing w:val="52"/>
        </w:rPr>
        <w:t> </w:t>
      </w:r>
      <w:r>
        <w:rPr/>
        <w:t>Effect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Naloxone</w:t>
      </w:r>
      <w:r>
        <w:rPr>
          <w:spacing w:val="50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Antidiarrhoeal</w:t>
      </w:r>
      <w:r>
        <w:rPr>
          <w:spacing w:val="52"/>
        </w:rPr>
        <w:t> </w:t>
      </w:r>
      <w:r>
        <w:rPr/>
        <w:t>Activity</w:t>
      </w:r>
      <w:r>
        <w:rPr>
          <w:spacing w:val="46"/>
        </w:rPr>
        <w:t> </w:t>
      </w:r>
      <w:r>
        <w:rPr/>
        <w:t>of</w:t>
      </w:r>
      <w:r>
        <w:rPr>
          <w:spacing w:val="50"/>
        </w:rPr>
        <w:t> </w:t>
      </w:r>
      <w:r>
        <w:rPr/>
        <w:t>Methanol</w:t>
      </w:r>
      <w:r>
        <w:rPr>
          <w:spacing w:val="54"/>
        </w:rPr>
        <w:t> </w:t>
      </w:r>
      <w:r>
        <w:rPr/>
        <w:t>Leaf</w:t>
      </w:r>
      <w:r>
        <w:rPr>
          <w:spacing w:val="50"/>
        </w:rPr>
        <w:t> </w:t>
      </w:r>
      <w:r>
        <w:rPr/>
        <w:t>Extract</w:t>
      </w:r>
      <w:r>
        <w:rPr>
          <w:spacing w:val="52"/>
        </w:rPr>
        <w:t> </w:t>
      </w:r>
      <w:r>
        <w:rPr/>
        <w:t>of</w:t>
      </w:r>
    </w:p>
    <w:p>
      <w:pPr>
        <w:tabs>
          <w:tab w:pos="9129" w:val="left" w:leader="dot"/>
        </w:tabs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Intestinal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Mice</w:t>
        <w:tab/>
        <w:t>56</w:t>
      </w:r>
    </w:p>
    <w:p>
      <w:pPr>
        <w:pStyle w:val="BodyText"/>
        <w:spacing w:before="276"/>
        <w:ind w:left="265"/>
      </w:pPr>
      <w:r>
        <w:rPr/>
        <w:t>Figure</w:t>
      </w:r>
      <w:r>
        <w:rPr>
          <w:spacing w:val="57"/>
        </w:rPr>
        <w:t> </w:t>
      </w:r>
      <w:r>
        <w:rPr/>
        <w:t>4.4:</w:t>
      </w:r>
      <w:r>
        <w:rPr>
          <w:spacing w:val="59"/>
        </w:rPr>
        <w:t> </w:t>
      </w:r>
      <w:r>
        <w:rPr/>
        <w:t>Effect  of</w:t>
      </w:r>
      <w:r>
        <w:rPr>
          <w:spacing w:val="58"/>
        </w:rPr>
        <w:t> </w:t>
      </w:r>
      <w:r>
        <w:rPr/>
        <w:t>Prazosin  on</w:t>
      </w:r>
      <w:r>
        <w:rPr>
          <w:spacing w:val="61"/>
        </w:rPr>
        <w:t> </w:t>
      </w:r>
      <w:r>
        <w:rPr/>
        <w:t>the</w:t>
      </w:r>
      <w:r>
        <w:rPr>
          <w:spacing w:val="59"/>
        </w:rPr>
        <w:t> </w:t>
      </w:r>
      <w:r>
        <w:rPr/>
        <w:t>Antidiarrhoeal</w:t>
      </w:r>
      <w:r>
        <w:rPr>
          <w:spacing w:val="59"/>
        </w:rPr>
        <w:t> </w:t>
      </w:r>
      <w:r>
        <w:rPr/>
        <w:t>Activity</w:t>
      </w:r>
      <w:r>
        <w:rPr>
          <w:spacing w:val="54"/>
        </w:rPr>
        <w:t> </w:t>
      </w:r>
      <w:r>
        <w:rPr/>
        <w:t>of</w:t>
      </w:r>
      <w:r>
        <w:rPr>
          <w:spacing w:val="58"/>
        </w:rPr>
        <w:t> </w:t>
      </w:r>
      <w:r>
        <w:rPr/>
        <w:t>Methanol</w:t>
      </w:r>
      <w:r>
        <w:rPr>
          <w:spacing w:val="61"/>
        </w:rPr>
        <w:t> </w:t>
      </w:r>
      <w:r>
        <w:rPr/>
        <w:t>Leaf</w:t>
      </w:r>
      <w:r>
        <w:rPr>
          <w:spacing w:val="59"/>
        </w:rPr>
        <w:t> </w:t>
      </w:r>
      <w:r>
        <w:rPr/>
        <w:t>Extract</w:t>
      </w:r>
      <w:r>
        <w:rPr>
          <w:spacing w:val="59"/>
        </w:rPr>
        <w:t> </w:t>
      </w:r>
      <w:r>
        <w:rPr/>
        <w:t>of</w:t>
      </w:r>
    </w:p>
    <w:p>
      <w:pPr>
        <w:tabs>
          <w:tab w:pos="9309" w:val="left" w:leader="dot"/>
        </w:tabs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Intestinal</w:t>
      </w:r>
      <w:r>
        <w:rPr>
          <w:spacing w:val="-2"/>
          <w:sz w:val="24"/>
        </w:rPr>
        <w:t> </w:t>
      </w:r>
      <w:r>
        <w:rPr>
          <w:sz w:val="24"/>
        </w:rPr>
        <w:t>Transit in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57</w:t>
      </w:r>
    </w:p>
    <w:p>
      <w:pPr>
        <w:pStyle w:val="BodyText"/>
        <w:spacing w:before="276"/>
        <w:ind w:left="265"/>
      </w:pPr>
      <w:r>
        <w:rPr/>
        <w:t>Figure</w:t>
      </w:r>
      <w:r>
        <w:rPr>
          <w:spacing w:val="37"/>
        </w:rPr>
        <w:t> </w:t>
      </w:r>
      <w:r>
        <w:rPr/>
        <w:t>4.5:</w:t>
      </w:r>
      <w:r>
        <w:rPr>
          <w:spacing w:val="40"/>
        </w:rPr>
        <w:t> </w:t>
      </w:r>
      <w:r>
        <w:rPr/>
        <w:t>Effect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Yohimbine</w:t>
      </w:r>
      <w:r>
        <w:rPr>
          <w:spacing w:val="40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Antidiarrhoeal</w:t>
      </w:r>
      <w:r>
        <w:rPr>
          <w:spacing w:val="40"/>
        </w:rPr>
        <w:t> </w:t>
      </w:r>
      <w:r>
        <w:rPr/>
        <w:t>Activity</w:t>
      </w:r>
      <w:r>
        <w:rPr>
          <w:spacing w:val="34"/>
        </w:rPr>
        <w:t> </w:t>
      </w:r>
      <w:r>
        <w:rPr/>
        <w:t>of</w:t>
      </w:r>
      <w:r>
        <w:rPr>
          <w:spacing w:val="39"/>
        </w:rPr>
        <w:t> </w:t>
      </w:r>
      <w:r>
        <w:rPr/>
        <w:t>Methanol</w:t>
      </w:r>
      <w:r>
        <w:rPr>
          <w:spacing w:val="42"/>
        </w:rPr>
        <w:t> </w:t>
      </w:r>
      <w:r>
        <w:rPr/>
        <w:t>Leaf</w:t>
      </w:r>
      <w:r>
        <w:rPr>
          <w:spacing w:val="38"/>
        </w:rPr>
        <w:t> </w:t>
      </w:r>
      <w:r>
        <w:rPr/>
        <w:t>Extract</w:t>
      </w:r>
      <w:r>
        <w:rPr>
          <w:spacing w:val="40"/>
        </w:rPr>
        <w:t> </w:t>
      </w:r>
      <w:r>
        <w:rPr/>
        <w:t>of</w:t>
      </w:r>
    </w:p>
    <w:p>
      <w:pPr>
        <w:tabs>
          <w:tab w:pos="9309" w:val="left" w:leader="dot"/>
        </w:tabs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Intestinal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58</w:t>
      </w:r>
    </w:p>
    <w:p>
      <w:pPr>
        <w:pStyle w:val="BodyText"/>
        <w:spacing w:before="276"/>
        <w:ind w:left="270"/>
      </w:pPr>
      <w:r>
        <w:rPr/>
        <w:t>Figure</w:t>
      </w:r>
      <w:r>
        <w:rPr>
          <w:spacing w:val="33"/>
        </w:rPr>
        <w:t> </w:t>
      </w:r>
      <w:r>
        <w:rPr/>
        <w:t>4.6:</w:t>
      </w:r>
      <w:r>
        <w:rPr>
          <w:spacing w:val="35"/>
        </w:rPr>
        <w:t> </w:t>
      </w:r>
      <w:r>
        <w:rPr/>
        <w:t>Effect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Propranolol</w:t>
      </w:r>
      <w:r>
        <w:rPr>
          <w:spacing w:val="36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Antidiarrhoeal</w:t>
      </w:r>
      <w:r>
        <w:rPr>
          <w:spacing w:val="35"/>
        </w:rPr>
        <w:t> </w:t>
      </w:r>
      <w:r>
        <w:rPr/>
        <w:t>Activity</w:t>
      </w:r>
      <w:r>
        <w:rPr>
          <w:spacing w:val="30"/>
        </w:rPr>
        <w:t> </w:t>
      </w:r>
      <w:r>
        <w:rPr/>
        <w:t>of</w:t>
      </w:r>
      <w:r>
        <w:rPr>
          <w:spacing w:val="34"/>
        </w:rPr>
        <w:t> </w:t>
      </w:r>
      <w:r>
        <w:rPr/>
        <w:t>Methanol</w:t>
      </w:r>
      <w:r>
        <w:rPr>
          <w:spacing w:val="37"/>
        </w:rPr>
        <w:t> </w:t>
      </w:r>
      <w:r>
        <w:rPr/>
        <w:t>Leaf</w:t>
      </w:r>
      <w:r>
        <w:rPr>
          <w:spacing w:val="35"/>
        </w:rPr>
        <w:t> </w:t>
      </w:r>
      <w:r>
        <w:rPr/>
        <w:t>Extract</w:t>
      </w:r>
      <w:r>
        <w:rPr>
          <w:spacing w:val="35"/>
        </w:rPr>
        <w:t> </w:t>
      </w:r>
      <w:r>
        <w:rPr/>
        <w:t>of</w:t>
      </w:r>
    </w:p>
    <w:p>
      <w:pPr>
        <w:tabs>
          <w:tab w:pos="9309" w:val="left" w:leader="dot"/>
        </w:tabs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Intestinal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59</w:t>
      </w:r>
    </w:p>
    <w:p>
      <w:pPr>
        <w:pStyle w:val="BodyText"/>
        <w:spacing w:before="276"/>
        <w:ind w:left="265"/>
      </w:pPr>
      <w:r>
        <w:rPr/>
        <w:t>Figure</w:t>
      </w:r>
      <w:r>
        <w:rPr>
          <w:spacing w:val="37"/>
        </w:rPr>
        <w:t> </w:t>
      </w:r>
      <w:r>
        <w:rPr/>
        <w:t>4.7:</w:t>
      </w:r>
      <w:r>
        <w:rPr>
          <w:spacing w:val="39"/>
        </w:rPr>
        <w:t> </w:t>
      </w:r>
      <w:r>
        <w:rPr/>
        <w:t>Effect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Pilocarpine</w:t>
      </w:r>
      <w:r>
        <w:rPr>
          <w:spacing w:val="40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Antidiarrhoeal</w:t>
      </w:r>
      <w:r>
        <w:rPr>
          <w:spacing w:val="40"/>
        </w:rPr>
        <w:t> </w:t>
      </w:r>
      <w:r>
        <w:rPr/>
        <w:t>Activity</w:t>
      </w:r>
      <w:r>
        <w:rPr>
          <w:spacing w:val="35"/>
        </w:rPr>
        <w:t> </w:t>
      </w:r>
      <w:r>
        <w:rPr/>
        <w:t>of</w:t>
      </w:r>
      <w:r>
        <w:rPr>
          <w:spacing w:val="39"/>
        </w:rPr>
        <w:t> </w:t>
      </w:r>
      <w:r>
        <w:rPr/>
        <w:t>Methanol</w:t>
      </w:r>
      <w:r>
        <w:rPr>
          <w:spacing w:val="41"/>
        </w:rPr>
        <w:t> </w:t>
      </w:r>
      <w:r>
        <w:rPr/>
        <w:t>Leaf</w:t>
      </w:r>
      <w:r>
        <w:rPr>
          <w:spacing w:val="37"/>
        </w:rPr>
        <w:t> </w:t>
      </w:r>
      <w:r>
        <w:rPr/>
        <w:t>Extract</w:t>
      </w:r>
      <w:r>
        <w:rPr>
          <w:spacing w:val="39"/>
        </w:rPr>
        <w:t> </w:t>
      </w:r>
      <w:r>
        <w:rPr/>
        <w:t>of</w:t>
      </w:r>
    </w:p>
    <w:p>
      <w:pPr>
        <w:tabs>
          <w:tab w:pos="9309" w:val="left" w:leader="dot"/>
        </w:tabs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Intestinal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60</w:t>
      </w:r>
    </w:p>
    <w:p>
      <w:pPr>
        <w:pStyle w:val="BodyText"/>
        <w:tabs>
          <w:tab w:pos="1587" w:val="left" w:leader="none"/>
          <w:tab w:pos="9365" w:val="left" w:leader="dot"/>
        </w:tabs>
        <w:spacing w:before="276"/>
        <w:ind w:left="1542" w:right="372" w:hanging="1277"/>
      </w:pPr>
      <w:r>
        <w:rPr/>
        <w:t>Figure</w:t>
      </w:r>
      <w:r>
        <w:rPr>
          <w:spacing w:val="47"/>
        </w:rPr>
        <w:t> </w:t>
      </w:r>
      <w:r>
        <w:rPr/>
        <w:t>4.8:</w:t>
        <w:tab/>
        <w:tab/>
        <w:t>Effect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Isosorbide</w:t>
      </w:r>
      <w:r>
        <w:rPr>
          <w:spacing w:val="48"/>
        </w:rPr>
        <w:t> </w:t>
      </w:r>
      <w:r>
        <w:rPr/>
        <w:t>Dinitrate</w:t>
      </w:r>
      <w:r>
        <w:rPr>
          <w:spacing w:val="48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47"/>
        </w:rPr>
        <w:t> </w:t>
      </w:r>
      <w:r>
        <w:rPr/>
        <w:t>Antidiarrhoeal</w:t>
      </w:r>
      <w:r>
        <w:rPr>
          <w:spacing w:val="49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of</w:t>
      </w:r>
      <w:r>
        <w:rPr>
          <w:spacing w:val="48"/>
        </w:rPr>
        <w:t> </w:t>
      </w:r>
      <w:r>
        <w:rPr/>
        <w:t>Methanol</w:t>
      </w:r>
      <w:r>
        <w:rPr>
          <w:spacing w:val="52"/>
        </w:rPr>
        <w:t> </w:t>
      </w:r>
      <w:r>
        <w:rPr/>
        <w:t>Leaf</w:t>
      </w:r>
      <w:r>
        <w:rPr>
          <w:spacing w:val="-57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</w:t>
      </w:r>
      <w:r>
        <w:rPr>
          <w:i/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Intestinal</w:t>
      </w:r>
      <w:r>
        <w:rPr>
          <w:spacing w:val="-2"/>
        </w:rPr>
        <w:t> </w:t>
      </w:r>
      <w:r>
        <w:rPr/>
        <w:t>Transit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Mice</w:t>
        <w:tab/>
      </w:r>
      <w:r>
        <w:rPr>
          <w:spacing w:val="-3"/>
        </w:rPr>
        <w:t>61</w:t>
      </w:r>
    </w:p>
    <w:p>
      <w:pPr>
        <w:pStyle w:val="BodyText"/>
        <w:tabs>
          <w:tab w:pos="1556" w:val="left" w:leader="none"/>
          <w:tab w:pos="9261" w:val="left" w:leader="dot"/>
        </w:tabs>
        <w:spacing w:before="277"/>
        <w:ind w:left="1525" w:right="476" w:hanging="1260"/>
      </w:pPr>
      <w:r>
        <w:rPr/>
        <w:t>Figure</w:t>
      </w:r>
      <w:r>
        <w:rPr>
          <w:spacing w:val="-3"/>
        </w:rPr>
        <w:t> </w:t>
      </w:r>
      <w:r>
        <w:rPr/>
        <w:t>4.9:</w:t>
        <w:tab/>
        <w:tab/>
        <w:t>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on Body</w:t>
      </w:r>
      <w:r>
        <w:rPr>
          <w:spacing w:val="-5"/>
        </w:rPr>
        <w:t> </w:t>
      </w:r>
      <w:r>
        <w:rPr/>
        <w:t>Weight of Rats…</w:t>
        <w:tab/>
      </w:r>
      <w:r>
        <w:rPr>
          <w:spacing w:val="-2"/>
        </w:rPr>
        <w:t>63</w:t>
      </w:r>
    </w:p>
    <w:p>
      <w:pPr>
        <w:pStyle w:val="BodyText"/>
        <w:tabs>
          <w:tab w:pos="9333" w:val="left" w:leader="dot"/>
        </w:tabs>
        <w:spacing w:line="242" w:lineRule="auto" w:before="276"/>
        <w:ind w:left="1525" w:right="405" w:hanging="1260"/>
      </w:pPr>
      <w:r>
        <w:rPr/>
        <w:t>Figure 4.10: 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Organ</w:t>
      </w:r>
      <w:r>
        <w:rPr>
          <w:spacing w:val="-1"/>
        </w:rPr>
        <w:t> </w:t>
      </w:r>
      <w:r>
        <w:rPr/>
        <w:t>Weights</w:t>
      </w:r>
      <w:r>
        <w:rPr>
          <w:spacing w:val="-1"/>
        </w:rPr>
        <w:t> </w:t>
      </w:r>
      <w:r>
        <w:rPr/>
        <w:t>of Rats</w:t>
        <w:tab/>
      </w:r>
      <w:r>
        <w:rPr>
          <w:spacing w:val="-3"/>
        </w:rPr>
        <w:t>65</w:t>
      </w:r>
    </w:p>
    <w:p>
      <w:pPr>
        <w:pStyle w:val="BodyText"/>
        <w:tabs>
          <w:tab w:pos="9326" w:val="left" w:leader="dot"/>
        </w:tabs>
        <w:spacing w:before="244"/>
        <w:ind w:left="1465" w:right="411" w:hanging="1200"/>
      </w:pPr>
      <w:r>
        <w:rPr/>
        <w:t>Figure 4.11: 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Lipid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Rats</w:t>
        <w:tab/>
      </w:r>
      <w:r>
        <w:rPr>
          <w:spacing w:val="-2"/>
        </w:rPr>
        <w:t>73</w:t>
      </w:r>
    </w:p>
    <w:p>
      <w:pPr>
        <w:spacing w:after="0"/>
        <w:sectPr>
          <w:pgSz w:w="12240" w:h="15840"/>
          <w:pgMar w:header="0" w:footer="294" w:top="1420" w:bottom="480" w:left="1720" w:right="540"/>
        </w:sectPr>
      </w:pPr>
    </w:p>
    <w:p>
      <w:pPr>
        <w:pStyle w:val="Heading1"/>
        <w:spacing w:before="75"/>
        <w:ind w:left="750" w:right="1362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Plates</w:t>
      </w:r>
    </w:p>
    <w:p>
      <w:pPr>
        <w:tabs>
          <w:tab w:pos="8807" w:val="left" w:leader="dot"/>
        </w:tabs>
        <w:spacing w:before="271"/>
        <w:ind w:left="1258" w:right="878" w:hanging="994"/>
        <w:jc w:val="left"/>
        <w:rPr>
          <w:sz w:val="24"/>
        </w:rPr>
      </w:pPr>
      <w:r>
        <w:rPr>
          <w:sz w:val="24"/>
        </w:rPr>
        <w:t>Plate</w:t>
      </w:r>
      <w:r>
        <w:rPr>
          <w:spacing w:val="25"/>
          <w:sz w:val="24"/>
        </w:rPr>
        <w:t> </w:t>
      </w:r>
      <w:r>
        <w:rPr>
          <w:sz w:val="24"/>
        </w:rPr>
        <w:t>I: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branch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its</w:t>
      </w:r>
      <w:r>
        <w:rPr>
          <w:spacing w:val="24"/>
          <w:sz w:val="24"/>
        </w:rPr>
        <w:t> </w:t>
      </w:r>
      <w:r>
        <w:rPr>
          <w:sz w:val="24"/>
        </w:rPr>
        <w:t>Natural</w:t>
      </w:r>
      <w:r>
        <w:rPr>
          <w:spacing w:val="25"/>
          <w:sz w:val="24"/>
        </w:rPr>
        <w:t> </w:t>
      </w:r>
      <w:r>
        <w:rPr>
          <w:sz w:val="24"/>
        </w:rPr>
        <w:t>Habitat</w:t>
      </w:r>
      <w:r>
        <w:rPr>
          <w:spacing w:val="27"/>
          <w:sz w:val="24"/>
        </w:rPr>
        <w:t> </w:t>
      </w:r>
      <w:r>
        <w:rPr>
          <w:sz w:val="24"/>
        </w:rPr>
        <w:t>Showing</w:t>
      </w:r>
      <w:r>
        <w:rPr>
          <w:spacing w:val="25"/>
          <w:sz w:val="24"/>
        </w:rPr>
        <w:t> </w:t>
      </w:r>
      <w:r>
        <w:rPr>
          <w:sz w:val="24"/>
        </w:rPr>
        <w:t>Leaves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Stems</w:t>
        <w:tab/>
        <w:t>31</w:t>
      </w:r>
    </w:p>
    <w:p>
      <w:pPr>
        <w:pStyle w:val="BodyText"/>
        <w:tabs>
          <w:tab w:pos="1472" w:val="left" w:leader="none"/>
          <w:tab w:pos="8736" w:val="left" w:leader="dot"/>
        </w:tabs>
        <w:spacing w:before="277"/>
        <w:ind w:left="1398" w:right="872" w:hanging="1133"/>
      </w:pPr>
      <w:r>
        <w:rPr/>
        <w:t>Plate</w:t>
      </w:r>
      <w:r>
        <w:rPr>
          <w:spacing w:val="21"/>
        </w:rPr>
        <w:t> </w:t>
      </w:r>
      <w:r>
        <w:rPr/>
        <w:t>II:</w:t>
        <w:tab/>
        <w:tab/>
        <w:t>Photomicrographs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Liver</w:t>
      </w:r>
      <w:r>
        <w:rPr>
          <w:spacing w:val="22"/>
        </w:rPr>
        <w:t> </w:t>
      </w:r>
      <w:r>
        <w:rPr/>
        <w:t>Sections</w:t>
      </w:r>
      <w:r>
        <w:rPr>
          <w:spacing w:val="25"/>
        </w:rPr>
        <w:t> </w:t>
      </w:r>
      <w:r>
        <w:rPr/>
        <w:t>from</w:t>
      </w:r>
      <w:r>
        <w:rPr>
          <w:spacing w:val="22"/>
        </w:rPr>
        <w:t> </w:t>
      </w:r>
      <w:r>
        <w:rPr/>
        <w:t>Rats</w:t>
      </w:r>
      <w:r>
        <w:rPr>
          <w:spacing w:val="22"/>
        </w:rPr>
        <w:t> </w:t>
      </w:r>
      <w:r>
        <w:rPr/>
        <w:t>Orally</w:t>
      </w:r>
      <w:r>
        <w:rPr>
          <w:spacing w:val="17"/>
        </w:rPr>
        <w:t> </w:t>
      </w:r>
      <w:r>
        <w:rPr/>
        <w:t>Treated</w:t>
      </w:r>
      <w:r>
        <w:rPr>
          <w:spacing w:val="21"/>
        </w:rPr>
        <w:t> </w:t>
      </w:r>
      <w:r>
        <w:rPr/>
        <w:t>with</w:t>
      </w:r>
      <w:r>
        <w:rPr>
          <w:spacing w:val="25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Leaf</w:t>
      </w:r>
      <w:r>
        <w:rPr>
          <w:spacing w:val="-3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</w:t>
      </w:r>
      <w:r>
        <w:rPr>
          <w:i/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28-Days…</w:t>
        <w:tab/>
        <w:t>75</w:t>
      </w:r>
    </w:p>
    <w:p>
      <w:pPr>
        <w:pStyle w:val="BodyText"/>
        <w:tabs>
          <w:tab w:pos="1443" w:val="left" w:leader="none"/>
          <w:tab w:pos="8856" w:val="left" w:leader="dot"/>
        </w:tabs>
        <w:spacing w:before="276"/>
        <w:ind w:left="1398" w:right="875" w:hanging="1133"/>
      </w:pPr>
      <w:r>
        <w:rPr/>
        <w:t>Plate</w:t>
      </w:r>
      <w:r>
        <w:rPr>
          <w:spacing w:val="4"/>
        </w:rPr>
        <w:t> </w:t>
      </w:r>
      <w:r>
        <w:rPr/>
        <w:t>III:</w:t>
        <w:tab/>
        <w:tab/>
        <w:t>Photomicrographs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Kidney</w:t>
      </w:r>
      <w:r>
        <w:rPr>
          <w:spacing w:val="-2"/>
        </w:rPr>
        <w:t> </w:t>
      </w:r>
      <w:r>
        <w:rPr/>
        <w:t>Sections</w:t>
      </w:r>
      <w:r>
        <w:rPr>
          <w:spacing w:val="8"/>
        </w:rPr>
        <w:t> </w:t>
      </w:r>
      <w:r>
        <w:rPr/>
        <w:t>from</w:t>
      </w:r>
      <w:r>
        <w:rPr>
          <w:spacing w:val="4"/>
        </w:rPr>
        <w:t> </w:t>
      </w:r>
      <w:r>
        <w:rPr/>
        <w:t>Rats</w:t>
      </w:r>
      <w:r>
        <w:rPr>
          <w:spacing w:val="7"/>
        </w:rPr>
        <w:t> </w:t>
      </w:r>
      <w:r>
        <w:rPr/>
        <w:t>Orally</w:t>
      </w:r>
      <w:r>
        <w:rPr>
          <w:spacing w:val="-1"/>
        </w:rPr>
        <w:t> </w:t>
      </w:r>
      <w:r>
        <w:rPr/>
        <w:t>Treated</w:t>
      </w:r>
      <w:r>
        <w:rPr>
          <w:spacing w:val="4"/>
        </w:rPr>
        <w:t> </w:t>
      </w:r>
      <w:r>
        <w:rPr/>
        <w:t>with</w:t>
      </w:r>
      <w:r>
        <w:rPr>
          <w:spacing w:val="7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Leaf</w:t>
      </w:r>
      <w:r>
        <w:rPr>
          <w:spacing w:val="-3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</w:t>
      </w:r>
      <w:r>
        <w:rPr>
          <w:i/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28-Days…</w:t>
        <w:tab/>
        <w:t>76</w:t>
      </w:r>
    </w:p>
    <w:p>
      <w:pPr>
        <w:pStyle w:val="BodyText"/>
        <w:tabs>
          <w:tab w:pos="1417" w:val="left" w:leader="none"/>
          <w:tab w:pos="8844" w:val="left" w:leader="dot"/>
        </w:tabs>
        <w:spacing w:before="276"/>
        <w:ind w:left="1398" w:right="872" w:hanging="1133"/>
      </w:pPr>
      <w:r>
        <w:rPr/>
        <w:t>Plate</w:t>
      </w:r>
      <w:r>
        <w:rPr>
          <w:spacing w:val="27"/>
        </w:rPr>
        <w:t> </w:t>
      </w:r>
      <w:r>
        <w:rPr/>
        <w:t>IV:</w:t>
        <w:tab/>
        <w:tab/>
        <w:t>Photomicrographs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Heart</w:t>
      </w:r>
      <w:r>
        <w:rPr>
          <w:spacing w:val="26"/>
        </w:rPr>
        <w:t> </w:t>
      </w:r>
      <w:r>
        <w:rPr/>
        <w:t>Sections</w:t>
      </w:r>
      <w:r>
        <w:rPr>
          <w:spacing w:val="30"/>
        </w:rPr>
        <w:t> </w:t>
      </w:r>
      <w:r>
        <w:rPr/>
        <w:t>from</w:t>
      </w:r>
      <w:r>
        <w:rPr>
          <w:spacing w:val="27"/>
        </w:rPr>
        <w:t> </w:t>
      </w:r>
      <w:r>
        <w:rPr/>
        <w:t>Rats</w:t>
      </w:r>
      <w:r>
        <w:rPr>
          <w:spacing w:val="28"/>
        </w:rPr>
        <w:t> </w:t>
      </w:r>
      <w:r>
        <w:rPr/>
        <w:t>Orally</w:t>
      </w:r>
      <w:r>
        <w:rPr>
          <w:spacing w:val="22"/>
        </w:rPr>
        <w:t> </w:t>
      </w:r>
      <w:r>
        <w:rPr/>
        <w:t>Treated</w:t>
      </w:r>
      <w:r>
        <w:rPr>
          <w:spacing w:val="26"/>
        </w:rPr>
        <w:t> </w:t>
      </w:r>
      <w:r>
        <w:rPr/>
        <w:t>with</w:t>
      </w:r>
      <w:r>
        <w:rPr>
          <w:spacing w:val="30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Leaf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</w:t>
        <w:tab/>
      </w:r>
      <w:r>
        <w:rPr/>
        <w:t>77</w:t>
      </w:r>
    </w:p>
    <w:p>
      <w:pPr>
        <w:pStyle w:val="BodyText"/>
        <w:tabs>
          <w:tab w:pos="1369" w:val="left" w:leader="none"/>
          <w:tab w:pos="8844" w:val="left" w:leader="dot"/>
        </w:tabs>
        <w:spacing w:before="276"/>
        <w:ind w:left="1398" w:right="876" w:hanging="1133"/>
      </w:pPr>
      <w:r>
        <w:rPr/>
        <w:t>Plate</w:t>
      </w:r>
      <w:r>
        <w:rPr>
          <w:spacing w:val="33"/>
        </w:rPr>
        <w:t> </w:t>
      </w:r>
      <w:r>
        <w:rPr/>
        <w:t>V:</w:t>
        <w:tab/>
        <w:t>Photomicrographs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Lung</w:t>
      </w:r>
      <w:r>
        <w:rPr>
          <w:spacing w:val="32"/>
        </w:rPr>
        <w:t> </w:t>
      </w:r>
      <w:r>
        <w:rPr/>
        <w:t>Sections</w:t>
      </w:r>
      <w:r>
        <w:rPr>
          <w:spacing w:val="38"/>
        </w:rPr>
        <w:t> </w:t>
      </w:r>
      <w:r>
        <w:rPr/>
        <w:t>from</w:t>
      </w:r>
      <w:r>
        <w:rPr>
          <w:spacing w:val="34"/>
        </w:rPr>
        <w:t> </w:t>
      </w:r>
      <w:r>
        <w:rPr/>
        <w:t>Rats</w:t>
      </w:r>
      <w:r>
        <w:rPr>
          <w:spacing w:val="35"/>
        </w:rPr>
        <w:t> </w:t>
      </w:r>
      <w:r>
        <w:rPr/>
        <w:t>Orally</w:t>
      </w:r>
      <w:r>
        <w:rPr>
          <w:spacing w:val="29"/>
        </w:rPr>
        <w:t> </w:t>
      </w:r>
      <w:r>
        <w:rPr/>
        <w:t>Treated</w:t>
      </w:r>
      <w:r>
        <w:rPr>
          <w:spacing w:val="36"/>
        </w:rPr>
        <w:t> </w:t>
      </w:r>
      <w:r>
        <w:rPr/>
        <w:t>with</w:t>
      </w:r>
      <w:r>
        <w:rPr>
          <w:spacing w:val="37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Leaf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</w:t>
        <w:tab/>
      </w:r>
      <w:r>
        <w:rPr/>
        <w:t>78</w:t>
      </w:r>
    </w:p>
    <w:p>
      <w:pPr>
        <w:pStyle w:val="BodyText"/>
        <w:tabs>
          <w:tab w:pos="8844" w:val="left" w:leader="dot"/>
        </w:tabs>
        <w:spacing w:before="276"/>
        <w:ind w:left="1398" w:right="875" w:hanging="1133"/>
      </w:pPr>
      <w:r>
        <w:rPr/>
        <w:t>Plate</w:t>
      </w:r>
      <w:r>
        <w:rPr>
          <w:spacing w:val="1"/>
        </w:rPr>
        <w:t> </w:t>
      </w:r>
      <w:r>
        <w:rPr/>
        <w:t>VI:</w:t>
      </w:r>
      <w:r>
        <w:rPr>
          <w:spacing w:val="12"/>
        </w:rPr>
        <w:t> </w:t>
      </w:r>
      <w:r>
        <w:rPr/>
        <w:t>Photomicrographs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Stomach</w:t>
      </w:r>
      <w:r>
        <w:rPr>
          <w:spacing w:val="2"/>
        </w:rPr>
        <w:t> </w:t>
      </w:r>
      <w:r>
        <w:rPr/>
        <w:t>Sections</w:t>
      </w:r>
      <w:r>
        <w:rPr>
          <w:spacing w:val="7"/>
        </w:rPr>
        <w:t> </w:t>
      </w:r>
      <w:r>
        <w:rPr/>
        <w:t>from</w:t>
      </w:r>
      <w:r>
        <w:rPr>
          <w:spacing w:val="3"/>
        </w:rPr>
        <w:t> </w:t>
      </w:r>
      <w:r>
        <w:rPr/>
        <w:t>Rats</w:t>
      </w:r>
      <w:r>
        <w:rPr>
          <w:spacing w:val="3"/>
        </w:rPr>
        <w:t> </w:t>
      </w:r>
      <w:r>
        <w:rPr/>
        <w:t>Orally</w:t>
      </w:r>
      <w:r>
        <w:rPr>
          <w:spacing w:val="-2"/>
        </w:rPr>
        <w:t> </w:t>
      </w:r>
      <w:r>
        <w:rPr/>
        <w:t>Treated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Leaf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hypopilinum.</w:t>
        <w:tab/>
      </w:r>
      <w:r>
        <w:rPr/>
        <w:t>79</w:t>
      </w:r>
    </w:p>
    <w:p>
      <w:pPr>
        <w:pStyle w:val="BodyText"/>
        <w:tabs>
          <w:tab w:pos="8846" w:val="left" w:leader="dot"/>
        </w:tabs>
        <w:spacing w:before="276"/>
        <w:ind w:left="1258" w:right="878" w:hanging="994"/>
      </w:pPr>
      <w:r>
        <w:rPr/>
        <w:t>Plate</w:t>
      </w:r>
      <w:r>
        <w:rPr>
          <w:spacing w:val="40"/>
        </w:rPr>
        <w:t> </w:t>
      </w:r>
      <w:r>
        <w:rPr/>
        <w:t>VII:</w:t>
      </w:r>
      <w:r>
        <w:rPr>
          <w:spacing w:val="42"/>
        </w:rPr>
        <w:t> </w:t>
      </w:r>
      <w:r>
        <w:rPr/>
        <w:t>Photomicrographs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Small</w:t>
      </w:r>
      <w:r>
        <w:rPr>
          <w:spacing w:val="43"/>
        </w:rPr>
        <w:t> </w:t>
      </w:r>
      <w:r>
        <w:rPr/>
        <w:t>Intestine</w:t>
      </w:r>
      <w:r>
        <w:rPr>
          <w:spacing w:val="42"/>
        </w:rPr>
        <w:t> </w:t>
      </w:r>
      <w:r>
        <w:rPr/>
        <w:t>Sections</w:t>
      </w:r>
      <w:r>
        <w:rPr>
          <w:spacing w:val="44"/>
        </w:rPr>
        <w:t> </w:t>
      </w:r>
      <w:r>
        <w:rPr/>
        <w:t>from</w:t>
      </w:r>
      <w:r>
        <w:rPr>
          <w:spacing w:val="42"/>
        </w:rPr>
        <w:t> </w:t>
      </w:r>
      <w:r>
        <w:rPr/>
        <w:t>Rats</w:t>
      </w:r>
      <w:r>
        <w:rPr>
          <w:spacing w:val="41"/>
        </w:rPr>
        <w:t> </w:t>
      </w:r>
      <w:r>
        <w:rPr/>
        <w:t>Orally</w:t>
      </w:r>
      <w:r>
        <w:rPr>
          <w:spacing w:val="36"/>
        </w:rPr>
        <w:t> </w:t>
      </w:r>
      <w:r>
        <w:rPr/>
        <w:t>Treated</w:t>
      </w:r>
      <w:r>
        <w:rPr>
          <w:spacing w:val="41"/>
        </w:rPr>
        <w:t> </w:t>
      </w:r>
      <w:r>
        <w:rPr/>
        <w:t>with</w:t>
      </w:r>
      <w:r>
        <w:rPr>
          <w:spacing w:val="-57"/>
        </w:rPr>
        <w:t> </w:t>
      </w:r>
      <w:r>
        <w:rPr/>
        <w:t>Methanol 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hypopilinum.</w:t>
        <w:tab/>
      </w:r>
      <w:r>
        <w:rPr/>
        <w:t>80</w:t>
      </w:r>
    </w:p>
    <w:p>
      <w:pPr>
        <w:spacing w:after="0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spacing w:before="75"/>
        <w:ind w:left="210" w:right="1269"/>
        <w:jc w:val="center"/>
      </w:pPr>
      <w:r>
        <w:rPr/>
        <w:t>Appendices</w:t>
      </w:r>
    </w:p>
    <w:p>
      <w:pPr>
        <w:tabs>
          <w:tab w:pos="8705" w:val="left" w:leader="dot"/>
        </w:tabs>
        <w:spacing w:before="271"/>
        <w:ind w:left="1683" w:right="874" w:hanging="1419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51"/>
          <w:sz w:val="24"/>
        </w:rPr>
        <w:t> </w:t>
      </w:r>
      <w:r>
        <w:rPr>
          <w:sz w:val="24"/>
        </w:rPr>
        <w:t>1:</w:t>
      </w:r>
      <w:r>
        <w:rPr>
          <w:spacing w:val="50"/>
          <w:sz w:val="24"/>
        </w:rPr>
        <w:t> </w:t>
      </w:r>
      <w:r>
        <w:rPr>
          <w:sz w:val="24"/>
        </w:rPr>
        <w:t>Calculation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Percentage</w:t>
      </w:r>
      <w:r>
        <w:rPr>
          <w:spacing w:val="50"/>
          <w:sz w:val="24"/>
        </w:rPr>
        <w:t> </w:t>
      </w:r>
      <w:r>
        <w:rPr>
          <w:sz w:val="24"/>
        </w:rPr>
        <w:t>Yield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Methanol</w:t>
      </w:r>
      <w:r>
        <w:rPr>
          <w:spacing w:val="55"/>
          <w:sz w:val="24"/>
        </w:rPr>
        <w:t> </w:t>
      </w:r>
      <w:r>
        <w:rPr>
          <w:sz w:val="24"/>
        </w:rPr>
        <w:t>Leaf</w:t>
      </w:r>
      <w:r>
        <w:rPr>
          <w:spacing w:val="48"/>
          <w:sz w:val="24"/>
        </w:rPr>
        <w:t> </w:t>
      </w:r>
      <w:r>
        <w:rPr>
          <w:sz w:val="24"/>
        </w:rPr>
        <w:t>Extract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hypopilinum</w:t>
        <w:tab/>
      </w:r>
      <w:r>
        <w:rPr>
          <w:sz w:val="24"/>
        </w:rPr>
        <w:t>116</w:t>
      </w:r>
    </w:p>
    <w:p>
      <w:pPr>
        <w:pStyle w:val="BodyText"/>
        <w:tabs>
          <w:tab w:pos="8690" w:val="left" w:leader="dot"/>
        </w:tabs>
        <w:spacing w:before="277"/>
        <w:ind w:left="1542" w:right="873" w:hanging="1277"/>
      </w:pPr>
      <w:r>
        <w:rPr/>
        <w:t>Appendix</w:t>
      </w:r>
      <w:r>
        <w:rPr>
          <w:spacing w:val="30"/>
        </w:rPr>
        <w:t> </w:t>
      </w:r>
      <w:r>
        <w:rPr/>
        <w:t>2:</w:t>
      </w:r>
      <w:r>
        <w:rPr>
          <w:spacing w:val="28"/>
        </w:rPr>
        <w:t> </w:t>
      </w:r>
      <w:r>
        <w:rPr/>
        <w:t>Effect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Methanol</w:t>
      </w:r>
      <w:r>
        <w:rPr>
          <w:spacing w:val="30"/>
        </w:rPr>
        <w:t> </w:t>
      </w:r>
      <w:r>
        <w:rPr/>
        <w:t>Leaf</w:t>
      </w:r>
      <w:r>
        <w:rPr>
          <w:spacing w:val="26"/>
        </w:rPr>
        <w:t> </w:t>
      </w:r>
      <w:r>
        <w:rPr/>
        <w:t>Extract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>
          <w:i/>
        </w:rPr>
        <w:t>Combretum</w:t>
      </w:r>
      <w:r>
        <w:rPr>
          <w:i/>
          <w:spacing w:val="31"/>
        </w:rPr>
        <w:t> </w:t>
      </w:r>
      <w:r>
        <w:rPr>
          <w:i/>
        </w:rPr>
        <w:t>hypopilinum</w:t>
      </w:r>
      <w:r>
        <w:rPr>
          <w:i/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Castor</w:t>
      </w:r>
      <w:r>
        <w:rPr>
          <w:spacing w:val="29"/>
        </w:rPr>
        <w:t> </w:t>
      </w:r>
      <w:r>
        <w:rPr/>
        <w:t>Oil-</w:t>
      </w:r>
      <w:r>
        <w:rPr>
          <w:spacing w:val="-57"/>
        </w:rPr>
        <w:t> </w:t>
      </w:r>
      <w:r>
        <w:rPr/>
        <w:t>Induced</w:t>
      </w:r>
      <w:r>
        <w:rPr>
          <w:spacing w:val="-2"/>
        </w:rPr>
        <w:t> </w:t>
      </w:r>
      <w:r>
        <w:rPr/>
        <w:t>Enteropooling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  <w:tab/>
        <w:t>117</w:t>
      </w:r>
    </w:p>
    <w:p>
      <w:pPr>
        <w:tabs>
          <w:tab w:pos="8685" w:val="left" w:leader="dot"/>
        </w:tabs>
        <w:spacing w:before="276"/>
        <w:ind w:left="1683" w:right="877" w:hanging="1419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48"/>
          <w:sz w:val="24"/>
        </w:rPr>
        <w:t> </w:t>
      </w:r>
      <w:r>
        <w:rPr>
          <w:sz w:val="24"/>
        </w:rPr>
        <w:t>3:</w:t>
      </w:r>
      <w:r>
        <w:rPr>
          <w:spacing w:val="47"/>
          <w:sz w:val="24"/>
        </w:rPr>
        <w:t> </w:t>
      </w:r>
      <w:r>
        <w:rPr>
          <w:sz w:val="24"/>
        </w:rPr>
        <w:t>Effect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Methanol</w:t>
      </w:r>
      <w:r>
        <w:rPr>
          <w:spacing w:val="49"/>
          <w:sz w:val="24"/>
        </w:rPr>
        <w:t> </w:t>
      </w:r>
      <w:r>
        <w:rPr>
          <w:sz w:val="24"/>
        </w:rPr>
        <w:t>Leaf</w:t>
      </w:r>
      <w:r>
        <w:rPr>
          <w:spacing w:val="46"/>
          <w:sz w:val="24"/>
        </w:rPr>
        <w:t> </w:t>
      </w:r>
      <w:r>
        <w:rPr>
          <w:sz w:val="24"/>
        </w:rPr>
        <w:t>Extract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49"/>
          <w:sz w:val="24"/>
        </w:rPr>
        <w:t> </w:t>
      </w:r>
      <w:r>
        <w:rPr>
          <w:sz w:val="24"/>
        </w:rPr>
        <w:t>Intestinal</w:t>
      </w:r>
      <w:r>
        <w:rPr>
          <w:spacing w:val="-57"/>
          <w:sz w:val="24"/>
        </w:rPr>
        <w:t> </w:t>
      </w:r>
      <w:r>
        <w:rPr>
          <w:sz w:val="24"/>
        </w:rPr>
        <w:t>Transit in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118</w:t>
      </w:r>
    </w:p>
    <w:p>
      <w:pPr>
        <w:pStyle w:val="BodyText"/>
        <w:spacing w:before="240"/>
        <w:ind w:left="265"/>
      </w:pPr>
      <w:r>
        <w:rPr/>
        <w:t>Appendix 4: 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Naloxone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Antidiarrhoeal</w:t>
      </w:r>
      <w:r>
        <w:rPr>
          <w:spacing w:val="-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tabs>
          <w:tab w:pos="8633" w:val="left" w:leader="dot"/>
        </w:tabs>
        <w:spacing w:before="0"/>
        <w:ind w:left="1525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Intestinal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119</w:t>
      </w:r>
    </w:p>
    <w:p>
      <w:pPr>
        <w:pStyle w:val="BodyText"/>
        <w:spacing w:before="269"/>
        <w:ind w:left="265"/>
      </w:pPr>
      <w:r>
        <w:rPr/>
        <w:t>Appendix</w:t>
      </w:r>
      <w:r>
        <w:rPr>
          <w:spacing w:val="12"/>
        </w:rPr>
        <w:t> </w:t>
      </w:r>
      <w:r>
        <w:rPr/>
        <w:t>5:</w:t>
      </w:r>
      <w:r>
        <w:rPr>
          <w:spacing w:val="10"/>
        </w:rPr>
        <w:t> </w:t>
      </w:r>
      <w:r>
        <w:rPr/>
        <w:t>Effect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Prazosin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Antidiarrhoeal</w:t>
      </w:r>
      <w:r>
        <w:rPr>
          <w:spacing w:val="10"/>
        </w:rPr>
        <w:t> </w:t>
      </w:r>
      <w:r>
        <w:rPr/>
        <w:t>Activity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Methanol</w:t>
      </w:r>
      <w:r>
        <w:rPr>
          <w:spacing w:val="12"/>
        </w:rPr>
        <w:t> </w:t>
      </w:r>
      <w:r>
        <w:rPr/>
        <w:t>Leaf</w:t>
      </w:r>
      <w:r>
        <w:rPr>
          <w:spacing w:val="10"/>
        </w:rPr>
        <w:t> </w:t>
      </w:r>
      <w:r>
        <w:rPr/>
        <w:t>Extract</w:t>
      </w:r>
      <w:r>
        <w:rPr>
          <w:spacing w:val="9"/>
        </w:rPr>
        <w:t> </w:t>
      </w:r>
      <w:r>
        <w:rPr/>
        <w:t>of</w:t>
      </w:r>
    </w:p>
    <w:p>
      <w:pPr>
        <w:tabs>
          <w:tab w:pos="8709" w:val="left" w:leader="dot"/>
        </w:tabs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Intestinal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120</w:t>
      </w:r>
    </w:p>
    <w:p>
      <w:pPr>
        <w:pStyle w:val="BodyText"/>
        <w:tabs>
          <w:tab w:pos="8743" w:val="left" w:leader="dot"/>
        </w:tabs>
        <w:spacing w:before="276"/>
        <w:ind w:left="1398" w:right="874" w:hanging="1133"/>
      </w:pPr>
      <w:r>
        <w:rPr/>
        <w:t>Appendix</w:t>
      </w:r>
      <w:r>
        <w:rPr>
          <w:spacing w:val="12"/>
        </w:rPr>
        <w:t> </w:t>
      </w:r>
      <w:r>
        <w:rPr/>
        <w:t>6:</w:t>
      </w:r>
      <w:r>
        <w:rPr>
          <w:spacing w:val="11"/>
        </w:rPr>
        <w:t> </w:t>
      </w:r>
      <w:r>
        <w:rPr/>
        <w:t>Effect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Yohimbine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Antidiarrhoeal</w:t>
      </w:r>
      <w:r>
        <w:rPr>
          <w:spacing w:val="11"/>
        </w:rPr>
        <w:t> </w:t>
      </w:r>
      <w:r>
        <w:rPr/>
        <w:t>Activity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Methanol</w:t>
      </w:r>
      <w:r>
        <w:rPr>
          <w:spacing w:val="13"/>
        </w:rPr>
        <w:t> </w:t>
      </w:r>
      <w:r>
        <w:rPr/>
        <w:t>Leaf</w:t>
      </w:r>
      <w:r>
        <w:rPr>
          <w:spacing w:val="10"/>
        </w:rPr>
        <w:t> </w:t>
      </w:r>
      <w:r>
        <w:rPr/>
        <w:t>Extract</w:t>
      </w:r>
      <w:r>
        <w:rPr>
          <w:spacing w:val="-57"/>
        </w:rPr>
        <w:t> </w:t>
      </w:r>
      <w:r>
        <w:rPr/>
        <w:t>of</w:t>
      </w:r>
      <w:r>
        <w:rPr>
          <w:spacing w:val="53"/>
        </w:rPr>
        <w:t> </w:t>
      </w:r>
      <w:r>
        <w:rPr>
          <w:i/>
        </w:rPr>
        <w:t>Combretum</w:t>
      </w:r>
      <w:r>
        <w:rPr>
          <w:i/>
          <w:spacing w:val="55"/>
        </w:rPr>
        <w:t> </w:t>
      </w:r>
      <w:r>
        <w:rPr>
          <w:i/>
        </w:rPr>
        <w:t>hypopilinum</w:t>
      </w:r>
      <w:r>
        <w:rPr>
          <w:i/>
          <w:spacing w:val="54"/>
        </w:rPr>
        <w:t> </w:t>
      </w:r>
      <w:r>
        <w:rPr/>
        <w:t>in</w:t>
      </w:r>
      <w:r>
        <w:rPr>
          <w:spacing w:val="57"/>
        </w:rPr>
        <w:t> </w:t>
      </w:r>
      <w:r>
        <w:rPr/>
        <w:t>Intestinal</w:t>
      </w:r>
      <w:r>
        <w:rPr>
          <w:spacing w:val="54"/>
        </w:rPr>
        <w:t> </w:t>
      </w:r>
      <w:r>
        <w:rPr/>
        <w:t>Transit</w:t>
      </w:r>
      <w:r>
        <w:rPr>
          <w:spacing w:val="56"/>
        </w:rPr>
        <w:t> </w:t>
      </w:r>
      <w:r>
        <w:rPr/>
        <w:t>in</w:t>
      </w:r>
      <w:r>
        <w:rPr>
          <w:spacing w:val="54"/>
        </w:rPr>
        <w:t> </w:t>
      </w:r>
      <w:r>
        <w:rPr/>
        <w:t>Mice</w:t>
        <w:tab/>
      </w:r>
      <w:r>
        <w:rPr>
          <w:spacing w:val="-2"/>
        </w:rPr>
        <w:t>121</w:t>
      </w:r>
    </w:p>
    <w:p>
      <w:pPr>
        <w:pStyle w:val="BodyText"/>
        <w:tabs>
          <w:tab w:pos="8729" w:val="left" w:leader="dot"/>
        </w:tabs>
        <w:spacing w:before="276"/>
        <w:ind w:left="1542" w:right="875" w:hanging="1277"/>
      </w:pPr>
      <w:r>
        <w:rPr/>
        <w:t>Appendix</w:t>
      </w:r>
      <w:r>
        <w:rPr>
          <w:spacing w:val="8"/>
        </w:rPr>
        <w:t> </w:t>
      </w:r>
      <w:r>
        <w:rPr/>
        <w:t>7:</w:t>
      </w:r>
      <w:r>
        <w:rPr>
          <w:spacing w:val="6"/>
        </w:rPr>
        <w:t> </w:t>
      </w:r>
      <w:r>
        <w:rPr/>
        <w:t>Effect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Propranolol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Antidiarrhoeal</w:t>
      </w:r>
      <w:r>
        <w:rPr>
          <w:spacing w:val="6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Methanol</w:t>
      </w:r>
      <w:r>
        <w:rPr>
          <w:spacing w:val="12"/>
        </w:rPr>
        <w:t> </w:t>
      </w:r>
      <w:r>
        <w:rPr/>
        <w:t>Leaf</w:t>
      </w:r>
      <w:r>
        <w:rPr>
          <w:spacing w:val="6"/>
        </w:rPr>
        <w:t> </w:t>
      </w:r>
      <w:r>
        <w:rPr/>
        <w:t>Extract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</w:t>
      </w:r>
      <w:r>
        <w:rPr>
          <w:i/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Transit in</w:t>
      </w:r>
      <w:r>
        <w:rPr>
          <w:spacing w:val="-1"/>
        </w:rPr>
        <w:t> </w:t>
      </w:r>
      <w:r>
        <w:rPr/>
        <w:t>Mice</w:t>
        <w:tab/>
        <w:t>122</w:t>
      </w:r>
    </w:p>
    <w:p>
      <w:pPr>
        <w:pStyle w:val="BodyText"/>
        <w:tabs>
          <w:tab w:pos="8645" w:val="left" w:leader="dot"/>
        </w:tabs>
        <w:spacing w:before="276"/>
        <w:ind w:left="985" w:right="879" w:hanging="720"/>
      </w:pPr>
      <w:r>
        <w:rPr/>
        <w:t>Appendix</w:t>
      </w:r>
      <w:r>
        <w:rPr>
          <w:spacing w:val="12"/>
        </w:rPr>
        <w:t> </w:t>
      </w:r>
      <w:r>
        <w:rPr/>
        <w:t>8:</w:t>
      </w:r>
      <w:r>
        <w:rPr>
          <w:spacing w:val="8"/>
        </w:rPr>
        <w:t> </w:t>
      </w:r>
      <w:r>
        <w:rPr/>
        <w:t>Effect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Pilocarpine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Antidiarrhoeal</w:t>
      </w:r>
      <w:r>
        <w:rPr>
          <w:spacing w:val="10"/>
        </w:rPr>
        <w:t> </w:t>
      </w:r>
      <w:r>
        <w:rPr/>
        <w:t>Activity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Methanol</w:t>
      </w:r>
      <w:r>
        <w:rPr>
          <w:spacing w:val="12"/>
        </w:rPr>
        <w:t> </w:t>
      </w:r>
      <w:r>
        <w:rPr/>
        <w:t>Leaf</w:t>
      </w:r>
      <w:r>
        <w:rPr>
          <w:spacing w:val="10"/>
        </w:rPr>
        <w:t> </w:t>
      </w:r>
      <w:r>
        <w:rPr/>
        <w:t>Extract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Intestinal</w:t>
      </w:r>
      <w:r>
        <w:rPr>
          <w:spacing w:val="-1"/>
        </w:rPr>
        <w:t> </w:t>
      </w:r>
      <w:r>
        <w:rPr/>
        <w:t>Transit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Mice</w:t>
        <w:tab/>
        <w:t>123</w:t>
      </w:r>
    </w:p>
    <w:p>
      <w:pPr>
        <w:pStyle w:val="BodyText"/>
        <w:tabs>
          <w:tab w:pos="8705" w:val="left" w:leader="dot"/>
        </w:tabs>
        <w:spacing w:before="274"/>
        <w:ind w:left="1542" w:right="877" w:hanging="1277"/>
      </w:pPr>
      <w:r>
        <w:rPr/>
        <w:t>Appendix</w:t>
      </w:r>
      <w:r>
        <w:rPr>
          <w:spacing w:val="5"/>
        </w:rPr>
        <w:t> </w:t>
      </w:r>
      <w:r>
        <w:rPr/>
        <w:t>9:</w:t>
      </w:r>
      <w:r>
        <w:rPr>
          <w:spacing w:val="4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Isosorbide</w:t>
      </w:r>
      <w:r>
        <w:rPr>
          <w:spacing w:val="3"/>
        </w:rPr>
        <w:t> </w:t>
      </w:r>
      <w:r>
        <w:rPr/>
        <w:t>Dinitrate</w:t>
      </w:r>
      <w:r>
        <w:rPr>
          <w:spacing w:val="3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Antidiarrhoeal</w:t>
      </w:r>
      <w:r>
        <w:rPr>
          <w:spacing w:val="4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Methanol</w:t>
      </w:r>
      <w:r>
        <w:rPr>
          <w:spacing w:val="6"/>
        </w:rPr>
        <w:t> </w:t>
      </w:r>
      <w:r>
        <w:rPr/>
        <w:t>Leaf</w:t>
      </w:r>
      <w:r>
        <w:rPr>
          <w:spacing w:val="-57"/>
        </w:rPr>
        <w:t> </w:t>
      </w:r>
      <w:r>
        <w:rPr/>
        <w:t>Extract of</w:t>
      </w:r>
      <w:r>
        <w:rPr>
          <w:spacing w:val="-2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</w:t>
      </w:r>
      <w:r>
        <w:rPr>
          <w:i/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Intestinal</w:t>
      </w:r>
      <w:r>
        <w:rPr>
          <w:spacing w:val="-1"/>
        </w:rPr>
        <w:t> </w:t>
      </w:r>
      <w:r>
        <w:rPr/>
        <w:t>Transit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Mice</w:t>
        <w:tab/>
        <w:t>124</w:t>
      </w:r>
    </w:p>
    <w:p>
      <w:pPr>
        <w:pStyle w:val="BodyText"/>
        <w:spacing w:before="276"/>
        <w:ind w:left="265"/>
      </w:pPr>
      <w:r>
        <w:rPr/>
        <w:t>Appendix</w:t>
      </w:r>
      <w:r>
        <w:rPr>
          <w:spacing w:val="92"/>
        </w:rPr>
        <w:t> </w:t>
      </w:r>
      <w:r>
        <w:rPr/>
        <w:t>10:</w:t>
      </w:r>
      <w:r>
        <w:rPr>
          <w:spacing w:val="87"/>
        </w:rPr>
        <w:t> </w:t>
      </w:r>
      <w:r>
        <w:rPr/>
        <w:t>Effect</w:t>
      </w:r>
      <w:r>
        <w:rPr>
          <w:spacing w:val="90"/>
        </w:rPr>
        <w:t> </w:t>
      </w:r>
      <w:r>
        <w:rPr/>
        <w:t>of</w:t>
      </w:r>
      <w:r>
        <w:rPr>
          <w:spacing w:val="88"/>
        </w:rPr>
        <w:t> </w:t>
      </w:r>
      <w:r>
        <w:rPr/>
        <w:t>28-Days</w:t>
      </w:r>
      <w:r>
        <w:rPr>
          <w:spacing w:val="90"/>
        </w:rPr>
        <w:t> </w:t>
      </w:r>
      <w:r>
        <w:rPr/>
        <w:t>Oral</w:t>
      </w:r>
      <w:r>
        <w:rPr>
          <w:spacing w:val="89"/>
        </w:rPr>
        <w:t> </w:t>
      </w:r>
      <w:r>
        <w:rPr/>
        <w:t>Administration</w:t>
      </w:r>
      <w:r>
        <w:rPr>
          <w:spacing w:val="88"/>
        </w:rPr>
        <w:t> </w:t>
      </w:r>
      <w:r>
        <w:rPr/>
        <w:t>of</w:t>
      </w:r>
      <w:r>
        <w:rPr>
          <w:spacing w:val="89"/>
        </w:rPr>
        <w:t> </w:t>
      </w:r>
      <w:r>
        <w:rPr/>
        <w:t>Methanol</w:t>
      </w:r>
      <w:r>
        <w:rPr>
          <w:spacing w:val="87"/>
        </w:rPr>
        <w:t> </w:t>
      </w:r>
      <w:r>
        <w:rPr/>
        <w:t>Leaf</w:t>
      </w:r>
      <w:r>
        <w:rPr>
          <w:spacing w:val="89"/>
        </w:rPr>
        <w:t> </w:t>
      </w:r>
      <w:r>
        <w:rPr/>
        <w:t>Extract</w:t>
      </w:r>
      <w:r>
        <w:rPr>
          <w:spacing w:val="89"/>
        </w:rPr>
        <w:t> </w:t>
      </w:r>
      <w:r>
        <w:rPr/>
        <w:t>of</w:t>
      </w:r>
    </w:p>
    <w:p>
      <w:pPr>
        <w:tabs>
          <w:tab w:pos="8729" w:val="left" w:leader="dot"/>
        </w:tabs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hypopilinum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Weights</w:t>
      </w:r>
      <w:r>
        <w:rPr>
          <w:spacing w:val="-1"/>
          <w:sz w:val="24"/>
        </w:rPr>
        <w:t> </w:t>
      </w:r>
      <w:r>
        <w:rPr>
          <w:sz w:val="24"/>
        </w:rPr>
        <w:t>of Rat</w:t>
        <w:tab/>
        <w:t>125</w:t>
      </w:r>
    </w:p>
    <w:p>
      <w:pPr>
        <w:pStyle w:val="BodyText"/>
        <w:spacing w:before="276"/>
        <w:ind w:left="265"/>
      </w:pPr>
      <w:r>
        <w:rPr/>
        <w:t>Appendix</w:t>
      </w:r>
      <w:r>
        <w:rPr>
          <w:spacing w:val="92"/>
        </w:rPr>
        <w:t> </w:t>
      </w:r>
      <w:r>
        <w:rPr/>
        <w:t>11:</w:t>
      </w:r>
      <w:r>
        <w:rPr>
          <w:spacing w:val="87"/>
        </w:rPr>
        <w:t> </w:t>
      </w:r>
      <w:r>
        <w:rPr/>
        <w:t>Effect</w:t>
      </w:r>
      <w:r>
        <w:rPr>
          <w:spacing w:val="90"/>
        </w:rPr>
        <w:t> </w:t>
      </w:r>
      <w:r>
        <w:rPr/>
        <w:t>of</w:t>
      </w:r>
      <w:r>
        <w:rPr>
          <w:spacing w:val="88"/>
        </w:rPr>
        <w:t> </w:t>
      </w:r>
      <w:r>
        <w:rPr/>
        <w:t>28-Days</w:t>
      </w:r>
      <w:r>
        <w:rPr>
          <w:spacing w:val="89"/>
        </w:rPr>
        <w:t> </w:t>
      </w:r>
      <w:r>
        <w:rPr/>
        <w:t>Oral</w:t>
      </w:r>
      <w:r>
        <w:rPr>
          <w:spacing w:val="89"/>
        </w:rPr>
        <w:t> </w:t>
      </w:r>
      <w:r>
        <w:rPr/>
        <w:t>Administration</w:t>
      </w:r>
      <w:r>
        <w:rPr>
          <w:spacing w:val="90"/>
        </w:rPr>
        <w:t> </w:t>
      </w:r>
      <w:r>
        <w:rPr/>
        <w:t>of</w:t>
      </w:r>
      <w:r>
        <w:rPr>
          <w:spacing w:val="89"/>
        </w:rPr>
        <w:t> </w:t>
      </w:r>
      <w:r>
        <w:rPr/>
        <w:t>Methanol</w:t>
      </w:r>
      <w:r>
        <w:rPr>
          <w:spacing w:val="87"/>
        </w:rPr>
        <w:t> </w:t>
      </w:r>
      <w:r>
        <w:rPr/>
        <w:t>Leaf</w:t>
      </w:r>
      <w:r>
        <w:rPr>
          <w:spacing w:val="88"/>
        </w:rPr>
        <w:t> </w:t>
      </w:r>
      <w:r>
        <w:rPr/>
        <w:t>Extract</w:t>
      </w:r>
      <w:r>
        <w:rPr>
          <w:spacing w:val="89"/>
        </w:rPr>
        <w:t> </w:t>
      </w:r>
      <w:r>
        <w:rPr/>
        <w:t>of</w:t>
      </w:r>
    </w:p>
    <w:p>
      <w:pPr>
        <w:tabs>
          <w:tab w:pos="8705" w:val="left" w:leader="dot"/>
        </w:tabs>
        <w:spacing w:before="0"/>
        <w:ind w:left="1683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on Relative</w:t>
      </w:r>
      <w:r>
        <w:rPr>
          <w:spacing w:val="-2"/>
          <w:sz w:val="24"/>
        </w:rPr>
        <w:t> </w:t>
      </w:r>
      <w:r>
        <w:rPr>
          <w:sz w:val="24"/>
        </w:rPr>
        <w:t>Organ</w:t>
      </w:r>
      <w:r>
        <w:rPr>
          <w:spacing w:val="-1"/>
          <w:sz w:val="24"/>
        </w:rPr>
        <w:t> </w:t>
      </w:r>
      <w:r>
        <w:rPr>
          <w:sz w:val="24"/>
        </w:rPr>
        <w:t>Weights of</w:t>
      </w:r>
      <w:r>
        <w:rPr>
          <w:spacing w:val="-1"/>
          <w:sz w:val="24"/>
        </w:rPr>
        <w:t> </w:t>
      </w:r>
      <w:r>
        <w:rPr>
          <w:sz w:val="24"/>
        </w:rPr>
        <w:t>Rats…</w:t>
        <w:tab/>
        <w:t>126</w:t>
      </w:r>
    </w:p>
    <w:p>
      <w:pPr>
        <w:pStyle w:val="BodyText"/>
        <w:spacing w:before="240"/>
        <w:ind w:left="265"/>
      </w:pPr>
      <w:r>
        <w:rPr/>
        <w:t>Appendix</w:t>
      </w:r>
      <w:r>
        <w:rPr>
          <w:spacing w:val="92"/>
        </w:rPr>
        <w:t> </w:t>
      </w:r>
      <w:r>
        <w:rPr/>
        <w:t>12:</w:t>
      </w:r>
      <w:r>
        <w:rPr>
          <w:spacing w:val="87"/>
        </w:rPr>
        <w:t> </w:t>
      </w:r>
      <w:r>
        <w:rPr/>
        <w:t>Effect</w:t>
      </w:r>
      <w:r>
        <w:rPr>
          <w:spacing w:val="91"/>
        </w:rPr>
        <w:t> </w:t>
      </w:r>
      <w:r>
        <w:rPr/>
        <w:t>of</w:t>
      </w:r>
      <w:r>
        <w:rPr>
          <w:spacing w:val="88"/>
        </w:rPr>
        <w:t> </w:t>
      </w:r>
      <w:r>
        <w:rPr/>
        <w:t>28-Days</w:t>
      </w:r>
      <w:r>
        <w:rPr>
          <w:spacing w:val="90"/>
        </w:rPr>
        <w:t> </w:t>
      </w:r>
      <w:r>
        <w:rPr/>
        <w:t>Oral</w:t>
      </w:r>
      <w:r>
        <w:rPr>
          <w:spacing w:val="90"/>
        </w:rPr>
        <w:t> </w:t>
      </w:r>
      <w:r>
        <w:rPr/>
        <w:t>Administration</w:t>
      </w:r>
      <w:r>
        <w:rPr>
          <w:spacing w:val="88"/>
        </w:rPr>
        <w:t> </w:t>
      </w:r>
      <w:r>
        <w:rPr/>
        <w:t>of</w:t>
      </w:r>
      <w:r>
        <w:rPr>
          <w:spacing w:val="89"/>
        </w:rPr>
        <w:t> </w:t>
      </w:r>
      <w:r>
        <w:rPr/>
        <w:t>Methanol</w:t>
      </w:r>
      <w:r>
        <w:rPr>
          <w:spacing w:val="87"/>
        </w:rPr>
        <w:t> </w:t>
      </w:r>
      <w:r>
        <w:rPr/>
        <w:t>Leaf</w:t>
      </w:r>
      <w:r>
        <w:rPr>
          <w:spacing w:val="89"/>
        </w:rPr>
        <w:t> </w:t>
      </w:r>
      <w:r>
        <w:rPr/>
        <w:t>Extract</w:t>
      </w:r>
      <w:r>
        <w:rPr>
          <w:spacing w:val="89"/>
        </w:rPr>
        <w:t> </w:t>
      </w:r>
      <w:r>
        <w:rPr/>
        <w:t>of</w:t>
      </w:r>
    </w:p>
    <w:p>
      <w:pPr>
        <w:tabs>
          <w:tab w:pos="8685" w:val="left" w:leader="dot"/>
        </w:tabs>
        <w:spacing w:before="0"/>
        <w:ind w:left="1825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on Lipid</w:t>
      </w:r>
      <w:r>
        <w:rPr>
          <w:spacing w:val="-1"/>
          <w:sz w:val="24"/>
        </w:rPr>
        <w:t> </w:t>
      </w:r>
      <w:r>
        <w:rPr>
          <w:sz w:val="24"/>
        </w:rPr>
        <w:t>Profile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Rat…</w:t>
        <w:tab/>
        <w:t>127</w:t>
      </w:r>
    </w:p>
    <w:p>
      <w:pPr>
        <w:pStyle w:val="BodyText"/>
        <w:tabs>
          <w:tab w:pos="8741" w:val="left" w:leader="dot"/>
        </w:tabs>
        <w:spacing w:before="243"/>
        <w:ind w:left="265"/>
      </w:pPr>
      <w:r>
        <w:rPr/>
        <w:t>Appendix</w:t>
      </w:r>
      <w:r>
        <w:rPr>
          <w:spacing w:val="1"/>
        </w:rPr>
        <w:t> </w:t>
      </w:r>
      <w:r>
        <w:rPr/>
        <w:t>13:</w:t>
      </w:r>
      <w:r>
        <w:rPr>
          <w:spacing w:val="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publications</w:t>
        <w:tab/>
        <w:t>128</w:t>
      </w:r>
    </w:p>
    <w:p>
      <w:pPr>
        <w:pStyle w:val="BodyText"/>
        <w:tabs>
          <w:tab w:pos="8729" w:val="left" w:leader="dot"/>
        </w:tabs>
        <w:spacing w:before="140"/>
        <w:ind w:left="281"/>
      </w:pPr>
      <w:r>
        <w:rPr/>
        <w:t>Appendix 14:</w:t>
      </w:r>
      <w:r>
        <w:rPr>
          <w:spacing w:val="-1"/>
        </w:rPr>
        <w:t> </w:t>
      </w:r>
      <w:r>
        <w:rPr/>
        <w:t>Conference</w:t>
      </w:r>
      <w:r>
        <w:rPr>
          <w:spacing w:val="-3"/>
        </w:rPr>
        <w:t> </w:t>
      </w:r>
      <w:r>
        <w:rPr/>
        <w:t>papers</w:t>
        <w:tab/>
        <w:t>129</w:t>
      </w:r>
    </w:p>
    <w:p>
      <w:pPr>
        <w:spacing w:after="0"/>
        <w:sectPr>
          <w:pgSz w:w="12240" w:h="15840"/>
          <w:pgMar w:header="0" w:footer="294" w:top="1340" w:bottom="480" w:left="1720" w:right="540"/>
        </w:sectPr>
      </w:pPr>
    </w:p>
    <w:tbl>
      <w:tblPr>
        <w:tblW w:w="0" w:type="auto"/>
        <w:jc w:val="left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4403"/>
      </w:tblGrid>
      <w:tr>
        <w:trPr>
          <w:trHeight w:val="956" w:hRule="atLeast"/>
        </w:trPr>
        <w:tc>
          <w:tcPr>
            <w:tcW w:w="1202" w:type="dxa"/>
          </w:tcPr>
          <w:p>
            <w:pPr>
              <w:pStyle w:val="TableParagraph"/>
              <w:spacing w:before="537"/>
              <w:ind w:left="50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4403" w:type="dxa"/>
          </w:tcPr>
          <w:p>
            <w:pPr>
              <w:pStyle w:val="TableParagraph"/>
              <w:spacing w:line="266" w:lineRule="exact" w:before="0"/>
              <w:ind w:left="2179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Abbreviations</w:t>
            </w: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287"/>
              <w:rPr>
                <w:sz w:val="24"/>
              </w:rPr>
            </w:pPr>
            <w:r>
              <w:rPr>
                <w:sz w:val="24"/>
              </w:rPr>
              <w:t>Alveoli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congestion</w:t>
            </w:r>
          </w:p>
        </w:tc>
      </w:tr>
      <w:tr>
        <w:trPr>
          <w:trHeight w:val="551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AIDS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Acquired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immune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deficiency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syndrome</w:t>
            </w:r>
          </w:p>
        </w:tc>
      </w:tr>
      <w:tr>
        <w:trPr>
          <w:trHeight w:val="551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ALP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Alkaline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phosphatase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ALT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Alanine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transaminase</w:t>
            </w:r>
          </w:p>
        </w:tc>
      </w:tr>
      <w:tr>
        <w:trPr>
          <w:trHeight w:val="551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AN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Alveoli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necrosis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AST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Aspartate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transaminase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cAMP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Cyclic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adenosine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monophosphate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cm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Centimeter</w:t>
            </w:r>
          </w:p>
        </w:tc>
      </w:tr>
      <w:tr>
        <w:trPr>
          <w:trHeight w:val="551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CNS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nervous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CTG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Intestinal content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DW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Distilled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EDTA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Ethylenediaminetetraacetic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fL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Femtoliter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g/dL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liter</w:t>
            </w:r>
          </w:p>
        </w:tc>
      </w:tr>
      <w:tr>
        <w:trPr>
          <w:trHeight w:val="551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GIT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Gastrointestinal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tract</w:t>
            </w:r>
          </w:p>
        </w:tc>
      </w:tr>
      <w:tr>
        <w:trPr>
          <w:trHeight w:val="550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GRAN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Granulocytes</w:t>
            </w:r>
          </w:p>
        </w:tc>
      </w:tr>
      <w:tr>
        <w:trPr>
          <w:trHeight w:val="551" w:hRule="atLeast"/>
        </w:trPr>
        <w:tc>
          <w:tcPr>
            <w:tcW w:w="1202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4403" w:type="dxa"/>
          </w:tcPr>
          <w:p>
            <w:pPr>
              <w:pStyle w:val="TableParagraph"/>
              <w:spacing w:before="131"/>
              <w:ind w:left="287"/>
              <w:rPr>
                <w:sz w:val="24"/>
              </w:rPr>
            </w:pPr>
            <w:r>
              <w:rPr>
                <w:sz w:val="24"/>
              </w:rPr>
              <w:t>Hematoxylin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eosin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HCl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Hydrochloric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HCT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Haematocrit</w:t>
            </w:r>
          </w:p>
        </w:tc>
      </w:tr>
      <w:tr>
        <w:trPr>
          <w:trHeight w:val="552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HDL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High-density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lipoprotein</w:t>
            </w:r>
          </w:p>
        </w:tc>
      </w:tr>
      <w:tr>
        <w:trPr>
          <w:trHeight w:val="551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HGB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Haemoglobin</w:t>
            </w:r>
          </w:p>
        </w:tc>
      </w:tr>
      <w:tr>
        <w:trPr>
          <w:trHeight w:val="551" w:hRule="atLeast"/>
        </w:trPr>
        <w:tc>
          <w:tcPr>
            <w:tcW w:w="120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HIV</w:t>
            </w:r>
          </w:p>
        </w:tc>
        <w:tc>
          <w:tcPr>
            <w:tcW w:w="4403" w:type="dxa"/>
          </w:tcPr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immune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deficiency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virus</w:t>
            </w:r>
          </w:p>
        </w:tc>
      </w:tr>
      <w:tr>
        <w:trPr>
          <w:trHeight w:val="408" w:hRule="atLeast"/>
        </w:trPr>
        <w:tc>
          <w:tcPr>
            <w:tcW w:w="1202" w:type="dxa"/>
          </w:tcPr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i.p</w:t>
            </w:r>
          </w:p>
        </w:tc>
        <w:tc>
          <w:tcPr>
            <w:tcW w:w="4403" w:type="dxa"/>
          </w:tcPr>
          <w:p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Intraperitoneally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294" w:top="1420" w:bottom="480" w:left="1720" w:right="540"/>
        </w:sectPr>
      </w:pPr>
    </w:p>
    <w:tbl>
      <w:tblPr>
        <w:tblW w:w="0" w:type="auto"/>
        <w:jc w:val="left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5134"/>
      </w:tblGrid>
      <w:tr>
        <w:trPr>
          <w:trHeight w:val="409" w:hRule="atLeast"/>
        </w:trPr>
        <w:tc>
          <w:tcPr>
            <w:tcW w:w="1157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IVF</w:t>
            </w:r>
          </w:p>
        </w:tc>
        <w:tc>
          <w:tcPr>
            <w:tcW w:w="5134" w:type="dxa"/>
          </w:tcPr>
          <w:p>
            <w:pPr>
              <w:pStyle w:val="TableParagraph"/>
              <w:spacing w:line="266" w:lineRule="exact" w:before="0"/>
              <w:ind w:left="332"/>
              <w:rPr>
                <w:sz w:val="24"/>
              </w:rPr>
            </w:pPr>
            <w:r>
              <w:rPr>
                <w:sz w:val="24"/>
              </w:rPr>
              <w:t>Intravenous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fluid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Kilogram</w:t>
            </w:r>
          </w:p>
        </w:tc>
      </w:tr>
      <w:tr>
        <w:trPr>
          <w:trHeight w:val="551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KH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Kupffer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hyperplasia</w:t>
            </w:r>
          </w:p>
        </w:tc>
      </w:tr>
      <w:tr>
        <w:trPr>
          <w:trHeight w:val="551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>
        <w:trPr>
          <w:trHeight w:val="559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LD</w:t>
            </w:r>
            <w:r>
              <w:rPr>
                <w:sz w:val="24"/>
                <w:vertAlign w:val="subscript"/>
              </w:rPr>
              <w:t>50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Median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lethal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</w:tr>
      <w:tr>
        <w:trPr>
          <w:trHeight w:val="544" w:hRule="atLeast"/>
        </w:trPr>
        <w:tc>
          <w:tcPr>
            <w:tcW w:w="1157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LDL</w:t>
            </w:r>
          </w:p>
        </w:tc>
        <w:tc>
          <w:tcPr>
            <w:tcW w:w="5134" w:type="dxa"/>
          </w:tcPr>
          <w:p>
            <w:pPr>
              <w:pStyle w:val="TableParagraph"/>
              <w:spacing w:before="126"/>
              <w:ind w:left="332"/>
              <w:rPr>
                <w:sz w:val="24"/>
              </w:rPr>
            </w:pPr>
            <w:r>
              <w:rPr>
                <w:sz w:val="24"/>
              </w:rPr>
              <w:t>Low-density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lipoprotein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LOP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Loperamide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LYM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Lymphocytes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MCH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corpuscular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haemoglobin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MCHC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corpuscular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haemoglobin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</w:tr>
      <w:tr>
        <w:trPr>
          <w:trHeight w:val="551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MCV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corpuscular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MECH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i/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leaf 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Combretum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hypopilinum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Milligram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mg/kg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Milligram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kilogram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mL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Milliliter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Millimole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liter</w:t>
            </w:r>
          </w:p>
        </w:tc>
      </w:tr>
      <w:tr>
        <w:trPr>
          <w:trHeight w:val="551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MOR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Morphine</w:t>
            </w:r>
          </w:p>
        </w:tc>
      </w:tr>
      <w:tr>
        <w:trPr>
          <w:trHeight w:val="550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MRSA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i/>
                <w:sz w:val="24"/>
              </w:rPr>
            </w:pPr>
            <w:r>
              <w:rPr>
                <w:sz w:val="24"/>
              </w:rPr>
              <w:t>Methicillin-resistant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Stapylococcus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</w:tr>
      <w:tr>
        <w:trPr>
          <w:trHeight w:val="551" w:hRule="atLeast"/>
        </w:trPr>
        <w:tc>
          <w:tcPr>
            <w:tcW w:w="1157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5134" w:type="dxa"/>
          </w:tcPr>
          <w:p>
            <w:pPr>
              <w:pStyle w:val="TableParagraph"/>
              <w:spacing w:before="131"/>
              <w:ind w:left="332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animals per group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NAL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Naloxone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NF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features</w:t>
            </w:r>
          </w:p>
        </w:tc>
      </w:tr>
      <w:tr>
        <w:trPr>
          <w:trHeight w:val="552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glomerulus</w:t>
            </w:r>
          </w:p>
        </w:tc>
      </w:tr>
      <w:tr>
        <w:trPr>
          <w:trHeight w:val="551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NH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hepatocytes</w:t>
            </w:r>
          </w:p>
        </w:tc>
      </w:tr>
      <w:tr>
        <w:trPr>
          <w:trHeight w:val="551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NM</w:t>
            </w:r>
          </w:p>
        </w:tc>
        <w:tc>
          <w:tcPr>
            <w:tcW w:w="5134" w:type="dxa"/>
          </w:tcPr>
          <w:p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myocardium</w:t>
            </w:r>
          </w:p>
        </w:tc>
      </w:tr>
      <w:tr>
        <w:trPr>
          <w:trHeight w:val="408" w:hRule="atLeast"/>
        </w:trPr>
        <w:tc>
          <w:tcPr>
            <w:tcW w:w="115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  <w:tc>
          <w:tcPr>
            <w:tcW w:w="5134" w:type="dxa"/>
          </w:tcPr>
          <w:p>
            <w:pPr>
              <w:pStyle w:val="TableParagraph"/>
              <w:spacing w:line="256" w:lineRule="exact"/>
              <w:ind w:left="332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tubules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294" w:top="1420" w:bottom="480" w:left="1720" w:right="540"/>
        </w:sectPr>
      </w:pPr>
    </w:p>
    <w:p>
      <w:pPr>
        <w:pStyle w:val="BodyText"/>
        <w:tabs>
          <w:tab w:pos="1705" w:val="left" w:leader="none"/>
        </w:tabs>
        <w:spacing w:line="480" w:lineRule="auto" w:before="70"/>
        <w:ind w:left="265" w:right="2643"/>
      </w:pPr>
      <w:r>
        <w:rPr/>
        <w:t>OECD</w:t>
        <w:tab/>
        <w:t>Organization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Co-operation</w:t>
      </w:r>
      <w:r>
        <w:rPr>
          <w:spacing w:val="-2"/>
        </w:rPr>
        <w:t> </w:t>
      </w:r>
      <w:r>
        <w:rPr/>
        <w:t>and Development</w:t>
      </w:r>
      <w:r>
        <w:rPr>
          <w:spacing w:val="-57"/>
        </w:rPr>
        <w:t> </w:t>
      </w:r>
      <w:r>
        <w:rPr/>
        <w:t>ORS</w:t>
        <w:tab/>
        <w:t>Oral</w:t>
      </w:r>
      <w:r>
        <w:rPr>
          <w:spacing w:val="-1"/>
        </w:rPr>
        <w:t> </w:t>
      </w:r>
      <w:r>
        <w:rPr/>
        <w:t>rehydration salt</w:t>
      </w:r>
    </w:p>
    <w:p>
      <w:pPr>
        <w:tabs>
          <w:tab w:pos="1705" w:val="left" w:leader="none"/>
        </w:tabs>
        <w:spacing w:before="1"/>
        <w:ind w:left="265" w:right="0" w:firstLine="0"/>
        <w:jc w:val="left"/>
        <w:rPr>
          <w:sz w:val="24"/>
        </w:rPr>
      </w:pPr>
      <w:r>
        <w:rPr>
          <w:i/>
          <w:sz w:val="24"/>
        </w:rPr>
        <w:t>p.o</w:t>
        <w:tab/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oral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705" w:val="left" w:leader="none"/>
        </w:tabs>
        <w:ind w:left="265"/>
      </w:pPr>
      <w:r>
        <w:rPr/>
        <w:t>PIL</w:t>
        <w:tab/>
        <w:t>Pilocarpine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ind w:left="265"/>
      </w:pPr>
      <w:r>
        <w:rPr/>
        <w:t>PLT</w:t>
        <w:tab/>
        <w:t>Platelet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ind w:left="265"/>
      </w:pPr>
      <w:r>
        <w:rPr/>
        <w:t>PRA</w:t>
        <w:tab/>
        <w:t>Prazosin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ind w:left="265"/>
      </w:pPr>
      <w:r>
        <w:rPr/>
        <w:t>PRO</w:t>
        <w:tab/>
        <w:t>Propranolol</w:t>
      </w:r>
    </w:p>
    <w:p>
      <w:pPr>
        <w:pStyle w:val="BodyText"/>
        <w:spacing w:before="1"/>
      </w:pPr>
    </w:p>
    <w:p>
      <w:pPr>
        <w:pStyle w:val="BodyText"/>
        <w:tabs>
          <w:tab w:pos="1705" w:val="left" w:leader="none"/>
        </w:tabs>
        <w:ind w:left="265"/>
      </w:pPr>
      <w:r>
        <w:rPr/>
        <w:t>RBC</w:t>
        <w:tab/>
        <w:t>Red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cells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ind w:left="265"/>
      </w:pPr>
      <w:r>
        <w:rPr/>
        <w:t>ROW</w:t>
        <w:tab/>
        <w:t>Relative</w:t>
      </w:r>
      <w:r>
        <w:rPr>
          <w:spacing w:val="-3"/>
        </w:rPr>
        <w:t> </w:t>
      </w:r>
      <w:r>
        <w:rPr/>
        <w:t>organ</w:t>
      </w:r>
      <w:r>
        <w:rPr>
          <w:spacing w:val="-2"/>
        </w:rPr>
        <w:t> </w:t>
      </w:r>
      <w:r>
        <w:rPr/>
        <w:t>weight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ind w:left="265"/>
      </w:pPr>
      <w:r>
        <w:rPr/>
        <w:t>rpm</w:t>
        <w:tab/>
        <w:t>Revolution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minute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ind w:left="265"/>
      </w:pPr>
      <w:r>
        <w:rPr>
          <w:i/>
        </w:rPr>
        <w:t>sc</w:t>
        <w:tab/>
      </w:r>
      <w:r>
        <w:rPr/>
        <w:t>Subcutaneous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ind w:left="265"/>
      </w:pPr>
      <w:r>
        <w:rPr/>
        <w:t>SEM</w:t>
        <w:tab/>
        <w:t>Standard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mean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ind w:left="265"/>
      </w:pPr>
      <w:r>
        <w:rPr/>
        <w:t>SHN</w:t>
        <w:tab/>
        <w:t>Slight</w:t>
      </w:r>
      <w:r>
        <w:rPr>
          <w:spacing w:val="-2"/>
        </w:rPr>
        <w:t> </w:t>
      </w:r>
      <w:r>
        <w:rPr/>
        <w:t>hepatic</w:t>
      </w:r>
      <w:r>
        <w:rPr>
          <w:spacing w:val="-3"/>
        </w:rPr>
        <w:t> </w:t>
      </w:r>
      <w:r>
        <w:rPr/>
        <w:t>necrosis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spacing w:before="1"/>
        <w:ind w:left="265"/>
      </w:pPr>
      <w:r>
        <w:rPr/>
        <w:t>SMN</w:t>
        <w:tab/>
        <w:t>Slight</w:t>
      </w:r>
      <w:r>
        <w:rPr>
          <w:spacing w:val="-2"/>
        </w:rPr>
        <w:t> </w:t>
      </w:r>
      <w:r>
        <w:rPr/>
        <w:t>mucosa</w:t>
      </w:r>
      <w:r>
        <w:rPr>
          <w:spacing w:val="-2"/>
        </w:rPr>
        <w:t> </w:t>
      </w:r>
      <w:r>
        <w:rPr/>
        <w:t>necrosis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705" w:val="left" w:leader="none"/>
        </w:tabs>
        <w:spacing w:line="480" w:lineRule="auto"/>
        <w:ind w:left="265" w:right="4312"/>
      </w:pPr>
      <w:r>
        <w:rPr/>
        <w:t>SPSS</w:t>
        <w:tab/>
        <w:t>Statistical</w:t>
      </w:r>
      <w:r>
        <w:rPr>
          <w:spacing w:val="-4"/>
        </w:rPr>
        <w:t> </w:t>
      </w:r>
      <w:r>
        <w:rPr/>
        <w:t>package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social</w:t>
      </w:r>
      <w:r>
        <w:rPr>
          <w:spacing w:val="-3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V</w:t>
        <w:tab/>
        <w:t>Normal</w:t>
      </w:r>
      <w:r>
        <w:rPr>
          <w:spacing w:val="-1"/>
        </w:rPr>
        <w:t> </w:t>
      </w:r>
      <w:r>
        <w:rPr/>
        <w:t>villi</w:t>
      </w:r>
    </w:p>
    <w:p>
      <w:pPr>
        <w:pStyle w:val="BodyText"/>
        <w:tabs>
          <w:tab w:pos="1705" w:val="left" w:leader="none"/>
        </w:tabs>
        <w:ind w:left="265"/>
      </w:pPr>
      <w:r>
        <w:rPr>
          <w:vertAlign w:val="superscript"/>
        </w:rPr>
        <w:t>v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ab/>
        <w:t>Volume/volume</w:t>
      </w:r>
    </w:p>
    <w:p>
      <w:pPr>
        <w:pStyle w:val="BodyText"/>
        <w:tabs>
          <w:tab w:pos="1705" w:val="left" w:leader="none"/>
        </w:tabs>
        <w:spacing w:before="276"/>
        <w:ind w:left="265"/>
      </w:pPr>
      <w:r>
        <w:rPr/>
        <w:t>VA</w:t>
        <w:tab/>
        <w:t>Moderate villi atrophy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705" w:val="left" w:leader="none"/>
        </w:tabs>
        <w:spacing w:line="480" w:lineRule="auto"/>
        <w:ind w:left="265" w:right="2705"/>
        <w:rPr>
          <w:i/>
        </w:rPr>
      </w:pPr>
      <w:r>
        <w:rPr/>
        <w:t>VNC</w:t>
        <w:tab/>
        <w:t>Volume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intestinal</w:t>
      </w:r>
      <w:r>
        <w:rPr>
          <w:spacing w:val="-2"/>
        </w:rPr>
        <w:t> </w:t>
      </w:r>
      <w:r>
        <w:rPr/>
        <w:t>content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group</w:t>
      </w:r>
      <w:r>
        <w:rPr>
          <w:spacing w:val="-57"/>
        </w:rPr>
        <w:t> </w:t>
      </w:r>
      <w:r>
        <w:rPr/>
        <w:t>VRE</w:t>
        <w:tab/>
        <w:t>Vancomycin-resistant</w:t>
      </w:r>
      <w:r>
        <w:rPr>
          <w:spacing w:val="-1"/>
        </w:rPr>
        <w:t> </w:t>
      </w:r>
      <w:r>
        <w:rPr>
          <w:i/>
        </w:rPr>
        <w:t>Enterococcus faecalis</w:t>
      </w:r>
    </w:p>
    <w:p>
      <w:pPr>
        <w:pStyle w:val="BodyText"/>
        <w:tabs>
          <w:tab w:pos="1705" w:val="left" w:leader="none"/>
        </w:tabs>
        <w:spacing w:line="480" w:lineRule="auto" w:before="1"/>
        <w:ind w:left="265" w:right="4183"/>
      </w:pPr>
      <w:r>
        <w:rPr/>
        <w:t>VTG</w:t>
        <w:tab/>
        <w:t>Volume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intestinal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groups</w:t>
      </w:r>
      <w:r>
        <w:rPr>
          <w:spacing w:val="-57"/>
        </w:rPr>
        <w:t> </w:t>
      </w:r>
      <w:r>
        <w:rPr/>
        <w:t>WBC</w:t>
        <w:tab/>
        <w:t>White</w:t>
      </w:r>
      <w:r>
        <w:rPr>
          <w:spacing w:val="-2"/>
        </w:rPr>
        <w:t> </w:t>
      </w:r>
      <w:r>
        <w:rPr/>
        <w:t>blood cells</w:t>
      </w:r>
    </w:p>
    <w:p>
      <w:pPr>
        <w:pStyle w:val="BodyText"/>
        <w:tabs>
          <w:tab w:pos="1705" w:val="left" w:leader="none"/>
        </w:tabs>
        <w:spacing w:line="480" w:lineRule="auto"/>
        <w:ind w:left="265" w:right="4382"/>
      </w:pPr>
      <w:r>
        <w:rPr/>
        <w:t>WFC</w:t>
        <w:tab/>
        <w:t>Wet</w:t>
      </w:r>
      <w:r>
        <w:rPr>
          <w:spacing w:val="-4"/>
        </w:rPr>
        <w:t> </w:t>
      </w:r>
      <w:r>
        <w:rPr/>
        <w:t>faeces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  <w:r>
        <w:rPr>
          <w:spacing w:val="-57"/>
        </w:rPr>
        <w:t> </w:t>
      </w:r>
      <w:r>
        <w:rPr/>
        <w:t>WFT</w:t>
        <w:tab/>
        <w:t>Wet</w:t>
      </w:r>
      <w:r>
        <w:rPr>
          <w:spacing w:val="-1"/>
        </w:rPr>
        <w:t> </w:t>
      </w:r>
      <w:r>
        <w:rPr/>
        <w:t>faeces in test</w:t>
      </w:r>
      <w:r>
        <w:rPr>
          <w:spacing w:val="1"/>
        </w:rPr>
        <w:t> </w:t>
      </w:r>
      <w:r>
        <w:rPr/>
        <w:t>groups</w:t>
      </w:r>
    </w:p>
    <w:p>
      <w:pPr>
        <w:pStyle w:val="BodyText"/>
        <w:tabs>
          <w:tab w:pos="1705" w:val="left" w:leader="none"/>
        </w:tabs>
        <w:ind w:left="265"/>
      </w:pPr>
      <w:r>
        <w:rPr/>
        <w:t>CNC</w:t>
        <w:tab/>
        <w:t>Intestinal content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</w:p>
    <w:p>
      <w:pPr>
        <w:spacing w:after="0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tabs>
          <w:tab w:pos="1705" w:val="left" w:leader="none"/>
        </w:tabs>
        <w:spacing w:before="70"/>
        <w:ind w:left="265"/>
      </w:pPr>
      <w:r>
        <w:rPr/>
        <w:t>WHO</w:t>
        <w:tab/>
        <w:t>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</w:t>
      </w:r>
    </w:p>
    <w:p>
      <w:pPr>
        <w:pStyle w:val="BodyText"/>
      </w:pPr>
    </w:p>
    <w:p>
      <w:pPr>
        <w:pStyle w:val="BodyText"/>
        <w:tabs>
          <w:tab w:pos="1705" w:val="left" w:leader="none"/>
        </w:tabs>
        <w:ind w:left="265"/>
      </w:pPr>
      <w:r>
        <w:rPr/>
        <w:t>YOH</w:t>
        <w:tab/>
        <w:t>Yohimbine</w:t>
      </w:r>
    </w:p>
    <w:p>
      <w:pPr>
        <w:spacing w:after="0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spacing w:before="75"/>
        <w:ind w:left="750" w:right="1005"/>
        <w:jc w:val="center"/>
      </w:pPr>
      <w:bookmarkStart w:name="_TOC_250068" w:id="7"/>
      <w:r>
        <w:rPr/>
        <w:t>CHAPTER</w:t>
      </w:r>
      <w:r>
        <w:rPr>
          <w:spacing w:val="-2"/>
        </w:rPr>
        <w:t> </w:t>
      </w:r>
      <w:bookmarkEnd w:id="7"/>
      <w:r>
        <w:rPr/>
        <w:t>ONE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7"/>
        </w:numPr>
        <w:tabs>
          <w:tab w:pos="4046" w:val="left" w:leader="none"/>
        </w:tabs>
        <w:spacing w:line="240" w:lineRule="auto" w:before="0" w:after="0"/>
        <w:ind w:left="4045" w:right="0" w:hanging="361"/>
        <w:jc w:val="left"/>
      </w:pPr>
      <w:bookmarkStart w:name="_TOC_250067" w:id="8"/>
      <w:bookmarkEnd w:id="8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Knowledge of traditional uses of medicinal plants by indigenous people plays a 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diseases (Easmin </w:t>
      </w:r>
      <w:r>
        <w:rPr>
          <w:i/>
        </w:rPr>
        <w:t>et al</w:t>
      </w:r>
      <w:r>
        <w:rPr/>
        <w:t>., 2015). Despite the emergence of modern and advanced scientific</w:t>
      </w:r>
      <w:r>
        <w:rPr>
          <w:spacing w:val="1"/>
        </w:rPr>
        <w:t> </w:t>
      </w:r>
      <w:r>
        <w:rPr/>
        <w:t>techniques of drug discovery, medicinal plants have been one of the leading sources of</w:t>
      </w:r>
      <w:r>
        <w:rPr>
          <w:spacing w:val="1"/>
        </w:rPr>
        <w:t> </w:t>
      </w:r>
      <w:r>
        <w:rPr/>
        <w:t>drugs (Jimenez-Estrada </w:t>
      </w:r>
      <w:r>
        <w:rPr>
          <w:i/>
        </w:rPr>
        <w:t>et al</w:t>
      </w:r>
      <w:r>
        <w:rPr/>
        <w:t>., 2013). Medicinal plants are commonly used for the treatment</w:t>
      </w:r>
      <w:r>
        <w:rPr>
          <w:spacing w:val="-57"/>
        </w:rPr>
        <w:t> </w:t>
      </w:r>
      <w:r>
        <w:rPr/>
        <w:t>of diarrhoea in many developing countries. However, the therapeutic potentials and safety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scientifically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Therefore, it is essential to investigate their safety and therapeutic potentials to discover</w:t>
      </w:r>
      <w:r>
        <w:rPr>
          <w:spacing w:val="1"/>
        </w:rPr>
        <w:t> </w:t>
      </w:r>
      <w:r>
        <w:rPr/>
        <w:t>novel</w:t>
      </w:r>
      <w:r>
        <w:rPr>
          <w:spacing w:val="-1"/>
        </w:rPr>
        <w:t> </w:t>
      </w:r>
      <w:r>
        <w:rPr/>
        <w:t>bioactive</w:t>
      </w:r>
      <w:r>
        <w:rPr>
          <w:spacing w:val="-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(Yuet Ping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Diarrhoea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(GIT)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passage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gastrointestinal contents through the intestine characterized by high fluidity and frequency</w:t>
      </w:r>
      <w:r>
        <w:rPr>
          <w:spacing w:val="1"/>
        </w:rPr>
        <w:t> </w:t>
      </w:r>
      <w:r>
        <w:rPr/>
        <w:t>of semisolid or watery faeces three or more times daily (Evi </w:t>
      </w:r>
      <w:r>
        <w:rPr>
          <w:i/>
        </w:rPr>
        <w:t>et al., </w:t>
      </w:r>
      <w:r>
        <w:rPr/>
        <w:t>2018). It happens due to</w:t>
      </w:r>
      <w:r>
        <w:rPr>
          <w:spacing w:val="1"/>
        </w:rPr>
        <w:t> </w:t>
      </w:r>
      <w:r>
        <w:rPr/>
        <w:t>abnormality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secretory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hypermotility, leading to excessive loss of body fluids and electrolytes in faeces (Sharma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2015).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265" w:right="874"/>
        <w:jc w:val="both"/>
      </w:pPr>
      <w:r>
        <w:rPr/>
        <w:t>Under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electrolytes across the intestinal epithelium in a regulated manner. Impairment of fluid and</w:t>
      </w:r>
      <w:r>
        <w:rPr>
          <w:spacing w:val="1"/>
        </w:rPr>
        <w:t> </w:t>
      </w:r>
      <w:r>
        <w:rPr/>
        <w:t>electrolytes transport across the intestinal epithelium causes excess fluid in the lumen and</w:t>
      </w:r>
      <w:r>
        <w:rPr>
          <w:spacing w:val="1"/>
        </w:rPr>
        <w:t> </w:t>
      </w:r>
      <w:r>
        <w:rPr/>
        <w:t>subsequently leads to diarrhoea (Sweetser, 2012). The processes that cause diarrhoea are</w:t>
      </w:r>
      <w:r>
        <w:rPr>
          <w:spacing w:val="1"/>
        </w:rPr>
        <w:t> </w:t>
      </w:r>
      <w:r>
        <w:rPr/>
        <w:t>increased</w:t>
      </w:r>
      <w:r>
        <w:rPr>
          <w:spacing w:val="13"/>
        </w:rPr>
        <w:t> </w:t>
      </w:r>
      <w:r>
        <w:rPr/>
        <w:t>water</w:t>
      </w:r>
      <w:r>
        <w:rPr>
          <w:spacing w:val="12"/>
        </w:rPr>
        <w:t> </w:t>
      </w:r>
      <w:r>
        <w:rPr/>
        <w:t>content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intestinal</w:t>
      </w:r>
      <w:r>
        <w:rPr>
          <w:spacing w:val="14"/>
        </w:rPr>
        <w:t> </w:t>
      </w:r>
      <w:r>
        <w:rPr/>
        <w:t>lumen</w:t>
      </w:r>
      <w:r>
        <w:rPr>
          <w:spacing w:val="15"/>
        </w:rPr>
        <w:t> </w:t>
      </w:r>
      <w:r>
        <w:rPr/>
        <w:t>by</w:t>
      </w:r>
      <w:r>
        <w:rPr>
          <w:spacing w:val="10"/>
        </w:rPr>
        <w:t> </w:t>
      </w:r>
      <w:r>
        <w:rPr/>
        <w:t>osmotic</w:t>
      </w:r>
      <w:r>
        <w:rPr>
          <w:spacing w:val="13"/>
        </w:rPr>
        <w:t> </w:t>
      </w:r>
      <w:r>
        <w:rPr/>
        <w:t>substances</w:t>
      </w:r>
      <w:r>
        <w:rPr>
          <w:spacing w:val="13"/>
        </w:rPr>
        <w:t> </w:t>
      </w:r>
      <w:r>
        <w:rPr/>
        <w:t>(osmotic</w:t>
      </w:r>
      <w:r>
        <w:rPr>
          <w:spacing w:val="12"/>
        </w:rPr>
        <w:t> </w:t>
      </w:r>
      <w:r>
        <w:rPr/>
        <w:t>diarrhoea),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294" w:header="0" w:top="1340" w:bottom="480" w:left="1720" w:right="540"/>
          <w:pgNumType w:start="1"/>
        </w:sectPr>
      </w:pPr>
    </w:p>
    <w:p>
      <w:pPr>
        <w:pStyle w:val="BodyText"/>
        <w:spacing w:line="480" w:lineRule="auto" w:before="70"/>
        <w:ind w:left="265" w:right="872"/>
        <w:jc w:val="both"/>
      </w:pPr>
      <w:r>
        <w:rPr/>
        <w:t>decrease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fluids,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electrolytes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(secretory</w:t>
      </w:r>
      <w:r>
        <w:rPr>
          <w:spacing w:val="1"/>
        </w:rPr>
        <w:t> </w:t>
      </w:r>
      <w:r>
        <w:rPr/>
        <w:t>diarrhoea)</w:t>
      </w:r>
      <w:r>
        <w:rPr>
          <w:spacing w:val="-1"/>
        </w:rPr>
        <w:t> </w:t>
      </w:r>
      <w:r>
        <w:rPr/>
        <w:t>and intestinal</w:t>
      </w:r>
      <w:r>
        <w:rPr>
          <w:spacing w:val="2"/>
        </w:rPr>
        <w:t> </w:t>
      </w:r>
      <w:r>
        <w:rPr/>
        <w:t>hypermotility</w:t>
      </w:r>
      <w:r>
        <w:rPr>
          <w:spacing w:val="-6"/>
        </w:rPr>
        <w:t> </w:t>
      </w:r>
      <w:r>
        <w:rPr/>
        <w:t>(Gorkiewicz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4"/>
        <w:jc w:val="both"/>
      </w:pPr>
      <w:r>
        <w:rPr/>
        <w:t>Some pathogenic organisms serve as causative agents of diarrhoea that cause many deaths</w:t>
      </w:r>
      <w:r>
        <w:rPr>
          <w:spacing w:val="1"/>
        </w:rPr>
        <w:t> </w:t>
      </w:r>
      <w:r>
        <w:rPr/>
        <w:t>(Bonkoungou </w:t>
      </w:r>
      <w:r>
        <w:rPr>
          <w:i/>
        </w:rPr>
        <w:t>et al</w:t>
      </w:r>
      <w:r>
        <w:rPr/>
        <w:t>., 2018). Enteric pathogenic bacteria are usually the main causes of</w:t>
      </w:r>
      <w:r>
        <w:rPr>
          <w:spacing w:val="1"/>
        </w:rPr>
        <w:t> </w:t>
      </w:r>
      <w:r>
        <w:rPr/>
        <w:t>diarrhoea in human beings (Evi </w:t>
      </w:r>
      <w:r>
        <w:rPr>
          <w:i/>
        </w:rPr>
        <w:t>et al., </w:t>
      </w:r>
      <w:r>
        <w:rPr/>
        <w:t>2018). Other causes of diarrhoea include viruses,</w:t>
      </w:r>
      <w:r>
        <w:rPr>
          <w:spacing w:val="1"/>
        </w:rPr>
        <w:t> </w:t>
      </w:r>
      <w:r>
        <w:rPr/>
        <w:t>protozoans,</w:t>
      </w:r>
      <w:r>
        <w:rPr>
          <w:spacing w:val="1"/>
        </w:rPr>
        <w:t> </w:t>
      </w:r>
      <w:r>
        <w:rPr/>
        <w:t>helminths,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disorders,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factor,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medications</w:t>
      </w:r>
      <w:r>
        <w:rPr>
          <w:spacing w:val="-1"/>
        </w:rPr>
        <w:t> </w:t>
      </w:r>
      <w:r>
        <w:rPr/>
        <w:t>(Njuguna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The predisposing factors of individuals to diarrhoea include younger age, breastfeeding for</w:t>
      </w:r>
      <w:r>
        <w:rPr>
          <w:spacing w:val="1"/>
        </w:rPr>
        <w:t> </w:t>
      </w:r>
      <w:r>
        <w:rPr/>
        <w:t>the insufficient</w:t>
      </w:r>
      <w:r>
        <w:rPr>
          <w:spacing w:val="60"/>
        </w:rPr>
        <w:t> </w:t>
      </w:r>
      <w:r>
        <w:rPr/>
        <w:t>duration, inadequate education by the mother, poor water supply, poor</w:t>
      </w:r>
      <w:r>
        <w:rPr>
          <w:spacing w:val="1"/>
        </w:rPr>
        <w:t> </w:t>
      </w:r>
      <w:r>
        <w:rPr/>
        <w:t>waste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faecal</w:t>
      </w:r>
      <w:r>
        <w:rPr>
          <w:spacing w:val="16"/>
        </w:rPr>
        <w:t> </w:t>
      </w:r>
      <w:r>
        <w:rPr/>
        <w:t>disposal</w:t>
      </w:r>
      <w:r>
        <w:rPr>
          <w:spacing w:val="16"/>
        </w:rPr>
        <w:t> </w:t>
      </w:r>
      <w:r>
        <w:rPr/>
        <w:t>system</w:t>
      </w:r>
      <w:r>
        <w:rPr>
          <w:spacing w:val="16"/>
        </w:rPr>
        <w:t> </w:t>
      </w:r>
      <w:r>
        <w:rPr/>
        <w:t>(Kalakheti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</w:t>
      </w:r>
      <w:r>
        <w:rPr/>
        <w:t>.,</w:t>
      </w:r>
      <w:r>
        <w:rPr>
          <w:spacing w:val="15"/>
        </w:rPr>
        <w:t> </w:t>
      </w:r>
      <w:r>
        <w:rPr/>
        <w:t>2016).</w:t>
      </w:r>
      <w:r>
        <w:rPr>
          <w:spacing w:val="15"/>
        </w:rPr>
        <w:t> </w:t>
      </w:r>
      <w:r>
        <w:rPr/>
        <w:t>Another</w:t>
      </w:r>
      <w:r>
        <w:rPr>
          <w:spacing w:val="14"/>
        </w:rPr>
        <w:t> </w:t>
      </w:r>
      <w:r>
        <w:rPr/>
        <w:t>risk</w:t>
      </w:r>
      <w:r>
        <w:rPr>
          <w:spacing w:val="15"/>
        </w:rPr>
        <w:t> </w:t>
      </w:r>
      <w:r>
        <w:rPr/>
        <w:t>factor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diarrhoea</w:t>
      </w:r>
      <w:r>
        <w:rPr>
          <w:spacing w:val="-58"/>
        </w:rPr>
        <w:t> </w:t>
      </w:r>
      <w:r>
        <w:rPr/>
        <w:t>is infectious diseases such as human immune deficiency virus (HIV) and measles (Joseph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rehydration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(ORT)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management of diarrhoea in the last thirty years (Farthing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2013). Antidiarrhoeal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adsorptive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charcoal and pectin, probiotics, antibacterial e.g. ciprofloxacin, gentamycin, metronidazole</w:t>
      </w:r>
      <w:r>
        <w:rPr>
          <w:spacing w:val="1"/>
        </w:rPr>
        <w:t> </w:t>
      </w:r>
      <w:r>
        <w:rPr/>
        <w:t>(</w:t>
      </w:r>
      <w:r>
        <w:rPr>
          <w:color w:val="212121"/>
        </w:rPr>
        <w:t>Efunshile </w:t>
      </w:r>
      <w:r>
        <w:rPr>
          <w:i/>
          <w:color w:val="212121"/>
        </w:rPr>
        <w:t>et al</w:t>
      </w:r>
      <w:r>
        <w:rPr>
          <w:color w:val="212121"/>
        </w:rPr>
        <w:t>., 2018)</w:t>
      </w:r>
      <w:r>
        <w:rPr/>
        <w:t>, antiviral agents such as nitazoxanide (</w:t>
      </w:r>
      <w:r>
        <w:rPr>
          <w:color w:val="212121"/>
        </w:rPr>
        <w:t>La Frazia </w:t>
      </w:r>
      <w:r>
        <w:rPr>
          <w:i/>
          <w:color w:val="212121"/>
        </w:rPr>
        <w:t>et al</w:t>
      </w:r>
      <w:r>
        <w:rPr>
          <w:color w:val="212121"/>
        </w:rPr>
        <w:t>., 2013</w:t>
      </w:r>
      <w:r>
        <w:rPr/>
        <w:t>), and</w:t>
      </w:r>
      <w:r>
        <w:rPr>
          <w:spacing w:val="1"/>
        </w:rPr>
        <w:t> </w:t>
      </w:r>
      <w:r>
        <w:rPr/>
        <w:t>antimotility</w:t>
      </w:r>
      <w:r>
        <w:rPr>
          <w:spacing w:val="-9"/>
        </w:rPr>
        <w:t> </w:t>
      </w:r>
      <w:r>
        <w:rPr/>
        <w:t>drugs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loperamide</w:t>
      </w:r>
      <w:r>
        <w:rPr>
          <w:spacing w:val="-1"/>
        </w:rPr>
        <w:t> </w:t>
      </w:r>
      <w:r>
        <w:rPr/>
        <w:t>(Guarino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2014).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numPr>
          <w:ilvl w:val="1"/>
          <w:numId w:val="7"/>
        </w:numPr>
        <w:tabs>
          <w:tab w:pos="2786" w:val="left" w:leader="none"/>
        </w:tabs>
        <w:spacing w:line="240" w:lineRule="auto" w:before="75" w:after="0"/>
        <w:ind w:left="2785" w:right="0" w:hanging="361"/>
        <w:jc w:val="both"/>
      </w:pPr>
      <w:bookmarkStart w:name="_TOC_250066" w:id="9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3"/>
        </w:rPr>
        <w:t> </w:t>
      </w:r>
      <w:bookmarkEnd w:id="9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Acute diarrhoea remains a global challenge, with approximately 2 billion episodes per year.</w:t>
      </w:r>
      <w:r>
        <w:rPr>
          <w:spacing w:val="-57"/>
        </w:rPr>
        <w:t> </w:t>
      </w:r>
      <w:r>
        <w:rPr/>
        <w:t>The deaths caused by diarrhoea account for 18% of all mortalities in children less than five</w:t>
      </w:r>
      <w:r>
        <w:rPr>
          <w:spacing w:val="1"/>
        </w:rPr>
        <w:t> </w:t>
      </w:r>
      <w:r>
        <w:rPr/>
        <w:t>years (Farthing </w:t>
      </w:r>
      <w:r>
        <w:rPr>
          <w:i/>
        </w:rPr>
        <w:t>et al</w:t>
      </w:r>
      <w:r>
        <w:rPr/>
        <w:t>., 2013). In 2013, diarrhoea caused greater than 500,000 deaths 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(Liu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</w:t>
      </w:r>
      <w:r>
        <w:rPr>
          <w:spacing w:val="-5"/>
        </w:rPr>
        <w:t> </w:t>
      </w:r>
      <w:r>
        <w:rPr/>
        <w:t>in developing</w:t>
      </w:r>
      <w:r>
        <w:rPr>
          <w:spacing w:val="-3"/>
        </w:rPr>
        <w:t> </w:t>
      </w:r>
      <w:r>
        <w:rPr/>
        <w:t>nations (Mehesare </w:t>
      </w:r>
      <w:r>
        <w:rPr>
          <w:i/>
        </w:rPr>
        <w:t>et al</w:t>
      </w:r>
      <w:r>
        <w:rPr/>
        <w:t>., 2017; Evi </w:t>
      </w:r>
      <w:r>
        <w:rPr>
          <w:i/>
        </w:rPr>
        <w:t>et al</w:t>
      </w:r>
      <w:r>
        <w:rPr/>
        <w:t>., 2018).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Despite international organizations continuous effort to combat diarrhoea, still remains one</w:t>
      </w:r>
      <w:r>
        <w:rPr>
          <w:spacing w:val="1"/>
        </w:rPr>
        <w:t> </w:t>
      </w:r>
      <w:r>
        <w:rPr/>
        <w:t>of the highest killer diseases</w:t>
      </w:r>
      <w:r>
        <w:rPr>
          <w:spacing w:val="60"/>
        </w:rPr>
        <w:t> </w:t>
      </w:r>
      <w:r>
        <w:rPr/>
        <w:t>accounting for about 7.1 million deaths per</w:t>
      </w:r>
      <w:r>
        <w:rPr>
          <w:spacing w:val="60"/>
        </w:rPr>
        <w:t> </w:t>
      </w:r>
      <w:r>
        <w:rPr/>
        <w:t>year (Pandey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2012). After respiratory tract infections, diarrhoea is the second leading cause of death</w:t>
      </w:r>
      <w:r>
        <w:rPr>
          <w:spacing w:val="1"/>
        </w:rPr>
        <w:t> </w:t>
      </w:r>
      <w:r>
        <w:rPr/>
        <w:t>among children under five years of age globally. Also, the deaths caused by diarrhoea 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immunodeficiency</w:t>
      </w:r>
      <w:r>
        <w:rPr>
          <w:spacing w:val="-57"/>
        </w:rPr>
        <w:t> </w:t>
      </w:r>
      <w:r>
        <w:rPr/>
        <w:t>syndrome</w:t>
      </w:r>
      <w:r>
        <w:rPr>
          <w:spacing w:val="-1"/>
        </w:rPr>
        <w:t> </w:t>
      </w:r>
      <w:r>
        <w:rPr/>
        <w:t>(AIDS), malaria and measles (Black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5"/>
        <w:jc w:val="both"/>
      </w:pPr>
      <w:r>
        <w:rPr/>
        <w:t>Diarrhoea affects young children in low and middle-income nations due to improper water</w:t>
      </w:r>
      <w:r>
        <w:rPr>
          <w:spacing w:val="1"/>
        </w:rPr>
        <w:t> </w:t>
      </w:r>
      <w:r>
        <w:rPr/>
        <w:t>supply,</w:t>
      </w:r>
      <w:r>
        <w:rPr>
          <w:spacing w:val="58"/>
        </w:rPr>
        <w:t> </w:t>
      </w:r>
      <w:r>
        <w:rPr/>
        <w:t>inadequate</w:t>
      </w:r>
      <w:r>
        <w:rPr>
          <w:spacing w:val="56"/>
        </w:rPr>
        <w:t> </w:t>
      </w:r>
      <w:r>
        <w:rPr/>
        <w:t>nutrition,</w:t>
      </w:r>
      <w:r>
        <w:rPr>
          <w:spacing w:val="58"/>
        </w:rPr>
        <w:t> </w:t>
      </w:r>
      <w:r>
        <w:rPr/>
        <w:t>insufficient</w:t>
      </w:r>
      <w:r>
        <w:rPr>
          <w:spacing w:val="2"/>
        </w:rPr>
        <w:t> </w:t>
      </w:r>
      <w:r>
        <w:rPr/>
        <w:t>breastfeeding,</w:t>
      </w:r>
      <w:r>
        <w:rPr>
          <w:spacing w:val="58"/>
        </w:rPr>
        <w:t> </w:t>
      </w:r>
      <w:r>
        <w:rPr/>
        <w:t>inadequate</w:t>
      </w:r>
      <w:r>
        <w:rPr>
          <w:spacing w:val="58"/>
        </w:rPr>
        <w:t> </w:t>
      </w:r>
      <w:r>
        <w:rPr/>
        <w:t>zinc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vitamin</w:t>
      </w:r>
      <w:r>
        <w:rPr>
          <w:spacing w:val="57"/>
        </w:rPr>
        <w:t> </w:t>
      </w:r>
      <w:r>
        <w:rPr/>
        <w:t>A</w:t>
      </w:r>
      <w:r>
        <w:rPr>
          <w:spacing w:val="-58"/>
        </w:rPr>
        <w:t> </w:t>
      </w:r>
      <w:r>
        <w:rPr/>
        <w:t>supplementation (Khan </w:t>
      </w:r>
      <w:r>
        <w:rPr>
          <w:i/>
        </w:rPr>
        <w:t>et al</w:t>
      </w:r>
      <w:r>
        <w:rPr/>
        <w:t>., 2015). In economically developed nations, acute diarrhoea is</w:t>
      </w:r>
      <w:r>
        <w:rPr>
          <w:spacing w:val="1"/>
        </w:rPr>
        <w:t> </w:t>
      </w:r>
      <w:r>
        <w:rPr/>
        <w:t>usually a mild disease and is rarely associated with mortality but with a significant hospital</w:t>
      </w:r>
      <w:r>
        <w:rPr>
          <w:spacing w:val="1"/>
        </w:rPr>
        <w:t> </w:t>
      </w:r>
      <w:r>
        <w:rPr/>
        <w:t>admission rate and financial loss (Guarino </w:t>
      </w:r>
      <w:r>
        <w:rPr>
          <w:i/>
        </w:rPr>
        <w:t>et al</w:t>
      </w:r>
      <w:r>
        <w:rPr/>
        <w:t>., 2014). Diarrhoea caused about 78% of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South-East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(Tadesse </w:t>
      </w:r>
      <w:r>
        <w:rPr>
          <w:i/>
        </w:rPr>
        <w:t>et al</w:t>
      </w:r>
      <w:r>
        <w:rPr/>
        <w:t>., 2017). It remains the second leading cause of death in children under five</w:t>
      </w:r>
      <w:r>
        <w:rPr>
          <w:spacing w:val="1"/>
        </w:rPr>
        <w:t> </w:t>
      </w:r>
      <w:r>
        <w:rPr/>
        <w:t>years of age in sub-Saharan Africa countries (Wang </w:t>
      </w:r>
      <w:r>
        <w:rPr>
          <w:i/>
        </w:rPr>
        <w:t>et al</w:t>
      </w:r>
      <w:r>
        <w:rPr/>
        <w:t>., 2015). It was projected that 4.4</w:t>
      </w:r>
      <w:r>
        <w:rPr>
          <w:spacing w:val="1"/>
        </w:rPr>
        <w:t> </w:t>
      </w:r>
      <w:r>
        <w:rPr/>
        <w:t>million</w:t>
      </w:r>
      <w:r>
        <w:rPr>
          <w:spacing w:val="19"/>
        </w:rPr>
        <w:t> </w:t>
      </w:r>
      <w:r>
        <w:rPr/>
        <w:t>children</w:t>
      </w:r>
      <w:r>
        <w:rPr>
          <w:spacing w:val="18"/>
        </w:rPr>
        <w:t> </w:t>
      </w:r>
      <w:r>
        <w:rPr/>
        <w:t>less</w:t>
      </w:r>
      <w:r>
        <w:rPr>
          <w:spacing w:val="19"/>
        </w:rPr>
        <w:t> </w:t>
      </w:r>
      <w:r>
        <w:rPr/>
        <w:t>than</w:t>
      </w:r>
      <w:r>
        <w:rPr>
          <w:spacing w:val="18"/>
        </w:rPr>
        <w:t> </w:t>
      </w:r>
      <w:r>
        <w:rPr/>
        <w:t>five</w:t>
      </w:r>
      <w:r>
        <w:rPr>
          <w:spacing w:val="22"/>
        </w:rPr>
        <w:t> </w:t>
      </w:r>
      <w:r>
        <w:rPr/>
        <w:t>years</w:t>
      </w:r>
      <w:r>
        <w:rPr>
          <w:spacing w:val="18"/>
        </w:rPr>
        <w:t> </w:t>
      </w:r>
      <w:r>
        <w:rPr/>
        <w:t>old</w:t>
      </w:r>
      <w:r>
        <w:rPr>
          <w:spacing w:val="21"/>
        </w:rPr>
        <w:t> </w:t>
      </w:r>
      <w:r>
        <w:rPr/>
        <w:t>could</w:t>
      </w:r>
      <w:r>
        <w:rPr>
          <w:spacing w:val="19"/>
        </w:rPr>
        <w:t> </w:t>
      </w:r>
      <w:r>
        <w:rPr/>
        <w:t>die</w:t>
      </w:r>
      <w:r>
        <w:rPr>
          <w:spacing w:val="18"/>
        </w:rPr>
        <w:t> </w:t>
      </w:r>
      <w:r>
        <w:rPr/>
        <w:t>annually</w:t>
      </w:r>
      <w:r>
        <w:rPr>
          <w:spacing w:val="14"/>
        </w:rPr>
        <w:t> </w:t>
      </w:r>
      <w:r>
        <w:rPr/>
        <w:t>by</w:t>
      </w:r>
      <w:r>
        <w:rPr>
          <w:spacing w:val="16"/>
        </w:rPr>
        <w:t> </w:t>
      </w:r>
      <w:r>
        <w:rPr/>
        <w:t>2030</w:t>
      </w:r>
      <w:r>
        <w:rPr>
          <w:spacing w:val="18"/>
        </w:rPr>
        <w:t> </w:t>
      </w:r>
      <w:r>
        <w:rPr/>
        <w:t>because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infectious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7"/>
        <w:jc w:val="both"/>
      </w:pPr>
      <w:r>
        <w:rPr/>
        <w:t>diseases, and close to 60% of the mortalities will take place in the sub-Saharan African</w:t>
      </w:r>
      <w:r>
        <w:rPr>
          <w:spacing w:val="1"/>
        </w:rPr>
        <w:t> </w:t>
      </w:r>
      <w:r>
        <w:rPr/>
        <w:t>region</w:t>
      </w:r>
      <w:r>
        <w:rPr>
          <w:spacing w:val="-1"/>
        </w:rPr>
        <w:t> </w:t>
      </w:r>
      <w:r>
        <w:rPr/>
        <w:t>(Liu </w:t>
      </w:r>
      <w:r>
        <w:rPr>
          <w:i/>
        </w:rPr>
        <w:t>et al</w:t>
      </w:r>
      <w:r>
        <w:rPr/>
        <w:t>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2"/>
        <w:jc w:val="both"/>
      </w:pPr>
      <w:r>
        <w:rPr/>
        <w:t>The prevalence of diarrhoea in Nigeria was as high as 18.8%, which was more than the</w:t>
      </w:r>
      <w:r>
        <w:rPr>
          <w:spacing w:val="1"/>
        </w:rPr>
        <w:t> </w:t>
      </w:r>
      <w:r>
        <w:rPr/>
        <w:t>average of 16% in the sub-Saharan African regions where the highest burden of the disease</w:t>
      </w:r>
      <w:r>
        <w:rPr>
          <w:spacing w:val="1"/>
        </w:rPr>
        <w:t> </w:t>
      </w:r>
      <w:r>
        <w:rPr/>
        <w:t>prevails (Yakubu </w:t>
      </w:r>
      <w:r>
        <w:rPr>
          <w:i/>
        </w:rPr>
        <w:t>et al</w:t>
      </w:r>
      <w:r>
        <w:rPr/>
        <w:t>., 2015). In Nigeria, it caused close to 300,000 deaths in children less</w:t>
      </w:r>
      <w:r>
        <w:rPr>
          <w:spacing w:val="1"/>
        </w:rPr>
        <w:t> </w:t>
      </w:r>
      <w:r>
        <w:rPr/>
        <w:t>than</w:t>
      </w:r>
      <w:r>
        <w:rPr>
          <w:spacing w:val="-2"/>
        </w:rPr>
        <w:t> </w:t>
      </w:r>
      <w:r>
        <w:rPr/>
        <w:t>five</w:t>
      </w:r>
      <w:r>
        <w:rPr>
          <w:spacing w:val="3"/>
        </w:rPr>
        <w:t> </w:t>
      </w:r>
      <w:r>
        <w:rPr/>
        <w:t>years (Yakubu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Many drugs are used for the management of diarrhoea, such as diphenoxylate, loperamide,</w:t>
      </w:r>
      <w:r>
        <w:rPr>
          <w:spacing w:val="1"/>
        </w:rPr>
        <w:t> </w:t>
      </w:r>
      <w:r>
        <w:rPr/>
        <w:t>racecadotril, diloxanide, atropine sulphate and ORT (Sahoo </w:t>
      </w:r>
      <w:r>
        <w:rPr>
          <w:i/>
        </w:rPr>
        <w:t>et al</w:t>
      </w:r>
      <w:r>
        <w:rPr/>
        <w:t>., 2016).</w:t>
      </w:r>
      <w:r>
        <w:rPr>
          <w:spacing w:val="1"/>
        </w:rPr>
        <w:t> </w:t>
      </w:r>
      <w:r>
        <w:rPr/>
        <w:t>These drugs are</w:t>
      </w:r>
      <w:r>
        <w:rPr>
          <w:spacing w:val="1"/>
        </w:rPr>
        <w:t> </w:t>
      </w:r>
      <w:r>
        <w:rPr/>
        <w:t>sometimes ineffective, and they have unwanted side effects such as headaches, convulsions,</w:t>
      </w:r>
      <w:r>
        <w:rPr>
          <w:spacing w:val="-57"/>
        </w:rPr>
        <w:t> </w:t>
      </w:r>
      <w:r>
        <w:rPr/>
        <w:t>abdominal discomfort, vomiting, constipation, and hallucination (Yakubu </w:t>
      </w:r>
      <w:r>
        <w:rPr>
          <w:i/>
        </w:rPr>
        <w:t>et al</w:t>
      </w:r>
      <w:r>
        <w:rPr/>
        <w:t>., 2015).</w:t>
      </w:r>
      <w:r>
        <w:rPr>
          <w:spacing w:val="1"/>
        </w:rPr>
        <w:t> </w:t>
      </w:r>
      <w:r>
        <w:rPr/>
        <w:t>Some antibiotics are also used to treat infectious diarrhoea, but they are also</w:t>
      </w:r>
      <w:r>
        <w:rPr>
          <w:spacing w:val="60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adverse effects, and pathogenic microorganisms develop resistance to them (Knecht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2014).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69"/>
        <w:jc w:val="both"/>
      </w:pPr>
      <w:r>
        <w:rPr/>
        <w:t>Medicinal plants including </w:t>
      </w:r>
      <w:r>
        <w:rPr>
          <w:i/>
        </w:rPr>
        <w:t>Combretum hypopilinum </w:t>
      </w:r>
      <w:r>
        <w:rPr/>
        <w:t>are believed by people to be safe when</w:t>
      </w:r>
      <w:r>
        <w:rPr>
          <w:spacing w:val="-57"/>
        </w:rPr>
        <w:t> </w:t>
      </w:r>
      <w:r>
        <w:rPr/>
        <w:t>used for treating various diseases. Although some of these medicinal plants are relatively</w:t>
      </w:r>
      <w:r>
        <w:rPr>
          <w:spacing w:val="1"/>
        </w:rPr>
        <w:t> </w:t>
      </w:r>
      <w:r>
        <w:rPr/>
        <w:t>safe, many are toxic when taken for a short or long duration (Lahlou </w:t>
      </w:r>
      <w:r>
        <w:rPr>
          <w:i/>
        </w:rPr>
        <w:t>et al</w:t>
      </w:r>
      <w:r>
        <w:rPr/>
        <w:t>., 2008). There are</w:t>
      </w:r>
      <w:r>
        <w:rPr>
          <w:spacing w:val="-57"/>
        </w:rPr>
        <w:t> </w:t>
      </w:r>
      <w:r>
        <w:rPr/>
        <w:t>also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clinical,</w:t>
      </w:r>
      <w:r>
        <w:rPr>
          <w:spacing w:val="1"/>
        </w:rPr>
        <w:t> </w:t>
      </w:r>
      <w:r>
        <w:rPr/>
        <w:t>toxicological and pharmacological 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many medicinal</w:t>
      </w:r>
      <w:r>
        <w:rPr>
          <w:spacing w:val="1"/>
        </w:rPr>
        <w:t> </w:t>
      </w:r>
      <w:r>
        <w:rPr/>
        <w:t>plants (Olaya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2010).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numPr>
          <w:ilvl w:val="1"/>
          <w:numId w:val="7"/>
        </w:numPr>
        <w:tabs>
          <w:tab w:pos="3686" w:val="left" w:leader="none"/>
        </w:tabs>
        <w:spacing w:line="240" w:lineRule="auto" w:before="75" w:after="0"/>
        <w:ind w:left="3685" w:right="0" w:hanging="361"/>
        <w:jc w:val="both"/>
      </w:pPr>
      <w:bookmarkStart w:name="_TOC_250065" w:id="10"/>
      <w:r>
        <w:rPr/>
        <w:t>Justification of the</w:t>
      </w:r>
      <w:r>
        <w:rPr>
          <w:spacing w:val="-4"/>
        </w:rPr>
        <w:t> </w:t>
      </w:r>
      <w:bookmarkEnd w:id="10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Diarrhoea remains an important health concern worldwide, affecting children under the age</w:t>
      </w:r>
      <w:r>
        <w:rPr>
          <w:spacing w:val="1"/>
        </w:rPr>
        <w:t> </w:t>
      </w:r>
      <w:r>
        <w:rPr/>
        <w:t>of five years in developing countries and results in more than 5-8 million deaths annually</w:t>
      </w:r>
      <w:r>
        <w:rPr>
          <w:spacing w:val="1"/>
        </w:rPr>
        <w:t> </w:t>
      </w:r>
      <w:r>
        <w:rPr/>
        <w:t>(Zaman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2015). Several</w:t>
      </w:r>
      <w:r>
        <w:rPr>
          <w:spacing w:val="1"/>
        </w:rPr>
        <w:t> </w:t>
      </w:r>
      <w:r>
        <w:rPr/>
        <w:t>synthetic drugs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diphenoxylate</w:t>
      </w:r>
      <w:r>
        <w:rPr>
          <w:spacing w:val="1"/>
        </w:rPr>
        <w:t> </w:t>
      </w:r>
      <w:r>
        <w:rPr/>
        <w:t>and loperamide are</w:t>
      </w:r>
      <w:r>
        <w:rPr>
          <w:spacing w:val="1"/>
        </w:rPr>
        <w:t> </w:t>
      </w:r>
      <w:r>
        <w:rPr/>
        <w:t>used in the treatment of diarrhoea. However, they are associated with adverse effects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 headache, convulsion, abdominal discomfort, vomiting and constipation (Pandey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rural</w:t>
      </w:r>
      <w:r>
        <w:rPr>
          <w:spacing w:val="-57"/>
        </w:rPr>
        <w:t> </w:t>
      </w:r>
      <w:r>
        <w:rPr/>
        <w:t>communities, which make people rely on medicinal plants that are readily available and</w:t>
      </w:r>
      <w:r>
        <w:rPr>
          <w:spacing w:val="1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to have</w:t>
      </w:r>
      <w:r>
        <w:rPr>
          <w:spacing w:val="1"/>
        </w:rPr>
        <w:t> </w:t>
      </w:r>
      <w:r>
        <w:rPr/>
        <w:t>fewer side effects (Wansi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World Health Organization (WHO) has encouraged the use of medicinal plants for the</w:t>
      </w:r>
      <w:r>
        <w:rPr>
          <w:spacing w:val="1"/>
        </w:rPr>
        <w:t> </w:t>
      </w:r>
      <w:r>
        <w:rPr/>
        <w:t>treatment of many diseases (de Souza Monteiro </w:t>
      </w:r>
      <w:r>
        <w:rPr>
          <w:i/>
        </w:rPr>
        <w:t>et al</w:t>
      </w:r>
      <w:r>
        <w:rPr/>
        <w:t>., 2018). In several rural communities</w:t>
      </w:r>
      <w:r>
        <w:rPr>
          <w:spacing w:val="1"/>
        </w:rPr>
        <w:t> </w:t>
      </w:r>
      <w:r>
        <w:rPr/>
        <w:t>in developing countries,</w:t>
      </w:r>
      <w:r>
        <w:rPr>
          <w:spacing w:val="1"/>
        </w:rPr>
        <w:t> </w:t>
      </w:r>
      <w:r>
        <w:rPr/>
        <w:t>it is believed that herbal remedies are the only available and</w:t>
      </w:r>
      <w:r>
        <w:rPr>
          <w:spacing w:val="1"/>
        </w:rPr>
        <w:t> </w:t>
      </w:r>
      <w:r>
        <w:rPr/>
        <w:t>affordable remedies for treating various diseases including diarrhoea (Njume and Goduka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5"/>
        <w:jc w:val="both"/>
      </w:pPr>
      <w:r>
        <w:rPr/>
        <w:t>The use of herbal drugs is a common practice in many African countries such as Nigeria in</w:t>
      </w:r>
      <w:r>
        <w:rPr>
          <w:spacing w:val="1"/>
        </w:rPr>
        <w:t> </w:t>
      </w:r>
      <w:r>
        <w:rPr/>
        <w:t>the treatment of diarrhoea (Okpara </w:t>
      </w:r>
      <w:r>
        <w:rPr>
          <w:i/>
        </w:rPr>
        <w:t>et al</w:t>
      </w:r>
      <w:r>
        <w:rPr/>
        <w:t>., 2017). Therefore, there is a need to investigate the</w:t>
      </w:r>
      <w:r>
        <w:rPr>
          <w:spacing w:val="-57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rampant spread of diarrhoea, particularly in resources limited countries (Ndukui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265" w:right="874"/>
        <w:jc w:val="both"/>
        <w:rPr>
          <w:i/>
        </w:rPr>
      </w:pPr>
      <w:r>
        <w:rPr/>
        <w:t>The leaves of </w:t>
      </w:r>
      <w:r>
        <w:rPr>
          <w:i/>
        </w:rPr>
        <w:t>Combretum hypopilinum </w:t>
      </w:r>
      <w:r>
        <w:rPr/>
        <w:t>have been used for the treatment of diarrhoea in</w:t>
      </w:r>
      <w:r>
        <w:rPr>
          <w:spacing w:val="1"/>
        </w:rPr>
        <w:t> </w:t>
      </w:r>
      <w:r>
        <w:rPr/>
        <w:t>Nigeria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other</w:t>
      </w:r>
      <w:r>
        <w:rPr>
          <w:spacing w:val="22"/>
        </w:rPr>
        <w:t> </w:t>
      </w:r>
      <w:r>
        <w:rPr/>
        <w:t>African</w:t>
      </w:r>
      <w:r>
        <w:rPr>
          <w:spacing w:val="22"/>
        </w:rPr>
        <w:t> </w:t>
      </w:r>
      <w:r>
        <w:rPr/>
        <w:t>countries</w:t>
      </w:r>
      <w:r>
        <w:rPr>
          <w:spacing w:val="25"/>
        </w:rPr>
        <w:t> </w:t>
      </w:r>
      <w:r>
        <w:rPr/>
        <w:t>(Idoh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.,</w:t>
      </w:r>
      <w:r>
        <w:rPr>
          <w:spacing w:val="25"/>
        </w:rPr>
        <w:t> </w:t>
      </w:r>
      <w:r>
        <w:rPr/>
        <w:t>2018;</w:t>
      </w:r>
      <w:r>
        <w:rPr>
          <w:spacing w:val="23"/>
        </w:rPr>
        <w:t> </w:t>
      </w:r>
      <w:r>
        <w:rPr/>
        <w:t>Fyhrquist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.,</w:t>
      </w:r>
      <w:r>
        <w:rPr>
          <w:spacing w:val="22"/>
        </w:rPr>
        <w:t> </w:t>
      </w:r>
      <w:r>
        <w:rPr/>
        <w:t>2004;</w:t>
      </w:r>
      <w:r>
        <w:rPr>
          <w:spacing w:val="24"/>
        </w:rPr>
        <w:t> </w:t>
      </w:r>
      <w:r>
        <w:rPr>
          <w:color w:val="212121"/>
        </w:rPr>
        <w:t>Hedberg</w:t>
      </w:r>
      <w:r>
        <w:rPr>
          <w:color w:val="212121"/>
          <w:spacing w:val="20"/>
        </w:rPr>
        <w:t> </w:t>
      </w:r>
      <w:r>
        <w:rPr>
          <w:i/>
          <w:color w:val="212121"/>
        </w:rPr>
        <w:t>et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4"/>
        <w:jc w:val="both"/>
      </w:pPr>
      <w:r>
        <w:rPr>
          <w:i/>
          <w:color w:val="212121"/>
        </w:rPr>
        <w:t>al</w:t>
      </w:r>
      <w:r>
        <w:rPr>
          <w:color w:val="212121"/>
        </w:rPr>
        <w:t>., 1982</w:t>
      </w:r>
      <w:r>
        <w:rPr/>
        <w:t>). However, the scientific basis for its use and safety has not been evaluated.</w:t>
      </w:r>
      <w:r>
        <w:rPr>
          <w:spacing w:val="1"/>
        </w:rPr>
        <w:t> </w:t>
      </w:r>
      <w:r>
        <w:rPr/>
        <w:t>Therefore, this study aims to investigate the antidiarrhoeal activity and safety profile of the</w:t>
      </w:r>
      <w:r>
        <w:rPr>
          <w:spacing w:val="1"/>
        </w:rPr>
        <w:t> </w:t>
      </w:r>
      <w:r>
        <w:rPr/>
        <w:t>plant.</w:t>
      </w:r>
    </w:p>
    <w:p>
      <w:pPr>
        <w:pStyle w:val="Heading1"/>
        <w:numPr>
          <w:ilvl w:val="1"/>
          <w:numId w:val="7"/>
        </w:numPr>
        <w:tabs>
          <w:tab w:pos="4226" w:val="left" w:leader="none"/>
        </w:tabs>
        <w:spacing w:line="240" w:lineRule="auto" w:before="5" w:after="0"/>
        <w:ind w:left="4225" w:right="0" w:hanging="361"/>
        <w:jc w:val="both"/>
      </w:pPr>
      <w:bookmarkStart w:name="_TOC_250064" w:id="11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11"/>
      <w:r>
        <w:rPr/>
        <w:t>Objectives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8"/>
        </w:numPr>
        <w:tabs>
          <w:tab w:pos="806" w:val="left" w:leader="none"/>
        </w:tabs>
        <w:spacing w:line="240" w:lineRule="auto" w:before="0" w:after="0"/>
        <w:ind w:left="805" w:right="0" w:hanging="541"/>
        <w:jc w:val="left"/>
      </w:pPr>
      <w:bookmarkStart w:name="_TOC_250063" w:id="12"/>
      <w:bookmarkEnd w:id="12"/>
      <w:r>
        <w:rPr/>
        <w:t>Aim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2"/>
      </w:pPr>
      <w:r>
        <w:rPr/>
        <w:t>The</w:t>
      </w:r>
      <w:r>
        <w:rPr>
          <w:spacing w:val="2"/>
        </w:rPr>
        <w:t> </w:t>
      </w:r>
      <w:r>
        <w:rPr/>
        <w:t>aim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study</w:t>
      </w:r>
      <w:r>
        <w:rPr>
          <w:spacing w:val="-1"/>
        </w:rPr>
        <w:t> </w:t>
      </w:r>
      <w:r>
        <w:rPr/>
        <w:t>is</w:t>
      </w:r>
      <w:r>
        <w:rPr>
          <w:spacing w:val="8"/>
        </w:rPr>
        <w:t> </w:t>
      </w:r>
      <w:r>
        <w:rPr/>
        <w:t>to</w:t>
      </w:r>
      <w:r>
        <w:rPr>
          <w:spacing w:val="4"/>
        </w:rPr>
        <w:t> </w:t>
      </w:r>
      <w:r>
        <w:rPr/>
        <w:t>investigate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antidiarrhoeal</w:t>
      </w:r>
      <w:r>
        <w:rPr>
          <w:spacing w:val="4"/>
        </w:rPr>
        <w:t> </w:t>
      </w:r>
      <w:r>
        <w:rPr/>
        <w:t>potentials</w:t>
      </w:r>
      <w:r>
        <w:rPr>
          <w:spacing w:val="9"/>
        </w:rPr>
        <w:t> </w:t>
      </w:r>
      <w:r>
        <w:rPr/>
        <w:t>and</w:t>
      </w:r>
      <w:r>
        <w:rPr>
          <w:spacing w:val="3"/>
        </w:rPr>
        <w:t> </w:t>
      </w:r>
      <w:r>
        <w:rPr/>
        <w:t>toxicological</w:t>
      </w:r>
      <w:r>
        <w:rPr>
          <w:spacing w:val="6"/>
        </w:rPr>
        <w:t> </w:t>
      </w:r>
      <w:r>
        <w:rPr/>
        <w:t>effects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 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Combretum</w:t>
      </w:r>
      <w:r>
        <w:rPr>
          <w:i/>
          <w:spacing w:val="-2"/>
        </w:rPr>
        <w:t> </w:t>
      </w:r>
      <w:r>
        <w:rPr>
          <w:i/>
        </w:rPr>
        <w:t>hypopilinum</w:t>
      </w:r>
      <w:r>
        <w:rPr>
          <w:i/>
          <w:spacing w:val="-1"/>
        </w:rPr>
        <w:t> </w:t>
      </w:r>
      <w:r>
        <w:rPr/>
        <w:t>Diels</w:t>
      </w:r>
      <w:r>
        <w:rPr>
          <w:spacing w:val="-1"/>
        </w:rPr>
        <w:t> </w:t>
      </w:r>
      <w:r>
        <w:rPr/>
        <w:t>(Combretaceae) in</w:t>
      </w:r>
      <w:r>
        <w:rPr>
          <w:spacing w:val="-1"/>
        </w:rPr>
        <w:t> </w:t>
      </w:r>
      <w:r>
        <w:rPr/>
        <w:t>mice</w:t>
      </w:r>
      <w:r>
        <w:rPr>
          <w:spacing w:val="-4"/>
        </w:rPr>
        <w:t> </w:t>
      </w:r>
      <w:r>
        <w:rPr/>
        <w:t>and rats.</w:t>
      </w:r>
    </w:p>
    <w:p>
      <w:pPr>
        <w:pStyle w:val="Heading1"/>
        <w:numPr>
          <w:ilvl w:val="2"/>
          <w:numId w:val="8"/>
        </w:numPr>
        <w:tabs>
          <w:tab w:pos="806" w:val="left" w:leader="none"/>
        </w:tabs>
        <w:spacing w:line="240" w:lineRule="auto" w:before="6" w:after="0"/>
        <w:ind w:left="805" w:right="0" w:hanging="541"/>
        <w:jc w:val="left"/>
      </w:pPr>
      <w:bookmarkStart w:name="_TOC_250062" w:id="13"/>
      <w:r>
        <w:rPr/>
        <w:t>Specific</w:t>
      </w:r>
      <w:r>
        <w:rPr>
          <w:spacing w:val="-3"/>
        </w:rPr>
        <w:t> </w:t>
      </w:r>
      <w:bookmarkEnd w:id="13"/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right="6695"/>
        <w:jc w:val="right"/>
      </w:pPr>
      <w:r>
        <w:rPr/>
        <w:t>The</w:t>
      </w:r>
      <w:r>
        <w:rPr>
          <w:spacing w:val="-2"/>
        </w:rPr>
        <w:t> </w:t>
      </w:r>
      <w:r>
        <w:rPr/>
        <w:t>objectives of the study</w:t>
      </w:r>
      <w:r>
        <w:rPr>
          <w:spacing w:val="-5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determine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phytochemical</w:t>
      </w:r>
      <w:r>
        <w:rPr>
          <w:spacing w:val="9"/>
          <w:sz w:val="24"/>
        </w:rPr>
        <w:t> </w:t>
      </w:r>
      <w:r>
        <w:rPr>
          <w:sz w:val="24"/>
        </w:rPr>
        <w:t>constituents</w:t>
      </w:r>
      <w:r>
        <w:rPr>
          <w:spacing w:val="9"/>
          <w:sz w:val="24"/>
        </w:rPr>
        <w:t> </w:t>
      </w:r>
      <w:r>
        <w:rPr>
          <w:sz w:val="24"/>
        </w:rPr>
        <w:t>present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methanol</w:t>
      </w:r>
      <w:r>
        <w:rPr>
          <w:spacing w:val="8"/>
          <w:sz w:val="24"/>
        </w:rPr>
        <w:t> </w:t>
      </w:r>
      <w:r>
        <w:rPr>
          <w:sz w:val="24"/>
        </w:rPr>
        <w:t>leaf</w:t>
      </w:r>
      <w:r>
        <w:rPr>
          <w:spacing w:val="6"/>
          <w:sz w:val="24"/>
        </w:rPr>
        <w:t> </w:t>
      </w:r>
      <w:r>
        <w:rPr>
          <w:sz w:val="24"/>
        </w:rPr>
        <w:t>extract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BodyText"/>
      </w:pPr>
    </w:p>
    <w:p>
      <w:pPr>
        <w:spacing w:before="1"/>
        <w:ind w:left="0" w:right="6600" w:firstLine="0"/>
        <w:jc w:val="right"/>
        <w:rPr>
          <w:i/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determine</w:t>
      </w:r>
      <w:r>
        <w:rPr>
          <w:spacing w:val="72"/>
          <w:sz w:val="24"/>
        </w:rPr>
        <w:t> </w:t>
      </w:r>
      <w:r>
        <w:rPr>
          <w:sz w:val="24"/>
        </w:rPr>
        <w:t>the</w:t>
      </w:r>
      <w:r>
        <w:rPr>
          <w:spacing w:val="72"/>
          <w:sz w:val="24"/>
        </w:rPr>
        <w:t> </w:t>
      </w:r>
      <w:r>
        <w:rPr>
          <w:sz w:val="24"/>
        </w:rPr>
        <w:t>oral</w:t>
      </w:r>
      <w:r>
        <w:rPr>
          <w:spacing w:val="73"/>
          <w:sz w:val="24"/>
        </w:rPr>
        <w:t> </w:t>
      </w:r>
      <w:r>
        <w:rPr>
          <w:sz w:val="24"/>
        </w:rPr>
        <w:t>median</w:t>
      </w:r>
      <w:r>
        <w:rPr>
          <w:spacing w:val="74"/>
          <w:sz w:val="24"/>
        </w:rPr>
        <w:t> </w:t>
      </w:r>
      <w:r>
        <w:rPr>
          <w:sz w:val="24"/>
        </w:rPr>
        <w:t>lethal</w:t>
      </w:r>
      <w:r>
        <w:rPr>
          <w:spacing w:val="73"/>
          <w:sz w:val="24"/>
        </w:rPr>
        <w:t> </w:t>
      </w:r>
      <w:r>
        <w:rPr>
          <w:sz w:val="24"/>
        </w:rPr>
        <w:t>dose</w:t>
      </w:r>
      <w:r>
        <w:rPr>
          <w:spacing w:val="72"/>
          <w:sz w:val="24"/>
        </w:rPr>
        <w:t> </w:t>
      </w:r>
      <w:r>
        <w:rPr>
          <w:sz w:val="24"/>
        </w:rPr>
        <w:t>(LD</w:t>
      </w:r>
      <w:r>
        <w:rPr>
          <w:sz w:val="24"/>
          <w:vertAlign w:val="subscript"/>
        </w:rPr>
        <w:t>50</w:t>
      </w:r>
      <w:r>
        <w:rPr>
          <w:sz w:val="24"/>
          <w:vertAlign w:val="baseline"/>
        </w:rPr>
        <w:t>)</w:t>
      </w:r>
      <w:r>
        <w:rPr>
          <w:spacing w:val="73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70"/>
          <w:sz w:val="24"/>
          <w:vertAlign w:val="baseline"/>
        </w:rPr>
        <w:t> </w:t>
      </w:r>
      <w:r>
        <w:rPr>
          <w:sz w:val="24"/>
          <w:vertAlign w:val="baseline"/>
        </w:rPr>
        <w:t>methanol</w:t>
      </w:r>
      <w:r>
        <w:rPr>
          <w:spacing w:val="73"/>
          <w:sz w:val="24"/>
          <w:vertAlign w:val="baseline"/>
        </w:rPr>
        <w:t> </w:t>
      </w:r>
      <w:r>
        <w:rPr>
          <w:sz w:val="24"/>
          <w:vertAlign w:val="baseline"/>
        </w:rPr>
        <w:t>leaf</w:t>
      </w:r>
      <w:r>
        <w:rPr>
          <w:spacing w:val="73"/>
          <w:sz w:val="24"/>
          <w:vertAlign w:val="baseline"/>
        </w:rPr>
        <w:t> </w:t>
      </w:r>
      <w:r>
        <w:rPr>
          <w:sz w:val="24"/>
          <w:vertAlign w:val="baseline"/>
        </w:rPr>
        <w:t>extract</w:t>
      </w:r>
      <w:r>
        <w:rPr>
          <w:spacing w:val="73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</w:p>
    <w:p>
      <w:pPr>
        <w:pStyle w:val="BodyText"/>
      </w:pPr>
    </w:p>
    <w:p>
      <w:pPr>
        <w:spacing w:before="0"/>
        <w:ind w:left="985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rats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85" w:val="left" w:leader="none"/>
          <w:tab w:pos="986" w:val="left" w:leader="none"/>
        </w:tabs>
        <w:spacing w:line="480" w:lineRule="auto" w:before="1" w:after="0"/>
        <w:ind w:left="985" w:right="874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evaluate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antidiarrhoeal</w:t>
      </w:r>
      <w:r>
        <w:rPr>
          <w:spacing w:val="7"/>
          <w:sz w:val="24"/>
        </w:rPr>
        <w:t> </w:t>
      </w:r>
      <w:r>
        <w:rPr>
          <w:sz w:val="24"/>
        </w:rPr>
        <w:t>activity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methanol</w:t>
      </w:r>
      <w:r>
        <w:rPr>
          <w:spacing w:val="7"/>
          <w:sz w:val="24"/>
        </w:rPr>
        <w:t> </w:t>
      </w:r>
      <w:r>
        <w:rPr>
          <w:sz w:val="24"/>
        </w:rPr>
        <w:t>leaf</w:t>
      </w:r>
      <w:r>
        <w:rPr>
          <w:spacing w:val="6"/>
          <w:sz w:val="24"/>
        </w:rPr>
        <w:t> </w:t>
      </w:r>
      <w:r>
        <w:rPr>
          <w:sz w:val="24"/>
        </w:rPr>
        <w:t>extract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hypopilinum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</w:r>
    </w:p>
    <w:p>
      <w:pPr>
        <w:pStyle w:val="ListParagraph"/>
        <w:numPr>
          <w:ilvl w:val="0"/>
          <w:numId w:val="9"/>
        </w:numPr>
        <w:tabs>
          <w:tab w:pos="985" w:val="left" w:leader="none"/>
          <w:tab w:pos="986" w:val="left" w:leader="none"/>
        </w:tabs>
        <w:spacing w:line="480" w:lineRule="auto" w:before="0" w:after="0"/>
        <w:ind w:left="985" w:right="874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determine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possible</w:t>
      </w:r>
      <w:r>
        <w:rPr>
          <w:spacing w:val="30"/>
          <w:sz w:val="24"/>
        </w:rPr>
        <w:t> </w:t>
      </w:r>
      <w:r>
        <w:rPr>
          <w:sz w:val="24"/>
        </w:rPr>
        <w:t>mechanisms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antidiarrhoeal</w:t>
      </w:r>
      <w:r>
        <w:rPr>
          <w:spacing w:val="31"/>
          <w:sz w:val="24"/>
        </w:rPr>
        <w:t> </w:t>
      </w:r>
      <w:r>
        <w:rPr>
          <w:sz w:val="24"/>
        </w:rPr>
        <w:t>activity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methanol</w:t>
      </w:r>
      <w:r>
        <w:rPr>
          <w:spacing w:val="31"/>
          <w:sz w:val="24"/>
        </w:rPr>
        <w:t> </w:t>
      </w:r>
      <w:r>
        <w:rPr>
          <w:sz w:val="24"/>
        </w:rPr>
        <w:t>leaf</w:t>
      </w:r>
      <w:r>
        <w:rPr>
          <w:spacing w:val="-57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Combretum hypopilinum</w:t>
      </w:r>
      <w:r>
        <w:rPr>
          <w:i/>
          <w:spacing w:val="1"/>
          <w:sz w:val="24"/>
        </w:rPr>
        <w:t> </w:t>
      </w:r>
      <w:r>
        <w:rPr>
          <w:sz w:val="24"/>
        </w:rPr>
        <w:t>in mice</w:t>
      </w:r>
    </w:p>
    <w:p>
      <w:pPr>
        <w:pStyle w:val="ListParagraph"/>
        <w:numPr>
          <w:ilvl w:val="0"/>
          <w:numId w:val="9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investigate</w:t>
      </w:r>
      <w:r>
        <w:rPr>
          <w:spacing w:val="77"/>
          <w:sz w:val="24"/>
        </w:rPr>
        <w:t> </w:t>
      </w:r>
      <w:r>
        <w:rPr>
          <w:sz w:val="24"/>
        </w:rPr>
        <w:t>the</w:t>
      </w:r>
      <w:r>
        <w:rPr>
          <w:spacing w:val="80"/>
          <w:sz w:val="24"/>
        </w:rPr>
        <w:t> </w:t>
      </w:r>
      <w:r>
        <w:rPr>
          <w:sz w:val="24"/>
        </w:rPr>
        <w:t>sub-acute</w:t>
      </w:r>
      <w:r>
        <w:rPr>
          <w:spacing w:val="77"/>
          <w:sz w:val="24"/>
        </w:rPr>
        <w:t> </w:t>
      </w:r>
      <w:r>
        <w:rPr>
          <w:sz w:val="24"/>
        </w:rPr>
        <w:t>toxicological</w:t>
      </w:r>
      <w:r>
        <w:rPr>
          <w:spacing w:val="80"/>
          <w:sz w:val="24"/>
        </w:rPr>
        <w:t> </w:t>
      </w:r>
      <w:r>
        <w:rPr>
          <w:sz w:val="24"/>
        </w:rPr>
        <w:t>effects</w:t>
      </w:r>
      <w:r>
        <w:rPr>
          <w:spacing w:val="78"/>
          <w:sz w:val="24"/>
        </w:rPr>
        <w:t> </w:t>
      </w:r>
      <w:r>
        <w:rPr>
          <w:sz w:val="24"/>
        </w:rPr>
        <w:t>of</w:t>
      </w:r>
      <w:r>
        <w:rPr>
          <w:spacing w:val="78"/>
          <w:sz w:val="24"/>
        </w:rPr>
        <w:t> </w:t>
      </w:r>
      <w:r>
        <w:rPr>
          <w:sz w:val="24"/>
        </w:rPr>
        <w:t>methanol</w:t>
      </w:r>
      <w:r>
        <w:rPr>
          <w:spacing w:val="80"/>
          <w:sz w:val="24"/>
        </w:rPr>
        <w:t> </w:t>
      </w:r>
      <w:r>
        <w:rPr>
          <w:sz w:val="24"/>
        </w:rPr>
        <w:t>leaf</w:t>
      </w:r>
      <w:r>
        <w:rPr>
          <w:spacing w:val="80"/>
          <w:sz w:val="24"/>
        </w:rPr>
        <w:t> </w:t>
      </w:r>
      <w:r>
        <w:rPr>
          <w:sz w:val="24"/>
        </w:rPr>
        <w:t>extract</w:t>
      </w:r>
      <w:r>
        <w:rPr>
          <w:spacing w:val="78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985" w:right="0" w:firstLine="0"/>
        <w:jc w:val="left"/>
        <w:rPr>
          <w:sz w:val="24"/>
        </w:rPr>
      </w:pPr>
      <w:r>
        <w:rPr>
          <w:i/>
          <w:sz w:val="24"/>
        </w:rPr>
        <w:t>Combretum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hypopilinum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1"/>
          <w:numId w:val="7"/>
        </w:numPr>
        <w:tabs>
          <w:tab w:pos="3746" w:val="left" w:leader="none"/>
        </w:tabs>
        <w:spacing w:line="240" w:lineRule="auto" w:before="0" w:after="0"/>
        <w:ind w:left="3745" w:right="0" w:hanging="361"/>
        <w:jc w:val="left"/>
      </w:pPr>
      <w:bookmarkStart w:name="_TOC_250061" w:id="14"/>
      <w:r>
        <w:rPr/>
        <w:t>Research</w:t>
      </w:r>
      <w:r>
        <w:rPr>
          <w:spacing w:val="-1"/>
        </w:rPr>
        <w:t> </w:t>
      </w:r>
      <w:bookmarkEnd w:id="14"/>
      <w:r>
        <w:rPr/>
        <w:t>Hypothesis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265" w:right="870"/>
      </w:pPr>
      <w:r>
        <w:rPr/>
        <w:t>The</w:t>
      </w:r>
      <w:r>
        <w:rPr>
          <w:spacing w:val="55"/>
        </w:rPr>
        <w:t> </w:t>
      </w:r>
      <w:r>
        <w:rPr/>
        <w:t>methanol</w:t>
      </w:r>
      <w:r>
        <w:rPr>
          <w:spacing w:val="56"/>
        </w:rPr>
        <w:t> </w:t>
      </w:r>
      <w:r>
        <w:rPr/>
        <w:t>leaf</w:t>
      </w:r>
      <w:r>
        <w:rPr>
          <w:spacing w:val="58"/>
        </w:rPr>
        <w:t> </w:t>
      </w:r>
      <w:r>
        <w:rPr/>
        <w:t>extract</w:t>
      </w:r>
      <w:r>
        <w:rPr>
          <w:spacing w:val="56"/>
        </w:rPr>
        <w:t> </w:t>
      </w:r>
      <w:r>
        <w:rPr/>
        <w:t>of  </w:t>
      </w:r>
      <w:r>
        <w:rPr>
          <w:i/>
        </w:rPr>
        <w:t>Combretum</w:t>
      </w:r>
      <w:r>
        <w:rPr>
          <w:i/>
          <w:spacing w:val="56"/>
        </w:rPr>
        <w:t> </w:t>
      </w:r>
      <w:r>
        <w:rPr>
          <w:i/>
        </w:rPr>
        <w:t>hypopilinum</w:t>
      </w:r>
      <w:r>
        <w:rPr>
          <w:i/>
          <w:spacing w:val="58"/>
        </w:rPr>
        <w:t> </w:t>
      </w:r>
      <w:r>
        <w:rPr/>
        <w:t>Diels</w:t>
      </w:r>
      <w:r>
        <w:rPr>
          <w:spacing w:val="58"/>
        </w:rPr>
        <w:t> </w:t>
      </w:r>
      <w:r>
        <w:rPr/>
        <w:t>(Combretaceae)</w:t>
      </w:r>
      <w:r>
        <w:rPr>
          <w:spacing w:val="57"/>
        </w:rPr>
        <w:t> </w:t>
      </w:r>
      <w:r>
        <w:rPr/>
        <w:t>possesses</w:t>
      </w:r>
      <w:r>
        <w:rPr>
          <w:spacing w:val="-57"/>
        </w:rPr>
        <w:t> </w:t>
      </w:r>
      <w:r>
        <w:rPr/>
        <w:t>antidiarrhoeal</w:t>
      </w:r>
      <w:r>
        <w:rPr>
          <w:spacing w:val="-1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and it is relatively</w:t>
      </w:r>
      <w:r>
        <w:rPr>
          <w:spacing w:val="-5"/>
        </w:rPr>
        <w:t> </w:t>
      </w:r>
      <w:r>
        <w:rPr/>
        <w:t>safe.</w:t>
      </w:r>
    </w:p>
    <w:p>
      <w:pPr>
        <w:spacing w:after="0" w:line="482" w:lineRule="auto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spacing w:before="75"/>
        <w:ind w:left="750" w:right="1360"/>
        <w:jc w:val="center"/>
      </w:pPr>
      <w:bookmarkStart w:name="_TOC_250060" w:id="15"/>
      <w:r>
        <w:rPr/>
        <w:t>CHAPTER</w:t>
      </w:r>
      <w:r>
        <w:rPr>
          <w:spacing w:val="-2"/>
        </w:rPr>
        <w:t> </w:t>
      </w:r>
      <w:bookmarkEnd w:id="15"/>
      <w:r>
        <w:rPr/>
        <w:t>TWO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3540" w:val="left" w:leader="none"/>
        </w:tabs>
        <w:spacing w:line="240" w:lineRule="auto" w:before="0" w:after="0"/>
        <w:ind w:left="3539" w:right="0" w:hanging="361"/>
        <w:jc w:val="left"/>
      </w:pPr>
      <w:bookmarkStart w:name="_TOC_250059" w:id="16"/>
      <w:r>
        <w:rPr/>
        <w:t>LITERATURE</w:t>
      </w:r>
      <w:r>
        <w:rPr>
          <w:spacing w:val="-3"/>
        </w:rPr>
        <w:t> </w:t>
      </w:r>
      <w:bookmarkEnd w:id="16"/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4226" w:val="left" w:leader="none"/>
        </w:tabs>
        <w:spacing w:line="240" w:lineRule="auto" w:before="0" w:after="0"/>
        <w:ind w:left="4225" w:right="0" w:hanging="361"/>
        <w:jc w:val="both"/>
      </w:pPr>
      <w:bookmarkStart w:name="_TOC_250058" w:id="17"/>
      <w:bookmarkEnd w:id="17"/>
      <w:r>
        <w:rPr/>
        <w:t>Diarrhoea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Diarrhoea is defined as a change in a normal intestinal movement characterized by an</w:t>
      </w:r>
      <w:r>
        <w:rPr>
          <w:spacing w:val="1"/>
        </w:rPr>
        <w:t> </w:t>
      </w:r>
      <w:r>
        <w:rPr/>
        <w:t>increase in the passage of watery stool at least three times a day (Yakubu </w:t>
      </w:r>
      <w:r>
        <w:rPr>
          <w:i/>
        </w:rPr>
        <w:t>et al</w:t>
      </w:r>
      <w:r>
        <w:rPr/>
        <w:t>., 2015).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features of diarrhoea include increased gastrointestinal motility, secretion and a decrease in</w:t>
      </w:r>
      <w:r>
        <w:rPr>
          <w:spacing w:val="1"/>
        </w:rPr>
        <w:t> </w:t>
      </w:r>
      <w:r>
        <w:rPr/>
        <w:t>the absorption of fluid and electrolytes (Ezeja </w:t>
      </w:r>
      <w:r>
        <w:rPr>
          <w:i/>
        </w:rPr>
        <w:t>et al</w:t>
      </w:r>
      <w:r>
        <w:rPr/>
        <w:t>., 2012). This disease serves as a notable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bacteria,</w:t>
      </w:r>
      <w:r>
        <w:rPr>
          <w:spacing w:val="1"/>
        </w:rPr>
        <w:t> </w:t>
      </w:r>
      <w:r>
        <w:rPr/>
        <w:t>viruses,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parasites</w:t>
      </w:r>
      <w:r>
        <w:rPr>
          <w:spacing w:val="-1"/>
        </w:rPr>
        <w:t> </w:t>
      </w:r>
      <w:r>
        <w:rPr/>
        <w:t>transmitted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water,</w:t>
      </w:r>
      <w:r>
        <w:rPr>
          <w:spacing w:val="-1"/>
        </w:rPr>
        <w:t> </w:t>
      </w:r>
      <w:r>
        <w:rPr/>
        <w:t>food, utensils,</w:t>
      </w:r>
      <w:r>
        <w:rPr>
          <w:spacing w:val="-1"/>
        </w:rPr>
        <w:t> </w:t>
      </w:r>
      <w:r>
        <w:rPr/>
        <w:t>hands, and</w:t>
      </w:r>
      <w:r>
        <w:rPr>
          <w:spacing w:val="-1"/>
        </w:rPr>
        <w:t> </w:t>
      </w:r>
      <w:r>
        <w:rPr/>
        <w:t>flies</w:t>
      </w:r>
      <w:r>
        <w:rPr>
          <w:spacing w:val="3"/>
        </w:rPr>
        <w:t> </w:t>
      </w:r>
      <w:r>
        <w:rPr/>
        <w:t>(Yakubu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57" w:id="18"/>
      <w:r>
        <w:rPr/>
        <w:t>Aetiology</w:t>
      </w:r>
      <w:r>
        <w:rPr>
          <w:spacing w:val="-1"/>
        </w:rPr>
        <w:t> </w:t>
      </w:r>
      <w:bookmarkEnd w:id="18"/>
      <w:r>
        <w:rPr/>
        <w:t>of Diarrhoea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2"/>
        <w:jc w:val="both"/>
      </w:pPr>
      <w:r>
        <w:rPr/>
        <w:t>Many pathogenic organisms have been indicated to cause diarrhoea (Tate </w:t>
      </w:r>
      <w:r>
        <w:rPr>
          <w:i/>
        </w:rPr>
        <w:t>et al</w:t>
      </w:r>
      <w:r>
        <w:rPr/>
        <w:t>., 2012). The</w:t>
      </w:r>
      <w:r>
        <w:rPr>
          <w:spacing w:val="1"/>
        </w:rPr>
        <w:t> </w:t>
      </w:r>
      <w:r>
        <w:rPr/>
        <w:t>important causes of diarrhoea include bacteria, viruses, protozoan, helminths, disorders</w:t>
      </w:r>
      <w:r>
        <w:rPr>
          <w:spacing w:val="1"/>
        </w:rPr>
        <w:t> </w:t>
      </w:r>
      <w:r>
        <w:rPr/>
        <w:t>affecting the bowel, such as irritable bowel syndrome, immunological factor, poor hygiene</w:t>
      </w:r>
      <w:r>
        <w:rPr>
          <w:spacing w:val="1"/>
        </w:rPr>
        <w:t> </w:t>
      </w:r>
      <w:r>
        <w:rPr/>
        <w:t>and some drugs (Evi </w:t>
      </w:r>
      <w:r>
        <w:rPr>
          <w:i/>
        </w:rPr>
        <w:t>et al., </w:t>
      </w:r>
      <w:r>
        <w:rPr/>
        <w:t>2018). The different causes of diarrhoea differ based on the</w:t>
      </w:r>
      <w:r>
        <w:rPr>
          <w:spacing w:val="1"/>
        </w:rPr>
        <w:t> </w:t>
      </w:r>
      <w:r>
        <w:rPr/>
        <w:t>geographical location and clinical symptoms (Kotloff </w:t>
      </w:r>
      <w:r>
        <w:rPr>
          <w:i/>
        </w:rPr>
        <w:t>et al</w:t>
      </w:r>
      <w:r>
        <w:rPr/>
        <w:t>., 2013). Careful medical history,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dehydration,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macroscopic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microscopic stool examination for the presence of parasites and other pathogens, and media</w:t>
      </w:r>
      <w:r>
        <w:rPr>
          <w:spacing w:val="-57"/>
        </w:rPr>
        <w:t> </w:t>
      </w:r>
      <w:r>
        <w:rPr/>
        <w:t>culture to identify the causative agents are important in the diagnosis of diarrhoea (Johargy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  <w:rPr>
          <w:i/>
          <w:sz w:val="24"/>
        </w:rPr>
      </w:pPr>
      <w:r>
        <w:rPr>
          <w:i/>
          <w:sz w:val="24"/>
        </w:rPr>
        <w:t>Viral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Causes of Diarrhoea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Viruses such as rotavirus, norovirus, enteric adenovirus and parvovirus are the main cause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/>
        <w:t>diarrhoea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Africa</w:t>
      </w:r>
      <w:r>
        <w:rPr>
          <w:spacing w:val="22"/>
        </w:rPr>
        <w:t> </w:t>
      </w:r>
      <w:r>
        <w:rPr/>
        <w:t>(Tate</w:t>
      </w:r>
      <w:r>
        <w:rPr>
          <w:spacing w:val="20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</w:t>
      </w:r>
      <w:r>
        <w:rPr/>
        <w:t>.,</w:t>
      </w:r>
      <w:r>
        <w:rPr>
          <w:spacing w:val="20"/>
        </w:rPr>
        <w:t> </w:t>
      </w:r>
      <w:r>
        <w:rPr/>
        <w:t>2012;</w:t>
      </w:r>
      <w:r>
        <w:rPr>
          <w:spacing w:val="22"/>
        </w:rPr>
        <w:t> </w:t>
      </w:r>
      <w:r>
        <w:rPr/>
        <w:t>Harris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</w:t>
      </w:r>
      <w:r>
        <w:rPr/>
        <w:t>.,</w:t>
      </w:r>
      <w:r>
        <w:rPr>
          <w:spacing w:val="21"/>
        </w:rPr>
        <w:t> </w:t>
      </w:r>
      <w:r>
        <w:rPr/>
        <w:t>2017).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rotavirus</w:t>
      </w:r>
      <w:r>
        <w:rPr>
          <w:spacing w:val="19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leading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cause of diarrhoea. Viral gastroenteritis is highly transmittable and is mostly contacted by</w:t>
      </w:r>
      <w:r>
        <w:rPr>
          <w:spacing w:val="1"/>
        </w:rPr>
        <w:t> </w:t>
      </w:r>
      <w:r>
        <w:rPr/>
        <w:t>intake</w:t>
      </w:r>
      <w:r>
        <w:rPr>
          <w:spacing w:val="-2"/>
        </w:rPr>
        <w:t> </w:t>
      </w:r>
      <w:r>
        <w:rPr/>
        <w:t>of contaminated</w:t>
      </w:r>
      <w:r>
        <w:rPr>
          <w:spacing w:val="2"/>
        </w:rPr>
        <w:t> </w:t>
      </w:r>
      <w:r>
        <w:rPr/>
        <w:t>food or</w:t>
      </w:r>
      <w:r>
        <w:rPr>
          <w:spacing w:val="-1"/>
        </w:rPr>
        <w:t> </w:t>
      </w:r>
      <w:r>
        <w:rPr/>
        <w:t>water (Tate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4"/>
        <w:jc w:val="both"/>
      </w:pPr>
      <w:r>
        <w:rPr/>
        <w:t>Rotavirus is the main cause of diarrhoea-related deaths in children globally. About 95% of</w:t>
      </w:r>
      <w:r>
        <w:rPr>
          <w:spacing w:val="1"/>
        </w:rPr>
        <w:t> </w:t>
      </w:r>
      <w:r>
        <w:rPr/>
        <w:t>the deaths happen in Africa and some Asian countries (Tate </w:t>
      </w:r>
      <w:r>
        <w:rPr>
          <w:i/>
        </w:rPr>
        <w:t>et al</w:t>
      </w:r>
      <w:r>
        <w:rPr/>
        <w:t>., 2012). Globally, in the</w:t>
      </w:r>
      <w:r>
        <w:rPr>
          <w:spacing w:val="1"/>
        </w:rPr>
        <w:t> </w:t>
      </w:r>
      <w:r>
        <w:rPr/>
        <w:t>year 2008, diarrhoea caused by rotavirus accounts for an estimated 453,000 mortalities in</w:t>
      </w:r>
      <w:r>
        <w:rPr>
          <w:spacing w:val="1"/>
        </w:rPr>
        <w:t> </w:t>
      </w:r>
      <w:r>
        <w:rPr/>
        <w:t>children less than five years old, which put up to 37% of all lives lost due to acute diarrhoea</w:t>
      </w:r>
      <w:r>
        <w:rPr>
          <w:spacing w:val="-57"/>
        </w:rPr>
        <w:t> </w:t>
      </w:r>
      <w:r>
        <w:rPr/>
        <w:t>(Tate </w:t>
      </w:r>
      <w:r>
        <w:rPr>
          <w:i/>
        </w:rPr>
        <w:t>et al</w:t>
      </w:r>
      <w:r>
        <w:rPr/>
        <w:t>., 2012; Rackoff </w:t>
      </w:r>
      <w:r>
        <w:rPr>
          <w:i/>
        </w:rPr>
        <w:t>et al</w:t>
      </w:r>
      <w:r>
        <w:rPr/>
        <w:t>., 2013). In Nigeria, a high occurrence of approximately</w:t>
      </w:r>
      <w:r>
        <w:rPr>
          <w:spacing w:val="1"/>
        </w:rPr>
        <w:t> </w:t>
      </w:r>
      <w:r>
        <w:rPr/>
        <w:t>more than 160, 000 deaths in children under the age of five, with 20% as rotavirus related</w:t>
      </w:r>
      <w:r>
        <w:rPr>
          <w:spacing w:val="1"/>
        </w:rPr>
        <w:t> </w:t>
      </w:r>
      <w:r>
        <w:rPr/>
        <w:t>(Mukhtar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69"/>
        <w:jc w:val="both"/>
      </w:pPr>
      <w:r>
        <w:rPr/>
        <w:t>Norovirus is the second most common cause of viral diarrhoea in children less than five</w:t>
      </w:r>
      <w:r>
        <w:rPr>
          <w:spacing w:val="1"/>
        </w:rPr>
        <w:t> </w:t>
      </w:r>
      <w:r>
        <w:rPr/>
        <w:t>years old after rotavirus globally. It causes an estimated 1.1 million hospital admissions and</w:t>
      </w:r>
      <w:r>
        <w:rPr>
          <w:spacing w:val="-57"/>
        </w:rPr>
        <w:t> </w:t>
      </w:r>
      <w:r>
        <w:rPr/>
        <w:t>close to 218,000 deaths annually (Patel </w:t>
      </w:r>
      <w:r>
        <w:rPr>
          <w:i/>
        </w:rPr>
        <w:t>et al</w:t>
      </w:r>
      <w:r>
        <w:rPr/>
        <w:t>., 2008). In addition, the cause of diarrhoea by</w:t>
      </w:r>
      <w:r>
        <w:rPr>
          <w:spacing w:val="1"/>
        </w:rPr>
        <w:t> </w:t>
      </w:r>
      <w:r>
        <w:rPr/>
        <w:t>norovirus in children less than five years of age became prominent after the decline of the</w:t>
      </w:r>
      <w:r>
        <w:rPr>
          <w:spacing w:val="1"/>
        </w:rPr>
        <w:t> </w:t>
      </w:r>
      <w:r>
        <w:rPr/>
        <w:t>rotavirus</w:t>
      </w:r>
      <w:r>
        <w:rPr>
          <w:spacing w:val="-1"/>
        </w:rPr>
        <w:t> </w:t>
      </w:r>
      <w:r>
        <w:rPr/>
        <w:t>associated diarrhoea</w:t>
      </w:r>
      <w:r>
        <w:rPr>
          <w:spacing w:val="-2"/>
        </w:rPr>
        <w:t> </w:t>
      </w:r>
      <w:r>
        <w:rPr/>
        <w:t>from rotavirus</w:t>
      </w:r>
      <w:r>
        <w:rPr>
          <w:spacing w:val="-1"/>
        </w:rPr>
        <w:t> </w:t>
      </w:r>
      <w:r>
        <w:rPr/>
        <w:t>vaccine emergence (Shioda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  <w:rPr>
          <w:i/>
          <w:sz w:val="24"/>
        </w:rPr>
      </w:pPr>
      <w:r>
        <w:rPr>
          <w:i/>
          <w:sz w:val="24"/>
        </w:rPr>
        <w:t>Bacterial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Diarrhoea</w:t>
      </w:r>
    </w:p>
    <w:p>
      <w:pPr>
        <w:pStyle w:val="BodyText"/>
        <w:spacing w:before="9"/>
        <w:rPr>
          <w:i/>
          <w:sz w:val="23"/>
        </w:rPr>
      </w:pPr>
    </w:p>
    <w:p>
      <w:pPr>
        <w:spacing w:line="480" w:lineRule="auto" w:before="0"/>
        <w:ind w:left="265" w:right="872" w:firstLine="0"/>
        <w:jc w:val="both"/>
        <w:rPr>
          <w:sz w:val="24"/>
        </w:rPr>
      </w:pPr>
      <w:r>
        <w:rPr>
          <w:sz w:val="24"/>
        </w:rPr>
        <w:t>Bacteria such as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"/>
          <w:sz w:val="24"/>
        </w:rPr>
        <w:t> </w:t>
      </w:r>
      <w:r>
        <w:rPr>
          <w:sz w:val="24"/>
        </w:rPr>
        <w:t>are among the most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cause of diarrhoea in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(Boschi-Pinto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2008).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microorganisms</w:t>
      </w:r>
      <w:r>
        <w:rPr>
          <w:spacing w:val="1"/>
          <w:sz w:val="24"/>
        </w:rPr>
        <w:t> </w:t>
      </w:r>
      <w:r>
        <w:rPr>
          <w:sz w:val="24"/>
        </w:rPr>
        <w:t>implicated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diarrhoea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cereus,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Campylobacter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jejunii,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Salmonella typhi, Shigella flexinerii, Vibrio cholera</w:t>
      </w:r>
      <w:r>
        <w:rPr>
          <w:sz w:val="24"/>
        </w:rPr>
        <w:t>, methicillin-resistant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(MRSA),</w:t>
      </w:r>
      <w:r>
        <w:rPr>
          <w:spacing w:val="1"/>
          <w:sz w:val="24"/>
        </w:rPr>
        <w:t> </w:t>
      </w:r>
      <w:r>
        <w:rPr>
          <w:sz w:val="24"/>
        </w:rPr>
        <w:t>vancomycin-resistant</w:t>
      </w:r>
      <w:r>
        <w:rPr>
          <w:spacing w:val="1"/>
          <w:sz w:val="24"/>
        </w:rPr>
        <w:t> </w:t>
      </w:r>
      <w:r>
        <w:rPr>
          <w:i/>
          <w:sz w:val="24"/>
        </w:rPr>
        <w:t>Enterococcus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faecalis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VRE)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Clostridium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difficile</w:t>
      </w:r>
      <w:r>
        <w:rPr>
          <w:i/>
          <w:spacing w:val="21"/>
          <w:sz w:val="24"/>
        </w:rPr>
        <w:t> </w:t>
      </w:r>
      <w:r>
        <w:rPr>
          <w:sz w:val="24"/>
        </w:rPr>
        <w:t>(Thakkar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Agrawal,</w:t>
      </w:r>
      <w:r>
        <w:rPr>
          <w:spacing w:val="22"/>
          <w:sz w:val="24"/>
        </w:rPr>
        <w:t> </w:t>
      </w:r>
      <w:r>
        <w:rPr>
          <w:sz w:val="24"/>
        </w:rPr>
        <w:t>2010).</w:t>
      </w:r>
      <w:r>
        <w:rPr>
          <w:spacing w:val="24"/>
          <w:sz w:val="24"/>
        </w:rPr>
        <w:t> </w:t>
      </w:r>
      <w:r>
        <w:rPr>
          <w:sz w:val="24"/>
        </w:rPr>
        <w:t>Shigellosis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main</w:t>
      </w:r>
      <w:r>
        <w:rPr>
          <w:spacing w:val="22"/>
          <w:sz w:val="24"/>
        </w:rPr>
        <w:t> </w:t>
      </w:r>
      <w:r>
        <w:rPr>
          <w:sz w:val="24"/>
        </w:rPr>
        <w:t>cause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deaths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illness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2"/>
        <w:jc w:val="both"/>
      </w:pPr>
      <w:r>
        <w:rPr/>
        <w:t>due to diarrhoea, particularly in developing nations causing close to 165 million episodes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 million deaths</w:t>
      </w:r>
      <w:r>
        <w:rPr>
          <w:spacing w:val="1"/>
        </w:rPr>
        <w:t> </w:t>
      </w:r>
      <w:r>
        <w:rPr/>
        <w:t>(Baldi </w:t>
      </w:r>
      <w:r>
        <w:rPr>
          <w:i/>
        </w:rPr>
        <w:t>et al</w:t>
      </w:r>
      <w:r>
        <w:rPr/>
        <w:t>., 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  <w:rPr>
          <w:i/>
          <w:sz w:val="24"/>
        </w:rPr>
      </w:pPr>
      <w:r>
        <w:rPr>
          <w:i/>
          <w:sz w:val="24"/>
        </w:rPr>
        <w:t>Parasitic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Causes of Diarrhoea</w:t>
      </w:r>
    </w:p>
    <w:p>
      <w:pPr>
        <w:pStyle w:val="BodyText"/>
        <w:spacing w:before="11"/>
        <w:rPr>
          <w:i/>
          <w:sz w:val="23"/>
        </w:rPr>
      </w:pPr>
    </w:p>
    <w:p>
      <w:pPr>
        <w:spacing w:line="480" w:lineRule="auto" w:before="0"/>
        <w:ind w:left="265" w:right="872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situations,</w:t>
      </w:r>
      <w:r>
        <w:rPr>
          <w:spacing w:val="1"/>
          <w:sz w:val="24"/>
        </w:rPr>
        <w:t> </w:t>
      </w:r>
      <w:r>
        <w:rPr>
          <w:sz w:val="24"/>
        </w:rPr>
        <w:t>intestinal</w:t>
      </w:r>
      <w:r>
        <w:rPr>
          <w:spacing w:val="1"/>
          <w:sz w:val="24"/>
        </w:rPr>
        <w:t> </w:t>
      </w:r>
      <w:r>
        <w:rPr>
          <w:sz w:val="24"/>
        </w:rPr>
        <w:t>parasitic</w:t>
      </w:r>
      <w:r>
        <w:rPr>
          <w:spacing w:val="1"/>
          <w:sz w:val="24"/>
        </w:rPr>
        <w:t> </w:t>
      </w: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symptoms</w:t>
      </w:r>
      <w:r>
        <w:rPr>
          <w:spacing w:val="60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manifest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diarrhoea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other</w:t>
      </w:r>
      <w:r>
        <w:rPr>
          <w:spacing w:val="11"/>
          <w:sz w:val="24"/>
        </w:rPr>
        <w:t> </w:t>
      </w:r>
      <w:r>
        <w:rPr>
          <w:sz w:val="24"/>
        </w:rPr>
        <w:t>signs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gastroenteritis</w:t>
      </w:r>
      <w:r>
        <w:rPr>
          <w:spacing w:val="13"/>
          <w:sz w:val="24"/>
        </w:rPr>
        <w:t> </w:t>
      </w:r>
      <w:r>
        <w:rPr>
          <w:sz w:val="24"/>
        </w:rPr>
        <w:t>such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abdominal</w:t>
      </w:r>
      <w:r>
        <w:rPr>
          <w:spacing w:val="13"/>
          <w:sz w:val="24"/>
        </w:rPr>
        <w:t> </w:t>
      </w:r>
      <w:r>
        <w:rPr>
          <w:sz w:val="24"/>
        </w:rPr>
        <w:t>cramps</w:t>
      </w:r>
      <w:r>
        <w:rPr>
          <w:spacing w:val="13"/>
          <w:sz w:val="24"/>
        </w:rPr>
        <w:t> </w:t>
      </w:r>
      <w:r>
        <w:rPr>
          <w:sz w:val="24"/>
        </w:rPr>
        <w:t>(Won</w:t>
      </w:r>
      <w:r>
        <w:rPr>
          <w:spacing w:val="-58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2016). The parasites that mostly cause intestinal infections include </w:t>
      </w:r>
      <w:r>
        <w:rPr>
          <w:i/>
          <w:sz w:val="24"/>
        </w:rPr>
        <w:t>Cryptosporidium,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Blastocystis, Entamoeba </w:t>
      </w:r>
      <w:r>
        <w:rPr>
          <w:sz w:val="24"/>
        </w:rPr>
        <w:t>species, </w:t>
      </w:r>
      <w:r>
        <w:rPr>
          <w:i/>
          <w:sz w:val="24"/>
        </w:rPr>
        <w:t>Giardia lamblia </w:t>
      </w:r>
      <w:r>
        <w:rPr>
          <w:sz w:val="24"/>
        </w:rPr>
        <w:t>and </w:t>
      </w:r>
      <w:r>
        <w:rPr>
          <w:i/>
          <w:sz w:val="24"/>
        </w:rPr>
        <w:t>Dientamoeba fragilis </w:t>
      </w:r>
      <w:r>
        <w:rPr>
          <w:sz w:val="24"/>
        </w:rPr>
        <w:t>(Fletcher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57"/>
          <w:sz w:val="24"/>
        </w:rPr>
        <w:t> </w:t>
      </w:r>
      <w:r>
        <w:rPr>
          <w:sz w:val="24"/>
        </w:rPr>
        <w:t>2012).</w:t>
      </w:r>
      <w:r>
        <w:rPr>
          <w:spacing w:val="1"/>
          <w:sz w:val="24"/>
        </w:rPr>
        <w:t> </w:t>
      </w:r>
      <w:r>
        <w:rPr>
          <w:i/>
          <w:sz w:val="24"/>
        </w:rPr>
        <w:t>Cryptosporidium </w:t>
      </w:r>
      <w:r>
        <w:rPr>
          <w:sz w:val="24"/>
        </w:rPr>
        <w:t>and </w:t>
      </w:r>
      <w:r>
        <w:rPr>
          <w:i/>
          <w:sz w:val="24"/>
        </w:rPr>
        <w:t>Giardia</w:t>
      </w:r>
      <w:r>
        <w:rPr>
          <w:i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parasite</w:t>
      </w:r>
      <w:r>
        <w:rPr>
          <w:spacing w:val="60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diarrhoea</w:t>
      </w:r>
      <w:r>
        <w:rPr>
          <w:spacing w:val="-2"/>
          <w:sz w:val="24"/>
        </w:rPr>
        <w:t> </w:t>
      </w:r>
      <w:r>
        <w:rPr>
          <w:sz w:val="24"/>
        </w:rPr>
        <w:t>(Miyamoto and</w:t>
      </w:r>
      <w:r>
        <w:rPr>
          <w:spacing w:val="2"/>
          <w:sz w:val="24"/>
        </w:rPr>
        <w:t> </w:t>
      </w:r>
      <w:r>
        <w:rPr>
          <w:sz w:val="24"/>
        </w:rPr>
        <w:t>Eckmann, 2015).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480" w:lineRule="auto" w:before="0"/>
        <w:ind w:left="265" w:right="873" w:firstLine="0"/>
        <w:jc w:val="both"/>
        <w:rPr>
          <w:sz w:val="24"/>
        </w:rPr>
      </w:pPr>
      <w:r>
        <w:rPr>
          <w:sz w:val="24"/>
        </w:rPr>
        <w:t>Also, </w:t>
      </w:r>
      <w:r>
        <w:rPr>
          <w:i/>
          <w:sz w:val="24"/>
        </w:rPr>
        <w:t>Cyclospora cayetanensis </w:t>
      </w:r>
      <w:r>
        <w:rPr>
          <w:sz w:val="24"/>
        </w:rPr>
        <w:t>causes severe diarrhoea and has contributed to many foods-</w:t>
      </w:r>
      <w:r>
        <w:rPr>
          <w:spacing w:val="1"/>
          <w:sz w:val="24"/>
        </w:rPr>
        <w:t> </w:t>
      </w:r>
      <w:r>
        <w:rPr>
          <w:sz w:val="24"/>
        </w:rPr>
        <w:t>borne diarrhoea (Ortega and Sanchez 2010). Other parasites such as </w:t>
      </w:r>
      <w:r>
        <w:rPr>
          <w:i/>
          <w:sz w:val="24"/>
        </w:rPr>
        <w:t>Entamoeba histolytica</w:t>
      </w:r>
      <w:r>
        <w:rPr>
          <w:i/>
          <w:spacing w:val="1"/>
          <w:sz w:val="24"/>
        </w:rPr>
        <w:t> </w:t>
      </w:r>
      <w:r>
        <w:rPr>
          <w:sz w:val="24"/>
        </w:rPr>
        <w:t>(which is highly invasive and causes amoebic colitis and coccidian), </w:t>
      </w:r>
      <w:r>
        <w:rPr>
          <w:i/>
          <w:sz w:val="24"/>
        </w:rPr>
        <w:t>Cystoisospora belli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Cyclospora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cayetanensis</w:t>
      </w:r>
      <w:r>
        <w:rPr>
          <w:i/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diarrhoea</w:t>
      </w:r>
      <w:r>
        <w:rPr>
          <w:spacing w:val="1"/>
          <w:sz w:val="24"/>
        </w:rPr>
        <w:t> </w:t>
      </w:r>
      <w:r>
        <w:rPr>
          <w:sz w:val="24"/>
        </w:rPr>
        <w:t>(Miyamoto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Eckmann,</w:t>
      </w:r>
      <w:r>
        <w:rPr>
          <w:spacing w:val="-1"/>
          <w:sz w:val="24"/>
        </w:rPr>
        <w:t> </w:t>
      </w:r>
      <w:r>
        <w:rPr>
          <w:sz w:val="24"/>
        </w:rPr>
        <w:t>2015).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046" w:val="left" w:leader="none"/>
        </w:tabs>
        <w:spacing w:line="240" w:lineRule="auto" w:before="0" w:after="0"/>
        <w:ind w:left="1045" w:right="0" w:hanging="721"/>
        <w:jc w:val="both"/>
        <w:rPr>
          <w:i/>
          <w:sz w:val="24"/>
        </w:rPr>
      </w:pPr>
      <w:r>
        <w:rPr>
          <w:i/>
          <w:sz w:val="24"/>
        </w:rPr>
        <w:t>Non-Infectious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Diarrhoea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265" w:right="876"/>
        <w:jc w:val="both"/>
      </w:pPr>
      <w:r>
        <w:rPr/>
        <w:t>Diarrhoea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allergy,</w:t>
      </w:r>
      <w:r>
        <w:rPr>
          <w:spacing w:val="1"/>
        </w:rPr>
        <w:t> </w:t>
      </w:r>
      <w:r>
        <w:rPr/>
        <w:t>pancreatic</w:t>
      </w:r>
      <w:r>
        <w:rPr>
          <w:spacing w:val="1"/>
        </w:rPr>
        <w:t> </w:t>
      </w:r>
      <w:r>
        <w:rPr/>
        <w:t>insufficiency,</w:t>
      </w:r>
      <w:r>
        <w:rPr>
          <w:spacing w:val="1"/>
        </w:rPr>
        <w:t> </w:t>
      </w:r>
      <w:r>
        <w:rPr/>
        <w:t>cystic</w:t>
      </w:r>
      <w:r>
        <w:rPr>
          <w:spacing w:val="1"/>
        </w:rPr>
        <w:t> </w:t>
      </w:r>
      <w:r>
        <w:rPr/>
        <w:t>fibrosis,</w:t>
      </w:r>
      <w:r>
        <w:rPr>
          <w:spacing w:val="1"/>
        </w:rPr>
        <w:t> </w:t>
      </w:r>
      <w:r>
        <w:rPr/>
        <w:t>immunodeficiency, glucose and lactose intolerance (Mushtaq </w:t>
      </w:r>
      <w:r>
        <w:rPr>
          <w:i/>
        </w:rPr>
        <w:t>et al</w:t>
      </w:r>
      <w:r>
        <w:rPr/>
        <w:t>., 2017). Gastroparesis 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intestine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manifests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constipation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stool</w:t>
      </w:r>
      <w:r>
        <w:rPr>
          <w:spacing w:val="1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as complications (Phillips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2006).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Other common causes of diarrhoea in diabetes mellitus include bile salt malabsorption,</w:t>
      </w:r>
      <w:r>
        <w:rPr>
          <w:spacing w:val="1"/>
        </w:rPr>
        <w:t> </w:t>
      </w:r>
      <w:r>
        <w:rPr/>
        <w:t>steatorrhea and drugs such as metformin (Krishnan </w:t>
      </w:r>
      <w:r>
        <w:rPr>
          <w:i/>
        </w:rPr>
        <w:t>et al</w:t>
      </w:r>
      <w:r>
        <w:rPr/>
        <w:t>., 2013). Also, Conditions such as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autoimmune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Crohn’s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ulcerative</w:t>
      </w:r>
      <w:r>
        <w:rPr>
          <w:spacing w:val="-57"/>
        </w:rPr>
        <w:t> </w:t>
      </w:r>
      <w:r>
        <w:rPr/>
        <w:t>colitis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coeliac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secretory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regulates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absorption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electrolytes</w:t>
      </w:r>
      <w:r>
        <w:rPr>
          <w:spacing w:val="29"/>
        </w:rPr>
        <w:t> </w:t>
      </w:r>
      <w:r>
        <w:rPr/>
        <w:t>by</w:t>
      </w:r>
      <w:r>
        <w:rPr>
          <w:spacing w:val="26"/>
        </w:rPr>
        <w:t> </w:t>
      </w:r>
      <w:r>
        <w:rPr/>
        <w:t>releasing</w:t>
      </w:r>
      <w:r>
        <w:rPr>
          <w:spacing w:val="27"/>
        </w:rPr>
        <w:t> </w:t>
      </w:r>
      <w:r>
        <w:rPr/>
        <w:t>cytokines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modulatory</w:t>
      </w:r>
      <w:r>
        <w:rPr>
          <w:spacing w:val="27"/>
        </w:rPr>
        <w:t> </w:t>
      </w:r>
      <w:r>
        <w:rPr/>
        <w:t>effects</w:t>
      </w:r>
      <w:r>
        <w:rPr>
          <w:spacing w:val="30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enteric nervous</w:t>
      </w:r>
      <w:r>
        <w:rPr>
          <w:spacing w:val="-1"/>
        </w:rPr>
        <w:t> </w:t>
      </w:r>
      <w:r>
        <w:rPr/>
        <w:t>system (Wasilewski </w:t>
      </w:r>
      <w:r>
        <w:rPr>
          <w:i/>
        </w:rPr>
        <w:t>et al</w:t>
      </w:r>
      <w:r>
        <w:rPr/>
        <w:t>., 2017).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2"/>
        <w:jc w:val="both"/>
      </w:pPr>
      <w:r>
        <w:rPr/>
        <w:t>Diarrhoea is one of the common side effects of drugs that interfere with intestinal fluid and</w:t>
      </w:r>
      <w:r>
        <w:rPr>
          <w:spacing w:val="1"/>
        </w:rPr>
        <w:t> </w:t>
      </w:r>
      <w:r>
        <w:rPr/>
        <w:t>electrolytes</w:t>
      </w:r>
      <w:r>
        <w:rPr>
          <w:spacing w:val="1"/>
        </w:rPr>
        <w:t> </w:t>
      </w:r>
      <w:r>
        <w:rPr/>
        <w:t>secretion (Moon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2015).</w:t>
      </w:r>
      <w:r>
        <w:rPr>
          <w:spacing w:val="1"/>
        </w:rPr>
        <w:t> </w:t>
      </w:r>
      <w:r>
        <w:rPr/>
        <w:t>Many drugs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magnesium-containing</w:t>
      </w:r>
      <w:r>
        <w:rPr>
          <w:spacing w:val="1"/>
        </w:rPr>
        <w:t> </w:t>
      </w:r>
      <w:r>
        <w:rPr/>
        <w:t>antacids, erythromycin, sorbitol (osmotic laxative agent) and lactulose cause diarrhoea due</w:t>
      </w:r>
      <w:r>
        <w:rPr>
          <w:spacing w:val="1"/>
        </w:rPr>
        <w:t> </w:t>
      </w:r>
      <w:r>
        <w:rPr/>
        <w:t>to fluid retention in the small intestine (Fernandez-Banares </w:t>
      </w:r>
      <w:r>
        <w:rPr>
          <w:i/>
        </w:rPr>
        <w:t>et al</w:t>
      </w:r>
      <w:r>
        <w:rPr/>
        <w:t>., 2016). Other therapeutic</w:t>
      </w:r>
      <w:r>
        <w:rPr>
          <w:spacing w:val="1"/>
        </w:rPr>
        <w:t> </w:t>
      </w:r>
      <w:r>
        <w:rPr/>
        <w:t>drugs, such as anticancer and antiretroviral drugs also cause diarrhoea (Clay and Crutchley,</w:t>
      </w:r>
      <w:r>
        <w:rPr>
          <w:spacing w:val="-57"/>
        </w:rPr>
        <w:t> </w:t>
      </w:r>
      <w:r>
        <w:rPr/>
        <w:t>2014). About 28 % of patients receiving antiretroviral therapy with protease inhibitors</w:t>
      </w:r>
      <w:r>
        <w:rPr>
          <w:spacing w:val="1"/>
        </w:rPr>
        <w:t> </w:t>
      </w:r>
      <w:r>
        <w:rPr/>
        <w:t>present with more than four watery stools in 24 hours (Pessi </w:t>
      </w:r>
      <w:r>
        <w:rPr>
          <w:i/>
        </w:rPr>
        <w:t>et al</w:t>
      </w:r>
      <w:r>
        <w:rPr/>
        <w:t>., 2014). Patients treated</w:t>
      </w:r>
      <w:r>
        <w:rPr>
          <w:spacing w:val="1"/>
        </w:rPr>
        <w:t> </w:t>
      </w:r>
      <w:r>
        <w:rPr/>
        <w:t>with anticancer drugs such as 5-fluorouracil (5-FU) can suffer from serious diarrhoea as an</w:t>
      </w:r>
      <w:r>
        <w:rPr>
          <w:spacing w:val="1"/>
        </w:rPr>
        <w:t> </w:t>
      </w:r>
      <w:r>
        <w:rPr/>
        <w:t>adverse</w:t>
      </w:r>
      <w:r>
        <w:rPr>
          <w:spacing w:val="-3"/>
        </w:rPr>
        <w:t> </w:t>
      </w:r>
      <w:r>
        <w:rPr/>
        <w:t>drug</w:t>
      </w:r>
      <w:r>
        <w:rPr>
          <w:spacing w:val="-3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which can negatively</w:t>
      </w:r>
      <w:r>
        <w:rPr>
          <w:spacing w:val="-4"/>
        </w:rPr>
        <w:t> </w:t>
      </w:r>
      <w:r>
        <w:rPr/>
        <w:t>affect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 (Perez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2015).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56" w:id="19"/>
      <w:r>
        <w:rPr/>
        <w:t>Transmission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9"/>
      <w:r>
        <w:rPr/>
        <w:t>Diarrhoea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According to WHO, the causative pathogens of diarrhoea such as bacteria, parasites and</w:t>
      </w:r>
      <w:r>
        <w:rPr>
          <w:spacing w:val="1"/>
        </w:rPr>
        <w:t> </w:t>
      </w:r>
      <w:r>
        <w:rPr/>
        <w:t>viruses are transmitted to humans through a faeco-oral route which includes intake of</w:t>
      </w:r>
      <w:r>
        <w:rPr>
          <w:spacing w:val="1"/>
        </w:rPr>
        <w:t> </w:t>
      </w:r>
      <w:r>
        <w:rPr/>
        <w:t>contaminated water or food, person to person contact and direct contact with faecal matter</w:t>
      </w:r>
      <w:r>
        <w:rPr>
          <w:spacing w:val="1"/>
        </w:rPr>
        <w:t> </w:t>
      </w:r>
      <w:r>
        <w:rPr/>
        <w:t>(Walker </w:t>
      </w:r>
      <w:r>
        <w:rPr>
          <w:i/>
        </w:rPr>
        <w:t>et al</w:t>
      </w:r>
      <w:r>
        <w:rPr/>
        <w:t>., 2012; Zambrano </w:t>
      </w:r>
      <w:r>
        <w:rPr>
          <w:i/>
        </w:rPr>
        <w:t>et al</w:t>
      </w:r>
      <w:r>
        <w:rPr/>
        <w:t>., 2014). Diarrhoea caused by these pathogens is the</w:t>
      </w:r>
      <w:r>
        <w:rPr>
          <w:spacing w:val="1"/>
        </w:rPr>
        <w:t> </w:t>
      </w:r>
      <w:r>
        <w:rPr/>
        <w:t>second leading cause of deaths in children less than five years, resulting in about 760,000</w:t>
      </w:r>
      <w:r>
        <w:rPr>
          <w:spacing w:val="1"/>
        </w:rPr>
        <w:t> </w:t>
      </w:r>
      <w:r>
        <w:rPr/>
        <w:t>mortalities</w:t>
      </w:r>
      <w:r>
        <w:rPr>
          <w:spacing w:val="-1"/>
        </w:rPr>
        <w:t> </w:t>
      </w:r>
      <w:r>
        <w:rPr/>
        <w:t>every</w:t>
      </w:r>
      <w:r>
        <w:rPr>
          <w:spacing w:val="-1"/>
        </w:rPr>
        <w:t> </w:t>
      </w:r>
      <w:r>
        <w:rPr/>
        <w:t>year (WHO, 2013;</w:t>
      </w:r>
      <w:r>
        <w:rPr>
          <w:spacing w:val="2"/>
        </w:rPr>
        <w:t> </w:t>
      </w:r>
      <w:r>
        <w:rPr/>
        <w:t>Wang</w:t>
      </w:r>
      <w:r>
        <w:rPr>
          <w:spacing w:val="-3"/>
        </w:rPr>
        <w:t> </w:t>
      </w:r>
      <w:r>
        <w:rPr>
          <w:i/>
        </w:rPr>
        <w:t>et al</w:t>
      </w:r>
      <w:r>
        <w:rPr/>
        <w:t>., 2016).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67"/>
        <w:jc w:val="both"/>
      </w:pPr>
      <w:r>
        <w:rPr/>
        <w:t>Zoonotic widespread of diseases caused by pathogenic microorganisms is a significant</w:t>
      </w:r>
      <w:r>
        <w:rPr>
          <w:spacing w:val="1"/>
        </w:rPr>
        <w:t> </w:t>
      </w:r>
      <w:r>
        <w:rPr/>
        <w:t>reason for the occurrence of life-threatening diseases. Therefore, contact between human</w:t>
      </w:r>
      <w:r>
        <w:rPr>
          <w:spacing w:val="1"/>
        </w:rPr>
        <w:t> </w:t>
      </w:r>
      <w:r>
        <w:rPr/>
        <w:t>beings and carrier animals increases the chances of diseases transmission (Coker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disease-causing microorganisms from animals to humans can serve as a risk of diarrhoea</w:t>
      </w:r>
      <w:r>
        <w:rPr>
          <w:spacing w:val="1"/>
        </w:rPr>
        <w:t> </w:t>
      </w:r>
      <w:r>
        <w:rPr/>
        <w:t>(Zambrano </w:t>
      </w:r>
      <w:r>
        <w:rPr>
          <w:i/>
        </w:rPr>
        <w:t>et al</w:t>
      </w:r>
      <w:r>
        <w:rPr/>
        <w:t>., 2014). The possibility of contamination from faecal matter is mostly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in localities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dirty</w:t>
      </w:r>
      <w:r>
        <w:rPr>
          <w:spacing w:val="-5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water (Ngure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55" w:id="20"/>
      <w:r>
        <w:rPr/>
        <w:t>Risk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20"/>
      <w:r>
        <w:rPr/>
        <w:t>Diarrhoea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Many factors contribute to the incidence of diarrhoea in children, which include socio-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(Mengistie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60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mostly occurs in less developing countries, including sub-Saharan Africa nations where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a lack of clean</w:t>
      </w:r>
      <w:r>
        <w:rPr>
          <w:spacing w:val="1"/>
        </w:rPr>
        <w:t> </w:t>
      </w:r>
      <w:r>
        <w:rPr/>
        <w:t>water, poor faecal disposal method, overpopulation,</w:t>
      </w:r>
      <w:r>
        <w:rPr>
          <w:spacing w:val="1"/>
        </w:rPr>
        <w:t> </w:t>
      </w:r>
      <w:r>
        <w:rPr/>
        <w:t>and poor</w:t>
      </w:r>
      <w:r>
        <w:rPr>
          <w:spacing w:val="1"/>
        </w:rPr>
        <w:t> </w:t>
      </w:r>
      <w:r>
        <w:rPr/>
        <w:t>hygiene</w:t>
      </w:r>
      <w:r>
        <w:rPr>
          <w:spacing w:val="5"/>
        </w:rPr>
        <w:t> </w:t>
      </w:r>
      <w:r>
        <w:rPr/>
        <w:t>standards</w:t>
      </w:r>
      <w:r>
        <w:rPr>
          <w:spacing w:val="8"/>
        </w:rPr>
        <w:t> </w:t>
      </w:r>
      <w:r>
        <w:rPr/>
        <w:t>(Yaya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2"/>
        <w:jc w:val="both"/>
      </w:pP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contributor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persist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limited</w:t>
      </w:r>
      <w:r>
        <w:rPr>
          <w:spacing w:val="60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(Yaya </w:t>
      </w:r>
      <w:r>
        <w:rPr>
          <w:i/>
        </w:rPr>
        <w:t>et al</w:t>
      </w:r>
      <w:r>
        <w:rPr/>
        <w:t>., 2018). The factors at the individual and community level also determine the</w:t>
      </w:r>
      <w:r>
        <w:rPr>
          <w:spacing w:val="1"/>
        </w:rPr>
        <w:t> </w:t>
      </w:r>
      <w:r>
        <w:rPr/>
        <w:t>chances and occurrence of diarrhoea (Azage </w:t>
      </w:r>
      <w:r>
        <w:rPr>
          <w:i/>
        </w:rPr>
        <w:t>et al</w:t>
      </w:r>
      <w:r>
        <w:rPr/>
        <w:t>., 2016). The risk factors for diarrhoea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breastfeeding,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mothers,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home,</w:t>
      </w:r>
      <w:r>
        <w:rPr>
          <w:spacing w:val="1"/>
        </w:rPr>
        <w:t> </w:t>
      </w:r>
      <w:r>
        <w:rPr/>
        <w:t>lack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handwashing habits, poor sanitation, improper faecal and waste disposal</w:t>
      </w:r>
      <w:r>
        <w:rPr>
          <w:spacing w:val="60"/>
        </w:rPr>
        <w:t> </w:t>
      </w:r>
      <w:r>
        <w:rPr/>
        <w:t>methods (George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2014).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The vulnerability, severity and duration of acute diarrhoea</w:t>
      </w:r>
      <w:r>
        <w:rPr>
          <w:spacing w:val="1"/>
        </w:rPr>
        <w:t> </w:t>
      </w:r>
      <w:r>
        <w:rPr/>
        <w:t>are higher in economically</w:t>
      </w:r>
      <w:r>
        <w:rPr>
          <w:spacing w:val="1"/>
        </w:rPr>
        <w:t> </w:t>
      </w:r>
      <w:r>
        <w:rPr/>
        <w:t>constraint children (Ganguly </w:t>
      </w:r>
      <w:r>
        <w:rPr>
          <w:i/>
        </w:rPr>
        <w:t>et al., </w:t>
      </w:r>
      <w:r>
        <w:rPr/>
        <w:t>2015). Children whose home have good quality water</w:t>
      </w:r>
      <w:r>
        <w:rPr>
          <w:spacing w:val="1"/>
        </w:rPr>
        <w:t> </w:t>
      </w:r>
      <w:r>
        <w:rPr/>
        <w:t>and sanitation are still at risk of diarrhoea provided they live in a community with improper</w:t>
      </w:r>
      <w:r>
        <w:rPr>
          <w:spacing w:val="-57"/>
        </w:rPr>
        <w:t> </w:t>
      </w:r>
      <w:r>
        <w:rPr/>
        <w:t>defecation practice and contaminated water (Hathi </w:t>
      </w:r>
      <w:r>
        <w:rPr>
          <w:i/>
        </w:rPr>
        <w:t>et al</w:t>
      </w:r>
      <w:r>
        <w:rPr/>
        <w:t>., 2016). Children living in poverty</w:t>
      </w:r>
      <w:r>
        <w:rPr>
          <w:spacing w:val="1"/>
        </w:rPr>
        <w:t> </w:t>
      </w:r>
      <w:r>
        <w:rPr/>
        <w:t>are ten times more likely to die from diarrhoea than their more privileged counterparts</w:t>
      </w:r>
      <w:r>
        <w:rPr>
          <w:spacing w:val="1"/>
        </w:rPr>
        <w:t> </w:t>
      </w:r>
      <w:r>
        <w:rPr/>
        <w:t>(Chola </w:t>
      </w:r>
      <w:r>
        <w:rPr>
          <w:i/>
        </w:rPr>
        <w:t>et al</w:t>
      </w:r>
      <w:r>
        <w:rPr/>
        <w:t>., 2015). Poor sanitation is also associated with </w:t>
      </w:r>
      <w:hyperlink r:id="rId7">
        <w:r>
          <w:rPr/>
          <w:t>infectious diseases</w:t>
        </w:r>
      </w:hyperlink>
      <w:r>
        <w:rPr/>
        <w:t> such as</w:t>
      </w:r>
      <w:r>
        <w:rPr>
          <w:spacing w:val="1"/>
        </w:rPr>
        <w:t> </w:t>
      </w:r>
      <w:r>
        <w:rPr/>
        <w:t>diarrhoea, </w:t>
      </w:r>
      <w:hyperlink r:id="rId8">
        <w:r>
          <w:rPr/>
          <w:t>soil-transmitted helminth </w:t>
        </w:r>
      </w:hyperlink>
      <w:r>
        <w:rPr/>
        <w:t>infection, </w:t>
      </w:r>
      <w:hyperlink r:id="rId9">
        <w:r>
          <w:rPr/>
          <w:t>trachoma </w:t>
        </w:r>
      </w:hyperlink>
      <w:r>
        <w:rPr/>
        <w:t>and schistosomiasis (Clasen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54" w:id="21"/>
      <w:r>
        <w:rPr/>
        <w:t>Types</w:t>
      </w:r>
      <w:r>
        <w:rPr>
          <w:spacing w:val="-2"/>
        </w:rPr>
        <w:t> </w:t>
      </w:r>
      <w:bookmarkEnd w:id="21"/>
      <w:r>
        <w:rPr/>
        <w:t>of Diarrhoea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6"/>
        <w:jc w:val="both"/>
      </w:pPr>
      <w:r>
        <w:rPr/>
        <w:t>Based on duration, diarrhoea can be divided into acute diarrhoea when it lasts for less</w:t>
      </w:r>
      <w:r>
        <w:rPr>
          <w:spacing w:val="1"/>
        </w:rPr>
        <w:t> </w:t>
      </w:r>
      <w:r>
        <w:rPr/>
        <w:t>than14 days,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lasts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days,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chronic, which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30 days</w:t>
      </w:r>
      <w:r>
        <w:rPr>
          <w:spacing w:val="1"/>
        </w:rPr>
        <w:t> </w:t>
      </w:r>
      <w:r>
        <w:rPr/>
        <w:t>above</w:t>
      </w:r>
      <w:r>
        <w:rPr>
          <w:spacing w:val="-1"/>
        </w:rPr>
        <w:t> </w:t>
      </w:r>
      <w:r>
        <w:rPr/>
        <w:t>(Guerrant </w:t>
      </w:r>
      <w:r>
        <w:rPr>
          <w:i/>
        </w:rPr>
        <w:t>et al</w:t>
      </w:r>
      <w:r>
        <w:rPr/>
        <w:t>., 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  <w:rPr>
          <w:i/>
          <w:sz w:val="24"/>
        </w:rPr>
      </w:pPr>
      <w:r>
        <w:rPr>
          <w:i/>
          <w:sz w:val="24"/>
        </w:rPr>
        <w:t>Acute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Diarrhoea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Acute diarrhoea can be defined as the high amount</w:t>
      </w:r>
      <w:r>
        <w:rPr>
          <w:spacing w:val="1"/>
        </w:rPr>
        <w:t> </w:t>
      </w:r>
      <w:r>
        <w:rPr/>
        <w:t>of watery faeces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 body,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lasts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fourteen</w:t>
      </w:r>
      <w:r>
        <w:rPr>
          <w:spacing w:val="1"/>
        </w:rPr>
        <w:t> </w:t>
      </w:r>
      <w:r>
        <w:rPr/>
        <w:t>days.</w:t>
      </w:r>
      <w:r>
        <w:rPr>
          <w:spacing w:val="61"/>
        </w:rPr>
        <w:t> </w:t>
      </w:r>
      <w:r>
        <w:rPr/>
        <w:t>Sometimes</w:t>
      </w:r>
      <w:r>
        <w:rPr>
          <w:spacing w:val="60"/>
        </w:rPr>
        <w:t> </w:t>
      </w:r>
      <w:r>
        <w:rPr/>
        <w:t>individuals</w:t>
      </w:r>
      <w:r>
        <w:rPr>
          <w:spacing w:val="60"/>
        </w:rPr>
        <w:t> </w:t>
      </w:r>
      <w:r>
        <w:rPr/>
        <w:t>suffering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acute</w:t>
      </w:r>
      <w:r>
        <w:rPr>
          <w:spacing w:val="1"/>
        </w:rPr>
        <w:t> </w:t>
      </w:r>
      <w:r>
        <w:rPr/>
        <w:t>diarrhoea present with a sudden onset of watery stool three or more times within 24 hours</w:t>
      </w:r>
      <w:r>
        <w:rPr>
          <w:spacing w:val="1"/>
        </w:rPr>
        <w:t> </w:t>
      </w:r>
      <w:r>
        <w:rPr/>
        <w:t>(Riddle </w:t>
      </w:r>
      <w:r>
        <w:rPr>
          <w:i/>
        </w:rPr>
        <w:t>et al</w:t>
      </w:r>
      <w:r>
        <w:rPr/>
        <w:t>., 2016). Acute infectious diarrhoea is the main reason for hospitalization,</w:t>
      </w:r>
      <w:r>
        <w:rPr>
          <w:spacing w:val="1"/>
        </w:rPr>
        <w:t> </w:t>
      </w:r>
      <w:r>
        <w:rPr/>
        <w:t>which drastically reduces the patients’ quality of life (Scallan </w:t>
      </w:r>
      <w:r>
        <w:rPr>
          <w:i/>
        </w:rPr>
        <w:t>et al</w:t>
      </w:r>
      <w:r>
        <w:rPr/>
        <w:t>., 2011). The signs and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nausea,</w:t>
      </w:r>
      <w:r>
        <w:rPr>
          <w:spacing w:val="1"/>
        </w:rPr>
        <w:t> </w:t>
      </w:r>
      <w:r>
        <w:rPr/>
        <w:t>vomiting,</w:t>
      </w:r>
      <w:r>
        <w:rPr>
          <w:spacing w:val="60"/>
        </w:rPr>
        <w:t> </w:t>
      </w:r>
      <w:r>
        <w:rPr/>
        <w:t>stomachache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cramps,</w:t>
      </w:r>
      <w:r>
        <w:rPr>
          <w:spacing w:val="1"/>
        </w:rPr>
        <w:t> </w:t>
      </w:r>
      <w:r>
        <w:rPr/>
        <w:t>bloating,</w:t>
      </w:r>
      <w:r>
        <w:rPr>
          <w:spacing w:val="6"/>
        </w:rPr>
        <w:t> </w:t>
      </w:r>
      <w:r>
        <w:rPr/>
        <w:t>flatulence,</w:t>
      </w:r>
      <w:r>
        <w:rPr>
          <w:spacing w:val="6"/>
        </w:rPr>
        <w:t> </w:t>
      </w:r>
      <w:r>
        <w:rPr/>
        <w:t>increased</w:t>
      </w:r>
      <w:r>
        <w:rPr>
          <w:spacing w:val="7"/>
        </w:rPr>
        <w:t> </w:t>
      </w:r>
      <w:r>
        <w:rPr/>
        <w:t>body</w:t>
      </w:r>
      <w:r>
        <w:rPr>
          <w:spacing w:val="-1"/>
        </w:rPr>
        <w:t> </w:t>
      </w:r>
      <w:r>
        <w:rPr/>
        <w:t>temperature</w:t>
      </w:r>
      <w:r>
        <w:rPr>
          <w:spacing w:val="7"/>
        </w:rPr>
        <w:t> </w:t>
      </w:r>
      <w:r>
        <w:rPr/>
        <w:t>and</w:t>
      </w:r>
      <w:r>
        <w:rPr>
          <w:spacing w:val="16"/>
        </w:rPr>
        <w:t> </w:t>
      </w:r>
      <w:r>
        <w:rPr/>
        <w:t>bloody</w:t>
      </w:r>
      <w:r>
        <w:rPr>
          <w:spacing w:val="-1"/>
        </w:rPr>
        <w:t> </w:t>
      </w:r>
      <w:r>
        <w:rPr/>
        <w:t>diarrhoea.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4"/>
        <w:jc w:val="both"/>
      </w:pPr>
      <w:r>
        <w:rPr/>
        <w:t>In low economic and industrialized nations, acute diarrhoea causes infant and childhood</w:t>
      </w:r>
      <w:r>
        <w:rPr>
          <w:spacing w:val="1"/>
        </w:rPr>
        <w:t> </w:t>
      </w:r>
      <w:r>
        <w:rPr/>
        <w:t>deaths despite ORT and vaccine utilisation (Gordon and Akobeng, 2016). There were an</w:t>
      </w:r>
      <w:r>
        <w:rPr>
          <w:spacing w:val="1"/>
        </w:rPr>
        <w:t> </w:t>
      </w:r>
      <w:r>
        <w:rPr/>
        <w:t>estimated 1.7 billion acute diarrhoea events globally, and close to 700,000 fatalities occur</w:t>
      </w:r>
      <w:r>
        <w:rPr>
          <w:spacing w:val="1"/>
        </w:rPr>
        <w:t> </w:t>
      </w:r>
      <w:r>
        <w:rPr/>
        <w:t>annually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children before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fifth birthday</w:t>
      </w:r>
      <w:r>
        <w:rPr>
          <w:spacing w:val="-3"/>
        </w:rPr>
        <w:t> </w:t>
      </w:r>
      <w:r>
        <w:rPr/>
        <w:t>(Bhutta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1"/>
        <w:jc w:val="both"/>
      </w:pPr>
      <w:r>
        <w:rPr/>
        <w:t>Dysentery is diarrhoea that presents with blood and mucus in the stool with drastic weight</w:t>
      </w:r>
      <w:r>
        <w:rPr>
          <w:spacing w:val="1"/>
        </w:rPr>
        <w:t> </w:t>
      </w:r>
      <w:r>
        <w:rPr/>
        <w:t>loss, intestinal</w:t>
      </w:r>
      <w:r>
        <w:rPr>
          <w:spacing w:val="1"/>
        </w:rPr>
        <w:t> </w:t>
      </w:r>
      <w:r>
        <w:rPr/>
        <w:t>injury,</w:t>
      </w:r>
      <w:r>
        <w:rPr>
          <w:spacing w:val="1"/>
        </w:rPr>
        <w:t> </w:t>
      </w:r>
      <w:r>
        <w:rPr/>
        <w:t>sepsis</w:t>
      </w:r>
      <w:r>
        <w:rPr>
          <w:spacing w:val="1"/>
        </w:rPr>
        <w:t> </w:t>
      </w:r>
      <w:r>
        <w:rPr/>
        <w:t>and malnutrition. Dysentery can be</w:t>
      </w:r>
      <w:r>
        <w:rPr>
          <w:spacing w:val="1"/>
        </w:rPr>
        <w:t> </w:t>
      </w:r>
      <w:r>
        <w:rPr/>
        <w:t>categorized as</w:t>
      </w:r>
      <w:r>
        <w:rPr>
          <w:spacing w:val="60"/>
        </w:rPr>
        <w:t> </w:t>
      </w:r>
      <w:r>
        <w:rPr/>
        <w:t>amoebic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bacillary</w:t>
      </w:r>
      <w:r>
        <w:rPr>
          <w:spacing w:val="1"/>
        </w:rPr>
        <w:t> </w:t>
      </w:r>
      <w:r>
        <w:rPr/>
        <w:t>dysentery,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symptoms.</w:t>
      </w:r>
      <w:r>
        <w:rPr>
          <w:spacing w:val="1"/>
        </w:rPr>
        <w:t> </w:t>
      </w:r>
      <w:r>
        <w:rPr/>
        <w:t>Bacillary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amoebic</w:t>
      </w:r>
      <w:r>
        <w:rPr>
          <w:spacing w:val="1"/>
        </w:rPr>
        <w:t> </w:t>
      </w:r>
      <w:r>
        <w:rPr/>
        <w:t>dysentery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dehydration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electrolytes</w:t>
      </w:r>
      <w:r>
        <w:rPr>
          <w:spacing w:val="1"/>
        </w:rPr>
        <w:t> </w:t>
      </w:r>
      <w:r>
        <w:rPr/>
        <w:t>(Agung</w:t>
      </w:r>
      <w:r>
        <w:rPr>
          <w:spacing w:val="1"/>
        </w:rPr>
        <w:t> </w:t>
      </w:r>
      <w:r>
        <w:rPr/>
        <w:t>Fitri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Bacillary</w:t>
      </w:r>
      <w:r>
        <w:rPr>
          <w:spacing w:val="1"/>
        </w:rPr>
        <w:t> </w:t>
      </w:r>
      <w:r>
        <w:rPr/>
        <w:t>dysentery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intestinal</w:t>
      </w:r>
      <w:r>
        <w:rPr>
          <w:spacing w:val="60"/>
        </w:rPr>
        <w:t> </w:t>
      </w:r>
      <w:r>
        <w:rPr/>
        <w:t>gram-negative</w:t>
      </w:r>
      <w:r>
        <w:rPr>
          <w:spacing w:val="1"/>
        </w:rPr>
        <w:t> </w:t>
      </w:r>
      <w:r>
        <w:rPr>
          <w:i/>
        </w:rPr>
        <w:t>Shigella dysenteriae </w:t>
      </w:r>
      <w:r>
        <w:rPr/>
        <w:t>that mostly affect children. The amoebic dysentery is an intestinal</w:t>
      </w:r>
      <w:r>
        <w:rPr>
          <w:spacing w:val="1"/>
        </w:rPr>
        <w:t> </w:t>
      </w:r>
      <w:r>
        <w:rPr/>
        <w:t>parasitic infection caused by </w:t>
      </w:r>
      <w:r>
        <w:rPr>
          <w:i/>
        </w:rPr>
        <w:t>Entamoeba histolytica </w:t>
      </w:r>
      <w:r>
        <w:rPr/>
        <w:t>which presents with increased body</w:t>
      </w:r>
      <w:r>
        <w:rPr>
          <w:spacing w:val="1"/>
        </w:rPr>
        <w:t> </w:t>
      </w:r>
      <w:r>
        <w:rPr/>
        <w:t>temperature, bloody or mucous diarrhoea, chills, and abdominal discomfort (Marie and</w:t>
      </w:r>
      <w:r>
        <w:rPr>
          <w:spacing w:val="1"/>
        </w:rPr>
        <w:t> </w:t>
      </w:r>
      <w:r>
        <w:rPr/>
        <w:t>Petri,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0" w:after="0"/>
        <w:ind w:left="985" w:right="0" w:hanging="721"/>
        <w:jc w:val="left"/>
        <w:rPr>
          <w:i/>
          <w:sz w:val="24"/>
        </w:rPr>
      </w:pPr>
      <w:r>
        <w:rPr>
          <w:i/>
          <w:sz w:val="24"/>
        </w:rPr>
        <w:t>Persistent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Diarrhoea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Majority</w:t>
      </w:r>
      <w:r>
        <w:rPr>
          <w:spacing w:val="34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diarrhoeal</w:t>
      </w:r>
      <w:r>
        <w:rPr>
          <w:spacing w:val="41"/>
        </w:rPr>
        <w:t> </w:t>
      </w:r>
      <w:r>
        <w:rPr/>
        <w:t>episode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affects</w:t>
      </w:r>
      <w:r>
        <w:rPr>
          <w:spacing w:val="40"/>
        </w:rPr>
        <w:t> </w:t>
      </w:r>
      <w:r>
        <w:rPr/>
        <w:t>people</w:t>
      </w:r>
      <w:r>
        <w:rPr>
          <w:spacing w:val="39"/>
        </w:rPr>
        <w:t> </w:t>
      </w:r>
      <w:r>
        <w:rPr/>
        <w:t>is</w:t>
      </w:r>
      <w:r>
        <w:rPr>
          <w:spacing w:val="42"/>
        </w:rPr>
        <w:t> </w:t>
      </w:r>
      <w:r>
        <w:rPr/>
        <w:t>acute,</w:t>
      </w:r>
      <w:r>
        <w:rPr>
          <w:spacing w:val="40"/>
        </w:rPr>
        <w:t> </w:t>
      </w:r>
      <w:r>
        <w:rPr/>
        <w:t>which</w:t>
      </w:r>
      <w:r>
        <w:rPr>
          <w:spacing w:val="39"/>
        </w:rPr>
        <w:t> </w:t>
      </w:r>
      <w:r>
        <w:rPr/>
        <w:t>last</w:t>
      </w:r>
      <w:r>
        <w:rPr>
          <w:spacing w:val="41"/>
        </w:rPr>
        <w:t> </w:t>
      </w:r>
      <w:r>
        <w:rPr/>
        <w:t>between</w:t>
      </w:r>
      <w:r>
        <w:rPr>
          <w:spacing w:val="39"/>
        </w:rPr>
        <w:t> </w:t>
      </w:r>
      <w:r>
        <w:rPr/>
        <w:t>3</w:t>
      </w:r>
      <w:r>
        <w:rPr>
          <w:spacing w:val="40"/>
        </w:rPr>
        <w:t> </w:t>
      </w:r>
      <w:r>
        <w:rPr/>
        <w:t>to</w:t>
      </w:r>
      <w:r>
        <w:rPr>
          <w:spacing w:val="-58"/>
        </w:rPr>
        <w:t> </w:t>
      </w:r>
      <w:r>
        <w:rPr/>
        <w:t>7 days. However, if diarrhoea extends more than 14 days, it is termed persistent diarrhoea</w:t>
      </w:r>
      <w:r>
        <w:rPr>
          <w:spacing w:val="1"/>
        </w:rPr>
        <w:t> </w:t>
      </w:r>
      <w:r>
        <w:rPr/>
        <w:t>(WHO, 2013). Persistent diarrhoea means diarrhoea that begins within a few days but</w:t>
      </w:r>
      <w:r>
        <w:rPr>
          <w:spacing w:val="1"/>
        </w:rPr>
        <w:t> </w:t>
      </w:r>
      <w:r>
        <w:rPr/>
        <w:t>continues for a long duration between two to four weeks. This type of diarrhoea</w:t>
      </w:r>
      <w:r>
        <w:rPr>
          <w:spacing w:val="60"/>
        </w:rPr>
        <w:t> </w:t>
      </w:r>
      <w:r>
        <w:rPr/>
        <w:t>may start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watery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dysentery.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complication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loss,</w:t>
      </w:r>
      <w:r>
        <w:rPr>
          <w:spacing w:val="1"/>
        </w:rPr>
        <w:t> </w:t>
      </w:r>
      <w:r>
        <w:rPr/>
        <w:t>electrolytes,</w:t>
      </w:r>
      <w:r>
        <w:rPr>
          <w:spacing w:val="1"/>
        </w:rPr>
        <w:t> </w:t>
      </w:r>
      <w:r>
        <w:rPr/>
        <w:t>nutrient,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dehydration</w:t>
      </w:r>
      <w:r>
        <w:rPr>
          <w:spacing w:val="1"/>
        </w:rPr>
        <w:t> </w:t>
      </w:r>
      <w:r>
        <w:rPr/>
        <w:t>(Polman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2015).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70" w:after="0"/>
        <w:ind w:left="985" w:right="0" w:hanging="721"/>
        <w:jc w:val="both"/>
        <w:rPr>
          <w:i/>
          <w:sz w:val="24"/>
        </w:rPr>
      </w:pPr>
      <w:r>
        <w:rPr>
          <w:i/>
          <w:sz w:val="24"/>
        </w:rPr>
        <w:t>Chronic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Diarrhoea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2"/>
        <w:jc w:val="both"/>
      </w:pPr>
      <w:r>
        <w:rPr/>
        <w:t>Chronic diarrhoea can be defined as the removal of greater than three watery faeces in a</w:t>
      </w:r>
      <w:r>
        <w:rPr>
          <w:spacing w:val="1"/>
        </w:rPr>
        <w:t> </w:t>
      </w:r>
      <w:r>
        <w:rPr/>
        <w:t>single day, with a stool weight of more than 200 g that last for more than four weeks</w:t>
      </w:r>
      <w:r>
        <w:rPr>
          <w:spacing w:val="1"/>
        </w:rPr>
        <w:t> </w:t>
      </w:r>
      <w:r>
        <w:rPr/>
        <w:t>(Stotzer </w:t>
      </w:r>
      <w:r>
        <w:rPr>
          <w:i/>
        </w:rPr>
        <w:t>et al</w:t>
      </w:r>
      <w:r>
        <w:rPr/>
        <w:t>., 2015). The factors that cause chronic diarrhoea are related to the social and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status of</w:t>
      </w:r>
      <w:r>
        <w:rPr>
          <w:spacing w:val="-1"/>
        </w:rPr>
        <w:t> </w:t>
      </w:r>
      <w:r>
        <w:rPr/>
        <w:t>the individuals and their</w:t>
      </w:r>
      <w:r>
        <w:rPr>
          <w:spacing w:val="-1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(</w:t>
      </w:r>
      <w:hyperlink r:id="rId10">
        <w:r>
          <w:rPr/>
          <w:t>Schiller, 2012</w:t>
        </w:r>
      </w:hyperlink>
      <w:r>
        <w:rPr/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2"/>
        <w:jc w:val="both"/>
      </w:pPr>
      <w:r>
        <w:rPr/>
        <w:t>The</w:t>
      </w:r>
      <w:r>
        <w:rPr>
          <w:spacing w:val="26"/>
        </w:rPr>
        <w:t> </w:t>
      </w:r>
      <w:r>
        <w:rPr/>
        <w:t>most</w:t>
      </w:r>
      <w:r>
        <w:rPr>
          <w:spacing w:val="28"/>
        </w:rPr>
        <w:t> </w:t>
      </w:r>
      <w:r>
        <w:rPr/>
        <w:t>common</w:t>
      </w:r>
      <w:r>
        <w:rPr>
          <w:spacing w:val="27"/>
        </w:rPr>
        <w:t> </w:t>
      </w:r>
      <w:r>
        <w:rPr/>
        <w:t>investigations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patients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chronic</w:t>
      </w:r>
      <w:r>
        <w:rPr>
          <w:spacing w:val="27"/>
        </w:rPr>
        <w:t> </w:t>
      </w:r>
      <w:r>
        <w:rPr/>
        <w:t>diarrhoea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developed</w:t>
      </w:r>
      <w:r>
        <w:rPr>
          <w:spacing w:val="29"/>
        </w:rPr>
        <w:t> </w:t>
      </w:r>
      <w:r>
        <w:rPr/>
        <w:t>nations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irritable</w:t>
      </w:r>
      <w:r>
        <w:rPr>
          <w:spacing w:val="1"/>
        </w:rPr>
        <w:t> </w:t>
      </w:r>
      <w:r>
        <w:rPr/>
        <w:t>bowel</w:t>
      </w:r>
      <w:r>
        <w:rPr>
          <w:spacing w:val="1"/>
        </w:rPr>
        <w:t> </w:t>
      </w:r>
      <w:r>
        <w:rPr/>
        <w:t>syndrome,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bowel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malabsorption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-57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bacteria,</w:t>
      </w:r>
      <w:r>
        <w:rPr>
          <w:spacing w:val="1"/>
        </w:rPr>
        <w:t> </w:t>
      </w:r>
      <w:r>
        <w:rPr/>
        <w:t>mycobacterium and parasites is the leading cause of chronic diarrhoea, inflammatory bowel</w:t>
      </w:r>
      <w:r>
        <w:rPr>
          <w:spacing w:val="-57"/>
        </w:rPr>
        <w:t> </w:t>
      </w:r>
      <w:r>
        <w:rPr/>
        <w:t>disease</w:t>
      </w:r>
      <w:r>
        <w:rPr>
          <w:spacing w:val="-2"/>
        </w:rPr>
        <w:t> </w:t>
      </w:r>
      <w:r>
        <w:rPr/>
        <w:t>and malabsorption</w:t>
      </w:r>
      <w:r>
        <w:rPr>
          <w:spacing w:val="1"/>
        </w:rPr>
        <w:t> </w:t>
      </w:r>
      <w:r>
        <w:rPr/>
        <w:t>(Fragkos </w:t>
      </w:r>
      <w:r>
        <w:rPr>
          <w:i/>
        </w:rPr>
        <w:t>et al</w:t>
      </w:r>
      <w:r>
        <w:rPr/>
        <w:t>., 2016).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53" w:id="22"/>
      <w:r>
        <w:rPr/>
        <w:t>Physiology</w:t>
      </w:r>
      <w:r>
        <w:rPr>
          <w:spacing w:val="-2"/>
        </w:rPr>
        <w:t> </w:t>
      </w:r>
      <w:r>
        <w:rPr/>
        <w:t>of Fluid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Electrolytes</w:t>
      </w:r>
      <w:r>
        <w:rPr>
          <w:spacing w:val="-1"/>
        </w:rPr>
        <w:t> </w:t>
      </w:r>
      <w:r>
        <w:rPr/>
        <w:t>Regulation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2"/>
      <w:r>
        <w:rPr/>
        <w:t>GIT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65" w:right="872"/>
        <w:jc w:val="both"/>
      </w:pPr>
      <w:r>
        <w:rPr/>
        <w:t>The intestinal epithelial barrier regulates the absorption and secretion of fluids across the</w:t>
      </w:r>
      <w:r>
        <w:rPr>
          <w:spacing w:val="1"/>
        </w:rPr>
        <w:t> </w:t>
      </w:r>
      <w:r>
        <w:rPr/>
        <w:t>intestinal epithelium (Camilleri </w:t>
      </w:r>
      <w:r>
        <w:rPr>
          <w:i/>
        </w:rPr>
        <w:t>et al</w:t>
      </w:r>
      <w:r>
        <w:rPr/>
        <w:t>., 2017). The movement of water across the intestinal</w:t>
      </w:r>
      <w:r>
        <w:rPr>
          <w:spacing w:val="1"/>
        </w:rPr>
        <w:t> </w:t>
      </w:r>
      <w:r>
        <w:rPr/>
        <w:t>barrier and systemic circulation is regulated by the active movements of glucose and 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(Na</w:t>
      </w:r>
      <w:r>
        <w:rPr>
          <w:vertAlign w:val="superscript"/>
        </w:rPr>
        <w:t>+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(Cl</w:t>
      </w:r>
      <w:r>
        <w:rPr>
          <w:vertAlign w:val="superscript"/>
        </w:rPr>
        <w:t>-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bicarbonate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(HCO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(K</w:t>
      </w:r>
      <w:r>
        <w:rPr>
          <w:vertAlign w:val="superscript"/>
        </w:rPr>
        <w:t>+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 of water is due to the active movement of Na</w:t>
      </w:r>
      <w:r>
        <w:rPr>
          <w:vertAlign w:val="superscript"/>
        </w:rPr>
        <w:t>+</w:t>
      </w:r>
      <w:r>
        <w:rPr>
          <w:vertAlign w:val="baseline"/>
        </w:rPr>
        <w:t> across the intestine in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 with Cl</w:t>
      </w:r>
      <w:r>
        <w:rPr>
          <w:vertAlign w:val="superscript"/>
        </w:rPr>
        <w:t>-</w:t>
      </w:r>
      <w:r>
        <w:rPr>
          <w:spacing w:val="60"/>
          <w:vertAlign w:val="baseline"/>
        </w:rPr>
        <w:t> </w:t>
      </w:r>
      <w:r>
        <w:rPr>
          <w:vertAlign w:val="baseline"/>
        </w:rPr>
        <w:t>or 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spacing w:val="60"/>
          <w:vertAlign w:val="baseline"/>
        </w:rPr>
        <w:t> </w:t>
      </w:r>
      <w:r>
        <w:rPr>
          <w:vertAlign w:val="baseline"/>
        </w:rPr>
        <w:t>driven by the basolateral Na</w:t>
      </w:r>
      <w:r>
        <w:rPr>
          <w:vertAlign w:val="superscript"/>
        </w:rPr>
        <w:t>+</w:t>
      </w:r>
      <w:r>
        <w:rPr>
          <w:vertAlign w:val="baseline"/>
        </w:rPr>
        <w:t>/K</w:t>
      </w:r>
      <w:r>
        <w:rPr>
          <w:vertAlign w:val="superscript"/>
        </w:rPr>
        <w:t>+</w:t>
      </w:r>
      <w:r>
        <w:rPr>
          <w:vertAlign w:val="baseline"/>
        </w:rPr>
        <w:t>-ATPase pump (Thiagarajah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2014). The absorption or secretion of fluids needs an organized activity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membrane transporters found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apical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basolateral</w:t>
      </w:r>
      <w:r>
        <w:rPr>
          <w:spacing w:val="60"/>
          <w:vertAlign w:val="baseline"/>
        </w:rPr>
        <w:t> </w:t>
      </w:r>
      <w:r>
        <w:rPr>
          <w:vertAlign w:val="baseline"/>
        </w:rPr>
        <w:t>epithelial lining (Thiagarajah</w:t>
      </w:r>
      <w:r>
        <w:rPr>
          <w:spacing w:val="1"/>
          <w:vertAlign w:val="baseline"/>
        </w:rPr>
        <w:t> </w:t>
      </w:r>
      <w:r>
        <w:rPr>
          <w:vertAlign w:val="baseline"/>
        </w:rPr>
        <w:t>and Verkman, 2018). The intestinal epithelium structure contains villi which are a finger-</w:t>
      </w:r>
      <w:r>
        <w:rPr>
          <w:spacing w:val="1"/>
          <w:vertAlign w:val="baseline"/>
        </w:rPr>
        <w:t> </w:t>
      </w:r>
      <w:r>
        <w:rPr>
          <w:vertAlign w:val="baseline"/>
        </w:rPr>
        <w:t>like projection and crypts that are glandular distributed relatively along the length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intestine</w:t>
      </w:r>
      <w:r>
        <w:rPr>
          <w:spacing w:val="44"/>
          <w:vertAlign w:val="baseline"/>
        </w:rPr>
        <w:t> </w:t>
      </w:r>
      <w:r>
        <w:rPr>
          <w:vertAlign w:val="baseline"/>
        </w:rPr>
        <w:t>that</w:t>
      </w:r>
      <w:r>
        <w:rPr>
          <w:spacing w:val="45"/>
          <w:vertAlign w:val="baseline"/>
        </w:rPr>
        <w:t> </w:t>
      </w:r>
      <w:r>
        <w:rPr>
          <w:vertAlign w:val="baseline"/>
        </w:rPr>
        <w:t>regulates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intestinal</w:t>
      </w:r>
      <w:r>
        <w:rPr>
          <w:spacing w:val="48"/>
          <w:vertAlign w:val="baseline"/>
        </w:rPr>
        <w:t> </w:t>
      </w:r>
      <w:r>
        <w:rPr>
          <w:vertAlign w:val="baseline"/>
        </w:rPr>
        <w:t>fluid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electrolytes</w:t>
      </w:r>
      <w:r>
        <w:rPr>
          <w:spacing w:val="46"/>
          <w:vertAlign w:val="baseline"/>
        </w:rPr>
        <w:t> </w:t>
      </w:r>
      <w:r>
        <w:rPr>
          <w:vertAlign w:val="baseline"/>
        </w:rPr>
        <w:t>transportation.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intestinal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2"/>
        <w:jc w:val="both"/>
      </w:pPr>
      <w:r>
        <w:rPr/>
        <w:t>secretory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absorptive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happen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crypts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villi,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(Thiagarajah </w:t>
      </w:r>
      <w:r>
        <w:rPr>
          <w:i/>
        </w:rPr>
        <w:t>et al</w:t>
      </w:r>
      <w:r>
        <w:rPr/>
        <w:t>., 2014). The large intestine reabsorbs Na</w:t>
      </w:r>
      <w:r>
        <w:rPr>
          <w:vertAlign w:val="superscript"/>
        </w:rPr>
        <w:t>+</w:t>
      </w:r>
      <w:r>
        <w:rPr>
          <w:vertAlign w:val="baseline"/>
        </w:rPr>
        <w:t> in exchange for K</w:t>
      </w:r>
      <w:r>
        <w:rPr>
          <w:vertAlign w:val="superscript"/>
        </w:rPr>
        <w:t>+</w:t>
      </w:r>
      <w:r>
        <w:rPr>
          <w:vertAlign w:val="baseline"/>
        </w:rPr>
        <w:t>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perscript"/>
        </w:rPr>
        <w:t>+</w:t>
      </w:r>
      <w:r>
        <w:rPr>
          <w:vertAlign w:val="baseline"/>
        </w:rPr>
        <w:t>/K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pump (Philip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2017).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11"/>
        </w:numPr>
        <w:tabs>
          <w:tab w:pos="806" w:val="left" w:leader="none"/>
        </w:tabs>
        <w:spacing w:line="240" w:lineRule="auto" w:before="212" w:after="0"/>
        <w:ind w:left="805" w:right="0" w:hanging="541"/>
        <w:jc w:val="both"/>
      </w:pPr>
      <w:bookmarkStart w:name="_TOC_250052" w:id="23"/>
      <w:r>
        <w:rPr/>
        <w:t>Pathophysiology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23"/>
      <w:r>
        <w:rPr/>
        <w:t>Diarrhoea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Diarrhoea develops due to dysregulation in the absorption of water, solutes and electrolytes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epithelium</w:t>
      </w:r>
      <w:r>
        <w:rPr>
          <w:spacing w:val="1"/>
        </w:rPr>
        <w:t> </w:t>
      </w:r>
      <w:r>
        <w:rPr/>
        <w:t>(Thiagarajah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Intestinal</w:t>
      </w:r>
      <w:r>
        <w:rPr>
          <w:spacing w:val="60"/>
        </w:rPr>
        <w:t> </w:t>
      </w:r>
      <w:r>
        <w:rPr/>
        <w:t>hypersecretion</w:t>
      </w:r>
      <w:r>
        <w:rPr>
          <w:spacing w:val="1"/>
        </w:rPr>
        <w:t> </w:t>
      </w:r>
      <w:r>
        <w:rPr/>
        <w:t>develops due to inconsistent secretion of fluids and electrolytes in the intestines caused 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disease conditions</w:t>
      </w:r>
      <w:r>
        <w:rPr>
          <w:spacing w:val="1"/>
        </w:rPr>
        <w:t> </w:t>
      </w:r>
      <w:r>
        <w:rPr/>
        <w:t>or infections</w:t>
      </w:r>
      <w:r>
        <w:rPr>
          <w:spacing w:val="1"/>
        </w:rPr>
        <w:t> </w:t>
      </w:r>
      <w:r>
        <w:rPr/>
        <w:t>(Moon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2015).</w:t>
      </w:r>
      <w:r>
        <w:rPr>
          <w:spacing w:val="60"/>
        </w:rPr>
        <w:t> </w:t>
      </w:r>
      <w:r>
        <w:rPr/>
        <w:t>Some pathogenic organisms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Vibrio</w:t>
      </w:r>
      <w:r>
        <w:rPr>
          <w:i/>
          <w:spacing w:val="1"/>
        </w:rPr>
        <w:t> </w:t>
      </w:r>
      <w:r>
        <w:rPr>
          <w:i/>
        </w:rPr>
        <w:t>cholera</w:t>
      </w:r>
      <w:r>
        <w:rPr/>
        <w:t>,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/>
        <w:t>,</w:t>
      </w:r>
      <w:r>
        <w:rPr>
          <w:spacing w:val="1"/>
        </w:rPr>
        <w:t> </w:t>
      </w:r>
      <w:r>
        <w:rPr/>
        <w:t>rotavirus,</w:t>
      </w:r>
      <w:r>
        <w:rPr>
          <w:spacing w:val="1"/>
        </w:rPr>
        <w:t> </w:t>
      </w:r>
      <w:r>
        <w:rPr>
          <w:i/>
        </w:rPr>
        <w:t>Entamoeba</w:t>
      </w:r>
      <w:r>
        <w:rPr>
          <w:i/>
          <w:spacing w:val="1"/>
        </w:rPr>
        <w:t> </w:t>
      </w:r>
      <w:r>
        <w:rPr>
          <w:i/>
        </w:rPr>
        <w:t>histolytica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Cryptosporidium parvum </w:t>
      </w:r>
      <w:r>
        <w:rPr/>
        <w:t>when ingested, release toxins into the intestine (Kotloff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cholera</w:t>
      </w:r>
      <w:r>
        <w:rPr>
          <w:spacing w:val="1"/>
        </w:rPr>
        <w:t> </w:t>
      </w:r>
      <w:r>
        <w:rPr/>
        <w:t>toxin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adenosine</w:t>
      </w:r>
      <w:r>
        <w:rPr>
          <w:spacing w:val="1"/>
        </w:rPr>
        <w:t> </w:t>
      </w:r>
      <w:r>
        <w:rPr/>
        <w:t>monophosphate (cAMP) and increase calcium (Ca</w:t>
      </w:r>
      <w:r>
        <w:rPr>
          <w:vertAlign w:val="superscript"/>
        </w:rPr>
        <w:t>2+</w:t>
      </w:r>
      <w:r>
        <w:rPr>
          <w:vertAlign w:val="baseline"/>
        </w:rPr>
        <w:t>) concentration which subsequently</w:t>
      </w:r>
      <w:r>
        <w:rPr>
          <w:spacing w:val="1"/>
          <w:vertAlign w:val="baseline"/>
        </w:rPr>
        <w:t> </w:t>
      </w:r>
      <w:r>
        <w:rPr>
          <w:vertAlign w:val="baseline"/>
        </w:rPr>
        <w:t>prevents Na</w:t>
      </w:r>
      <w:r>
        <w:rPr>
          <w:vertAlign w:val="superscript"/>
        </w:rPr>
        <w:t>+</w:t>
      </w:r>
      <w:r>
        <w:rPr>
          <w:vertAlign w:val="baseline"/>
        </w:rPr>
        <w:t> absorption at the same time activating Cl</w:t>
      </w:r>
      <w:r>
        <w:rPr>
          <w:vertAlign w:val="superscript"/>
        </w:rPr>
        <w:t>-</w:t>
      </w:r>
      <w:r>
        <w:rPr>
          <w:vertAlign w:val="baseline"/>
        </w:rPr>
        <w:t> secretion from the intestinal cells</w:t>
      </w:r>
      <w:r>
        <w:rPr>
          <w:spacing w:val="1"/>
          <w:vertAlign w:val="baseline"/>
        </w:rPr>
        <w:t> </w:t>
      </w:r>
      <w:r>
        <w:rPr>
          <w:vertAlign w:val="baseline"/>
        </w:rPr>
        <w:t>(Moon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2015).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Drugs such as digoxin disrupt the intestinal secretion and absorption, thereby leading to</w:t>
      </w:r>
      <w:r>
        <w:rPr>
          <w:spacing w:val="1"/>
        </w:rPr>
        <w:t> </w:t>
      </w:r>
      <w:r>
        <w:rPr/>
        <w:t>secretory diarrhoea by attaching to specific receptors to increase cAMP and intracellular</w:t>
      </w:r>
      <w:r>
        <w:rPr>
          <w:spacing w:val="1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vertAlign w:val="baseline"/>
        </w:rPr>
        <w:t>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electrolytes</w:t>
      </w:r>
      <w:r>
        <w:rPr>
          <w:spacing w:val="1"/>
          <w:vertAlign w:val="baseline"/>
        </w:rPr>
        <w:t> </w:t>
      </w:r>
      <w:r>
        <w:rPr>
          <w:vertAlign w:val="baseline"/>
        </w:rPr>
        <w:t>loss</w:t>
      </w:r>
      <w:r>
        <w:rPr>
          <w:spacing w:val="1"/>
          <w:vertAlign w:val="baseline"/>
        </w:rPr>
        <w:t> </w:t>
      </w:r>
      <w:r>
        <w:rPr>
          <w:vertAlign w:val="baseline"/>
        </w:rPr>
        <w:t>(Field,</w:t>
      </w:r>
      <w:r>
        <w:rPr>
          <w:spacing w:val="1"/>
          <w:vertAlign w:val="baseline"/>
        </w:rPr>
        <w:t> </w:t>
      </w:r>
      <w:r>
        <w:rPr>
          <w:vertAlign w:val="baseline"/>
        </w:rPr>
        <w:t>2003).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digoxin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inhibits the Na</w:t>
      </w:r>
      <w:r>
        <w:rPr>
          <w:vertAlign w:val="superscript"/>
        </w:rPr>
        <w:t>+</w:t>
      </w:r>
      <w:r>
        <w:rPr>
          <w:vertAlign w:val="baseline"/>
        </w:rPr>
        <w:t>/K</w:t>
      </w:r>
      <w:r>
        <w:rPr>
          <w:vertAlign w:val="superscript"/>
        </w:rPr>
        <w:t>+</w:t>
      </w:r>
      <w:r>
        <w:rPr>
          <w:vertAlign w:val="baseline"/>
        </w:rPr>
        <w:t> ATPase, which prevents the Na+ reabsorption and causes excessive loss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 intestinal fluid accumulation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(Philip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2017).</w:t>
      </w:r>
    </w:p>
    <w:p>
      <w:pPr>
        <w:pStyle w:val="Heading1"/>
        <w:numPr>
          <w:ilvl w:val="2"/>
          <w:numId w:val="11"/>
        </w:numPr>
        <w:tabs>
          <w:tab w:pos="806" w:val="left" w:leader="none"/>
        </w:tabs>
        <w:spacing w:line="240" w:lineRule="auto" w:before="205" w:after="0"/>
        <w:ind w:left="805" w:right="0" w:hanging="541"/>
        <w:jc w:val="both"/>
      </w:pPr>
      <w:bookmarkStart w:name="_TOC_250051" w:id="24"/>
      <w:r>
        <w:rPr/>
        <w:t>Clinical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4"/>
      <w:r>
        <w:rPr/>
        <w:t>Diarrhoea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The typical clinical signs and symptoms observed in acute</w:t>
      </w:r>
      <w:r>
        <w:rPr>
          <w:spacing w:val="1"/>
        </w:rPr>
        <w:t> </w:t>
      </w:r>
      <w:r>
        <w:rPr/>
        <w:t>diarrhoea range from a slight</w:t>
      </w:r>
      <w:r>
        <w:rPr>
          <w:spacing w:val="1"/>
        </w:rPr>
        <w:t> </w:t>
      </w:r>
      <w:r>
        <w:rPr/>
        <w:t>stomach upset, usually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1 to 2</w:t>
      </w:r>
      <w:r>
        <w:rPr>
          <w:spacing w:val="1"/>
        </w:rPr>
        <w:t> </w:t>
      </w:r>
      <w:r>
        <w:rPr/>
        <w:t>days,</w:t>
      </w:r>
      <w:r>
        <w:rPr>
          <w:spacing w:val="2"/>
        </w:rPr>
        <w:t> </w:t>
      </w:r>
      <w:r>
        <w:rPr/>
        <w:t>accompanied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diarrhoea</w:t>
      </w:r>
      <w:r>
        <w:rPr>
          <w:spacing w:val="-1"/>
        </w:rPr>
        <w:t> </w:t>
      </w:r>
      <w:r>
        <w:rPr/>
        <w:t>with little</w:t>
      </w:r>
      <w:r>
        <w:rPr>
          <w:spacing w:val="-1"/>
        </w:rPr>
        <w:t> </w:t>
      </w:r>
      <w:r>
        <w:rPr/>
        <w:t>stool</w:t>
      </w:r>
      <w:r>
        <w:rPr>
          <w:spacing w:val="2"/>
        </w:rPr>
        <w:t> </w:t>
      </w:r>
      <w:r>
        <w:rPr/>
        <w:t>to severe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0"/>
        <w:jc w:val="both"/>
      </w:pPr>
      <w:r>
        <w:rPr/>
        <w:t>watery diarrhoea for more days. In addition, there may be an abdominal cramp that may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defaecation.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vomiting,</w:t>
      </w:r>
      <w:r>
        <w:rPr>
          <w:spacing w:val="61"/>
        </w:rPr>
        <w:t> </w:t>
      </w:r>
      <w:r>
        <w:rPr/>
        <w:t>increased</w:t>
      </w:r>
      <w:r>
        <w:rPr>
          <w:spacing w:val="61"/>
        </w:rPr>
        <w:t> </w:t>
      </w:r>
      <w:r>
        <w:rPr/>
        <w:t>body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weakness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limbs,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appetite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-57"/>
        </w:rPr>
        <w:t> </w:t>
      </w:r>
      <w:r>
        <w:rPr/>
        <w:t>(Amiebenomo</w:t>
      </w:r>
      <w:r>
        <w:rPr>
          <w:spacing w:val="-1"/>
        </w:rPr>
        <w:t> </w:t>
      </w:r>
      <w:r>
        <w:rPr/>
        <w:t>and Osaghae, 2017).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2"/>
        <w:jc w:val="both"/>
      </w:pPr>
      <w:r>
        <w:rPr/>
        <w:t>Following</w:t>
      </w:r>
      <w:r>
        <w:rPr>
          <w:spacing w:val="30"/>
        </w:rPr>
        <w:t> </w:t>
      </w:r>
      <w:r>
        <w:rPr/>
        <w:t>the</w:t>
      </w:r>
      <w:r>
        <w:rPr>
          <w:spacing w:val="34"/>
        </w:rPr>
        <w:t> </w:t>
      </w:r>
      <w:r>
        <w:rPr/>
        <w:t>drastic</w:t>
      </w:r>
      <w:r>
        <w:rPr>
          <w:spacing w:val="32"/>
        </w:rPr>
        <w:t> </w:t>
      </w:r>
      <w:r>
        <w:rPr/>
        <w:t>loss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water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electrolytes,</w:t>
      </w:r>
      <w:r>
        <w:rPr>
          <w:spacing w:val="32"/>
        </w:rPr>
        <w:t> </w:t>
      </w:r>
      <w:r>
        <w:rPr/>
        <w:t>signs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symptoms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dehydration</w:t>
      </w:r>
      <w:r>
        <w:rPr>
          <w:spacing w:val="-57"/>
        </w:rPr>
        <w:t> </w:t>
      </w:r>
      <w:r>
        <w:rPr/>
        <w:t>and other complications become evident, which are important in categorizing the</w:t>
      </w:r>
      <w:r>
        <w:rPr>
          <w:spacing w:val="60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 the diarrhoea.</w:t>
      </w:r>
      <w:r>
        <w:rPr>
          <w:spacing w:val="1"/>
        </w:rPr>
        <w:t> </w:t>
      </w:r>
      <w:r>
        <w:rPr/>
        <w:t>The extent</w:t>
      </w:r>
      <w:r>
        <w:rPr>
          <w:spacing w:val="1"/>
        </w:rPr>
        <w:t> </w:t>
      </w:r>
      <w:r>
        <w:rPr/>
        <w:t>of dehydration</w:t>
      </w:r>
      <w:r>
        <w:rPr>
          <w:spacing w:val="1"/>
        </w:rPr>
        <w:t> </w:t>
      </w:r>
      <w:r>
        <w:rPr/>
        <w:t>is rated as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dehydration</w:t>
      </w:r>
      <w:r>
        <w:rPr>
          <w:spacing w:val="1"/>
        </w:rPr>
        <w:t> </w:t>
      </w:r>
      <w:r>
        <w:rPr/>
        <w:t>(no signs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symptoms), moderate dehydration (thirst, restlessness, irritable behaviour, decreased skin</w:t>
      </w:r>
      <w:r>
        <w:rPr>
          <w:spacing w:val="1"/>
        </w:rPr>
        <w:t> </w:t>
      </w:r>
      <w:r>
        <w:rPr/>
        <w:t>elasticity and sunken eyes) or severe dehydration (symptoms become more severe, shock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consciousness,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extremities,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pulse,</w:t>
      </w:r>
      <w:r>
        <w:rPr>
          <w:spacing w:val="1"/>
        </w:rPr>
        <w:t> </w:t>
      </w:r>
      <w:r>
        <w:rPr/>
        <w:t>hypotension</w:t>
      </w:r>
      <w:r>
        <w:rPr>
          <w:spacing w:val="-1"/>
        </w:rPr>
        <w:t> </w:t>
      </w:r>
      <w:r>
        <w:rPr/>
        <w:t>and pale skin)</w:t>
      </w:r>
      <w:r>
        <w:rPr>
          <w:spacing w:val="-1"/>
        </w:rPr>
        <w:t> </w:t>
      </w:r>
      <w:r>
        <w:rPr/>
        <w:t>(WHO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50" w:id="25"/>
      <w:r>
        <w:rPr/>
        <w:t>Complications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25"/>
      <w:r>
        <w:rPr/>
        <w:t>Diarrhoea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5"/>
        <w:jc w:val="both"/>
      </w:pPr>
      <w:r>
        <w:rPr/>
        <w:t>Diarrhoea causes a negative effect on patients’ physical and mental development. It causes</w:t>
      </w:r>
      <w:r>
        <w:rPr>
          <w:spacing w:val="1"/>
        </w:rPr>
        <w:t> </w:t>
      </w:r>
      <w:r>
        <w:rPr/>
        <w:t>and worsens malnutrition in children, which can drastically reduce physical activities and</w:t>
      </w:r>
      <w:r>
        <w:rPr>
          <w:spacing w:val="1"/>
        </w:rPr>
        <w:t> </w:t>
      </w:r>
      <w:r>
        <w:rPr/>
        <w:t>negatively affect the work productivity rate in adults (Guerrant </w:t>
      </w:r>
      <w:r>
        <w:rPr>
          <w:i/>
        </w:rPr>
        <w:t>et al</w:t>
      </w:r>
      <w:r>
        <w:rPr/>
        <w:t>., 1992). Diarrhoea can</w:t>
      </w:r>
      <w:r>
        <w:rPr>
          <w:spacing w:val="1"/>
        </w:rPr>
        <w:t> </w:t>
      </w:r>
      <w:r>
        <w:rPr/>
        <w:t>also result in electrolytes imbalance, renal impairment, dehydration and impaired immune</w:t>
      </w:r>
      <w:r>
        <w:rPr>
          <w:spacing w:val="1"/>
        </w:rPr>
        <w:t> </w:t>
      </w:r>
      <w:r>
        <w:rPr/>
        <w:t>system. It also may reduce the therapeutic effects of drugs as a result of increased intestinal</w:t>
      </w:r>
      <w:r>
        <w:rPr>
          <w:spacing w:val="1"/>
        </w:rPr>
        <w:t> </w:t>
      </w:r>
      <w:r>
        <w:rPr/>
        <w:t>motility,</w:t>
      </w:r>
      <w:r>
        <w:rPr>
          <w:spacing w:val="-1"/>
        </w:rPr>
        <w:t> </w:t>
      </w:r>
      <w:r>
        <w:rPr/>
        <w:t>which limits the</w:t>
      </w:r>
      <w:r>
        <w:rPr>
          <w:spacing w:val="-1"/>
        </w:rPr>
        <w:t> </w:t>
      </w:r>
      <w:r>
        <w:rPr/>
        <w:t>time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to be absorbed (Moon </w:t>
      </w:r>
      <w:r>
        <w:rPr>
          <w:i/>
        </w:rPr>
        <w:t>et al</w:t>
      </w:r>
      <w:r>
        <w:rPr/>
        <w:t>., 2015)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  <w:rPr>
          <w:i/>
          <w:sz w:val="24"/>
        </w:rPr>
      </w:pPr>
      <w:r>
        <w:rPr>
          <w:i/>
          <w:sz w:val="24"/>
        </w:rPr>
        <w:t>Dehydration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65" w:right="876"/>
        <w:jc w:val="both"/>
      </w:pPr>
      <w:r>
        <w:rPr/>
        <w:t>Acute, persistent and chronic diarrhoea may cause dehydration where there are insufficient</w:t>
      </w:r>
      <w:r>
        <w:rPr>
          <w:spacing w:val="1"/>
        </w:rPr>
        <w:t> </w:t>
      </w:r>
      <w:r>
        <w:rPr/>
        <w:t>fluids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electrolytes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body,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affect</w:t>
      </w:r>
      <w:r>
        <w:rPr>
          <w:spacing w:val="12"/>
        </w:rPr>
        <w:t> </w:t>
      </w:r>
      <w:r>
        <w:rPr/>
        <w:t>muscle</w:t>
      </w:r>
      <w:r>
        <w:rPr>
          <w:spacing w:val="11"/>
        </w:rPr>
        <w:t> </w:t>
      </w:r>
      <w:r>
        <w:rPr/>
        <w:t>activity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other</w:t>
      </w:r>
      <w:r>
        <w:rPr>
          <w:spacing w:val="11"/>
        </w:rPr>
        <w:t> </w:t>
      </w:r>
      <w:r>
        <w:rPr/>
        <w:t>biochemical</w:t>
      </w:r>
      <w:r>
        <w:rPr>
          <w:spacing w:val="1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6"/>
        <w:jc w:val="both"/>
      </w:pPr>
      <w:r>
        <w:rPr/>
        <w:t>metabolic functions in the body. The common signs and symptoms of dehydration in adults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thirsty,</w:t>
      </w:r>
      <w:r>
        <w:rPr>
          <w:spacing w:val="1"/>
        </w:rPr>
        <w:t> </w:t>
      </w:r>
      <w:r>
        <w:rPr/>
        <w:t>weakness,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tongue,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urine,</w:t>
      </w:r>
      <w:r>
        <w:rPr>
          <w:spacing w:val="1"/>
        </w:rPr>
        <w:t> </w:t>
      </w:r>
      <w:r>
        <w:rPr/>
        <w:t>dizziness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sunken</w:t>
      </w:r>
      <w:r>
        <w:rPr>
          <w:spacing w:val="1"/>
        </w:rPr>
        <w:t> </w:t>
      </w:r>
      <w:r>
        <w:rPr/>
        <w:t>eyeballs, while in infants and young children, it is usually accompanied by high fever,</w:t>
      </w:r>
      <w:r>
        <w:rPr>
          <w:spacing w:val="1"/>
        </w:rPr>
        <w:t> </w:t>
      </w:r>
      <w:r>
        <w:rPr/>
        <w:t>absence</w:t>
      </w:r>
      <w:r>
        <w:rPr>
          <w:spacing w:val="-2"/>
        </w:rPr>
        <w:t> </w:t>
      </w:r>
      <w:r>
        <w:rPr/>
        <w:t>of tears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crying,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mouth</w:t>
      </w:r>
      <w:r>
        <w:rPr>
          <w:spacing w:val="1"/>
        </w:rPr>
        <w:t> </w:t>
      </w:r>
      <w:r>
        <w:rPr/>
        <w:t>and sunken</w:t>
      </w:r>
      <w:r>
        <w:rPr>
          <w:spacing w:val="-1"/>
        </w:rPr>
        <w:t> </w:t>
      </w:r>
      <w:r>
        <w:rPr/>
        <w:t>eyes</w:t>
      </w:r>
      <w:r>
        <w:rPr>
          <w:spacing w:val="1"/>
        </w:rPr>
        <w:t> </w:t>
      </w:r>
      <w:r>
        <w:rPr/>
        <w:t>(Sarin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Bafna,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3"/>
        <w:jc w:val="both"/>
      </w:pPr>
      <w:r>
        <w:rPr/>
        <w:t>Dehydration is the main life-threatening complication that results in deaths and serious</w:t>
      </w:r>
      <w:r>
        <w:rPr>
          <w:spacing w:val="1"/>
        </w:rPr>
        <w:t> </w:t>
      </w:r>
      <w:r>
        <w:rPr/>
        <w:t>illness in children suffering from short term diarrhoea which eventually causes biochemical</w:t>
      </w:r>
      <w:r>
        <w:rPr>
          <w:spacing w:val="-57"/>
        </w:rPr>
        <w:t> </w:t>
      </w:r>
      <w:r>
        <w:rPr/>
        <w:t>derangements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fluids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hyponatraemia,</w:t>
      </w:r>
      <w:r>
        <w:rPr>
          <w:spacing w:val="1"/>
        </w:rPr>
        <w:t> </w:t>
      </w:r>
      <w:r>
        <w:rPr/>
        <w:t>hypokalaemia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metabolic</w:t>
      </w:r>
      <w:r>
        <w:rPr>
          <w:spacing w:val="-57"/>
        </w:rPr>
        <w:t> </w:t>
      </w:r>
      <w:r>
        <w:rPr/>
        <w:t>acidosis</w:t>
      </w:r>
      <w:r>
        <w:rPr>
          <w:spacing w:val="1"/>
        </w:rPr>
        <w:t> </w:t>
      </w:r>
      <w:r>
        <w:rPr/>
        <w:t>(Okposio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dehydration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 categorized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mild,</w:t>
      </w:r>
      <w:r>
        <w:rPr>
          <w:spacing w:val="-57"/>
        </w:rPr>
        <w:t> </w:t>
      </w:r>
      <w:r>
        <w:rPr/>
        <w:t>moderate or severe dehydration depending on the amount of water and electrolytes lost</w:t>
      </w:r>
      <w:r>
        <w:rPr>
          <w:spacing w:val="1"/>
        </w:rPr>
        <w:t> </w:t>
      </w:r>
      <w:r>
        <w:rPr/>
        <w:t>(Canavan</w:t>
      </w:r>
      <w:r>
        <w:rPr>
          <w:spacing w:val="1"/>
        </w:rPr>
        <w:t> </w:t>
      </w:r>
      <w:r>
        <w:rPr/>
        <w:t>and Arant, 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1" w:after="0"/>
        <w:ind w:left="985" w:right="0" w:hanging="721"/>
        <w:jc w:val="left"/>
        <w:rPr>
          <w:i/>
          <w:sz w:val="24"/>
        </w:rPr>
      </w:pPr>
      <w:r>
        <w:rPr>
          <w:i/>
          <w:sz w:val="24"/>
        </w:rPr>
        <w:t>Malnutrition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Diarrhoea as the major reasons for morbidity and mortality in children under five years of</w:t>
      </w:r>
      <w:r>
        <w:rPr>
          <w:spacing w:val="1"/>
        </w:rPr>
        <w:t> </w:t>
      </w:r>
      <w:r>
        <w:rPr/>
        <w:t>age in developing countries leads to malnutrition. In addition, inadequate nutritional intake</w:t>
      </w:r>
      <w:r>
        <w:rPr>
          <w:spacing w:val="1"/>
        </w:rPr>
        <w:t> </w:t>
      </w:r>
      <w:r>
        <w:rPr/>
        <w:t>increases the chances of diarrhoea. Diarrhoea caused by bacterial infection is frequently</w:t>
      </w:r>
      <w:r>
        <w:rPr>
          <w:spacing w:val="1"/>
        </w:rPr>
        <w:t> </w:t>
      </w:r>
      <w:r>
        <w:rPr/>
        <w:t>observed in severe and complicated malnutrition as a result of loss in the integrity of the</w:t>
      </w:r>
      <w:r>
        <w:rPr>
          <w:spacing w:val="1"/>
        </w:rPr>
        <w:t> </w:t>
      </w:r>
      <w:r>
        <w:rPr/>
        <w:t>mucosal barrier to adequately absorb nutrients along with the GIT (Singh </w:t>
      </w:r>
      <w:r>
        <w:rPr>
          <w:i/>
        </w:rPr>
        <w:t>et al</w:t>
      </w:r>
      <w:r>
        <w:rPr/>
        <w:t>., 2014). 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diarrhoeal</w:t>
      </w:r>
      <w:r>
        <w:rPr>
          <w:spacing w:val="1"/>
        </w:rPr>
        <w:t> </w:t>
      </w:r>
      <w:r>
        <w:rPr/>
        <w:t>episodes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5-7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malnourished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than</w:t>
      </w:r>
      <w:r>
        <w:rPr>
          <w:spacing w:val="-57"/>
        </w:rPr>
        <w:t> </w:t>
      </w:r>
      <w:r>
        <w:rPr/>
        <w:t>adequately nourished children. The rate of mortalities due to diarrhoea is higher among</w:t>
      </w:r>
      <w:r>
        <w:rPr>
          <w:spacing w:val="1"/>
        </w:rPr>
        <w:t> </w:t>
      </w:r>
      <w:r>
        <w:rPr/>
        <w:t>undernourished children</w:t>
      </w:r>
      <w:r>
        <w:rPr>
          <w:spacing w:val="2"/>
        </w:rPr>
        <w:t> </w:t>
      </w:r>
      <w:r>
        <w:rPr/>
        <w:t>than</w:t>
      </w:r>
      <w:r>
        <w:rPr>
          <w:spacing w:val="-1"/>
        </w:rPr>
        <w:t> </w:t>
      </w:r>
      <w:r>
        <w:rPr/>
        <w:t>well-nourished ones</w:t>
      </w:r>
      <w:r>
        <w:rPr>
          <w:spacing w:val="3"/>
        </w:rPr>
        <w:t> </w:t>
      </w:r>
      <w:r>
        <w:rPr/>
        <w:t>(Bilal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Usually in malnutrition, there is an abnormal electrolyte and other elements in the body.</w:t>
      </w:r>
      <w:r>
        <w:rPr>
          <w:spacing w:val="1"/>
        </w:rPr>
        <w:t> </w:t>
      </w:r>
      <w:r>
        <w:rPr/>
        <w:t>This</w:t>
      </w:r>
      <w:r>
        <w:rPr>
          <w:spacing w:val="6"/>
        </w:rPr>
        <w:t> </w:t>
      </w:r>
      <w:r>
        <w:rPr/>
        <w:t>abnormality</w:t>
      </w:r>
      <w:r>
        <w:rPr>
          <w:spacing w:val="4"/>
        </w:rPr>
        <w:t> </w:t>
      </w:r>
      <w:r>
        <w:rPr/>
        <w:t>worsens</w:t>
      </w:r>
      <w:r>
        <w:rPr>
          <w:spacing w:val="7"/>
        </w:rPr>
        <w:t> </w:t>
      </w:r>
      <w:r>
        <w:rPr/>
        <w:t>during</w:t>
      </w:r>
      <w:r>
        <w:rPr>
          <w:spacing w:val="6"/>
        </w:rPr>
        <w:t> </w:t>
      </w:r>
      <w:r>
        <w:rPr/>
        <w:t>diarrhoea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result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more</w:t>
      </w:r>
      <w:r>
        <w:rPr>
          <w:spacing w:val="7"/>
        </w:rPr>
        <w:t> </w:t>
      </w:r>
      <w:r>
        <w:rPr/>
        <w:t>loss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fluid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electrolyte,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6"/>
        <w:jc w:val="both"/>
      </w:pPr>
      <w:r>
        <w:rPr/>
        <w:t>particularly sodium, potassium and bicarbonate. The most common electrolytes imbalances</w:t>
      </w:r>
      <w:r>
        <w:rPr>
          <w:spacing w:val="1"/>
        </w:rPr>
        <w:t> </w:t>
      </w:r>
      <w:r>
        <w:rPr/>
        <w:t>in malnourished children suffering from diarrhoea are hyponatraemia and hypokalaemia,</w:t>
      </w:r>
      <w:r>
        <w:rPr>
          <w:spacing w:val="1"/>
        </w:rPr>
        <w:t> </w:t>
      </w:r>
      <w:r>
        <w:rPr/>
        <w:t>which pose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high risk of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(Roy</w:t>
      </w:r>
      <w:r>
        <w:rPr>
          <w:spacing w:val="-5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  <w:rPr>
          <w:i/>
          <w:sz w:val="24"/>
        </w:rPr>
      </w:pPr>
      <w:r>
        <w:rPr>
          <w:i/>
          <w:sz w:val="24"/>
        </w:rPr>
        <w:t>Cardiovascular Complications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Diarrhoea can cause serious health effects on the function of the heart, where water loss can</w:t>
      </w:r>
      <w:r>
        <w:rPr>
          <w:spacing w:val="-57"/>
        </w:rPr>
        <w:t> </w:t>
      </w:r>
      <w:r>
        <w:rPr/>
        <w:t>cause dehydration with subsequent orthostatic hypotension.</w:t>
      </w:r>
      <w:r>
        <w:rPr>
          <w:spacing w:val="1"/>
        </w:rPr>
        <w:t> </w:t>
      </w:r>
      <w:r>
        <w:rPr/>
        <w:t>These adverse health effects</w:t>
      </w:r>
      <w:r>
        <w:rPr>
          <w:spacing w:val="1"/>
        </w:rPr>
        <w:t> </w:t>
      </w:r>
      <w:r>
        <w:rPr/>
        <w:t>happen because of the decreased blood volume, which eventually results in orthostatic</w:t>
      </w:r>
      <w:r>
        <w:rPr>
          <w:spacing w:val="1"/>
        </w:rPr>
        <w:t> </w:t>
      </w:r>
      <w:r>
        <w:rPr/>
        <w:t>hypotension</w:t>
      </w:r>
      <w:r>
        <w:rPr>
          <w:spacing w:val="-1"/>
        </w:rPr>
        <w:t> </w:t>
      </w:r>
      <w:r>
        <w:rPr/>
        <w:t>(Bello, 2015).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r>
        <w:rPr/>
        <w:t>Managements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Diarrhoea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2"/>
        <w:jc w:val="both"/>
      </w:pP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dehydration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frequent</w:t>
      </w:r>
      <w:r>
        <w:rPr>
          <w:spacing w:val="1"/>
        </w:rPr>
        <w:t> </w:t>
      </w:r>
      <w:r>
        <w:rPr/>
        <w:t>passage of the stool and minimize associated symptoms such as abdominal pain and reduce</w:t>
      </w:r>
      <w:r>
        <w:rPr>
          <w:spacing w:val="1"/>
        </w:rPr>
        <w:t> </w:t>
      </w:r>
      <w:r>
        <w:rPr/>
        <w:t>duration and severity of illness (Njume and Goduka, 2012). For effective management of</w:t>
      </w:r>
      <w:r>
        <w:rPr>
          <w:spacing w:val="1"/>
        </w:rPr>
        <w:t> </w:t>
      </w:r>
      <w:r>
        <w:rPr/>
        <w:t>the diarrhoea, evaluation of the patient's dehydration status is important in curtailing the</w:t>
      </w:r>
      <w:r>
        <w:rPr>
          <w:spacing w:val="1"/>
        </w:rPr>
        <w:t> </w:t>
      </w:r>
      <w:r>
        <w:rPr/>
        <w:t>worsening of the symptoms, which is targeted toward reduction and prevention of mortality</w:t>
      </w:r>
      <w:r>
        <w:rPr>
          <w:spacing w:val="-57"/>
        </w:rPr>
        <w:t> </w:t>
      </w:r>
      <w:r>
        <w:rPr/>
        <w:t>and morbidity</w:t>
      </w:r>
      <w:r>
        <w:rPr>
          <w:spacing w:val="-5"/>
        </w:rPr>
        <w:t> </w:t>
      </w:r>
      <w:r>
        <w:rPr/>
        <w:t>(Fonseca </w:t>
      </w:r>
      <w:r>
        <w:rPr>
          <w:i/>
        </w:rPr>
        <w:t>et al</w:t>
      </w:r>
      <w:r>
        <w:rPr/>
        <w:t>., 2004).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Children suffering from mild to moderate dehydration improve when treated with oral</w:t>
      </w:r>
      <w:r>
        <w:rPr>
          <w:spacing w:val="1"/>
        </w:rPr>
        <w:t> </w:t>
      </w:r>
      <w:r>
        <w:rPr/>
        <w:t>rehydration salt (ORS) alone, while those with severe disease require intravenous fluids</w:t>
      </w:r>
      <w:r>
        <w:rPr>
          <w:spacing w:val="1"/>
        </w:rPr>
        <w:t> </w:t>
      </w:r>
      <w:r>
        <w:rPr/>
        <w:t>(IVF) to limit any life-threatening complications (Fonseca </w:t>
      </w:r>
      <w:r>
        <w:rPr>
          <w:i/>
        </w:rPr>
        <w:t>et al</w:t>
      </w:r>
      <w:r>
        <w:rPr/>
        <w:t>., 2004). The administration</w:t>
      </w:r>
      <w:r>
        <w:rPr>
          <w:spacing w:val="1"/>
        </w:rPr>
        <w:t> </w:t>
      </w:r>
      <w:r>
        <w:rPr/>
        <w:t>of ORS in an attempt to replace fluid and electrolyte loss in diarrhoea plays a huge role in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treatments (Njume and Goduka, 2012).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70" w:after="0"/>
        <w:ind w:left="985" w:right="0" w:hanging="721"/>
        <w:jc w:val="left"/>
        <w:rPr>
          <w:i/>
          <w:sz w:val="24"/>
        </w:rPr>
      </w:pPr>
      <w:r>
        <w:rPr>
          <w:i/>
          <w:sz w:val="24"/>
        </w:rPr>
        <w:t>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Rehydration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Dehydration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complication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loss,</w:t>
      </w:r>
      <w:r>
        <w:rPr>
          <w:spacing w:val="1"/>
        </w:rPr>
        <w:t> </w:t>
      </w:r>
      <w:r>
        <w:rPr/>
        <w:t>decreased skin elasticity and changes in respiration pattern. The first step in managing acute</w:t>
      </w:r>
      <w:r>
        <w:rPr>
          <w:spacing w:val="-57"/>
        </w:rPr>
        <w:t> </w:t>
      </w:r>
      <w:r>
        <w:rPr/>
        <w:t>diarrhoea is rehydration, preferably using oral rehydration therapy (Horne </w:t>
      </w:r>
      <w:r>
        <w:rPr>
          <w:i/>
        </w:rPr>
        <w:t>et al</w:t>
      </w:r>
      <w:r>
        <w:rPr/>
        <w:t>., 2014). The</w:t>
      </w:r>
      <w:r>
        <w:rPr>
          <w:spacing w:val="-57"/>
        </w:rPr>
        <w:t> </w:t>
      </w:r>
      <w:r>
        <w:rPr/>
        <w:t>assessment of the patients’ body weight presented with diarrhoea is important to 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lost,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rehydration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ORS</w:t>
      </w:r>
      <w:r>
        <w:rPr>
          <w:spacing w:val="1"/>
        </w:rPr>
        <w:t> </w:t>
      </w:r>
      <w:r>
        <w:rPr/>
        <w:t>contains a mixture of salts, glucose, and water for proper intestinal sodium-glucose coupled</w:t>
      </w:r>
      <w:r>
        <w:rPr>
          <w:spacing w:val="-57"/>
        </w:rPr>
        <w:t> </w:t>
      </w:r>
      <w:r>
        <w:rPr/>
        <w:t>cellular</w:t>
      </w:r>
      <w:r>
        <w:rPr>
          <w:spacing w:val="-3"/>
        </w:rPr>
        <w:t> </w:t>
      </w:r>
      <w:r>
        <w:rPr/>
        <w:t>transport mechanism (Barr and Smith, 2014).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0" w:after="0"/>
        <w:ind w:left="985" w:right="0" w:hanging="721"/>
        <w:jc w:val="left"/>
        <w:rPr>
          <w:i/>
          <w:sz w:val="24"/>
        </w:rPr>
      </w:pPr>
      <w:r>
        <w:rPr>
          <w:i/>
          <w:sz w:val="24"/>
        </w:rPr>
        <w:t>Supplemental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Zinc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Therapy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65" w:right="876"/>
        <w:jc w:val="both"/>
      </w:pPr>
      <w:r>
        <w:rPr/>
        <w:t>Zinc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supplement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sulfate,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acetate,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zinc</w:t>
      </w:r>
      <w:r>
        <w:rPr>
          <w:spacing w:val="1"/>
        </w:rPr>
        <w:t> </w:t>
      </w:r>
      <w:r>
        <w:rPr/>
        <w:t>gluconate, which are all water-soluble compounds (Alam </w:t>
      </w:r>
      <w:r>
        <w:rPr>
          <w:i/>
        </w:rPr>
        <w:t>et al</w:t>
      </w:r>
      <w:r>
        <w:rPr/>
        <w:t>., 2017). The use of zinc as a</w:t>
      </w:r>
      <w:r>
        <w:rPr>
          <w:spacing w:val="1"/>
        </w:rPr>
        <w:t> </w:t>
      </w:r>
      <w:r>
        <w:rPr/>
        <w:t>supplement in slowing the duration and severity of diarrhoea in children under five years is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(Lamberti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Zinc supplement administered at a dose of 20 mg per day for 10 days in children older than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diarrhoea,</w:t>
      </w:r>
      <w:r>
        <w:rPr>
          <w:spacing w:val="-57"/>
        </w:rPr>
        <w:t> </w:t>
      </w:r>
      <w:r>
        <w:rPr/>
        <w:t>particularly in developing countries (Farthing </w:t>
      </w:r>
      <w:r>
        <w:rPr>
          <w:i/>
        </w:rPr>
        <w:t>et al</w:t>
      </w:r>
      <w:r>
        <w:rPr/>
        <w:t>., 2013). Zinc supplementation decreases</w:t>
      </w:r>
      <w:r>
        <w:rPr>
          <w:spacing w:val="1"/>
        </w:rPr>
        <w:t> </w:t>
      </w:r>
      <w:r>
        <w:rPr/>
        <w:t>dehydration, reduces the duration and severity of the diarrhoea by 20% - 40% (Liberato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supplemented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electrolytes absorption, mucosal integrity, immunity, gene expression and oxidative stress</w:t>
      </w:r>
      <w:r>
        <w:rPr>
          <w:spacing w:val="1"/>
        </w:rPr>
        <w:t> </w:t>
      </w:r>
      <w:r>
        <w:rPr/>
        <w:t>(Canani </w:t>
      </w:r>
      <w:r>
        <w:rPr>
          <w:i/>
        </w:rPr>
        <w:t>et al</w:t>
      </w:r>
      <w:r>
        <w:rPr/>
        <w:t>., 2011). Zinc supplement in the diet reduces acute diarrhoea, especially in</w:t>
      </w:r>
      <w:r>
        <w:rPr>
          <w:spacing w:val="1"/>
        </w:rPr>
        <w:t> </w:t>
      </w:r>
      <w:r>
        <w:rPr/>
        <w:t>malnourished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rehydration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diarrhoea</w:t>
      </w:r>
      <w:r>
        <w:rPr>
          <w:spacing w:val="-2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children of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nations</w:t>
      </w:r>
      <w:r>
        <w:rPr>
          <w:spacing w:val="-1"/>
        </w:rPr>
        <w:t> </w:t>
      </w:r>
      <w:r>
        <w:rPr/>
        <w:t>(Sandle, 2011).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70" w:after="0"/>
        <w:ind w:left="985" w:right="0" w:hanging="721"/>
        <w:jc w:val="left"/>
        <w:rPr>
          <w:i/>
          <w:sz w:val="24"/>
        </w:rPr>
      </w:pPr>
      <w:r>
        <w:rPr>
          <w:i/>
          <w:sz w:val="24"/>
        </w:rPr>
        <w:t>Diet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Provision of a sufficient diet to a child is required for the regeneration of intestinal </w:t>
      </w:r>
      <w:hyperlink r:id="rId11">
        <w:r>
          <w:rPr/>
          <w:t>mucosa</w:t>
        </w:r>
      </w:hyperlink>
      <w:r>
        <w:rPr/>
        <w:t>.</w:t>
      </w:r>
      <w:r>
        <w:rPr>
          <w:spacing w:val="1"/>
        </w:rPr>
        <w:t> </w:t>
      </w:r>
      <w:r>
        <w:rPr/>
        <w:t>Inadequate feeding practices halt the proper management of acute diarrhoea in children</w:t>
      </w:r>
      <w:r>
        <w:rPr>
          <w:spacing w:val="1"/>
        </w:rPr>
        <w:t> </w:t>
      </w:r>
      <w:r>
        <w:rPr/>
        <w:t>(Brandt</w:t>
      </w:r>
      <w:r>
        <w:rPr>
          <w:spacing w:val="58"/>
        </w:rPr>
        <w:t> </w:t>
      </w:r>
      <w:r>
        <w:rPr>
          <w:i/>
        </w:rPr>
        <w:t>et</w:t>
      </w:r>
      <w:r>
        <w:rPr>
          <w:i/>
          <w:spacing w:val="59"/>
        </w:rPr>
        <w:t> </w:t>
      </w:r>
      <w:r>
        <w:rPr>
          <w:i/>
        </w:rPr>
        <w:t>al</w:t>
      </w:r>
      <w:r>
        <w:rPr/>
        <w:t>.,</w:t>
      </w:r>
      <w:r>
        <w:rPr>
          <w:spacing w:val="58"/>
        </w:rPr>
        <w:t> </w:t>
      </w:r>
      <w:r>
        <w:rPr/>
        <w:t>2015).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cells</w:t>
      </w:r>
      <w:r>
        <w:rPr>
          <w:spacing w:val="59"/>
        </w:rPr>
        <w:t> </w:t>
      </w:r>
      <w:r>
        <w:rPr/>
        <w:t>lining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intestinal</w:t>
      </w:r>
      <w:r>
        <w:rPr>
          <w:spacing w:val="59"/>
        </w:rPr>
        <w:t> </w:t>
      </w:r>
      <w:r>
        <w:rPr/>
        <w:t>epithelium</w:t>
      </w:r>
      <w:r>
        <w:rPr>
          <w:spacing w:val="59"/>
        </w:rPr>
        <w:t> </w:t>
      </w:r>
      <w:r>
        <w:rPr/>
        <w:t>obtain</w:t>
      </w:r>
      <w:r>
        <w:rPr>
          <w:spacing w:val="2"/>
        </w:rPr>
        <w:t> </w:t>
      </w:r>
      <w:r>
        <w:rPr/>
        <w:t>their</w:t>
      </w:r>
      <w:r>
        <w:rPr>
          <w:spacing w:val="58"/>
        </w:rPr>
        <w:t> </w:t>
      </w:r>
      <w:r>
        <w:rPr/>
        <w:t>nutrients</w:t>
      </w:r>
      <w:r>
        <w:rPr>
          <w:spacing w:val="-58"/>
        </w:rPr>
        <w:t> </w:t>
      </w:r>
      <w:r>
        <w:rPr/>
        <w:t>primarily from the content of the intestinal </w:t>
      </w:r>
      <w:hyperlink r:id="rId12">
        <w:r>
          <w:rPr/>
          <w:t>lumen</w:t>
        </w:r>
      </w:hyperlink>
      <w:r>
        <w:rPr/>
        <w:t>. Therefore, dietary restrictions can reduce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regeneration of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damaged by</w:t>
      </w:r>
      <w:r>
        <w:rPr>
          <w:spacing w:val="-4"/>
        </w:rPr>
        <w:t> </w:t>
      </w:r>
      <w:r>
        <w:rPr/>
        <w:t>an infectious</w:t>
      </w:r>
      <w:r>
        <w:rPr>
          <w:spacing w:val="-1"/>
        </w:rPr>
        <w:t> </w:t>
      </w:r>
      <w:r>
        <w:rPr/>
        <w:t>process (Sandhu, 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Adequately feeding the child with a nutritious diet must be maintained after rehydration</w:t>
      </w:r>
      <w:r>
        <w:rPr>
          <w:spacing w:val="1"/>
        </w:rPr>
        <w:t> </w:t>
      </w:r>
      <w:r>
        <w:rPr/>
        <w:t>therapy four to five times daily (Guarino </w:t>
      </w:r>
      <w:r>
        <w:rPr>
          <w:i/>
        </w:rPr>
        <w:t>et al</w:t>
      </w:r>
      <w:r>
        <w:rPr/>
        <w:t>., 2014). Also, the provision of an adequate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needed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other vitamins</w:t>
      </w:r>
      <w:r>
        <w:rPr>
          <w:spacing w:val="1"/>
        </w:rPr>
        <w:t> </w:t>
      </w:r>
      <w:r>
        <w:rPr/>
        <w:t>during diarrhoea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episodes of diarrhoea, prevents </w:t>
      </w:r>
      <w:hyperlink r:id="rId13">
        <w:r>
          <w:rPr/>
          <w:t>malnutrition</w:t>
        </w:r>
      </w:hyperlink>
      <w:r>
        <w:rPr/>
        <w:t> and boost the immune system against other</w:t>
      </w:r>
      <w:r>
        <w:rPr>
          <w:spacing w:val="1"/>
        </w:rPr>
        <w:t> </w:t>
      </w:r>
      <w:r>
        <w:rPr/>
        <w:t>pathogens</w:t>
      </w:r>
      <w:r>
        <w:rPr>
          <w:spacing w:val="-2"/>
        </w:rPr>
        <w:t> </w:t>
      </w:r>
      <w:r>
        <w:rPr/>
        <w:t>(Guerrant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6" w:val="left" w:leader="none"/>
        </w:tabs>
        <w:spacing w:line="240" w:lineRule="auto" w:before="0" w:after="0"/>
        <w:ind w:left="985" w:right="0" w:hanging="721"/>
        <w:jc w:val="left"/>
        <w:rPr>
          <w:i/>
          <w:sz w:val="24"/>
        </w:rPr>
      </w:pPr>
      <w:r>
        <w:rPr>
          <w:i/>
          <w:sz w:val="24"/>
        </w:rPr>
        <w:t>Probiotics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Treatments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Diarrhoea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6"/>
        <w:jc w:val="both"/>
      </w:pPr>
      <w:r>
        <w:rPr/>
        <w:t>Probiotics can be defined as living microorganisms administered in an adequate amount to</w:t>
      </w:r>
      <w:r>
        <w:rPr>
          <w:spacing w:val="1"/>
        </w:rPr>
        <w:t> </w:t>
      </w:r>
      <w:r>
        <w:rPr/>
        <w:t>confer a health benefit to the host (Ahmadi </w:t>
      </w:r>
      <w:r>
        <w:rPr>
          <w:i/>
        </w:rPr>
        <w:t>et al.</w:t>
      </w:r>
      <w:r>
        <w:rPr/>
        <w:t>, 2012). It is a living microorganism</w:t>
      </w:r>
      <w:r>
        <w:rPr>
          <w:spacing w:val="1"/>
        </w:rPr>
        <w:t> </w:t>
      </w:r>
      <w:r>
        <w:rPr/>
        <w:t>administered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promote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health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host</w:t>
      </w:r>
      <w:r>
        <w:rPr>
          <w:spacing w:val="21"/>
        </w:rPr>
        <w:t> </w:t>
      </w:r>
      <w:r>
        <w:rPr/>
        <w:t>by</w:t>
      </w:r>
      <w:r>
        <w:rPr>
          <w:spacing w:val="14"/>
        </w:rPr>
        <w:t> </w:t>
      </w:r>
      <w:r>
        <w:rPr/>
        <w:t>treating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/>
        <w:t>preventing</w:t>
      </w:r>
      <w:r>
        <w:rPr>
          <w:spacing w:val="20"/>
        </w:rPr>
        <w:t> </w:t>
      </w:r>
      <w:r>
        <w:rPr/>
        <w:t>infections</w:t>
      </w:r>
      <w:r>
        <w:rPr>
          <w:spacing w:val="17"/>
        </w:rPr>
        <w:t> </w:t>
      </w:r>
      <w:r>
        <w:rPr/>
        <w:t>caused</w:t>
      </w:r>
      <w:r>
        <w:rPr>
          <w:spacing w:val="-58"/>
        </w:rPr>
        <w:t> </w:t>
      </w:r>
      <w:r>
        <w:rPr/>
        <w:t>by</w:t>
      </w:r>
      <w:r>
        <w:rPr>
          <w:spacing w:val="-3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pathogenic microorganisms</w:t>
      </w:r>
      <w:r>
        <w:rPr>
          <w:spacing w:val="4"/>
        </w:rPr>
        <w:t> </w:t>
      </w:r>
      <w:r>
        <w:rPr/>
        <w:t>(Sharif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Probiotics, when administered form part of the host intestinal flora and can protect the GIT</w:t>
      </w:r>
      <w:r>
        <w:rPr>
          <w:spacing w:val="1"/>
        </w:rPr>
        <w:t> </w:t>
      </w:r>
      <w:r>
        <w:rPr/>
        <w:t>against disease-causing pathogens (Lau and Chamberlain, 2016). Probiotics have been used</w:t>
      </w:r>
      <w:r>
        <w:rPr>
          <w:spacing w:val="-57"/>
        </w:rPr>
        <w:t> </w:t>
      </w:r>
      <w:r>
        <w:rPr/>
        <w:t>to prevent and treat</w:t>
      </w:r>
      <w:r>
        <w:rPr>
          <w:spacing w:val="60"/>
        </w:rPr>
        <w:t> </w:t>
      </w:r>
      <w:r>
        <w:rPr/>
        <w:t>GIT conditions, including diarrhoea (Lau and Chamberlain, 2016).</w:t>
      </w:r>
      <w:r>
        <w:rPr>
          <w:spacing w:val="1"/>
        </w:rPr>
        <w:t> </w:t>
      </w:r>
      <w:r>
        <w:rPr/>
        <w:t>They prevent disturbances of</w:t>
      </w:r>
      <w:r>
        <w:rPr>
          <w:spacing w:val="60"/>
        </w:rPr>
        <w:t> </w:t>
      </w:r>
      <w:r>
        <w:rPr/>
        <w:t>normal intestinal flora and decrease the chances of invasion</w:t>
      </w:r>
      <w:r>
        <w:rPr>
          <w:spacing w:val="1"/>
        </w:rPr>
        <w:t> </w:t>
      </w:r>
      <w:r>
        <w:rPr/>
        <w:t>by</w:t>
      </w:r>
      <w:r>
        <w:rPr>
          <w:spacing w:val="4"/>
        </w:rPr>
        <w:t> </w:t>
      </w:r>
      <w:r>
        <w:rPr/>
        <w:t>pathogenic</w:t>
      </w:r>
      <w:r>
        <w:rPr>
          <w:spacing w:val="11"/>
        </w:rPr>
        <w:t> </w:t>
      </w:r>
      <w:r>
        <w:rPr/>
        <w:t>bacteria</w:t>
      </w:r>
      <w:r>
        <w:rPr>
          <w:spacing w:val="10"/>
        </w:rPr>
        <w:t> </w:t>
      </w:r>
      <w:r>
        <w:rPr/>
        <w:t>(Guarner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9"/>
        </w:rPr>
        <w:t> </w:t>
      </w:r>
      <w:r>
        <w:rPr/>
        <w:t>2012).</w:t>
      </w:r>
      <w:r>
        <w:rPr>
          <w:spacing w:val="12"/>
        </w:rPr>
        <w:t> </w:t>
      </w:r>
      <w:r>
        <w:rPr/>
        <w:t>They</w:t>
      </w:r>
      <w:r>
        <w:rPr>
          <w:spacing w:val="7"/>
        </w:rPr>
        <w:t> </w:t>
      </w:r>
      <w:r>
        <w:rPr/>
        <w:t>are</w:t>
      </w:r>
      <w:r>
        <w:rPr>
          <w:spacing w:val="9"/>
        </w:rPr>
        <w:t> </w:t>
      </w:r>
      <w:r>
        <w:rPr/>
        <w:t>included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managing</w:t>
      </w:r>
      <w:r>
        <w:rPr>
          <w:spacing w:val="9"/>
        </w:rPr>
        <w:t> </w:t>
      </w:r>
      <w:r>
        <w:rPr/>
        <w:t>acute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diarrhoea as a supportive measure and reducing diarrhoea by 14% in developed nations</w:t>
      </w:r>
      <w:r>
        <w:rPr>
          <w:spacing w:val="1"/>
        </w:rPr>
        <w:t> </w:t>
      </w:r>
      <w:r>
        <w:rPr/>
        <w:t>(Applegate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Paediatric</w:t>
      </w:r>
      <w:r>
        <w:rPr>
          <w:spacing w:val="61"/>
        </w:rPr>
        <w:t> </w:t>
      </w:r>
      <w:r>
        <w:rPr/>
        <w:t>Gastroenterology,</w:t>
      </w:r>
      <w:r>
        <w:rPr>
          <w:spacing w:val="1"/>
        </w:rPr>
        <w:t> </w:t>
      </w:r>
      <w:r>
        <w:rPr/>
        <w:t>Hepatology and Nutrition (ESPGHAN) recommends using probiotics such as </w:t>
      </w:r>
      <w:r>
        <w:rPr>
          <w:i/>
        </w:rPr>
        <w:t>Lactobacillus</w:t>
      </w:r>
      <w:r>
        <w:rPr>
          <w:i/>
          <w:spacing w:val="-57"/>
        </w:rPr>
        <w:t> </w:t>
      </w:r>
      <w:r>
        <w:rPr>
          <w:i/>
        </w:rPr>
        <w:t>rhamnosus GG or Saccharomyces bouladii </w:t>
      </w:r>
      <w:r>
        <w:rPr/>
        <w:t>in the management of acute diarrhoea (Guarino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2014). </w:t>
      </w:r>
      <w:r>
        <w:rPr>
          <w:i/>
        </w:rPr>
        <w:t>Saccharomyces boulardii </w:t>
      </w:r>
      <w:r>
        <w:rPr/>
        <w:t>is a non-disease causing fungi that directly inhibit</w:t>
      </w:r>
      <w:r>
        <w:rPr>
          <w:spacing w:val="1"/>
        </w:rPr>
        <w:t> </w:t>
      </w:r>
      <w:r>
        <w:rPr/>
        <w:t>the growth of pathogenic microorganisms and inhibit intestinal secretion (Sharif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Diarrhoea can also develop due to interruption of the protective ability of the intestinal flora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(Guarner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Probiotics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pathogenic microorganisms in the intestine, suppress the multiplication and invasion of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probiotics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barrier (Rohde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2"/>
        <w:jc w:val="both"/>
      </w:pPr>
      <w:r>
        <w:rPr/>
        <w:t>The processes by which probiotics cause protective effects in acute diarrhoea are not well</w:t>
      </w:r>
      <w:r>
        <w:rPr>
          <w:spacing w:val="1"/>
        </w:rPr>
        <w:t> </w:t>
      </w:r>
      <w:r>
        <w:rPr/>
        <w:t>defined but could be attributed to the augmentation of intestinal epithelial function, which</w:t>
      </w:r>
      <w:r>
        <w:rPr>
          <w:spacing w:val="1"/>
        </w:rPr>
        <w:t> </w:t>
      </w:r>
      <w:r>
        <w:rPr/>
        <w:t>helps in the regulation of immune responses and maintenance of homeostasis (Jones and</w:t>
      </w:r>
      <w:r>
        <w:rPr>
          <w:spacing w:val="1"/>
        </w:rPr>
        <w:t> </w:t>
      </w:r>
      <w:r>
        <w:rPr/>
        <w:t>Versalovic, 2009). Probiotics have therapeutic activity on rotavirus associated diarrhoea in</w:t>
      </w:r>
      <w:r>
        <w:rPr>
          <w:spacing w:val="1"/>
        </w:rPr>
        <w:t> </w:t>
      </w:r>
      <w:r>
        <w:rPr/>
        <w:t>children, thus included in the guidelines for the management of acute diarrhoea in children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the European Society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Pediatric Infectious</w:t>
      </w:r>
      <w:r>
        <w:rPr>
          <w:spacing w:val="-1"/>
        </w:rPr>
        <w:t> </w:t>
      </w:r>
      <w:r>
        <w:rPr/>
        <w:t>Diseases (Passariello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2012).</w:t>
      </w:r>
    </w:p>
    <w:p>
      <w:pPr>
        <w:pStyle w:val="Heading1"/>
        <w:numPr>
          <w:ilvl w:val="2"/>
          <w:numId w:val="11"/>
        </w:numPr>
        <w:tabs>
          <w:tab w:pos="926" w:val="left" w:leader="none"/>
        </w:tabs>
        <w:spacing w:line="240" w:lineRule="auto" w:before="205" w:after="0"/>
        <w:ind w:left="925" w:right="0" w:hanging="661"/>
        <w:jc w:val="both"/>
      </w:pPr>
      <w:bookmarkStart w:name="_TOC_250049" w:id="26"/>
      <w:r>
        <w:rPr/>
        <w:t>Prevention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26"/>
      <w:r>
        <w:rPr/>
        <w:t>Diarrhoea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0" w:after="0"/>
        <w:ind w:left="1105" w:right="0" w:hanging="841"/>
        <w:jc w:val="both"/>
        <w:rPr>
          <w:i/>
          <w:sz w:val="24"/>
        </w:rPr>
      </w:pPr>
      <w:r>
        <w:rPr>
          <w:i/>
          <w:sz w:val="24"/>
        </w:rPr>
        <w:t>Safe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Drinking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Sanitation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The supply of safe</w:t>
      </w:r>
      <w:r>
        <w:rPr>
          <w:spacing w:val="1"/>
        </w:rPr>
        <w:t> </w:t>
      </w:r>
      <w:r>
        <w:rPr/>
        <w:t>water for</w:t>
      </w:r>
      <w:r>
        <w:rPr>
          <w:spacing w:val="1"/>
        </w:rPr>
        <w:t> </w:t>
      </w:r>
      <w:r>
        <w:rPr/>
        <w:t>drinking,</w:t>
      </w:r>
      <w:r>
        <w:rPr>
          <w:spacing w:val="1"/>
        </w:rPr>
        <w:t> </w:t>
      </w:r>
      <w:r>
        <w:rPr/>
        <w:t>cooking,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maintaining</w:t>
      </w:r>
      <w:r>
        <w:rPr>
          <w:spacing w:val="3"/>
        </w:rPr>
        <w:t> </w:t>
      </w:r>
      <w:r>
        <w:rPr/>
        <w:t>good</w:t>
      </w:r>
      <w:r>
        <w:rPr>
          <w:spacing w:val="4"/>
        </w:rPr>
        <w:t> </w:t>
      </w:r>
      <w:r>
        <w:rPr/>
        <w:t>health</w:t>
      </w:r>
      <w:r>
        <w:rPr>
          <w:spacing w:val="5"/>
        </w:rPr>
        <w:t> </w:t>
      </w:r>
      <w:r>
        <w:rPr/>
        <w:t>(McGuinness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2017).</w:t>
      </w:r>
      <w:r>
        <w:rPr>
          <w:spacing w:val="4"/>
        </w:rPr>
        <w:t> </w:t>
      </w:r>
      <w:r>
        <w:rPr/>
        <w:t>Therefore,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reduce</w:t>
      </w:r>
      <w:r>
        <w:rPr>
          <w:spacing w:val="4"/>
        </w:rPr>
        <w:t> </w:t>
      </w:r>
      <w:r>
        <w:rPr/>
        <w:t>diarrhoea,</w:t>
      </w:r>
      <w:r>
        <w:rPr>
          <w:spacing w:val="4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8"/>
        <w:jc w:val="both"/>
      </w:pPr>
      <w:r>
        <w:rPr/>
        <w:t>a need for the provision of treated drinking water, improved sanitation, and increased</w:t>
      </w:r>
      <w:r>
        <w:rPr>
          <w:spacing w:val="1"/>
        </w:rPr>
        <w:t> </w:t>
      </w:r>
      <w:r>
        <w:rPr/>
        <w:t>handwashing with soap (Luby </w:t>
      </w:r>
      <w:r>
        <w:rPr>
          <w:i/>
        </w:rPr>
        <w:t>et al</w:t>
      </w:r>
      <w:r>
        <w:rPr/>
        <w:t>., 2018). Sub-Saharan African countries have a high</w:t>
      </w:r>
      <w:r>
        <w:rPr>
          <w:spacing w:val="1"/>
        </w:rPr>
        <w:t> </w:t>
      </w:r>
      <w:r>
        <w:rPr/>
        <w:t>incidence of diarrhoea because about 20% of the populations are supplied by untreated</w:t>
      </w:r>
      <w:r>
        <w:rPr>
          <w:spacing w:val="1"/>
        </w:rPr>
        <w:t> </w:t>
      </w:r>
      <w:r>
        <w:rPr/>
        <w:t>water,</w:t>
      </w:r>
      <w:r>
        <w:rPr>
          <w:spacing w:val="-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less</w:t>
      </w:r>
      <w:r>
        <w:rPr>
          <w:spacing w:val="2"/>
        </w:rPr>
        <w:t> </w:t>
      </w:r>
      <w:r>
        <w:rPr/>
        <w:t>privileged settlements (Dos Santos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2"/>
        <w:jc w:val="both"/>
      </w:pPr>
      <w:r>
        <w:rPr/>
        <w:t>The measures to be adopted to prevent faeco-oral transmission of pathogens should focus</w:t>
      </w:r>
      <w:r>
        <w:rPr>
          <w:spacing w:val="1"/>
        </w:rPr>
        <w:t> </w:t>
      </w:r>
      <w:r>
        <w:rPr/>
        <w:t>majorly on proper handwashing, improved sanitation and access to clean water supply</w:t>
      </w:r>
      <w:r>
        <w:rPr>
          <w:spacing w:val="1"/>
        </w:rPr>
        <w:t> </w:t>
      </w:r>
      <w:r>
        <w:rPr/>
        <w:t>(Aluisio </w:t>
      </w:r>
      <w:r>
        <w:rPr>
          <w:i/>
        </w:rPr>
        <w:t>et al</w:t>
      </w:r>
      <w:r>
        <w:rPr/>
        <w:t>., 2015). These measures can be significantly improved by proper health</w:t>
      </w:r>
      <w:r>
        <w:rPr>
          <w:spacing w:val="1"/>
        </w:rPr>
        <w:t> </w:t>
      </w:r>
      <w:r>
        <w:rPr/>
        <w:t>awareness and campaign at the group or individual level on hygiene education and training,</w:t>
      </w:r>
      <w:r>
        <w:rPr>
          <w:spacing w:val="-57"/>
        </w:rPr>
        <w:t> </w:t>
      </w:r>
      <w:r>
        <w:rPr/>
        <w:t>posters,</w:t>
      </w:r>
      <w:r>
        <w:rPr>
          <w:spacing w:val="-2"/>
        </w:rPr>
        <w:t> </w:t>
      </w:r>
      <w:r>
        <w:rPr/>
        <w:t>and educational leaflets (Gebru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1" w:after="0"/>
        <w:ind w:left="1105" w:right="0" w:hanging="841"/>
        <w:jc w:val="left"/>
        <w:rPr>
          <w:i/>
          <w:sz w:val="24"/>
        </w:rPr>
      </w:pPr>
      <w:r>
        <w:rPr>
          <w:i/>
          <w:sz w:val="24"/>
        </w:rPr>
        <w:t>Exclusive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Breastfeeding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The cases of diarrhoea-related</w:t>
      </w:r>
      <w:r>
        <w:rPr>
          <w:spacing w:val="1"/>
        </w:rPr>
        <w:t> </w:t>
      </w:r>
      <w:r>
        <w:rPr/>
        <w:t>child sickness and deaths are obvious in children from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breastfeeding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water</w:t>
      </w:r>
      <w:r>
        <w:rPr>
          <w:spacing w:val="60"/>
        </w:rPr>
        <w:t> </w:t>
      </w:r>
      <w:r>
        <w:rPr/>
        <w:t>supply,</w:t>
      </w:r>
      <w:r>
        <w:rPr>
          <w:spacing w:val="1"/>
        </w:rPr>
        <w:t> </w:t>
      </w:r>
      <w:r>
        <w:rPr/>
        <w:t>improper</w:t>
      </w:r>
      <w:r>
        <w:rPr>
          <w:spacing w:val="22"/>
        </w:rPr>
        <w:t> </w:t>
      </w:r>
      <w:r>
        <w:rPr/>
        <w:t>sanitation,</w:t>
      </w:r>
      <w:r>
        <w:rPr>
          <w:spacing w:val="22"/>
        </w:rPr>
        <w:t> </w:t>
      </w:r>
      <w:r>
        <w:rPr/>
        <w:t>inaccessibility</w:t>
      </w:r>
      <w:r>
        <w:rPr>
          <w:spacing w:val="17"/>
        </w:rPr>
        <w:t> </w:t>
      </w:r>
      <w:r>
        <w:rPr/>
        <w:t>to</w:t>
      </w:r>
      <w:r>
        <w:rPr>
          <w:spacing w:val="23"/>
        </w:rPr>
        <w:t> </w:t>
      </w:r>
      <w:r>
        <w:rPr/>
        <w:t>vaccines,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inadequate</w:t>
      </w:r>
      <w:r>
        <w:rPr>
          <w:spacing w:val="24"/>
        </w:rPr>
        <w:t> </w:t>
      </w:r>
      <w:r>
        <w:rPr/>
        <w:t>diarrhoea</w:t>
      </w:r>
      <w:r>
        <w:rPr>
          <w:spacing w:val="24"/>
        </w:rPr>
        <w:t> </w:t>
      </w:r>
      <w:r>
        <w:rPr/>
        <w:t>treatments</w:t>
      </w:r>
      <w:r>
        <w:rPr>
          <w:spacing w:val="25"/>
        </w:rPr>
        <w:t> </w:t>
      </w:r>
      <w:r>
        <w:rPr/>
        <w:t>(Ahs</w:t>
      </w:r>
      <w:r>
        <w:rPr>
          <w:spacing w:val="-58"/>
        </w:rPr>
        <w:t> </w:t>
      </w:r>
      <w:r>
        <w:rPr>
          <w:i/>
        </w:rPr>
        <w:t>et al</w:t>
      </w:r>
      <w:r>
        <w:rPr/>
        <w:t>., 2010). Breast milk contains nutrients, antioxidants, hormones, and antibodies needed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(Naeem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Parveen,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Exclusive</w:t>
      </w:r>
      <w:r>
        <w:rPr>
          <w:spacing w:val="1"/>
        </w:rPr>
        <w:t> </w:t>
      </w:r>
      <w:r>
        <w:rPr/>
        <w:t>breastfeeding for the first six months of life contributes significantly to the prevention of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(Jones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2003).</w:t>
      </w:r>
      <w:r>
        <w:rPr>
          <w:spacing w:val="1"/>
        </w:rPr>
        <w:t> </w:t>
      </w:r>
      <w:r>
        <w:rPr/>
        <w:t>WHO</w:t>
      </w:r>
      <w:r>
        <w:rPr>
          <w:spacing w:val="60"/>
        </w:rPr>
        <w:t> </w:t>
      </w:r>
      <w:r>
        <w:rPr/>
        <w:t>recommends</w:t>
      </w:r>
      <w:r>
        <w:rPr>
          <w:spacing w:val="60"/>
        </w:rPr>
        <w:t> </w:t>
      </w:r>
      <w:r>
        <w:rPr/>
        <w:t>exclusive</w:t>
      </w:r>
      <w:r>
        <w:rPr>
          <w:spacing w:val="60"/>
        </w:rPr>
        <w:t> </w:t>
      </w:r>
      <w:r>
        <w:rPr/>
        <w:t>breastfeeding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first</w:t>
      </w:r>
      <w:r>
        <w:rPr>
          <w:spacing w:val="-57"/>
        </w:rPr>
        <w:t> </w:t>
      </w:r>
      <w:r>
        <w:rPr/>
        <w:t>six months of infants’ life and continued breastfeeding of the child up to 2 years of age,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diseases</w:t>
      </w:r>
      <w:r>
        <w:rPr>
          <w:spacing w:val="60"/>
        </w:rPr>
        <w:t> </w:t>
      </w:r>
      <w:r>
        <w:rPr/>
        <w:t>(WHO,</w:t>
      </w:r>
      <w:r>
        <w:rPr>
          <w:spacing w:val="-57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70" w:after="0"/>
        <w:ind w:left="1105" w:right="0" w:hanging="841"/>
        <w:jc w:val="left"/>
        <w:rPr>
          <w:i/>
          <w:sz w:val="24"/>
        </w:rPr>
      </w:pPr>
      <w:r>
        <w:rPr>
          <w:i/>
          <w:sz w:val="24"/>
        </w:rPr>
        <w:t>Immunization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Rotavirus is the most</w:t>
      </w:r>
      <w:r>
        <w:rPr>
          <w:spacing w:val="1"/>
        </w:rPr>
        <w:t> </w:t>
      </w:r>
      <w:r>
        <w:rPr/>
        <w:t>common cause of acute diarrhoea in children in</w:t>
      </w:r>
      <w:r>
        <w:rPr>
          <w:spacing w:val="1"/>
        </w:rPr>
        <w:t> </w:t>
      </w:r>
      <w:r>
        <w:rPr/>
        <w:t>developed and</w:t>
      </w:r>
      <w:r>
        <w:rPr>
          <w:spacing w:val="1"/>
        </w:rPr>
        <w:t> </w:t>
      </w:r>
      <w:r>
        <w:rPr/>
        <w:t>developing nations (Revelas, 2012). The virus causes about 39% of all hospital admissions</w:t>
      </w:r>
      <w:r>
        <w:rPr>
          <w:spacing w:val="1"/>
        </w:rPr>
        <w:t> </w:t>
      </w:r>
      <w:r>
        <w:rPr/>
        <w:t>and about 199,000 fatalities of infants annually (Bustreo </w:t>
      </w:r>
      <w:r>
        <w:rPr>
          <w:i/>
        </w:rPr>
        <w:t>et al</w:t>
      </w:r>
      <w:r>
        <w:rPr/>
        <w:t>., 2015). Almost every child</w:t>
      </w:r>
      <w:r>
        <w:rPr>
          <w:spacing w:val="1"/>
        </w:rPr>
        <w:t> </w:t>
      </w:r>
      <w:r>
        <w:rPr/>
        <w:t>will likely be infected with the rotavirus before the fifth birthday, and children between 4-</w:t>
      </w:r>
      <w:r>
        <w:rPr>
          <w:spacing w:val="1"/>
        </w:rPr>
        <w:t> </w:t>
      </w:r>
      <w:r>
        <w:rPr/>
        <w:t>23</w:t>
      </w:r>
      <w:r>
        <w:rPr>
          <w:spacing w:val="-1"/>
        </w:rPr>
        <w:t> </w:t>
      </w:r>
      <w:r>
        <w:rPr/>
        <w:t>months are</w:t>
      </w:r>
      <w:r>
        <w:rPr>
          <w:spacing w:val="-2"/>
        </w:rPr>
        <w:t> </w:t>
      </w:r>
      <w:r>
        <w:rPr/>
        <w:t>mostly</w:t>
      </w:r>
      <w:r>
        <w:rPr>
          <w:spacing w:val="-5"/>
        </w:rPr>
        <w:t> </w:t>
      </w:r>
      <w:r>
        <w:rPr/>
        <w:t>affected (Braeckman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Diarrhoea caused by rotavirus has raised the alarm at an international level. Rotavirus</w:t>
      </w:r>
      <w:r>
        <w:rPr>
          <w:spacing w:val="1"/>
        </w:rPr>
        <w:t> </w:t>
      </w:r>
      <w:r>
        <w:rPr/>
        <w:t>vaccine is the first means of decreasing mortality caused by this infectious agent (Steel and</w:t>
      </w:r>
      <w:r>
        <w:rPr>
          <w:spacing w:val="1"/>
        </w:rPr>
        <w:t> </w:t>
      </w:r>
      <w:r>
        <w:rPr/>
        <w:t>Glass, 2011). Vaccines are also available to prevent diarrhoea related morbidity caused by</w:t>
      </w:r>
      <w:r>
        <w:rPr>
          <w:spacing w:val="1"/>
        </w:rPr>
        <w:t> </w:t>
      </w:r>
      <w:r>
        <w:rPr>
          <w:i/>
        </w:rPr>
        <w:t>Vibrio</w:t>
      </w:r>
      <w:r>
        <w:rPr>
          <w:i/>
          <w:spacing w:val="-1"/>
        </w:rPr>
        <w:t> </w:t>
      </w:r>
      <w:r>
        <w:rPr>
          <w:i/>
        </w:rPr>
        <w:t>cholera</w:t>
      </w:r>
      <w:r>
        <w:rPr/>
        <w:t>, </w:t>
      </w:r>
      <w:r>
        <w:rPr>
          <w:i/>
        </w:rPr>
        <w:t>Salmonella typhi</w:t>
      </w:r>
      <w:r>
        <w:rPr>
          <w:i/>
          <w:spacing w:val="-1"/>
        </w:rPr>
        <w:t> </w:t>
      </w:r>
      <w:r>
        <w:rPr/>
        <w:t>and measles (Apata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1" w:after="0"/>
        <w:ind w:left="1105" w:right="0" w:hanging="841"/>
        <w:jc w:val="left"/>
        <w:rPr>
          <w:i/>
          <w:sz w:val="24"/>
        </w:rPr>
      </w:pPr>
      <w:r>
        <w:rPr>
          <w:i/>
          <w:sz w:val="24"/>
        </w:rPr>
        <w:t>Vitamins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Micronutrients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Supplementation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7"/>
        <w:jc w:val="both"/>
      </w:pPr>
      <w:r>
        <w:rPr/>
        <w:t>Several vitamins and micronutrients are important for the well functioning of innate and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(Katona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Katona-Apte,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Worldwide,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deficiencies,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vitamins A, C, and E and essentials minerals such as zinc, iron, and iodine which can result</w:t>
      </w:r>
      <w:r>
        <w:rPr>
          <w:spacing w:val="1"/>
        </w:rPr>
        <w:t> </w:t>
      </w:r>
      <w:r>
        <w:rPr/>
        <w:t>in poor growth, cognitive impairment, increased mortality and vulnerability to infectious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such as diarrhoea</w:t>
      </w:r>
      <w:r>
        <w:rPr>
          <w:spacing w:val="-1"/>
        </w:rPr>
        <w:t> </w:t>
      </w:r>
      <w:r>
        <w:rPr/>
        <w:t>(Mokomane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2018).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876"/>
        <w:jc w:val="both"/>
      </w:pPr>
      <w:r>
        <w:rPr/>
        <w:t>To prevent</w:t>
      </w:r>
      <w:r>
        <w:rPr>
          <w:spacing w:val="1"/>
        </w:rPr>
        <w:t> </w:t>
      </w:r>
      <w:r>
        <w:rPr/>
        <w:t>and curtail</w:t>
      </w:r>
      <w:r>
        <w:rPr>
          <w:spacing w:val="1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the WHO recommends</w:t>
      </w:r>
      <w:r>
        <w:rPr>
          <w:spacing w:val="1"/>
        </w:rPr>
        <w:t> </w:t>
      </w:r>
      <w:r>
        <w:rPr/>
        <w:t>improvement in</w:t>
      </w:r>
      <w:r>
        <w:rPr>
          <w:spacing w:val="60"/>
        </w:rPr>
        <w:t> </w:t>
      </w:r>
      <w:r>
        <w:rPr/>
        <w:t>child nutrition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micronutrients</w:t>
      </w:r>
      <w:r>
        <w:rPr>
          <w:spacing w:val="1"/>
        </w:rPr>
        <w:t> </w:t>
      </w:r>
      <w:r>
        <w:rPr/>
        <w:t>supplementation.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(Aggarwal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impaired</w:t>
      </w:r>
      <w:r>
        <w:rPr>
          <w:spacing w:val="15"/>
        </w:rPr>
        <w:t> </w:t>
      </w:r>
      <w:r>
        <w:rPr/>
        <w:t>immunologic</w:t>
      </w:r>
      <w:r>
        <w:rPr>
          <w:spacing w:val="17"/>
        </w:rPr>
        <w:t> </w:t>
      </w:r>
      <w:r>
        <w:rPr/>
        <w:t>properties,</w:t>
      </w:r>
      <w:r>
        <w:rPr>
          <w:spacing w:val="15"/>
        </w:rPr>
        <w:t> </w:t>
      </w:r>
      <w:r>
        <w:rPr/>
        <w:t>resulting</w:t>
      </w:r>
      <w:r>
        <w:rPr>
          <w:spacing w:val="19"/>
        </w:rPr>
        <w:t> </w:t>
      </w:r>
      <w:r>
        <w:rPr/>
        <w:t>from</w:t>
      </w:r>
      <w:r>
        <w:rPr>
          <w:spacing w:val="16"/>
        </w:rPr>
        <w:t> </w:t>
      </w:r>
      <w:r>
        <w:rPr/>
        <w:t>increased</w:t>
      </w:r>
      <w:r>
        <w:rPr>
          <w:spacing w:val="16"/>
        </w:rPr>
        <w:t> </w:t>
      </w:r>
      <w:r>
        <w:rPr/>
        <w:t>susceptibility</w:t>
      </w:r>
      <w:r>
        <w:rPr>
          <w:spacing w:val="12"/>
        </w:rPr>
        <w:t> </w:t>
      </w:r>
      <w:r>
        <w:rPr/>
        <w:t>to</w:t>
      </w:r>
      <w:r>
        <w:rPr>
          <w:spacing w:val="16"/>
        </w:rPr>
        <w:t> </w:t>
      </w:r>
      <w:r>
        <w:rPr/>
        <w:t>diarrhoea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7"/>
        <w:jc w:val="both"/>
      </w:pPr>
      <w:r>
        <w:rPr/>
        <w:t>causing pathogens. Therefore, vitamin D is an additional micronutrient required to prevent</w:t>
      </w:r>
      <w:r>
        <w:rPr>
          <w:spacing w:val="1"/>
        </w:rPr>
        <w:t> </w:t>
      </w:r>
      <w:r>
        <w:rPr/>
        <w:t>childhood</w:t>
      </w:r>
      <w:r>
        <w:rPr>
          <w:spacing w:val="-1"/>
        </w:rPr>
        <w:t> </w:t>
      </w:r>
      <w:r>
        <w:rPr/>
        <w:t>diarrhoea (Aluisio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926" w:val="left" w:leader="none"/>
        </w:tabs>
        <w:spacing w:line="240" w:lineRule="auto" w:before="0" w:after="0"/>
        <w:ind w:left="925" w:right="0" w:hanging="661"/>
        <w:jc w:val="both"/>
      </w:pPr>
      <w:bookmarkStart w:name="_TOC_250048" w:id="27"/>
      <w:r>
        <w:rPr/>
        <w:t>Antidiarrhoeal</w:t>
      </w:r>
      <w:r>
        <w:rPr>
          <w:spacing w:val="-2"/>
        </w:rPr>
        <w:t> </w:t>
      </w:r>
      <w:bookmarkEnd w:id="27"/>
      <w:r>
        <w:rPr/>
        <w:t>Drugs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Antidiarrhoeal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alleviate</w:t>
      </w:r>
      <w:r>
        <w:rPr>
          <w:spacing w:val="1"/>
        </w:rPr>
        <w:t> </w:t>
      </w:r>
      <w:r>
        <w:rPr/>
        <w:t>diarrhoea.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antimotility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(loperamide),</w:t>
      </w:r>
      <w:r>
        <w:rPr>
          <w:spacing w:val="1"/>
        </w:rPr>
        <w:t> </w:t>
      </w:r>
      <w:r>
        <w:rPr/>
        <w:t>antisecretory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(racecadotril),</w:t>
      </w:r>
      <w:r>
        <w:rPr>
          <w:spacing w:val="-1"/>
        </w:rPr>
        <w:t> </w:t>
      </w:r>
      <w:r>
        <w:rPr/>
        <w:t>probiotics,</w:t>
      </w:r>
      <w:r>
        <w:rPr>
          <w:spacing w:val="1"/>
        </w:rPr>
        <w:t> </w:t>
      </w:r>
      <w:r>
        <w:rPr/>
        <w:t>and adsorbents (Faure,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0" w:after="0"/>
        <w:ind w:left="1105" w:right="0" w:hanging="841"/>
        <w:jc w:val="both"/>
        <w:rPr>
          <w:i/>
          <w:sz w:val="24"/>
        </w:rPr>
      </w:pPr>
      <w:r>
        <w:rPr>
          <w:i/>
          <w:sz w:val="24"/>
        </w:rPr>
        <w:t>Antimotility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Antisecretory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2" w:firstLine="59"/>
        <w:jc w:val="both"/>
      </w:pPr>
      <w:r>
        <w:rPr/>
        <w:t>Opioid receptor agonists are used to treat increased intestinal motility associated with</w:t>
      </w:r>
      <w:r>
        <w:rPr>
          <w:spacing w:val="1"/>
        </w:rPr>
        <w:t> </w:t>
      </w:r>
      <w:r>
        <w:rPr/>
        <w:t>diarrhoea by relaxing the intestinal smooth muscle, thereby increasing the small intestinal</w:t>
      </w:r>
      <w:r>
        <w:rPr>
          <w:spacing w:val="1"/>
        </w:rPr>
        <w:t> </w:t>
      </w:r>
      <w:r>
        <w:rPr/>
        <w:t>residence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(Winkler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Loperamide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diphenoxylate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the first-line</w:t>
      </w:r>
      <w:r>
        <w:rPr>
          <w:spacing w:val="-1"/>
        </w:rPr>
        <w:t> </w:t>
      </w:r>
      <w:r>
        <w:rPr/>
        <w:t>drugs used as antimotility</w:t>
      </w:r>
      <w:r>
        <w:rPr>
          <w:spacing w:val="-6"/>
        </w:rPr>
        <w:t> </w:t>
      </w:r>
      <w:r>
        <w:rPr/>
        <w:t>in diarrhoea</w:t>
      </w:r>
      <w:r>
        <w:rPr>
          <w:spacing w:val="-2"/>
        </w:rPr>
        <w:t> </w:t>
      </w:r>
      <w:r>
        <w:rPr/>
        <w:t>(Kumpf, 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4"/>
        <w:jc w:val="both"/>
      </w:pPr>
      <w:r>
        <w:rPr/>
        <w:t>Loperamide is a synthetic and peripherally acting mu (µ) opioid receptor agonist devoid of</w:t>
      </w:r>
      <w:r>
        <w:rPr>
          <w:spacing w:val="1"/>
        </w:rPr>
        <w:t> </w:t>
      </w:r>
      <w:r>
        <w:rPr/>
        <w:t>unwanted central nervous system (CNS) effects such as dizziness, euphoria and addiction</w:t>
      </w:r>
      <w:r>
        <w:rPr>
          <w:spacing w:val="1"/>
        </w:rPr>
        <w:t> </w:t>
      </w:r>
      <w:r>
        <w:rPr/>
        <w:t>because it hardly crosses the blood-brain barrier. It binds to intestinal μ opioid receptors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myenteric</w:t>
      </w:r>
      <w:r>
        <w:rPr>
          <w:spacing w:val="1"/>
        </w:rPr>
        <w:t> </w:t>
      </w:r>
      <w:r>
        <w:rPr/>
        <w:t>plexus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(Laaveri </w:t>
      </w:r>
      <w:r>
        <w:rPr>
          <w:i/>
        </w:rPr>
        <w:t>et al</w:t>
      </w:r>
      <w:r>
        <w:rPr/>
        <w:t>., 2016). The loperamide also prevents acetylcholine release and decreases</w:t>
      </w:r>
      <w:r>
        <w:rPr>
          <w:spacing w:val="1"/>
        </w:rPr>
        <w:t> </w:t>
      </w:r>
      <w:r>
        <w:rPr/>
        <w:t>intestinal motility and secretion due to its inhibitory effects on muscarinic acetylcholine</w:t>
      </w:r>
      <w:r>
        <w:rPr>
          <w:spacing w:val="1"/>
        </w:rPr>
        <w:t> </w:t>
      </w:r>
      <w:r>
        <w:rPr/>
        <w:t>receptors on the secretory cells along the intestinal wall</w:t>
      </w:r>
      <w:r>
        <w:rPr>
          <w:spacing w:val="1"/>
        </w:rPr>
        <w:t> </w:t>
      </w:r>
      <w:r>
        <w:rPr/>
        <w:t>eventually reduces water and</w:t>
      </w:r>
      <w:r>
        <w:rPr>
          <w:spacing w:val="1"/>
        </w:rPr>
        <w:t> </w:t>
      </w:r>
      <w:r>
        <w:rPr/>
        <w:t>electrolytes loss, stool volume and maintain</w:t>
      </w:r>
      <w:r>
        <w:rPr>
          <w:spacing w:val="60"/>
        </w:rPr>
        <w:t> </w:t>
      </w:r>
      <w:r>
        <w:rPr/>
        <w:t>stool consistency (Lee, 2015). The drug's</w:t>
      </w:r>
      <w:r>
        <w:rPr>
          <w:spacing w:val="1"/>
        </w:rPr>
        <w:t> </w:t>
      </w:r>
      <w:r>
        <w:rPr/>
        <w:t>stated dosage regimen is 4 mg starting dose, then 2 mg after every loose stool (Laaveri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2016).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Diphenoxylate is weak μ opioid receptor agonist used in the treatment of diarrhoea 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(Nemlekar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diphenoxylate hydrochloride (2.5 mg) and atropine sulfate (0.025 mg) included to limit the</w:t>
      </w:r>
      <w:r>
        <w:rPr>
          <w:spacing w:val="1"/>
        </w:rPr>
        <w:t> </w:t>
      </w:r>
      <w:r>
        <w:rPr/>
        <w:t>chances of abuse while enhancing the antidiarrhoeal action of the diphenoxylate. However,</w:t>
      </w:r>
      <w:r>
        <w:rPr>
          <w:spacing w:val="1"/>
        </w:rPr>
        <w:t> </w:t>
      </w:r>
      <w:r>
        <w:rPr/>
        <w:t>at a high dose, atropine sulfate causes unpleasant side effects such as tachycardia, mouth</w:t>
      </w:r>
      <w:r>
        <w:rPr>
          <w:spacing w:val="1"/>
        </w:rPr>
        <w:t> </w:t>
      </w:r>
      <w:r>
        <w:rPr/>
        <w:t>dryness</w:t>
      </w:r>
      <w:r>
        <w:rPr>
          <w:spacing w:val="-1"/>
        </w:rPr>
        <w:t> </w:t>
      </w:r>
      <w:r>
        <w:rPr/>
        <w:t>and blurred</w:t>
      </w:r>
      <w:r>
        <w:rPr>
          <w:spacing w:val="1"/>
        </w:rPr>
        <w:t> </w:t>
      </w:r>
      <w:r>
        <w:rPr/>
        <w:t>vision (Mehra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2"/>
        <w:jc w:val="both"/>
      </w:pPr>
      <w:r>
        <w:rPr/>
        <w:t>The antidiarrhoeal</w:t>
      </w:r>
      <w:r>
        <w:rPr>
          <w:spacing w:val="1"/>
        </w:rPr>
        <w:t> </w:t>
      </w:r>
      <w:r>
        <w:rPr/>
        <w:t>action of diphenoxylate is</w:t>
      </w:r>
      <w:r>
        <w:rPr>
          <w:spacing w:val="1"/>
        </w:rPr>
        <w:t> </w:t>
      </w:r>
      <w:r>
        <w:rPr/>
        <w:t>by its direct action on intestinal</w:t>
      </w:r>
      <w:r>
        <w:rPr>
          <w:spacing w:val="60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 where it binds to μ opioid receptor and reduces intestinal transit (Cooper, 2013).</w:t>
      </w:r>
      <w:r>
        <w:rPr>
          <w:spacing w:val="1"/>
        </w:rPr>
        <w:t> </w:t>
      </w:r>
      <w:r>
        <w:rPr/>
        <w:t>Diphenoxylate crosses the blood-brain barrier and binds to central μ opioid receptors which</w:t>
      </w:r>
      <w:r>
        <w:rPr>
          <w:spacing w:val="-57"/>
        </w:rPr>
        <w:t> </w:t>
      </w:r>
      <w:r>
        <w:rPr/>
        <w:t>accounts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its abuse</w:t>
      </w:r>
      <w:r>
        <w:rPr>
          <w:spacing w:val="-1"/>
        </w:rPr>
        <w:t> </w:t>
      </w:r>
      <w:r>
        <w:rPr/>
        <w:t>potential (Mehra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5"/>
        <w:jc w:val="both"/>
      </w:pPr>
      <w:r>
        <w:rPr/>
        <w:t>Racecadotril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antisecretory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neutral</w:t>
      </w:r>
      <w:r>
        <w:rPr>
          <w:spacing w:val="-57"/>
        </w:rPr>
        <w:t> </w:t>
      </w:r>
      <w:r>
        <w:rPr/>
        <w:t>endopeptidase enzymes, called enkephalinase, a cell membrane peptidase enzyme found</w:t>
      </w:r>
      <w:r>
        <w:rPr>
          <w:spacing w:val="1"/>
        </w:rPr>
        <w:t> </w:t>
      </w:r>
      <w:r>
        <w:rPr/>
        <w:t>mostly in the small intestinal epithelium that breaks enkephalins which have absorptive and</w:t>
      </w:r>
      <w:r>
        <w:rPr>
          <w:spacing w:val="-57"/>
        </w:rPr>
        <w:t> </w:t>
      </w:r>
      <w:r>
        <w:rPr/>
        <w:t>antisecretory</w:t>
      </w:r>
      <w:r>
        <w:rPr>
          <w:spacing w:val="21"/>
        </w:rPr>
        <w:t> </w:t>
      </w:r>
      <w:r>
        <w:rPr/>
        <w:t>properties</w:t>
      </w:r>
      <w:r>
        <w:rPr>
          <w:spacing w:val="22"/>
        </w:rPr>
        <w:t> </w:t>
      </w:r>
      <w:r>
        <w:rPr/>
        <w:t>(Eberlin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.,</w:t>
      </w:r>
      <w:r>
        <w:rPr>
          <w:spacing w:val="23"/>
        </w:rPr>
        <w:t> </w:t>
      </w:r>
      <w:r>
        <w:rPr/>
        <w:t>2012).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drug</w:t>
      </w:r>
      <w:r>
        <w:rPr>
          <w:spacing w:val="23"/>
        </w:rPr>
        <w:t> </w:t>
      </w:r>
      <w:r>
        <w:rPr/>
        <w:t>promotes</w:t>
      </w:r>
      <w:r>
        <w:rPr>
          <w:spacing w:val="23"/>
        </w:rPr>
        <w:t> </w:t>
      </w:r>
      <w:r>
        <w:rPr/>
        <w:t>antisecretory</w:t>
      </w:r>
      <w:r>
        <w:rPr>
          <w:spacing w:val="21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prolonging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enkephalins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endopeptidase.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racecadotril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endopeptidases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hypersecretion of water and electrolytes without effects on intestinal motility and transit</w:t>
      </w:r>
      <w:r>
        <w:rPr>
          <w:spacing w:val="1"/>
        </w:rPr>
        <w:t> </w:t>
      </w:r>
      <w:r>
        <w:rPr/>
        <w:t>(Gordon</w:t>
      </w:r>
      <w:r>
        <w:rPr>
          <w:spacing w:val="-1"/>
        </w:rPr>
        <w:t> </w:t>
      </w:r>
      <w:r>
        <w:rPr/>
        <w:t>and Akobeng, 2016).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0" w:after="0"/>
        <w:ind w:left="1105" w:right="0" w:hanging="841"/>
        <w:jc w:val="left"/>
        <w:rPr>
          <w:i/>
          <w:sz w:val="24"/>
        </w:rPr>
      </w:pPr>
      <w:r>
        <w:rPr>
          <w:i/>
          <w:sz w:val="24"/>
        </w:rPr>
        <w:t>Somatostatins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analogue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6"/>
        <w:jc w:val="both"/>
      </w:pPr>
      <w:r>
        <w:rPr/>
        <w:t>Somatostatin and its synthetic analogue octreotide have an intestinal antimotility effect.</w:t>
      </w:r>
      <w:r>
        <w:rPr>
          <w:spacing w:val="1"/>
        </w:rPr>
        <w:t> </w:t>
      </w:r>
      <w:r>
        <w:rPr/>
        <w:t>These</w:t>
      </w:r>
      <w:r>
        <w:rPr>
          <w:spacing w:val="35"/>
        </w:rPr>
        <w:t> </w:t>
      </w:r>
      <w:r>
        <w:rPr/>
        <w:t>drugs</w:t>
      </w:r>
      <w:r>
        <w:rPr>
          <w:spacing w:val="38"/>
        </w:rPr>
        <w:t> </w:t>
      </w:r>
      <w:r>
        <w:rPr/>
        <w:t>decrease</w:t>
      </w:r>
      <w:r>
        <w:rPr>
          <w:spacing w:val="36"/>
        </w:rPr>
        <w:t> </w:t>
      </w:r>
      <w:r>
        <w:rPr/>
        <w:t>intestinal</w:t>
      </w:r>
      <w:r>
        <w:rPr>
          <w:spacing w:val="37"/>
        </w:rPr>
        <w:t> </w:t>
      </w:r>
      <w:r>
        <w:rPr/>
        <w:t>motility</w:t>
      </w:r>
      <w:r>
        <w:rPr>
          <w:spacing w:val="28"/>
        </w:rPr>
        <w:t> </w:t>
      </w:r>
      <w:r>
        <w:rPr/>
        <w:t>and</w:t>
      </w:r>
      <w:r>
        <w:rPr>
          <w:spacing w:val="39"/>
        </w:rPr>
        <w:t> </w:t>
      </w:r>
      <w:r>
        <w:rPr/>
        <w:t>fluid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electrolyte</w:t>
      </w:r>
      <w:r>
        <w:rPr>
          <w:spacing w:val="35"/>
        </w:rPr>
        <w:t> </w:t>
      </w:r>
      <w:r>
        <w:rPr/>
        <w:t>secretion.</w:t>
      </w:r>
      <w:r>
        <w:rPr>
          <w:spacing w:val="37"/>
        </w:rPr>
        <w:t> </w:t>
      </w:r>
      <w:r>
        <w:rPr/>
        <w:t>These</w:t>
      </w:r>
      <w:r>
        <w:rPr>
          <w:spacing w:val="36"/>
        </w:rPr>
        <w:t> </w:t>
      </w:r>
      <w:r>
        <w:rPr/>
        <w:t>drugs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inactivate adenylate cyclase and inhibit G protein-coupled influx of calcium and potassium</w:t>
      </w:r>
      <w:r>
        <w:rPr>
          <w:spacing w:val="1"/>
        </w:rPr>
        <w:t> </w:t>
      </w:r>
      <w:r>
        <w:rPr/>
        <w:t>ions efflux,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(Szilagyi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Shrier,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Octreotide improved secretory diarrhoea management such as chemotherapy, HIV, and</w:t>
      </w:r>
      <w:r>
        <w:rPr>
          <w:spacing w:val="1"/>
        </w:rPr>
        <w:t> </w:t>
      </w:r>
      <w:r>
        <w:rPr/>
        <w:t>diabetes-associated</w:t>
      </w:r>
      <w:r>
        <w:rPr>
          <w:spacing w:val="-1"/>
        </w:rPr>
        <w:t> </w:t>
      </w:r>
      <w:r>
        <w:rPr/>
        <w:t>diarrhoea</w:t>
      </w:r>
      <w:r>
        <w:rPr>
          <w:spacing w:val="-1"/>
        </w:rPr>
        <w:t> </w:t>
      </w:r>
      <w:r>
        <w:rPr/>
        <w:t>(Fried, 1999).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1" w:after="0"/>
        <w:ind w:left="1105" w:right="0" w:hanging="841"/>
        <w:jc w:val="left"/>
        <w:rPr>
          <w:i/>
          <w:sz w:val="24"/>
        </w:rPr>
      </w:pPr>
      <w:r>
        <w:rPr>
          <w:i/>
          <w:sz w:val="24"/>
        </w:rPr>
        <w:t>Adsorbents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Adsorbents such as bismuth subsalicylate, kaolin, pectin, activated Attapulgite are 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diarrhoea.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adsorb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toxins,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stool</w:t>
      </w:r>
      <w:r>
        <w:rPr>
          <w:spacing w:val="-57"/>
        </w:rPr>
        <w:t> </w:t>
      </w:r>
      <w:r>
        <w:rPr/>
        <w:t>fluidity, thereby enhancing fluid and electrolyte absorption. However, these drugs produce</w:t>
      </w:r>
      <w:r>
        <w:rPr>
          <w:spacing w:val="1"/>
        </w:rPr>
        <w:t> </w:t>
      </w:r>
      <w:r>
        <w:rPr/>
        <w:t>dose-dependent side effects including stools darkness and constipation (Nwachukwu and</w:t>
      </w:r>
      <w:r>
        <w:rPr>
          <w:spacing w:val="1"/>
        </w:rPr>
        <w:t> </w:t>
      </w:r>
      <w:r>
        <w:rPr/>
        <w:t>Okebe,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1" w:after="0"/>
        <w:ind w:left="1105" w:right="0" w:hanging="841"/>
        <w:jc w:val="left"/>
        <w:rPr>
          <w:i/>
          <w:sz w:val="24"/>
        </w:rPr>
      </w:pPr>
      <w:r>
        <w:rPr>
          <w:i/>
          <w:sz w:val="24"/>
        </w:rPr>
        <w:t>Bile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Sequestrant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The presence of excess bile in the colon usually causes intestinal hypermotility and mucus</w:t>
      </w:r>
      <w:r>
        <w:rPr>
          <w:spacing w:val="1"/>
        </w:rPr>
        <w:t> </w:t>
      </w:r>
      <w:r>
        <w:rPr/>
        <w:t>secretion,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diarrhoea.</w:t>
      </w:r>
      <w:r>
        <w:rPr>
          <w:spacing w:val="1"/>
        </w:rPr>
        <w:t> </w:t>
      </w:r>
      <w:r>
        <w:rPr/>
        <w:t>Also, bile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malabsorption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ileo-caecal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ileum,</w:t>
      </w:r>
      <w:r>
        <w:rPr>
          <w:spacing w:val="1"/>
        </w:rPr>
        <w:t> </w:t>
      </w:r>
      <w:r>
        <w:rPr/>
        <w:t>radiation,</w:t>
      </w:r>
      <w:r>
        <w:rPr>
          <w:spacing w:val="1"/>
        </w:rPr>
        <w:t> </w:t>
      </w:r>
      <w:r>
        <w:rPr/>
        <w:t>cholecystectomy, bacterial overgrowth and intestinal dysmotility.</w:t>
      </w:r>
      <w:r>
        <w:rPr>
          <w:spacing w:val="1"/>
        </w:rPr>
        <w:t> </w:t>
      </w:r>
      <w:r>
        <w:rPr/>
        <w:t>In addition, bile acid</w:t>
      </w:r>
      <w:r>
        <w:rPr>
          <w:spacing w:val="1"/>
        </w:rPr>
        <w:t> </w:t>
      </w:r>
      <w:r>
        <w:rPr/>
        <w:t>malabsorption occurs in</w:t>
      </w:r>
      <w:r>
        <w:rPr>
          <w:spacing w:val="1"/>
        </w:rPr>
        <w:t> </w:t>
      </w:r>
      <w:r>
        <w:rPr/>
        <w:t>patients with functional diarrhoea or irritable</w:t>
      </w:r>
      <w:r>
        <w:rPr>
          <w:spacing w:val="60"/>
        </w:rPr>
        <w:t> </w:t>
      </w:r>
      <w:r>
        <w:rPr/>
        <w:t>bowel syndrome</w:t>
      </w:r>
      <w:r>
        <w:rPr>
          <w:spacing w:val="1"/>
        </w:rPr>
        <w:t> </w:t>
      </w:r>
      <w:r>
        <w:rPr/>
        <w:t>(Lee,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Cholestyramin,</w:t>
      </w:r>
      <w:r>
        <w:rPr>
          <w:spacing w:val="1"/>
        </w:rPr>
        <w:t> </w:t>
      </w:r>
      <w:r>
        <w:rPr/>
        <w:t>colestipol,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colesevelam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bile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toxins;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bile</w:t>
      </w:r>
      <w:r>
        <w:rPr>
          <w:spacing w:val="1"/>
        </w:rPr>
        <w:t> </w:t>
      </w:r>
      <w:r>
        <w:rPr/>
        <w:t>acid-induced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Clostridium</w:t>
      </w:r>
      <w:r>
        <w:rPr>
          <w:i/>
          <w:spacing w:val="-1"/>
        </w:rPr>
        <w:t> </w:t>
      </w:r>
      <w:r>
        <w:rPr>
          <w:i/>
        </w:rPr>
        <w:t>difficcile</w:t>
      </w:r>
      <w:r>
        <w:rPr>
          <w:i/>
          <w:spacing w:val="1"/>
        </w:rPr>
        <w:t> </w:t>
      </w:r>
      <w:r>
        <w:rPr/>
        <w:t>associated-diarrhoea</w:t>
      </w:r>
      <w:r>
        <w:rPr>
          <w:spacing w:val="-1"/>
        </w:rPr>
        <w:t> </w:t>
      </w:r>
      <w:r>
        <w:rPr/>
        <w:t>(Puri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2015).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Cholestyramine is a bile acid sequestrant, remains the first drug of choice in treating bile</w:t>
      </w:r>
      <w:r>
        <w:rPr>
          <w:spacing w:val="1"/>
        </w:rPr>
        <w:t> </w:t>
      </w:r>
      <w:r>
        <w:rPr/>
        <w:t>acid-induced</w:t>
      </w:r>
      <w:r>
        <w:rPr>
          <w:spacing w:val="27"/>
        </w:rPr>
        <w:t> </w:t>
      </w:r>
      <w:r>
        <w:rPr/>
        <w:t>diarrhoea.</w:t>
      </w:r>
      <w:r>
        <w:rPr>
          <w:spacing w:val="27"/>
        </w:rPr>
        <w:t> </w:t>
      </w:r>
      <w:r>
        <w:rPr/>
        <w:t>However,</w:t>
      </w:r>
      <w:r>
        <w:rPr>
          <w:spacing w:val="26"/>
        </w:rPr>
        <w:t> </w:t>
      </w:r>
      <w:r>
        <w:rPr/>
        <w:t>some</w:t>
      </w:r>
      <w:r>
        <w:rPr>
          <w:spacing w:val="28"/>
        </w:rPr>
        <w:t> </w:t>
      </w:r>
      <w:r>
        <w:rPr/>
        <w:t>patients</w:t>
      </w:r>
      <w:r>
        <w:rPr>
          <w:spacing w:val="29"/>
        </w:rPr>
        <w:t> </w:t>
      </w:r>
      <w:r>
        <w:rPr/>
        <w:t>poorly</w:t>
      </w:r>
      <w:r>
        <w:rPr>
          <w:spacing w:val="23"/>
        </w:rPr>
        <w:t> </w:t>
      </w:r>
      <w:r>
        <w:rPr/>
        <w:t>comply</w:t>
      </w:r>
      <w:r>
        <w:rPr>
          <w:spacing w:val="23"/>
        </w:rPr>
        <w:t> </w:t>
      </w:r>
      <w:r>
        <w:rPr/>
        <w:t>because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its</w:t>
      </w:r>
      <w:r>
        <w:rPr>
          <w:spacing w:val="27"/>
        </w:rPr>
        <w:t> </w:t>
      </w:r>
      <w:r>
        <w:rPr/>
        <w:t>unpleasant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2" w:lineRule="auto" w:before="70"/>
        <w:ind w:left="265" w:right="872"/>
        <w:jc w:val="both"/>
      </w:pPr>
      <w:r>
        <w:rPr/>
        <w:t>taste (Halilbasic </w:t>
      </w:r>
      <w:r>
        <w:rPr>
          <w:i/>
        </w:rPr>
        <w:t>et al</w:t>
      </w:r>
      <w:r>
        <w:rPr/>
        <w:t>., 2013). Cholestyramine has non-digestible resins which is attached to</w:t>
      </w:r>
      <w:r>
        <w:rPr>
          <w:spacing w:val="-57"/>
        </w:rPr>
        <w:t> </w:t>
      </w:r>
      <w:r>
        <w:rPr/>
        <w:t>bile acids in the intestine and enhance its removal in the stool. It is used to control bile acid-</w:t>
      </w:r>
      <w:r>
        <w:rPr>
          <w:spacing w:val="-57"/>
        </w:rPr>
        <w:t> </w:t>
      </w:r>
      <w:r>
        <w:rPr/>
        <w:t>induced</w:t>
      </w:r>
      <w:r>
        <w:rPr>
          <w:spacing w:val="-1"/>
        </w:rPr>
        <w:t> </w:t>
      </w:r>
      <w:r>
        <w:rPr/>
        <w:t>diarrhoea, particularly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irritable</w:t>
      </w:r>
      <w:r>
        <w:rPr>
          <w:spacing w:val="-2"/>
        </w:rPr>
        <w:t> </w:t>
      </w:r>
      <w:r>
        <w:rPr/>
        <w:t>bowel syndrome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(Lee, 2015).</w:t>
      </w: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191" w:after="0"/>
        <w:ind w:left="1105" w:right="0" w:hanging="841"/>
        <w:jc w:val="left"/>
        <w:rPr>
          <w:i/>
          <w:sz w:val="24"/>
        </w:rPr>
      </w:pPr>
      <w:r>
        <w:rPr>
          <w:i/>
          <w:sz w:val="24"/>
        </w:rPr>
        <w:t>Alpha</w:t>
      </w:r>
      <w:r>
        <w:rPr>
          <w:sz w:val="24"/>
        </w:rPr>
        <w:t>-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Adrenergic Agonist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65" w:right="873"/>
        <w:jc w:val="both"/>
      </w:pPr>
      <w:r>
        <w:rPr/>
        <w:t>Clonidine is an important drug used in the treatment of chronic diarrhoea (Tack, 2012). It</w:t>
      </w:r>
      <w:r>
        <w:rPr>
          <w:spacing w:val="1"/>
        </w:rPr>
        <w:t> </w:t>
      </w:r>
      <w:r>
        <w:rPr/>
        <w:t>binds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α</w:t>
      </w:r>
      <w:r>
        <w:rPr>
          <w:vertAlign w:val="subscript"/>
        </w:rPr>
        <w:t>2</w:t>
      </w:r>
      <w:r>
        <w:rPr>
          <w:vertAlign w:val="baseline"/>
        </w:rPr>
        <w:t>-adrenoceptors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intestinal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electrolytes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absorption, prevents intestinal hypersecretion and increases intestinal resident time. It also</w:t>
      </w:r>
      <w:r>
        <w:rPr>
          <w:spacing w:val="1"/>
          <w:vertAlign w:val="baseline"/>
        </w:rPr>
        <w:t> </w:t>
      </w:r>
      <w:r>
        <w:rPr>
          <w:vertAlign w:val="baseline"/>
        </w:rPr>
        <w:t>has antimotility effects</w:t>
      </w:r>
      <w:r>
        <w:rPr>
          <w:spacing w:val="60"/>
          <w:vertAlign w:val="baseline"/>
        </w:rPr>
        <w:t> </w:t>
      </w:r>
      <w:r>
        <w:rPr>
          <w:vertAlign w:val="baseline"/>
        </w:rPr>
        <w:t>by inhibiting acetylcholine release from the presynaptic nerves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myenteric plexus (Fragkos </w:t>
      </w:r>
      <w:r>
        <w:rPr>
          <w:i/>
          <w:vertAlign w:val="baseline"/>
        </w:rPr>
        <w:t>et al</w:t>
      </w:r>
      <w:r>
        <w:rPr>
          <w:vertAlign w:val="baseline"/>
        </w:rPr>
        <w:t>., 2016). This drug has been used to treat chronic</w:t>
      </w:r>
      <w:r>
        <w:rPr>
          <w:spacing w:val="1"/>
          <w:vertAlign w:val="baseline"/>
        </w:rPr>
        <w:t> </w:t>
      </w:r>
      <w:r>
        <w:rPr>
          <w:vertAlign w:val="baseline"/>
        </w:rPr>
        <w:t>secretory diarrhoea, opioids withdrawal diarrhoea, diabetic diarrhoea and chemotherapy-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-1"/>
          <w:vertAlign w:val="baseline"/>
        </w:rPr>
        <w:t> </w:t>
      </w:r>
      <w:r>
        <w:rPr>
          <w:vertAlign w:val="baseline"/>
        </w:rPr>
        <w:t>diarrhoea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hyperlink r:id="rId14">
        <w:r>
          <w:rPr>
            <w:vertAlign w:val="baseline"/>
          </w:rPr>
          <w:t>Li</w:t>
        </w:r>
        <w:r>
          <w:rPr>
            <w:spacing w:val="2"/>
            <w:vertAlign w:val="baseline"/>
          </w:rPr>
          <w:t> </w:t>
        </w:r>
        <w:r>
          <w:rPr>
            <w:vertAlign w:val="baseline"/>
          </w:rPr>
          <w:t>and Vaziri, 2012</w:t>
        </w:r>
      </w:hyperlink>
      <w:r>
        <w:rPr>
          <w:vertAlign w:val="baseline"/>
        </w:rPr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106" w:val="left" w:leader="none"/>
        </w:tabs>
        <w:spacing w:line="240" w:lineRule="auto" w:before="0" w:after="0"/>
        <w:ind w:left="1105" w:right="0" w:hanging="841"/>
        <w:jc w:val="left"/>
        <w:rPr>
          <w:i/>
          <w:sz w:val="24"/>
        </w:rPr>
      </w:pPr>
      <w:r>
        <w:rPr>
          <w:i/>
          <w:sz w:val="24"/>
        </w:rPr>
        <w:t>Bismuth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Subsalicylate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Bismuth subsalicylate is a drug used to treat conditions such as diarrhoea, acid reflux,</w:t>
      </w:r>
      <w:r>
        <w:rPr>
          <w:spacing w:val="1"/>
        </w:rPr>
        <w:t> </w:t>
      </w:r>
      <w:r>
        <w:rPr/>
        <w:t>gastritis and </w:t>
      </w:r>
      <w:r>
        <w:rPr>
          <w:i/>
        </w:rPr>
        <w:t>Helicobacter pylori </w:t>
      </w:r>
      <w:r>
        <w:rPr/>
        <w:t>infection in people of more than 12 years of age. It is</w:t>
      </w:r>
      <w:r>
        <w:rPr>
          <w:spacing w:val="1"/>
        </w:rPr>
        <w:t> </w:t>
      </w:r>
      <w:r>
        <w:rPr/>
        <w:t>probable mechanism of action is by coating the intestinal wall where it prevents intestinal</w:t>
      </w:r>
      <w:r>
        <w:rPr>
          <w:spacing w:val="1"/>
        </w:rPr>
        <w:t> </w:t>
      </w:r>
      <w:r>
        <w:rPr/>
        <w:t>hypersecretion, increases fluid and electrolytes absorption, decreases inflammation, exerts</w:t>
      </w:r>
      <w:r>
        <w:rPr>
          <w:spacing w:val="1"/>
        </w:rPr>
        <w:t> </w:t>
      </w:r>
      <w:r>
        <w:rPr/>
        <w:t>bactericidal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and inhibits</w:t>
      </w:r>
      <w:r>
        <w:rPr>
          <w:spacing w:val="-1"/>
        </w:rPr>
        <w:t> </w:t>
      </w:r>
      <w:r>
        <w:rPr/>
        <w:t>toxins from</w:t>
      </w:r>
      <w:r>
        <w:rPr>
          <w:spacing w:val="1"/>
        </w:rPr>
        <w:t> </w:t>
      </w:r>
      <w:r>
        <w:rPr/>
        <w:t>binding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intestine</w:t>
      </w:r>
      <w:r>
        <w:rPr>
          <w:spacing w:val="-2"/>
        </w:rPr>
        <w:t> </w:t>
      </w:r>
      <w:r>
        <w:rPr/>
        <w:t>(Sheele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3420" w:val="left" w:leader="none"/>
        </w:tabs>
        <w:spacing w:line="240" w:lineRule="auto" w:before="1" w:after="0"/>
        <w:ind w:left="3419" w:right="0" w:hanging="361"/>
        <w:jc w:val="both"/>
      </w:pPr>
      <w:bookmarkStart w:name="_TOC_250047" w:id="28"/>
      <w:r>
        <w:rPr/>
        <w:t>Toxicity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Medicinal</w:t>
      </w:r>
      <w:r>
        <w:rPr>
          <w:spacing w:val="-1"/>
        </w:rPr>
        <w:t> </w:t>
      </w:r>
      <w:bookmarkEnd w:id="28"/>
      <w:r>
        <w:rPr/>
        <w:t>Plants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Several medicinal plants are used to treat various diseases for years without investigating</w:t>
      </w:r>
      <w:r>
        <w:rPr>
          <w:spacing w:val="1"/>
        </w:rPr>
        <w:t> </w:t>
      </w:r>
      <w:r>
        <w:rPr/>
        <w:t>their toxic effects. These medicinal plants are identified as safe, but some studies have</w:t>
      </w:r>
      <w:r>
        <w:rPr>
          <w:spacing w:val="1"/>
        </w:rPr>
        <w:t> </w:t>
      </w:r>
      <w:r>
        <w:rPr/>
        <w:t>identified the harmful effects of many of the herbal medicines (Nfozon </w:t>
      </w:r>
      <w:r>
        <w:rPr>
          <w:i/>
        </w:rPr>
        <w:t>et al</w:t>
      </w:r>
      <w:r>
        <w:rPr/>
        <w:t>., 2019). The</w:t>
      </w:r>
      <w:r>
        <w:rPr>
          <w:spacing w:val="1"/>
        </w:rPr>
        <w:t> </w:t>
      </w:r>
      <w:r>
        <w:rPr/>
        <w:t>toxic</w:t>
      </w:r>
      <w:r>
        <w:rPr>
          <w:spacing w:val="10"/>
        </w:rPr>
        <w:t> </w:t>
      </w:r>
      <w:r>
        <w:rPr/>
        <w:t>effects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medicinal</w:t>
      </w:r>
      <w:r>
        <w:rPr>
          <w:spacing w:val="10"/>
        </w:rPr>
        <w:t> </w:t>
      </w:r>
      <w:r>
        <w:rPr/>
        <w:t>plants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animals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humans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evaluated</w:t>
      </w:r>
      <w:r>
        <w:rPr>
          <w:spacing w:val="13"/>
        </w:rPr>
        <w:t> </w:t>
      </w:r>
      <w:r>
        <w:rPr/>
        <w:t>by</w:t>
      </w:r>
      <w:r>
        <w:rPr>
          <w:spacing w:val="5"/>
        </w:rPr>
        <w:t> </w:t>
      </w:r>
      <w:r>
        <w:rPr/>
        <w:t>analyzing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5"/>
        <w:jc w:val="both"/>
      </w:pPr>
      <w:r>
        <w:rPr/>
        <w:t>physiological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parameter and histopathology</w:t>
      </w:r>
      <w:r>
        <w:rPr>
          <w:spacing w:val="-5"/>
        </w:rPr>
        <w:t> </w:t>
      </w:r>
      <w:r>
        <w:rPr/>
        <w:t>(Jothy</w:t>
      </w:r>
      <w:r>
        <w:rPr>
          <w:spacing w:val="-5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563" w:right="0" w:firstLine="0"/>
        <w:jc w:val="both"/>
        <w:rPr>
          <w:b/>
          <w:sz w:val="24"/>
        </w:rPr>
      </w:pPr>
      <w:r>
        <w:rPr>
          <w:b/>
          <w:sz w:val="24"/>
        </w:rPr>
        <w:t>2.3.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Diels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(Combretaceae)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2"/>
        <w:jc w:val="both"/>
      </w:pP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Diels</w:t>
      </w:r>
      <w:r>
        <w:rPr>
          <w:spacing w:val="1"/>
        </w:rPr>
        <w:t> </w:t>
      </w:r>
      <w:r>
        <w:rPr/>
        <w:t>(Combretaceae)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synonym</w:t>
      </w:r>
      <w:r>
        <w:rPr>
          <w:spacing w:val="1"/>
        </w:rPr>
        <w:t> </w:t>
      </w:r>
      <w:r>
        <w:rPr/>
        <w:t>of </w:t>
      </w:r>
      <w:r>
        <w:rPr>
          <w:i/>
        </w:rPr>
        <w:t>Combretum</w:t>
      </w:r>
      <w:r>
        <w:rPr>
          <w:i/>
          <w:spacing w:val="-57"/>
        </w:rPr>
        <w:t> </w:t>
      </w:r>
      <w:r>
        <w:rPr>
          <w:i/>
        </w:rPr>
        <w:t>collinum </w:t>
      </w:r>
      <w:r>
        <w:rPr/>
        <w:t>Fresen sub-specie </w:t>
      </w:r>
      <w:r>
        <w:rPr>
          <w:i/>
        </w:rPr>
        <w:t>hypopilinum </w:t>
      </w:r>
      <w:r>
        <w:rPr/>
        <w:t>(Diels). It is commonly known as </w:t>
      </w:r>
      <w:r>
        <w:rPr>
          <w:i/>
        </w:rPr>
        <w:t>Jar taramniya </w:t>
      </w:r>
      <w:r>
        <w:rPr/>
        <w:t>or</w:t>
      </w:r>
      <w:r>
        <w:rPr>
          <w:spacing w:val="-57"/>
        </w:rPr>
        <w:t> </w:t>
      </w:r>
      <w:r>
        <w:rPr>
          <w:i/>
        </w:rPr>
        <w:t>jar ganye </w:t>
      </w:r>
      <w:r>
        <w:rPr/>
        <w:t>in Hausa, </w:t>
      </w:r>
      <w:r>
        <w:rPr>
          <w:i/>
        </w:rPr>
        <w:t>buski daneehi </w:t>
      </w:r>
      <w:r>
        <w:rPr/>
        <w:t>in Fulfulde, </w:t>
      </w:r>
      <w:r>
        <w:rPr>
          <w:i/>
        </w:rPr>
        <w:t>katankara </w:t>
      </w:r>
      <w:r>
        <w:rPr/>
        <w:t>in Kanuri, and </w:t>
      </w:r>
      <w:r>
        <w:rPr>
          <w:i/>
        </w:rPr>
        <w:t>aro </w:t>
      </w:r>
      <w:r>
        <w:rPr/>
        <w:t>in Yoruba</w:t>
      </w:r>
      <w:r>
        <w:rPr>
          <w:spacing w:val="1"/>
        </w:rPr>
        <w:t> </w:t>
      </w:r>
      <w:r>
        <w:rPr/>
        <w:t>language of Nigeria (</w:t>
      </w:r>
      <w:r>
        <w:rPr>
          <w:color w:val="212121"/>
        </w:rPr>
        <w:t>Adamu </w:t>
      </w:r>
      <w:r>
        <w:rPr>
          <w:i/>
          <w:color w:val="212121"/>
        </w:rPr>
        <w:t>et al</w:t>
      </w:r>
      <w:r>
        <w:rPr>
          <w:color w:val="212121"/>
        </w:rPr>
        <w:t>., 2005; Saganuwan </w:t>
      </w:r>
      <w:r>
        <w:rPr>
          <w:i/>
          <w:color w:val="212121"/>
        </w:rPr>
        <w:t>et al</w:t>
      </w:r>
      <w:r>
        <w:rPr>
          <w:color w:val="212121"/>
        </w:rPr>
        <w:t>., 2010)</w:t>
      </w:r>
      <w:r>
        <w:rPr/>
        <w:t>. It is a shrub average in</w:t>
      </w:r>
      <w:r>
        <w:rPr>
          <w:spacing w:val="1"/>
        </w:rPr>
        <w:t> </w:t>
      </w:r>
      <w:r>
        <w:rPr/>
        <w:t>size with many stems that annually sheds its leaves. The plant has many branches of about</w:t>
      </w:r>
      <w:r>
        <w:rPr>
          <w:spacing w:val="1"/>
        </w:rPr>
        <w:t> </w:t>
      </w:r>
      <w:r>
        <w:rPr/>
        <w:t>12–17 m in height. It grows in various soils with semi-arid to moderate rainfall conditions</w:t>
      </w:r>
      <w:r>
        <w:rPr>
          <w:spacing w:val="1"/>
        </w:rPr>
        <w:t> </w:t>
      </w:r>
      <w:r>
        <w:rPr/>
        <w:t>(Idoh </w:t>
      </w:r>
      <w:r>
        <w:rPr>
          <w:i/>
        </w:rPr>
        <w:t>et al</w:t>
      </w:r>
      <w:r>
        <w:rPr/>
        <w:t>., 2018). It is distributed in the tropical and subtropical African region (Hedberg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1982).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I shows</w:t>
      </w:r>
      <w:r>
        <w:rPr>
          <w:spacing w:val="1"/>
        </w:rPr>
        <w:t> </w:t>
      </w:r>
      <w:r>
        <w:rPr/>
        <w:t>the branch</w:t>
      </w:r>
      <w:r>
        <w:rPr>
          <w:spacing w:val="1"/>
        </w:rPr>
        <w:t> </w:t>
      </w:r>
      <w:r>
        <w:rPr/>
        <w:t>of </w:t>
      </w:r>
      <w:r>
        <w:rPr>
          <w:i/>
        </w:rPr>
        <w:t>Combretum hypopilinum</w:t>
      </w:r>
      <w:r>
        <w:rPr>
          <w:i/>
          <w:spacing w:val="1"/>
        </w:rPr>
        <w:t> </w:t>
      </w:r>
      <w:r>
        <w:rPr/>
        <w:t>Diels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natural</w:t>
      </w:r>
      <w:r>
        <w:rPr>
          <w:spacing w:val="1"/>
        </w:rPr>
        <w:t> </w:t>
      </w:r>
      <w:r>
        <w:rPr/>
        <w:t>habitat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leaves and stems.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2"/>
          <w:numId w:val="12"/>
        </w:numPr>
        <w:tabs>
          <w:tab w:pos="806" w:val="left" w:leader="none"/>
        </w:tabs>
        <w:spacing w:line="240" w:lineRule="auto" w:before="0" w:after="0"/>
        <w:ind w:left="805" w:right="0" w:hanging="541"/>
        <w:jc w:val="left"/>
        <w:rPr>
          <w:b/>
          <w:i/>
          <w:sz w:val="24"/>
        </w:rPr>
      </w:pPr>
      <w:r>
        <w:rPr>
          <w:b/>
          <w:sz w:val="24"/>
        </w:rPr>
        <w:t>Taxonomy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hypopilinum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265" w:right="0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taxonomy</w:t>
      </w:r>
      <w:r>
        <w:rPr>
          <w:spacing w:val="-8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Combretum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hypopilinum </w:t>
      </w:r>
      <w:r>
        <w:rPr>
          <w:sz w:val="24"/>
        </w:rPr>
        <w:t>(Diels)</w:t>
      </w:r>
      <w:r>
        <w:rPr>
          <w:spacing w:val="2"/>
          <w:sz w:val="24"/>
        </w:rPr>
        <w:t> </w:t>
      </w:r>
      <w:r>
        <w:rPr>
          <w:sz w:val="24"/>
        </w:rPr>
        <w:t>is as follows: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361"/>
        <w:jc w:val="left"/>
        <w:rPr>
          <w:sz w:val="24"/>
        </w:rPr>
      </w:pPr>
      <w:r>
        <w:rPr>
          <w:sz w:val="24"/>
        </w:rPr>
        <w:t>Kingdom:</w:t>
      </w:r>
      <w:r>
        <w:rPr>
          <w:spacing w:val="-2"/>
          <w:sz w:val="24"/>
        </w:rPr>
        <w:t> </w:t>
      </w:r>
      <w:r>
        <w:rPr>
          <w:sz w:val="24"/>
        </w:rPr>
        <w:t>Viridiplantae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361"/>
        <w:jc w:val="left"/>
        <w:rPr>
          <w:sz w:val="24"/>
        </w:rPr>
      </w:pPr>
      <w:r>
        <w:rPr>
          <w:sz w:val="24"/>
        </w:rPr>
        <w:t>Division:</w:t>
      </w:r>
      <w:r>
        <w:rPr>
          <w:spacing w:val="-4"/>
          <w:sz w:val="24"/>
        </w:rPr>
        <w:t> </w:t>
      </w:r>
      <w:r>
        <w:rPr>
          <w:sz w:val="24"/>
        </w:rPr>
        <w:t>Streptophyta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361"/>
        <w:jc w:val="left"/>
        <w:rPr>
          <w:sz w:val="24"/>
        </w:rPr>
      </w:pPr>
      <w:r>
        <w:rPr>
          <w:sz w:val="24"/>
        </w:rPr>
        <w:t>Class:</w:t>
      </w:r>
      <w:r>
        <w:rPr>
          <w:spacing w:val="-2"/>
          <w:sz w:val="24"/>
        </w:rPr>
        <w:t> </w:t>
      </w:r>
      <w:r>
        <w:rPr>
          <w:sz w:val="24"/>
        </w:rPr>
        <w:t>Magnoliopsida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361"/>
        <w:jc w:val="left"/>
        <w:rPr>
          <w:sz w:val="24"/>
        </w:rPr>
      </w:pPr>
      <w:r>
        <w:rPr>
          <w:sz w:val="24"/>
        </w:rPr>
        <w:t>Order:</w:t>
      </w:r>
      <w:r>
        <w:rPr>
          <w:spacing w:val="-3"/>
          <w:sz w:val="24"/>
        </w:rPr>
        <w:t> </w:t>
      </w:r>
      <w:r>
        <w:rPr>
          <w:sz w:val="24"/>
        </w:rPr>
        <w:t>Myrtales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361"/>
        <w:jc w:val="left"/>
        <w:rPr>
          <w:sz w:val="24"/>
        </w:rPr>
      </w:pPr>
      <w:r>
        <w:rPr>
          <w:sz w:val="24"/>
        </w:rPr>
        <w:t>Family:</w:t>
      </w:r>
      <w:r>
        <w:rPr>
          <w:spacing w:val="-4"/>
          <w:sz w:val="24"/>
        </w:rPr>
        <w:t> </w:t>
      </w:r>
      <w:r>
        <w:rPr>
          <w:sz w:val="24"/>
        </w:rPr>
        <w:t>Combretaceae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361"/>
        <w:jc w:val="left"/>
        <w:rPr>
          <w:i/>
          <w:sz w:val="24"/>
        </w:rPr>
      </w:pPr>
      <w:r>
        <w:rPr>
          <w:sz w:val="24"/>
        </w:rPr>
        <w:t>Genus:</w:t>
      </w:r>
      <w:r>
        <w:rPr>
          <w:spacing w:val="-2"/>
          <w:sz w:val="24"/>
        </w:rPr>
        <w:t> </w:t>
      </w:r>
      <w:r>
        <w:rPr>
          <w:i/>
          <w:sz w:val="24"/>
        </w:rPr>
        <w:t>Combretum</w:t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3"/>
          <w:numId w:val="12"/>
        </w:numPr>
        <w:tabs>
          <w:tab w:pos="985" w:val="left" w:leader="none"/>
          <w:tab w:pos="986" w:val="left" w:leader="none"/>
        </w:tabs>
        <w:spacing w:line="240" w:lineRule="auto" w:before="1" w:after="0"/>
        <w:ind w:left="985" w:right="0" w:hanging="361"/>
        <w:jc w:val="left"/>
        <w:rPr>
          <w:sz w:val="24"/>
        </w:rPr>
      </w:pPr>
      <w:r>
        <w:rPr>
          <w:sz w:val="24"/>
        </w:rPr>
        <w:t>Species:</w:t>
      </w:r>
      <w:r>
        <w:rPr>
          <w:spacing w:val="-2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collinum</w:t>
      </w:r>
      <w:r>
        <w:rPr>
          <w:i/>
          <w:spacing w:val="-1"/>
          <w:sz w:val="24"/>
        </w:rPr>
        <w:t> </w:t>
      </w:r>
      <w:r>
        <w:rPr>
          <w:sz w:val="24"/>
        </w:rPr>
        <w:t>Diels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361"/>
        <w:jc w:val="left"/>
        <w:rPr>
          <w:i/>
          <w:sz w:val="24"/>
        </w:rPr>
      </w:pPr>
      <w:r>
        <w:rPr>
          <w:sz w:val="24"/>
        </w:rPr>
        <w:t>Sub-species:</w:t>
      </w:r>
      <w:r>
        <w:rPr>
          <w:spacing w:val="-2"/>
          <w:sz w:val="24"/>
        </w:rPr>
        <w:t> </w:t>
      </w:r>
      <w:r>
        <w:rPr>
          <w:i/>
          <w:sz w:val="24"/>
        </w:rPr>
        <w:t>Combretum hypopilinum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294" w:top="1340" w:bottom="480" w:left="1720" w:right="540"/>
        </w:sectPr>
      </w:pPr>
    </w:p>
    <w:p>
      <w:pPr>
        <w:pStyle w:val="ListParagraph"/>
        <w:numPr>
          <w:ilvl w:val="2"/>
          <w:numId w:val="12"/>
        </w:numPr>
        <w:tabs>
          <w:tab w:pos="806" w:val="left" w:leader="none"/>
        </w:tabs>
        <w:spacing w:line="240" w:lineRule="auto" w:before="75" w:after="0"/>
        <w:ind w:left="805" w:right="0" w:hanging="541"/>
        <w:jc w:val="both"/>
        <w:rPr>
          <w:b/>
          <w:i/>
          <w:sz w:val="24"/>
        </w:rPr>
      </w:pPr>
      <w:r>
        <w:rPr>
          <w:b/>
          <w:sz w:val="24"/>
        </w:rPr>
        <w:t>Ethnomedicinal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hypopilinum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infusion of the dried or fresh leaves and the decoction of the root bark are used to treat</w:t>
      </w:r>
      <w:r>
        <w:rPr>
          <w:spacing w:val="1"/>
        </w:rPr>
        <w:t> </w:t>
      </w:r>
      <w:r>
        <w:rPr/>
        <w:t>cholestasis and GIT diseases such as diarrhoea, dysentery and abdominal pain. It has also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reported to be</w:t>
      </w:r>
      <w:r>
        <w:rPr>
          <w:spacing w:val="-1"/>
        </w:rPr>
        <w:t> </w:t>
      </w:r>
      <w:r>
        <w:rPr/>
        <w:t>used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diuretic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purgative (Fyhrquist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The decoction of leaves and twigs is taken orally and the fresh roots are chewed to treat</w:t>
      </w:r>
      <w:r>
        <w:rPr>
          <w:spacing w:val="1"/>
        </w:rPr>
        <w:t> </w:t>
      </w:r>
      <w:r>
        <w:rPr/>
        <w:t>respiratory diseases such as cough, bronchitis and tuberculosis. It is also used to treat</w:t>
      </w:r>
      <w:r>
        <w:rPr>
          <w:spacing w:val="1"/>
        </w:rPr>
        <w:t> </w:t>
      </w:r>
      <w:r>
        <w:rPr/>
        <w:t>jaundice and snake bite. The juice from the roots is applied externally to the affected part to</w:t>
      </w:r>
      <w:r>
        <w:rPr>
          <w:spacing w:val="-57"/>
        </w:rPr>
        <w:t> </w:t>
      </w:r>
      <w:r>
        <w:rPr/>
        <w:t>treat wounds,</w:t>
      </w:r>
      <w:r>
        <w:rPr>
          <w:spacing w:val="1"/>
        </w:rPr>
        <w:t> </w:t>
      </w:r>
      <w:r>
        <w:rPr/>
        <w:t>sores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toothache</w:t>
      </w:r>
      <w:r>
        <w:rPr>
          <w:spacing w:val="1"/>
        </w:rPr>
        <w:t> </w:t>
      </w:r>
      <w:r>
        <w:rPr/>
        <w:t>(Eloff,</w:t>
      </w:r>
      <w:r>
        <w:rPr>
          <w:spacing w:val="1"/>
        </w:rPr>
        <w:t> </w:t>
      </w:r>
      <w:r>
        <w:rPr/>
        <w:t>1999). The</w:t>
      </w:r>
      <w:r>
        <w:rPr>
          <w:spacing w:val="1"/>
        </w:rPr>
        <w:t> </w:t>
      </w:r>
      <w:r>
        <w:rPr/>
        <w:t>root bark</w:t>
      </w:r>
      <w:r>
        <w:rPr>
          <w:spacing w:val="60"/>
        </w:rPr>
        <w:t> </w:t>
      </w:r>
      <w:r>
        <w:rPr/>
        <w:t>is usually macerated or</w:t>
      </w:r>
      <w:r>
        <w:rPr>
          <w:spacing w:val="1"/>
        </w:rPr>
        <w:t> </w:t>
      </w:r>
      <w:r>
        <w:rPr/>
        <w:t>taken</w:t>
      </w:r>
      <w:r>
        <w:rPr>
          <w:spacing w:val="27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/>
        <w:t>decoction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treat</w:t>
      </w:r>
      <w:r>
        <w:rPr>
          <w:spacing w:val="30"/>
        </w:rPr>
        <w:t> </w:t>
      </w:r>
      <w:r>
        <w:rPr/>
        <w:t>gonorrhoea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infertility</w:t>
      </w:r>
      <w:r>
        <w:rPr>
          <w:spacing w:val="22"/>
        </w:rPr>
        <w:t> </w:t>
      </w:r>
      <w:r>
        <w:rPr/>
        <w:t>in</w:t>
      </w:r>
      <w:r>
        <w:rPr>
          <w:spacing w:val="28"/>
        </w:rPr>
        <w:t> </w:t>
      </w:r>
      <w:r>
        <w:rPr/>
        <w:t>males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females.</w:t>
      </w:r>
      <w:r>
        <w:rPr>
          <w:spacing w:val="30"/>
        </w:rPr>
        <w:t> </w:t>
      </w:r>
      <w:r>
        <w:rPr/>
        <w:t>Leaves</w:t>
      </w:r>
      <w:r>
        <w:rPr>
          <w:spacing w:val="28"/>
        </w:rPr>
        <w:t> </w:t>
      </w:r>
      <w:r>
        <w:rPr/>
        <w:t>are</w:t>
      </w:r>
      <w:r>
        <w:rPr>
          <w:spacing w:val="-58"/>
        </w:rPr>
        <w:t> </w:t>
      </w:r>
      <w:r>
        <w:rPr/>
        <w:t>also crushed and applied as a poultice in the treatment of fatigue and rheumatism. Also, the</w:t>
      </w:r>
      <w:r>
        <w:rPr>
          <w:spacing w:val="1"/>
        </w:rPr>
        <w:t> </w:t>
      </w:r>
      <w:r>
        <w:rPr/>
        <w:t>leaves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roots</w:t>
      </w:r>
      <w:r>
        <w:rPr>
          <w:spacing w:val="-1"/>
        </w:rPr>
        <w:t> </w:t>
      </w:r>
      <w:r>
        <w:rPr/>
        <w:t>infusion are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enhance</w:t>
      </w:r>
      <w:r>
        <w:rPr>
          <w:spacing w:val="-2"/>
        </w:rPr>
        <w:t> </w:t>
      </w:r>
      <w:r>
        <w:rPr/>
        <w:t>blood production (Abreu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12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  <w:rPr>
          <w:b/>
          <w:i/>
          <w:sz w:val="24"/>
        </w:rPr>
      </w:pPr>
      <w:r>
        <w:rPr>
          <w:b/>
          <w:sz w:val="24"/>
        </w:rPr>
        <w:t>Previous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</w:t>
      </w:r>
      <w:r>
        <w:rPr>
          <w:b/>
          <w:i/>
          <w:sz w:val="24"/>
        </w:rPr>
        <w:t>Combretum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hypopilinum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65" w:right="872"/>
        <w:jc w:val="both"/>
      </w:pPr>
      <w:r>
        <w:rPr/>
        <w:t>Pharmacological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/>
        <w:t>. Amino acids such as aspartic acid, glycine, glutamic acid and alanine were</w:t>
      </w:r>
      <w:r>
        <w:rPr>
          <w:spacing w:val="1"/>
        </w:rPr>
        <w:t> </w:t>
      </w:r>
      <w:r>
        <w:rPr/>
        <w:t>isolated from the gum fluid </w:t>
      </w:r>
      <w:r>
        <w:rPr>
          <w:i/>
        </w:rPr>
        <w:t>Combretum hypopilinum </w:t>
      </w:r>
      <w:r>
        <w:rPr/>
        <w:t>(Anderson </w:t>
      </w:r>
      <w:r>
        <w:rPr>
          <w:i/>
        </w:rPr>
        <w:t>et al</w:t>
      </w:r>
      <w:r>
        <w:rPr/>
        <w:t>., 1987). Additionally,</w:t>
      </w:r>
      <w:r>
        <w:rPr>
          <w:spacing w:val="1"/>
        </w:rPr>
        <w:t> </w:t>
      </w:r>
      <w:r>
        <w:rPr/>
        <w:t>combretastatin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stilbenoids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phenanthrenes,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isolated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aerial</w:t>
      </w:r>
      <w:r>
        <w:rPr>
          <w:spacing w:val="-1"/>
        </w:rPr>
        <w:t> </w:t>
      </w:r>
      <w:r>
        <w:rPr/>
        <w:t>parts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(Rogers and</w:t>
      </w:r>
      <w:r>
        <w:rPr>
          <w:spacing w:val="2"/>
        </w:rPr>
        <w:t> </w:t>
      </w:r>
      <w:r>
        <w:rPr/>
        <w:t>Coombes, 1999).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480" w:lineRule="auto" w:before="0"/>
        <w:ind w:left="265" w:right="874" w:firstLine="59"/>
        <w:jc w:val="both"/>
        <w:rPr>
          <w:sz w:val="24"/>
        </w:rPr>
      </w:pPr>
      <w:r>
        <w:rPr>
          <w:sz w:val="24"/>
        </w:rPr>
        <w:t>Fyhrquist </w:t>
      </w:r>
      <w:r>
        <w:rPr>
          <w:i/>
          <w:sz w:val="24"/>
        </w:rPr>
        <w:t>et al</w:t>
      </w:r>
      <w:r>
        <w:rPr>
          <w:sz w:val="24"/>
        </w:rPr>
        <w:t>. (2004) reported the antibacterial activity of aqueous stem bark and root</w:t>
      </w:r>
      <w:r>
        <w:rPr>
          <w:spacing w:val="1"/>
          <w:sz w:val="24"/>
        </w:rPr>
        <w:t> </w:t>
      </w:r>
      <w:r>
        <w:rPr>
          <w:sz w:val="24"/>
        </w:rPr>
        <w:t>extract of </w:t>
      </w:r>
      <w:r>
        <w:rPr>
          <w:i/>
          <w:sz w:val="24"/>
        </w:rPr>
        <w:t>Combretum hypopilinum </w:t>
      </w:r>
      <w:r>
        <w:rPr>
          <w:sz w:val="24"/>
        </w:rPr>
        <w:t>against </w:t>
      </w:r>
      <w:r>
        <w:rPr>
          <w:i/>
          <w:sz w:val="24"/>
        </w:rPr>
        <w:t>Proteus mirabilis, </w:t>
      </w:r>
      <w:r>
        <w:rPr>
          <w:sz w:val="24"/>
        </w:rPr>
        <w:t>while the leaf extract was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have</w:t>
      </w:r>
      <w:r>
        <w:rPr>
          <w:spacing w:val="48"/>
          <w:sz w:val="24"/>
        </w:rPr>
        <w:t> </w:t>
      </w:r>
      <w:r>
        <w:rPr>
          <w:sz w:val="24"/>
        </w:rPr>
        <w:t>weak</w:t>
      </w:r>
      <w:r>
        <w:rPr>
          <w:spacing w:val="51"/>
          <w:sz w:val="24"/>
        </w:rPr>
        <w:t> </w:t>
      </w:r>
      <w:r>
        <w:rPr>
          <w:sz w:val="24"/>
        </w:rPr>
        <w:t>antifungal</w:t>
      </w:r>
      <w:r>
        <w:rPr>
          <w:spacing w:val="50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vitro</w:t>
      </w:r>
      <w:r>
        <w:rPr>
          <w:sz w:val="24"/>
        </w:rPr>
        <w:t>.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study</w:t>
      </w:r>
      <w:r>
        <w:rPr>
          <w:spacing w:val="45"/>
          <w:sz w:val="24"/>
        </w:rPr>
        <w:t> </w:t>
      </w:r>
      <w:r>
        <w:rPr>
          <w:sz w:val="24"/>
        </w:rPr>
        <w:t>conducted</w:t>
      </w:r>
      <w:r>
        <w:rPr>
          <w:spacing w:val="51"/>
          <w:sz w:val="24"/>
        </w:rPr>
        <w:t> </w:t>
      </w:r>
      <w:r>
        <w:rPr>
          <w:sz w:val="24"/>
        </w:rPr>
        <w:t>by</w:t>
      </w:r>
      <w:r>
        <w:rPr>
          <w:spacing w:val="47"/>
          <w:sz w:val="24"/>
        </w:rPr>
        <w:t> </w:t>
      </w:r>
      <w:r>
        <w:rPr>
          <w:sz w:val="24"/>
        </w:rPr>
        <w:t>Odda</w:t>
      </w:r>
      <w:r>
        <w:rPr>
          <w:spacing w:val="4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2" w:lineRule="auto" w:before="70"/>
        <w:ind w:left="265" w:right="874"/>
        <w:jc w:val="both"/>
      </w:pPr>
      <w:r>
        <w:rPr/>
        <w:t>(2008), the ethanolic bark extract of </w:t>
      </w:r>
      <w:r>
        <w:rPr>
          <w:i/>
        </w:rPr>
        <w:t>C. hypopilinum </w:t>
      </w:r>
      <w:r>
        <w:rPr/>
        <w:t>elicited larvacidal activity against</w:t>
      </w:r>
      <w:r>
        <w:rPr>
          <w:spacing w:val="1"/>
        </w:rPr>
        <w:t> </w:t>
      </w:r>
      <w:r>
        <w:rPr>
          <w:i/>
        </w:rPr>
        <w:t>Aedes aegypti</w:t>
      </w:r>
      <w:r>
        <w:rPr/>
        <w:t>. Idoh </w:t>
      </w:r>
      <w:r>
        <w:rPr>
          <w:i/>
        </w:rPr>
        <w:t>et al</w:t>
      </w:r>
      <w:r>
        <w:rPr/>
        <w:t>. (2018) reported the liver protective effect of the ethanolic root</w:t>
      </w:r>
      <w:r>
        <w:rPr>
          <w:spacing w:val="1"/>
        </w:rPr>
        <w:t> </w:t>
      </w:r>
      <w:r>
        <w:rPr/>
        <w:t>bark</w:t>
      </w:r>
      <w:r>
        <w:rPr>
          <w:spacing w:val="-1"/>
        </w:rPr>
        <w:t> </w:t>
      </w:r>
      <w:r>
        <w:rPr/>
        <w:t>extract of</w:t>
      </w:r>
      <w:r>
        <w:rPr>
          <w:spacing w:val="-1"/>
        </w:rPr>
        <w:t> </w:t>
      </w:r>
      <w:r>
        <w:rPr/>
        <w:t>the plant</w:t>
      </w:r>
      <w:r>
        <w:rPr>
          <w:spacing w:val="1"/>
        </w:rPr>
        <w:t> </w:t>
      </w:r>
      <w:r>
        <w:rPr/>
        <w:t>in Wistar</w:t>
      </w:r>
      <w:r>
        <w:rPr>
          <w:spacing w:val="-1"/>
        </w:rPr>
        <w:t> </w:t>
      </w:r>
      <w:r>
        <w:rPr/>
        <w:t>rats.</w:t>
      </w:r>
    </w:p>
    <w:p>
      <w:pPr>
        <w:spacing w:after="0" w:line="482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ind w:left="295"/>
        <w:rPr>
          <w:sz w:val="20"/>
        </w:rPr>
      </w:pPr>
      <w:r>
        <w:rPr>
          <w:sz w:val="20"/>
        </w:rPr>
        <w:drawing>
          <wp:inline distT="0" distB="0" distL="0" distR="0">
            <wp:extent cx="5579873" cy="570928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873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480" w:lineRule="auto" w:before="214"/>
        <w:ind w:left="265" w:right="67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branch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9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35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3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habitat,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stems (</w:t>
      </w:r>
      <w:r>
        <w:rPr>
          <w:b/>
          <w:i/>
          <w:sz w:val="24"/>
        </w:rPr>
        <w:t>Photo credit: Umar Gallah</w:t>
      </w:r>
      <w:r>
        <w:rPr>
          <w:b/>
          <w:sz w:val="24"/>
        </w:rPr>
        <w:t>)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294" w:top="1420" w:bottom="480" w:left="1720" w:right="540"/>
        </w:sectPr>
      </w:pPr>
    </w:p>
    <w:p>
      <w:pPr>
        <w:pStyle w:val="Heading1"/>
        <w:spacing w:before="75"/>
        <w:ind w:left="750" w:right="1361"/>
        <w:jc w:val="center"/>
      </w:pPr>
      <w:bookmarkStart w:name="_TOC_250046" w:id="29"/>
      <w:r>
        <w:rPr/>
        <w:t>CHAPTER</w:t>
      </w:r>
      <w:r>
        <w:rPr>
          <w:spacing w:val="-2"/>
        </w:rPr>
        <w:t> </w:t>
      </w:r>
      <w:bookmarkEnd w:id="29"/>
      <w:r>
        <w:rPr/>
        <w:t>THREE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3204" w:val="left" w:leader="none"/>
        </w:tabs>
        <w:spacing w:line="240" w:lineRule="auto" w:before="0" w:after="0"/>
        <w:ind w:left="3203" w:right="0" w:hanging="361"/>
        <w:jc w:val="both"/>
      </w:pPr>
      <w:bookmarkStart w:name="_TOC_250045" w:id="30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0"/>
      <w:r>
        <w:rPr/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3763" w:val="left" w:leader="none"/>
        </w:tabs>
        <w:spacing w:line="240" w:lineRule="auto" w:before="0" w:after="0"/>
        <w:ind w:left="3762" w:right="0" w:hanging="361"/>
        <w:jc w:val="both"/>
      </w:pPr>
      <w:bookmarkStart w:name="_TOC_250044" w:id="31"/>
      <w:r>
        <w:rPr/>
        <w:t>Chemicals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1"/>
      <w:r>
        <w:rPr/>
        <w:t>Drugs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Analytical grade chemicals and drugs were used. These included methanol (Sigma Aldrich</w:t>
      </w:r>
      <w:r>
        <w:rPr>
          <w:spacing w:val="1"/>
        </w:rPr>
        <w:t> </w:t>
      </w:r>
      <w:r>
        <w:rPr/>
        <w:t>Chemical Co. USA), Castor oil (Bell and Sons, Southport PR9 AL, England), gum acacia,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(ultracarbon</w:t>
      </w:r>
      <w:r>
        <w:rPr>
          <w:spacing w:val="1"/>
        </w:rPr>
        <w:t> </w:t>
      </w:r>
      <w:r>
        <w:rPr/>
        <w:t>powder-Merck</w:t>
      </w:r>
      <w:r>
        <w:rPr>
          <w:spacing w:val="1"/>
        </w:rPr>
        <w:t> </w:t>
      </w:r>
      <w:r>
        <w:rPr/>
        <w:t>KGaA</w:t>
      </w:r>
      <w:r>
        <w:rPr>
          <w:spacing w:val="1"/>
        </w:rPr>
        <w:t> </w:t>
      </w:r>
      <w:r>
        <w:rPr/>
        <w:t>Darmstadt</w:t>
      </w:r>
      <w:r>
        <w:rPr>
          <w:spacing w:val="1"/>
        </w:rPr>
        <w:t> </w:t>
      </w:r>
      <w:r>
        <w:rPr/>
        <w:t>Germany),</w:t>
      </w:r>
      <w:r>
        <w:rPr>
          <w:spacing w:val="60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water, normal saline (Fidson Health Care, Nigeria), magnesium sulphate (BDH Chemical</w:t>
      </w:r>
      <w:r>
        <w:rPr>
          <w:spacing w:val="1"/>
        </w:rPr>
        <w:t> </w:t>
      </w:r>
      <w:r>
        <w:rPr/>
        <w:t>Ltd; Poole England), concentrated hydrochloric acid (BDH Limited Poole, England); Chips</w:t>
      </w:r>
      <w:r>
        <w:rPr>
          <w:spacing w:val="-57"/>
        </w:rPr>
        <w:t> </w:t>
      </w:r>
      <w:r>
        <w:rPr/>
        <w:t>of magnesium</w:t>
      </w:r>
      <w:r>
        <w:rPr>
          <w:spacing w:val="1"/>
        </w:rPr>
        <w:t> </w:t>
      </w:r>
      <w:r>
        <w:rPr/>
        <w:t>metal (BDH Limited Poole, England), concentrated sulphuric acid (BDH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Poole,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sub-acetate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(Sigma</w:t>
      </w:r>
      <w:r>
        <w:rPr>
          <w:spacing w:val="1"/>
        </w:rPr>
        <w:t> </w:t>
      </w:r>
      <w:r>
        <w:rPr/>
        <w:t>Aldrich</w:t>
      </w:r>
      <w:r>
        <w:rPr>
          <w:spacing w:val="-57"/>
        </w:rPr>
        <w:t> </w:t>
      </w:r>
      <w:r>
        <w:rPr/>
        <w:t>Chemical Co. USA), ferric chloride (BDH Ltd Poole, England), glacial acetic acid (Searle</w:t>
      </w:r>
      <w:r>
        <w:rPr>
          <w:spacing w:val="1"/>
        </w:rPr>
        <w:t> </w:t>
      </w:r>
      <w:r>
        <w:rPr/>
        <w:t>Essex, England), acetic acid anhydride (BDH Ltd Poole, England),</w:t>
      </w:r>
      <w:r>
        <w:rPr>
          <w:spacing w:val="1"/>
        </w:rPr>
        <w:t> </w:t>
      </w:r>
      <w:r>
        <w:rPr/>
        <w:t>strong ammonia (BDH</w:t>
      </w:r>
      <w:r>
        <w:rPr>
          <w:spacing w:val="1"/>
        </w:rPr>
        <w:t> </w:t>
      </w:r>
      <w:r>
        <w:rPr/>
        <w:t>Ltd Poole, England), loperamide (Imodium</w:t>
      </w:r>
      <w:r>
        <w:rPr>
          <w:vertAlign w:val="superscript"/>
        </w:rPr>
        <w:t>®</w:t>
      </w:r>
      <w:r>
        <w:rPr>
          <w:vertAlign w:val="baseline"/>
        </w:rPr>
        <w:t>) (Jansen Pharmaceuticals, Pakistan), atropine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sulphate</w:t>
      </w:r>
      <w:r>
        <w:rPr>
          <w:spacing w:val="1"/>
          <w:vertAlign w:val="baseline"/>
        </w:rPr>
        <w:t> </w:t>
      </w:r>
      <w:r>
        <w:rPr>
          <w:vertAlign w:val="baseline"/>
        </w:rPr>
        <w:t>(Ningbo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Chemicals,</w:t>
      </w:r>
      <w:r>
        <w:rPr>
          <w:spacing w:val="1"/>
          <w:vertAlign w:val="baseline"/>
        </w:rPr>
        <w:t> </w:t>
      </w:r>
      <w:r>
        <w:rPr>
          <w:vertAlign w:val="baseline"/>
        </w:rPr>
        <w:t>China),</w:t>
      </w:r>
      <w:r>
        <w:rPr>
          <w:spacing w:val="1"/>
          <w:vertAlign w:val="baseline"/>
        </w:rPr>
        <w:t> </w:t>
      </w:r>
      <w:r>
        <w:rPr>
          <w:vertAlign w:val="baseline"/>
        </w:rPr>
        <w:t>naloxone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hydrochloride,</w:t>
      </w:r>
      <w:r>
        <w:rPr>
          <w:spacing w:val="1"/>
          <w:vertAlign w:val="baseline"/>
        </w:rPr>
        <w:t> </w:t>
      </w:r>
      <w:r>
        <w:rPr>
          <w:vertAlign w:val="baseline"/>
        </w:rPr>
        <w:t>prazosin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hydrochloride,</w:t>
      </w:r>
      <w:r>
        <w:rPr>
          <w:spacing w:val="1"/>
          <w:vertAlign w:val="baseline"/>
        </w:rPr>
        <w:t> </w:t>
      </w:r>
      <w:r>
        <w:rPr>
          <w:vertAlign w:val="baseline"/>
        </w:rPr>
        <w:t>yohimbine hydrochloride (Sigma Aldrich Chemical Co. USA), propranolol hydrochloride,</w:t>
      </w:r>
      <w:r>
        <w:rPr>
          <w:spacing w:val="1"/>
          <w:vertAlign w:val="baseline"/>
        </w:rPr>
        <w:t> </w:t>
      </w:r>
      <w:r>
        <w:rPr>
          <w:vertAlign w:val="baseline"/>
        </w:rPr>
        <w:t>pilocarpine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(Sigma</w:t>
      </w:r>
      <w:r>
        <w:rPr>
          <w:spacing w:val="1"/>
          <w:vertAlign w:val="baseline"/>
        </w:rPr>
        <w:t> </w:t>
      </w:r>
      <w:r>
        <w:rPr>
          <w:vertAlign w:val="baseline"/>
        </w:rPr>
        <w:t>Aldrich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Co.</w:t>
      </w:r>
      <w:r>
        <w:rPr>
          <w:spacing w:val="1"/>
          <w:vertAlign w:val="baseline"/>
        </w:rPr>
        <w:t> </w:t>
      </w:r>
      <w:r>
        <w:rPr>
          <w:vertAlign w:val="baseline"/>
        </w:rPr>
        <w:t>USA),</w:t>
      </w:r>
      <w:r>
        <w:rPr>
          <w:spacing w:val="1"/>
          <w:vertAlign w:val="baseline"/>
        </w:rPr>
        <w:t> </w:t>
      </w:r>
      <w:r>
        <w:rPr>
          <w:vertAlign w:val="baseline"/>
        </w:rPr>
        <w:t>isosorbide</w:t>
      </w:r>
      <w:r>
        <w:rPr>
          <w:spacing w:val="1"/>
          <w:vertAlign w:val="baseline"/>
        </w:rPr>
        <w:t> </w:t>
      </w:r>
      <w:r>
        <w:rPr>
          <w:vertAlign w:val="baseline"/>
        </w:rPr>
        <w:t>dinitrate</w:t>
      </w:r>
      <w:r>
        <w:rPr>
          <w:spacing w:val="1"/>
          <w:vertAlign w:val="baseline"/>
        </w:rPr>
        <w:t> </w:t>
      </w:r>
      <w:r>
        <w:rPr>
          <w:vertAlign w:val="baseline"/>
        </w:rPr>
        <w:t>(Isordil</w:t>
      </w:r>
      <w:r>
        <w:rPr>
          <w:vertAlign w:val="superscript"/>
        </w:rPr>
        <w:t>®</w:t>
      </w:r>
      <w:r>
        <w:rPr>
          <w:vertAlign w:val="baseline"/>
        </w:rPr>
        <w:t>) (MEDA Manufacturing Gmbh, Germany) and morphine sulphate (Martindale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Pharmaceuticals,</w:t>
      </w:r>
      <w:r>
        <w:rPr>
          <w:spacing w:val="-1"/>
          <w:vertAlign w:val="baseline"/>
        </w:rPr>
        <w:t> </w:t>
      </w:r>
      <w:r>
        <w:rPr>
          <w:vertAlign w:val="baseline"/>
        </w:rPr>
        <w:t>UK).</w:t>
      </w:r>
    </w:p>
    <w:p>
      <w:pPr>
        <w:pStyle w:val="Heading1"/>
        <w:numPr>
          <w:ilvl w:val="1"/>
          <w:numId w:val="13"/>
        </w:numPr>
        <w:tabs>
          <w:tab w:pos="3146" w:val="left" w:leader="none"/>
        </w:tabs>
        <w:spacing w:line="240" w:lineRule="auto" w:before="4" w:after="0"/>
        <w:ind w:left="3145" w:right="0" w:hanging="361"/>
        <w:jc w:val="both"/>
      </w:pPr>
      <w:bookmarkStart w:name="_TOC_250043" w:id="32"/>
      <w:r>
        <w:rPr/>
        <w:t>Equipments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32"/>
      <w:r>
        <w:rPr/>
        <w:t>Apparatus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65" w:right="875"/>
        <w:jc w:val="both"/>
      </w:pPr>
      <w:r>
        <w:rPr/>
        <w:t>The equipment and apparatus used included water bath (HH-S digital thermostatic water</w:t>
      </w:r>
      <w:r>
        <w:rPr>
          <w:spacing w:val="1"/>
        </w:rPr>
        <w:t> </w:t>
      </w:r>
      <w:r>
        <w:rPr/>
        <w:t>bath, China), weighing balance, cages, dissecting kit (gold cross DS Malaysia), filter papers</w:t>
      </w:r>
      <w:r>
        <w:rPr>
          <w:spacing w:val="-57"/>
        </w:rPr>
        <w:t> </w:t>
      </w:r>
      <w:r>
        <w:rPr/>
        <w:t>(whattman), pipette, test tubes (Pyrex France), porcelain pestle and mortar, watch, syringes</w:t>
      </w:r>
      <w:r>
        <w:rPr>
          <w:spacing w:val="1"/>
        </w:rPr>
        <w:t> </w:t>
      </w:r>
      <w:r>
        <w:rPr/>
        <w:t>(1mL,</w:t>
      </w:r>
      <w:r>
        <w:rPr>
          <w:spacing w:val="-1"/>
        </w:rPr>
        <w:t> </w:t>
      </w:r>
      <w:r>
        <w:rPr/>
        <w:t>2 mL,</w:t>
      </w:r>
      <w:r>
        <w:rPr>
          <w:spacing w:val="-1"/>
        </w:rPr>
        <w:t> </w:t>
      </w:r>
      <w:r>
        <w:rPr/>
        <w:t>5 mL), canula, centrifuge</w:t>
      </w:r>
      <w:r>
        <w:rPr>
          <w:spacing w:val="-1"/>
        </w:rPr>
        <w:t> </w:t>
      </w:r>
      <w:r>
        <w:rPr/>
        <w:t>tubes,</w:t>
      </w:r>
      <w:r>
        <w:rPr>
          <w:spacing w:val="-1"/>
        </w:rPr>
        <w:t> </w:t>
      </w:r>
      <w:r>
        <w:rPr/>
        <w:t>pair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scissors</w:t>
      </w:r>
      <w:r>
        <w:rPr>
          <w:spacing w:val="1"/>
        </w:rPr>
        <w:t> </w:t>
      </w:r>
      <w:r>
        <w:rPr/>
        <w:t>and hand</w:t>
      </w:r>
      <w:r>
        <w:rPr>
          <w:spacing w:val="1"/>
        </w:rPr>
        <w:t> </w:t>
      </w:r>
      <w:r>
        <w:rPr/>
        <w:t>gloves.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numPr>
          <w:ilvl w:val="1"/>
          <w:numId w:val="13"/>
        </w:numPr>
        <w:tabs>
          <w:tab w:pos="3806" w:val="left" w:leader="none"/>
        </w:tabs>
        <w:spacing w:line="240" w:lineRule="auto" w:before="75" w:after="0"/>
        <w:ind w:left="3805" w:right="0" w:hanging="361"/>
        <w:jc w:val="both"/>
      </w:pPr>
      <w:bookmarkStart w:name="_TOC_250042" w:id="33"/>
      <w:r>
        <w:rPr/>
        <w:t>Experimental</w:t>
      </w:r>
      <w:r>
        <w:rPr>
          <w:spacing w:val="-4"/>
        </w:rPr>
        <w:t> </w:t>
      </w:r>
      <w:bookmarkEnd w:id="33"/>
      <w:r>
        <w:rPr/>
        <w:t>Animals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Adult Swiss albino mice (18-24g) and Wistar rats (120-160g) of both sexes were obtained</w:t>
      </w:r>
      <w:r>
        <w:rPr>
          <w:spacing w:val="1"/>
        </w:rPr>
        <w:t> </w:t>
      </w:r>
      <w:r>
        <w:rPr/>
        <w:t>from the Animal House Facility of the Department of Pharmacology and Therapeutics,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Kaduna</w:t>
      </w:r>
      <w:r>
        <w:rPr>
          <w:spacing w:val="60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 The animals were housed in well-ventilated cages, fed with a rodent diet (Vital</w:t>
      </w:r>
      <w:r>
        <w:rPr>
          <w:spacing w:val="1"/>
        </w:rPr>
        <w:t> </w:t>
      </w:r>
      <w:r>
        <w:rPr/>
        <w:t>feed,</w:t>
      </w:r>
      <w:r>
        <w:rPr>
          <w:spacing w:val="1"/>
        </w:rPr>
        <w:t> </w:t>
      </w:r>
      <w:r>
        <w:rPr/>
        <w:t>Jos,</w:t>
      </w:r>
      <w:r>
        <w:rPr>
          <w:spacing w:val="1"/>
        </w:rPr>
        <w:t> </w:t>
      </w:r>
      <w:r>
        <w:rPr/>
        <w:t>Nigeria)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>
          <w:i/>
        </w:rPr>
        <w:t>ad</w:t>
      </w:r>
      <w:r>
        <w:rPr>
          <w:i/>
          <w:spacing w:val="1"/>
        </w:rPr>
        <w:t> </w:t>
      </w:r>
      <w:r>
        <w:rPr>
          <w:i/>
        </w:rPr>
        <w:t>libitum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under</w:t>
      </w:r>
      <w:r>
        <w:rPr>
          <w:spacing w:val="60"/>
        </w:rPr>
        <w:t> </w:t>
      </w:r>
      <w:r>
        <w:rPr/>
        <w:t>standard</w:t>
      </w:r>
      <w:r>
        <w:rPr>
          <w:spacing w:val="1"/>
        </w:rPr>
        <w:t> </w:t>
      </w:r>
      <w:r>
        <w:rPr/>
        <w:t>laboratory conditions in accordance with the protocols approved by the</w:t>
      </w:r>
      <w:r>
        <w:rPr>
          <w:spacing w:val="1"/>
        </w:rPr>
        <w:t> </w:t>
      </w:r>
      <w:r>
        <w:rPr/>
        <w:t>Ahmadu Bello</w:t>
      </w:r>
      <w:r>
        <w:rPr>
          <w:spacing w:val="1"/>
        </w:rPr>
        <w:t> </w:t>
      </w:r>
      <w:r>
        <w:rPr/>
        <w:t>University Ethical Committee on Animal Use and Care Research Policy (ABUCAUC) with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approval number (ABUCAUC/2020/40).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3326" w:val="left" w:leader="none"/>
        </w:tabs>
        <w:spacing w:line="240" w:lineRule="auto" w:before="0" w:after="0"/>
        <w:ind w:left="3325" w:right="0" w:hanging="361"/>
        <w:jc w:val="both"/>
      </w:pPr>
      <w:bookmarkStart w:name="_TOC_250041" w:id="34"/>
      <w:r>
        <w:rPr/>
        <w:t>Plant</w:t>
      </w:r>
      <w:r>
        <w:rPr>
          <w:spacing w:val="-3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4"/>
      <w:r>
        <w:rPr/>
        <w:t>Identification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4"/>
        <w:jc w:val="both"/>
      </w:pPr>
      <w:r>
        <w:rPr/>
        <w:t>The</w:t>
      </w:r>
      <w:r>
        <w:rPr>
          <w:spacing w:val="56"/>
        </w:rPr>
        <w:t> </w:t>
      </w:r>
      <w:r>
        <w:rPr/>
        <w:t>leaves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>
          <w:i/>
        </w:rPr>
        <w:t>Combretum</w:t>
      </w:r>
      <w:r>
        <w:rPr>
          <w:i/>
          <w:spacing w:val="57"/>
        </w:rPr>
        <w:t> </w:t>
      </w:r>
      <w:r>
        <w:rPr>
          <w:i/>
        </w:rPr>
        <w:t>hypopilinum  </w:t>
      </w:r>
      <w:r>
        <w:rPr/>
        <w:t>were</w:t>
      </w:r>
      <w:r>
        <w:rPr>
          <w:spacing w:val="56"/>
        </w:rPr>
        <w:t> </w:t>
      </w:r>
      <w:r>
        <w:rPr/>
        <w:t>collected</w:t>
      </w:r>
      <w:r>
        <w:rPr>
          <w:spacing w:val="59"/>
        </w:rPr>
        <w:t> </w:t>
      </w:r>
      <w:r>
        <w:rPr/>
        <w:t>from</w:t>
      </w:r>
      <w:r>
        <w:rPr>
          <w:spacing w:val="58"/>
        </w:rPr>
        <w:t> </w:t>
      </w:r>
      <w:r>
        <w:rPr/>
        <w:t>Galadimawa,</w:t>
      </w:r>
      <w:r>
        <w:rPr>
          <w:spacing w:val="58"/>
        </w:rPr>
        <w:t> </w:t>
      </w:r>
      <w:r>
        <w:rPr/>
        <w:t>Giwa</w:t>
      </w:r>
      <w:r>
        <w:rPr>
          <w:spacing w:val="58"/>
        </w:rPr>
        <w:t> </w:t>
      </w:r>
      <w:r>
        <w:rPr/>
        <w:t>Local</w:t>
      </w:r>
      <w:r>
        <w:rPr>
          <w:spacing w:val="-57"/>
        </w:rPr>
        <w:t> </w:t>
      </w:r>
      <w:r>
        <w:rPr/>
        <w:t>Government Area of Kaduna State in September, 2018. It was identified and authenticated</w:t>
      </w:r>
      <w:r>
        <w:rPr>
          <w:spacing w:val="1"/>
        </w:rPr>
        <w:t> </w:t>
      </w:r>
      <w:r>
        <w:rPr/>
        <w:t>by a taxonomist, Mallam Sanusi Namadi of the Herbarium Section of the Department of</w:t>
      </w:r>
      <w:r>
        <w:rPr>
          <w:spacing w:val="1"/>
        </w:rPr>
        <w:t> </w:t>
      </w:r>
      <w:r>
        <w:rPr/>
        <w:t>Botany,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where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voucher</w:t>
      </w:r>
      <w:r>
        <w:rPr>
          <w:spacing w:val="-1"/>
        </w:rPr>
        <w:t> </w:t>
      </w:r>
      <w:r>
        <w:rPr/>
        <w:t>number (012063) was obtained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comparing</w:t>
      </w:r>
      <w:r>
        <w:rPr>
          <w:spacing w:val="-4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specimen.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3"/>
        </w:numPr>
        <w:tabs>
          <w:tab w:pos="2786" w:val="left" w:leader="none"/>
        </w:tabs>
        <w:spacing w:line="240" w:lineRule="auto" w:before="0" w:after="0"/>
        <w:ind w:left="2785" w:right="0" w:hanging="361"/>
        <w:jc w:val="both"/>
      </w:pPr>
      <w:bookmarkStart w:name="_TOC_250040" w:id="35"/>
      <w:r>
        <w:rPr/>
        <w:t>Preparation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bookmarkEnd w:id="35"/>
      <w:r>
        <w:rPr/>
        <w:t>Material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3"/>
        <w:jc w:val="both"/>
      </w:pP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shaded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size-reduced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powdered form using pestle and mortar. One kilogram</w:t>
      </w:r>
      <w:r>
        <w:rPr>
          <w:spacing w:val="1"/>
        </w:rPr>
        <w:t> </w:t>
      </w:r>
      <w:r>
        <w:rPr/>
        <w:t>(1 kg) of the powdered leaves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70% </w:t>
      </w:r>
      <w:r>
        <w:rPr>
          <w:vertAlign w:val="superscript"/>
        </w:rPr>
        <w:t>v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aqueous-methanol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soxhlet</w:t>
      </w:r>
      <w:r>
        <w:rPr>
          <w:spacing w:val="1"/>
          <w:vertAlign w:val="baseline"/>
        </w:rPr>
        <w:t> </w:t>
      </w:r>
      <w:r>
        <w:rPr>
          <w:vertAlign w:val="baseline"/>
        </w:rPr>
        <w:t>apparatus</w:t>
      </w:r>
      <w:r>
        <w:rPr>
          <w:spacing w:val="60"/>
          <w:vertAlign w:val="baseline"/>
        </w:rPr>
        <w:t> </w:t>
      </w:r>
      <w:r>
        <w:rPr>
          <w:vertAlign w:val="baseline"/>
        </w:rPr>
        <w:t>for 72</w:t>
      </w:r>
      <w:r>
        <w:rPr>
          <w:spacing w:val="1"/>
          <w:vertAlign w:val="baseline"/>
        </w:rPr>
        <w:t> </w:t>
      </w:r>
      <w:r>
        <w:rPr>
          <w:vertAlign w:val="baseline"/>
        </w:rPr>
        <w:t>hours. The solvent was removed by placing the extract on a water bath set at 45 </w:t>
      </w:r>
      <w:r>
        <w:rPr>
          <w:vertAlign w:val="superscript"/>
        </w:rPr>
        <w:t>0</w:t>
      </w:r>
      <w:r>
        <w:rPr>
          <w:vertAlign w:val="baseline"/>
        </w:rPr>
        <w:t>C.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5"/>
          <w:vertAlign w:val="baseline"/>
        </w:rPr>
        <w:t> </w:t>
      </w:r>
      <w:r>
        <w:rPr>
          <w:vertAlign w:val="baseline"/>
        </w:rPr>
        <w:t>was</w:t>
      </w:r>
      <w:r>
        <w:rPr>
          <w:spacing w:val="6"/>
          <w:vertAlign w:val="baseline"/>
        </w:rPr>
        <w:t> </w:t>
      </w:r>
      <w:r>
        <w:rPr>
          <w:vertAlign w:val="baseline"/>
        </w:rPr>
        <w:t>solid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reddish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colour.</w:t>
      </w:r>
      <w:r>
        <w:rPr>
          <w:spacing w:val="8"/>
          <w:vertAlign w:val="baseline"/>
        </w:rPr>
        <w:t> </w:t>
      </w:r>
      <w:r>
        <w:rPr>
          <w:vertAlign w:val="baseline"/>
        </w:rPr>
        <w:t>It</w:t>
      </w:r>
      <w:r>
        <w:rPr>
          <w:spacing w:val="6"/>
          <w:vertAlign w:val="baseline"/>
        </w:rPr>
        <w:t> </w:t>
      </w:r>
      <w:r>
        <w:rPr>
          <w:vertAlign w:val="baseline"/>
        </w:rPr>
        <w:t>was</w:t>
      </w:r>
      <w:r>
        <w:rPr>
          <w:spacing w:val="5"/>
          <w:vertAlign w:val="baseline"/>
        </w:rPr>
        <w:t> </w:t>
      </w:r>
      <w:r>
        <w:rPr>
          <w:vertAlign w:val="baseline"/>
        </w:rPr>
        <w:t>then</w:t>
      </w:r>
      <w:r>
        <w:rPr>
          <w:spacing w:val="7"/>
          <w:vertAlign w:val="baseline"/>
        </w:rPr>
        <w:t> </w:t>
      </w:r>
      <w:r>
        <w:rPr>
          <w:vertAlign w:val="baseline"/>
        </w:rPr>
        <w:t>stored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tightly labelled</w:t>
      </w:r>
      <w:r>
        <w:rPr>
          <w:spacing w:val="6"/>
          <w:vertAlign w:val="baseline"/>
        </w:rPr>
        <w:t> </w:t>
      </w:r>
      <w:r>
        <w:rPr>
          <w:vertAlign w:val="baseline"/>
        </w:rPr>
        <w:t>container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4"/>
        <w:jc w:val="both"/>
      </w:pPr>
      <w:r>
        <w:rPr/>
        <w:t>subsequent experiments. It is hence referred to as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(MECH). A solution of the extract</w:t>
      </w:r>
      <w:r>
        <w:rPr>
          <w:spacing w:val="60"/>
        </w:rPr>
        <w:t> </w:t>
      </w:r>
      <w:r>
        <w:rPr/>
        <w:t>was freshly prepared with distilled water</w:t>
      </w:r>
      <w:r>
        <w:rPr>
          <w:spacing w:val="1"/>
        </w:rPr>
        <w:t> </w:t>
      </w:r>
      <w:r>
        <w:rPr/>
        <w:t>for each study. The percentage yield of the extract was calculated using the following</w:t>
      </w:r>
      <w:r>
        <w:rPr>
          <w:spacing w:val="1"/>
        </w:rPr>
        <w:t> </w:t>
      </w:r>
      <w:r>
        <w:rPr/>
        <w:t>formula:</w:t>
      </w:r>
    </w:p>
    <w:p>
      <w:pPr>
        <w:pStyle w:val="BodyText"/>
        <w:spacing w:before="1"/>
        <w:ind w:left="2375"/>
        <w:jc w:val="both"/>
      </w:pPr>
      <w:r>
        <w:rPr/>
        <w:t>Percentage</w:t>
      </w:r>
      <w:r>
        <w:rPr>
          <w:spacing w:val="1"/>
        </w:rPr>
        <w:t> </w:t>
      </w:r>
      <w:r>
        <w:rPr/>
        <w:t>yield =</w:t>
      </w:r>
      <w:r>
        <w:rPr>
          <w:spacing w:val="-1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extract</w:t>
      </w:r>
      <w:r>
        <w:rPr>
          <w:spacing w:val="58"/>
        </w:rPr>
        <w:t> </w:t>
      </w:r>
      <w:r>
        <w:rPr/>
        <w:t>×</w:t>
      </w:r>
      <w:r>
        <w:rPr>
          <w:spacing w:val="-2"/>
        </w:rPr>
        <w:t> </w:t>
      </w:r>
      <w:r>
        <w:rPr/>
        <w:t>100</w:t>
      </w:r>
    </w:p>
    <w:p>
      <w:pPr>
        <w:pStyle w:val="BodyText"/>
        <w:ind w:left="4149"/>
        <w:jc w:val="both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leaf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2786" w:val="left" w:leader="none"/>
        </w:tabs>
        <w:spacing w:line="240" w:lineRule="auto" w:before="1" w:after="0"/>
        <w:ind w:left="2785" w:right="0" w:hanging="361"/>
        <w:jc w:val="both"/>
      </w:pPr>
      <w:bookmarkStart w:name="_TOC_250039" w:id="36"/>
      <w:r>
        <w:rPr/>
        <w:t>Preliminary</w:t>
      </w:r>
      <w:r>
        <w:rPr>
          <w:spacing w:val="-3"/>
        </w:rPr>
        <w:t> </w:t>
      </w:r>
      <w:r>
        <w:rPr/>
        <w:t>Phytochemical</w:t>
      </w:r>
      <w:r>
        <w:rPr>
          <w:spacing w:val="-3"/>
        </w:rPr>
        <w:t> </w:t>
      </w:r>
      <w:bookmarkEnd w:id="36"/>
      <w:r>
        <w:rPr/>
        <w:t>Screening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phytochemicals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steroids,</w:t>
      </w:r>
      <w:r>
        <w:rPr>
          <w:spacing w:val="1"/>
        </w:rPr>
        <w:t> </w:t>
      </w:r>
      <w:r>
        <w:rPr/>
        <w:t>triterpenes,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anthraquinones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Evans, (2002)</w:t>
      </w:r>
      <w:r>
        <w:rPr>
          <w:spacing w:val="1"/>
        </w:rPr>
        <w:t> </w:t>
      </w:r>
      <w:r>
        <w:rPr/>
        <w:t>and Sofowora,</w:t>
      </w:r>
      <w:r>
        <w:rPr>
          <w:spacing w:val="2"/>
        </w:rPr>
        <w:t> </w:t>
      </w:r>
      <w:r>
        <w:rPr/>
        <w:t>(1993)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986" w:val="left" w:leader="none"/>
        </w:tabs>
        <w:spacing w:line="240" w:lineRule="auto" w:before="164" w:after="0"/>
        <w:ind w:left="985" w:right="0" w:hanging="721"/>
        <w:jc w:val="both"/>
      </w:pPr>
      <w:bookmarkStart w:name="_TOC_250038" w:id="37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bookmarkEnd w:id="37"/>
      <w:r>
        <w:rPr/>
        <w:t>Flavonoids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Shinoda test: One hundred mg of the extract was dissolved in 2 mL of 50% methanol and</w:t>
      </w:r>
      <w:r>
        <w:rPr>
          <w:spacing w:val="1"/>
        </w:rPr>
        <w:t> </w:t>
      </w:r>
      <w:r>
        <w:rPr/>
        <w:t>warmed on a steam bath. Then few pieces of metallic magnesium chips and four drops of</w:t>
      </w:r>
      <w:r>
        <w:rPr>
          <w:spacing w:val="1"/>
        </w:rPr>
        <w:t> </w:t>
      </w:r>
      <w:r>
        <w:rPr/>
        <w:t>concentrated hydrochloric acid were added. The appearance of a reddish colour indicated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3"/>
        <w:jc w:val="both"/>
      </w:pPr>
      <w:r>
        <w:rPr/>
        <w:t>Sodium hydroxide test: Few drops of 10% sodium hydroxide were added to an 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extract.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colouration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flavonoids.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bookmarkStart w:name="_TOC_250037" w:id="38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Cardiac</w:t>
      </w:r>
      <w:r>
        <w:rPr>
          <w:spacing w:val="-1"/>
        </w:rPr>
        <w:t> </w:t>
      </w:r>
      <w:bookmarkEnd w:id="38"/>
      <w:r>
        <w:rPr/>
        <w:t>Glycosides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Keller Killiani’s test: 1 mL of glacial acetic acid containing one drop of FeCl</w:t>
      </w:r>
      <w:r>
        <w:rPr>
          <w:vertAlign w:val="subscript"/>
        </w:rPr>
        <w:t>3</w:t>
      </w:r>
      <w:r>
        <w:rPr>
          <w:vertAlign w:val="baseline"/>
        </w:rPr>
        <w:t> was used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</w:t>
      </w:r>
      <w:r>
        <w:rPr>
          <w:spacing w:val="13"/>
          <w:vertAlign w:val="baseline"/>
        </w:rPr>
        <w:t> </w:t>
      </w:r>
      <w:r>
        <w:rPr>
          <w:vertAlign w:val="baseline"/>
        </w:rPr>
        <w:t>20</w:t>
      </w:r>
      <w:r>
        <w:rPr>
          <w:spacing w:val="14"/>
          <w:vertAlign w:val="baseline"/>
        </w:rPr>
        <w:t> </w:t>
      </w:r>
      <w:r>
        <w:rPr>
          <w:vertAlign w:val="baseline"/>
        </w:rPr>
        <w:t>mg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extract.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2"/>
          <w:vertAlign w:val="baseline"/>
        </w:rPr>
        <w:t> </w:t>
      </w:r>
      <w:r>
        <w:rPr>
          <w:vertAlign w:val="baseline"/>
        </w:rPr>
        <w:t>was</w:t>
      </w:r>
      <w:r>
        <w:rPr>
          <w:spacing w:val="14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15"/>
          <w:vertAlign w:val="baseline"/>
        </w:rPr>
        <w:t> </w:t>
      </w:r>
      <w:r>
        <w:rPr>
          <w:vertAlign w:val="baseline"/>
        </w:rPr>
        <w:t>into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dry</w:t>
      </w:r>
      <w:r>
        <w:rPr>
          <w:spacing w:val="12"/>
          <w:vertAlign w:val="baseline"/>
        </w:rPr>
        <w:t> </w:t>
      </w:r>
      <w:r>
        <w:rPr>
          <w:vertAlign w:val="baseline"/>
        </w:rPr>
        <w:t>test</w:t>
      </w:r>
      <w:r>
        <w:rPr>
          <w:spacing w:val="16"/>
          <w:vertAlign w:val="baseline"/>
        </w:rPr>
        <w:t> </w:t>
      </w:r>
      <w:r>
        <w:rPr>
          <w:vertAlign w:val="baseline"/>
        </w:rPr>
        <w:t>tube,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then</w:t>
      </w:r>
      <w:r>
        <w:rPr>
          <w:spacing w:val="15"/>
          <w:vertAlign w:val="baseline"/>
        </w:rPr>
        <w:t> </w:t>
      </w:r>
      <w:r>
        <w:rPr>
          <w:vertAlign w:val="baseline"/>
        </w:rPr>
        <w:t>1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6"/>
        <w:jc w:val="both"/>
      </w:pPr>
      <w:r>
        <w:rPr/>
        <w:t>mL of concentrated sulphuric acid was added along the side of the test tube to form a layer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bottom.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purple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bookmarkStart w:name="_TOC_250036" w:id="39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39"/>
      <w:r>
        <w:rPr/>
        <w:t>Saponins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Frothing test: 1 mL solution of the methanol leaf extract of </w:t>
      </w:r>
      <w:r>
        <w:rPr>
          <w:i/>
        </w:rPr>
        <w:t>Combretum hypopilinum </w:t>
      </w:r>
      <w:r>
        <w:rPr/>
        <w:t>was</w:t>
      </w:r>
      <w:r>
        <w:rPr>
          <w:spacing w:val="1"/>
        </w:rPr>
        <w:t> </w:t>
      </w:r>
      <w:r>
        <w:rPr/>
        <w:t>shaken with 3 mL of distilled water vigorously for 30 seconds and allowed to stand for 30</w:t>
      </w:r>
      <w:r>
        <w:rPr>
          <w:spacing w:val="1"/>
        </w:rPr>
        <w:t> </w:t>
      </w:r>
      <w:r>
        <w:rPr/>
        <w:t>minutes in a vertical</w:t>
      </w:r>
      <w:r>
        <w:rPr>
          <w:spacing w:val="1"/>
        </w:rPr>
        <w:t> </w:t>
      </w:r>
      <w:r>
        <w:rPr/>
        <w:t>position. Formation of</w:t>
      </w:r>
      <w:r>
        <w:rPr>
          <w:spacing w:val="1"/>
        </w:rPr>
        <w:t> </w:t>
      </w:r>
      <w:r>
        <w:rPr/>
        <w:t>honey comb</w:t>
      </w:r>
      <w:r>
        <w:rPr>
          <w:spacing w:val="1"/>
        </w:rPr>
        <w:t> </w:t>
      </w:r>
      <w:r>
        <w:rPr/>
        <w:t>froth</w:t>
      </w:r>
      <w:r>
        <w:rPr>
          <w:spacing w:val="1"/>
        </w:rPr>
        <w:t> </w:t>
      </w:r>
      <w:r>
        <w:rPr/>
        <w:t>which persisted</w:t>
      </w:r>
      <w:r>
        <w:rPr>
          <w:spacing w:val="60"/>
        </w:rPr>
        <w:t> </w:t>
      </w:r>
      <w:r>
        <w:rPr/>
        <w:t>for more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30 minutes was observed, indicating</w:t>
      </w:r>
      <w:r>
        <w:rPr>
          <w:spacing w:val="-2"/>
        </w:rPr>
        <w:t> </w:t>
      </w:r>
      <w:r>
        <w:rPr/>
        <w:t>the presence</w:t>
      </w:r>
      <w:r>
        <w:rPr>
          <w:spacing w:val="-1"/>
        </w:rPr>
        <w:t> </w:t>
      </w:r>
      <w:r>
        <w:rPr/>
        <w:t>of saponins.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bookmarkStart w:name="_TOC_250035" w:id="40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40"/>
      <w:r>
        <w:rPr/>
        <w:t>Tannins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6"/>
        <w:jc w:val="both"/>
      </w:pPr>
      <w:r>
        <w:rPr/>
        <w:t>Ferric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test: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solution, 3 drops of ferric chloride solution were added. A greenish-black precipitate was</w:t>
      </w:r>
      <w:r>
        <w:rPr>
          <w:spacing w:val="1"/>
        </w:rPr>
        <w:t> </w:t>
      </w:r>
      <w:r>
        <w:rPr/>
        <w:t>formed</w:t>
      </w:r>
      <w:r>
        <w:rPr>
          <w:spacing w:val="-1"/>
        </w:rPr>
        <w:t> </w:t>
      </w:r>
      <w:r>
        <w:rPr/>
        <w:t>which indicated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condensed tannins.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Lead</w:t>
      </w:r>
      <w:r>
        <w:rPr>
          <w:spacing w:val="1"/>
        </w:rPr>
        <w:t> </w:t>
      </w:r>
      <w:r>
        <w:rPr/>
        <w:t>sub-acetate</w:t>
      </w:r>
      <w:r>
        <w:rPr>
          <w:spacing w:val="1"/>
        </w:rPr>
        <w:t> </w:t>
      </w:r>
      <w:r>
        <w:rPr/>
        <w:t>test: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(0.5g)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dissolved in 2 mL of water, and then 3 drops of lead sub-acetate solution were added and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black-green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precipitate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tannins.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1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bookmarkStart w:name="_TOC_250034" w:id="41"/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Steroids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41"/>
      <w:r>
        <w:rPr/>
        <w:t>Triterpenes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Lieberman-Burchard’s test: To 1 mL of the chloroform solution of the extract, an equal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anhydride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gently.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concentrated</w:t>
      </w:r>
      <w:r>
        <w:rPr>
          <w:spacing w:val="-57"/>
        </w:rPr>
        <w:t> </w:t>
      </w:r>
      <w:r>
        <w:rPr/>
        <w:t>sulphuric</w:t>
      </w:r>
      <w:r>
        <w:rPr>
          <w:spacing w:val="29"/>
        </w:rPr>
        <w:t> </w:t>
      </w:r>
      <w:r>
        <w:rPr/>
        <w:t>acid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added</w:t>
      </w:r>
      <w:r>
        <w:rPr>
          <w:spacing w:val="30"/>
        </w:rPr>
        <w:t> </w:t>
      </w:r>
      <w:r>
        <w:rPr/>
        <w:t>down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side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test</w:t>
      </w:r>
      <w:r>
        <w:rPr>
          <w:spacing w:val="30"/>
        </w:rPr>
        <w:t> </w:t>
      </w:r>
      <w:r>
        <w:rPr/>
        <w:t>tube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form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lower</w:t>
      </w:r>
      <w:r>
        <w:rPr>
          <w:spacing w:val="32"/>
        </w:rPr>
        <w:t> </w:t>
      </w:r>
      <w:r>
        <w:rPr/>
        <w:t>layer.</w:t>
      </w:r>
      <w:r>
        <w:rPr>
          <w:spacing w:val="31"/>
        </w:rPr>
        <w:t> </w:t>
      </w:r>
      <w:r>
        <w:rPr/>
        <w:t>Changes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4"/>
        <w:jc w:val="both"/>
      </w:pP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hour.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brownish-red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immediately at interphase, which indicated the presence of triterpenes and blue-green at the</w:t>
      </w:r>
      <w:r>
        <w:rPr>
          <w:spacing w:val="-57"/>
        </w:rPr>
        <w:t> </w:t>
      </w:r>
      <w:r>
        <w:rPr/>
        <w:t>upper</w:t>
      </w:r>
      <w:r>
        <w:rPr>
          <w:spacing w:val="-1"/>
        </w:rPr>
        <w:t> </w:t>
      </w:r>
      <w:r>
        <w:rPr/>
        <w:t>layer</w:t>
      </w:r>
      <w:r>
        <w:rPr>
          <w:spacing w:val="-1"/>
        </w:rPr>
        <w:t> </w:t>
      </w:r>
      <w:r>
        <w:rPr/>
        <w:t>indicated the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steroids.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2"/>
          <w:numId w:val="14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</w:pPr>
      <w:bookmarkStart w:name="_TOC_250033" w:id="42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bookmarkEnd w:id="42"/>
      <w:r>
        <w:rPr/>
        <w:t>Alkaloids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The MECH (0.5 g) was stirred with 5mL of 1% aqueous HCl and then filtered. The filtrate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tested carefully</w:t>
      </w:r>
      <w:r>
        <w:rPr>
          <w:spacing w:val="-5"/>
        </w:rPr>
        <w:t> </w:t>
      </w:r>
      <w:r>
        <w:rPr/>
        <w:t>with</w:t>
      </w:r>
      <w:r>
        <w:rPr>
          <w:spacing w:val="2"/>
        </w:rPr>
        <w:t> </w:t>
      </w:r>
      <w:r>
        <w:rPr/>
        <w:t>some alkaloidal reagents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line="480" w:lineRule="auto" w:before="1"/>
        <w:ind w:left="265" w:right="875"/>
        <w:jc w:val="both"/>
      </w:pPr>
      <w:r>
        <w:rPr/>
        <w:t>Dragendoff’s test: To a few mL of the filtrate, two drops of Dragendoff’s reagent were</w:t>
      </w:r>
      <w:r>
        <w:rPr>
          <w:spacing w:val="1"/>
        </w:rPr>
        <w:t> </w:t>
      </w:r>
      <w:r>
        <w:rPr/>
        <w:t>added by the side of the test tube. The orange-red precipitate was observed which indicated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/>
        <w:ind w:left="265" w:right="872"/>
        <w:jc w:val="both"/>
      </w:pPr>
      <w:r>
        <w:rPr/>
        <w:t>Wagner’s test: To a few mL of the filtrate, two drops of Wagner’s reagent were added by</w:t>
      </w:r>
      <w:r>
        <w:rPr>
          <w:spacing w:val="1"/>
        </w:rPr>
        <w:t> </w:t>
      </w:r>
      <w:r>
        <w:rPr/>
        <w:t>the side of the test tube. Reddish-brown precipitate was observed which confirmed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alkaloids.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2"/>
          <w:numId w:val="14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32" w:id="43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43"/>
      <w:r>
        <w:rPr/>
        <w:t>Anthraquinones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6"/>
        <w:jc w:val="both"/>
      </w:pPr>
      <w:r>
        <w:rPr/>
        <w:t>Bontrager’s test: To 500 mg of the extract in a dry test tube, 5mL of chloroform was added,</w:t>
      </w:r>
      <w:r>
        <w:rPr>
          <w:spacing w:val="-57"/>
        </w:rPr>
        <w:t> </w:t>
      </w:r>
      <w:r>
        <w:rPr/>
        <w:t>and then the test tube was stoppered, shaken for at least 5 minutes and filtered. The filtrate</w:t>
      </w:r>
      <w:r>
        <w:rPr>
          <w:spacing w:val="1"/>
        </w:rPr>
        <w:t> </w:t>
      </w:r>
      <w:r>
        <w:rPr/>
        <w:t>was shaken with an equal volume of 10% ammonia solution. The upper aqueous layer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bright</w:t>
      </w:r>
      <w:r>
        <w:rPr>
          <w:spacing w:val="1"/>
        </w:rPr>
        <w:t> </w:t>
      </w:r>
      <w:r>
        <w:rPr/>
        <w:t>pink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anthraquinones.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1"/>
          <w:numId w:val="13"/>
        </w:numPr>
        <w:tabs>
          <w:tab w:pos="3806" w:val="left" w:leader="none"/>
        </w:tabs>
        <w:spacing w:line="240" w:lineRule="auto" w:before="0" w:after="0"/>
        <w:ind w:left="3805" w:right="0" w:hanging="361"/>
        <w:jc w:val="left"/>
      </w:pPr>
      <w:bookmarkStart w:name="_TOC_250031" w:id="44"/>
      <w:r>
        <w:rPr/>
        <w:t>Acute</w:t>
      </w:r>
      <w:r>
        <w:rPr>
          <w:spacing w:val="-3"/>
        </w:rPr>
        <w:t> </w:t>
      </w:r>
      <w:bookmarkEnd w:id="44"/>
      <w:r>
        <w:rPr/>
        <w:t>Toxicity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The acute toxicity study was conducted according to the Organization of Economic Co-</w:t>
      </w:r>
      <w:r>
        <w:rPr>
          <w:spacing w:val="1"/>
        </w:rPr>
        <w:t> </w:t>
      </w:r>
      <w:r>
        <w:rPr/>
        <w:t>operation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Development</w:t>
      </w:r>
      <w:r>
        <w:rPr>
          <w:spacing w:val="49"/>
        </w:rPr>
        <w:t> </w:t>
      </w:r>
      <w:r>
        <w:rPr/>
        <w:t>(OECD)</w:t>
      </w:r>
      <w:r>
        <w:rPr>
          <w:spacing w:val="48"/>
        </w:rPr>
        <w:t> </w:t>
      </w:r>
      <w:r>
        <w:rPr/>
        <w:t>423</w:t>
      </w:r>
      <w:r>
        <w:rPr>
          <w:spacing w:val="50"/>
        </w:rPr>
        <w:t> </w:t>
      </w:r>
      <w:r>
        <w:rPr/>
        <w:t>guideline</w:t>
      </w:r>
      <w:r>
        <w:rPr>
          <w:spacing w:val="52"/>
        </w:rPr>
        <w:t> </w:t>
      </w:r>
      <w:r>
        <w:rPr/>
        <w:t>(OECD,</w:t>
      </w:r>
      <w:r>
        <w:rPr>
          <w:spacing w:val="49"/>
        </w:rPr>
        <w:t> </w:t>
      </w:r>
      <w:r>
        <w:rPr/>
        <w:t>2001).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oral</w:t>
      </w:r>
      <w:r>
        <w:rPr>
          <w:spacing w:val="52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spacing w:val="50"/>
          <w:vertAlign w:val="baseline"/>
        </w:rPr>
        <w:t> </w:t>
      </w:r>
      <w:r>
        <w:rPr>
          <w:vertAlign w:val="baseline"/>
        </w:rPr>
        <w:t>was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determined using nulliparous and non-pregnant female mice and rats.</w:t>
      </w:r>
      <w:r>
        <w:rPr>
          <w:spacing w:val="1"/>
        </w:rPr>
        <w:t> </w:t>
      </w:r>
      <w:r>
        <w:rPr/>
        <w:t>In this method, two</w:t>
      </w:r>
      <w:r>
        <w:rPr>
          <w:spacing w:val="1"/>
        </w:rPr>
        <w:t> </w:t>
      </w:r>
      <w:r>
        <w:rPr/>
        <w:t>groups of three animals each (rats/mice) were fasted before administration of the extract</w:t>
      </w:r>
      <w:r>
        <w:rPr>
          <w:spacing w:val="1"/>
        </w:rPr>
        <w:t> </w:t>
      </w:r>
      <w:r>
        <w:rPr/>
        <w:t>(food</w:t>
      </w:r>
      <w:r>
        <w:rPr>
          <w:spacing w:val="-1"/>
        </w:rPr>
        <w:t> </w:t>
      </w:r>
      <w:r>
        <w:rPr/>
        <w:t>but not water was</w:t>
      </w:r>
      <w:r>
        <w:rPr>
          <w:spacing w:val="1"/>
        </w:rPr>
        <w:t> </w:t>
      </w:r>
      <w:r>
        <w:rPr/>
        <w:t>withheld</w:t>
      </w:r>
      <w:r>
        <w:rPr>
          <w:spacing w:val="1"/>
        </w:rPr>
        <w:t> </w:t>
      </w:r>
      <w:r>
        <w:rPr/>
        <w:t>overnight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rats and</w:t>
      </w:r>
      <w:r>
        <w:rPr>
          <w:spacing w:val="-1"/>
        </w:rPr>
        <w:t> </w:t>
      </w:r>
      <w:r>
        <w:rPr/>
        <w:t>4 hours for</w:t>
      </w:r>
      <w:r>
        <w:rPr>
          <w:spacing w:val="-2"/>
        </w:rPr>
        <w:t> </w:t>
      </w:r>
      <w:r>
        <w:rPr/>
        <w:t>mice).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3"/>
        <w:jc w:val="both"/>
      </w:pPr>
      <w:r>
        <w:rPr/>
        <w:t>In the first phase, a single dose of the extract was administered to each animal at the dose of</w:t>
      </w:r>
      <w:r>
        <w:rPr>
          <w:spacing w:val="-57"/>
        </w:rPr>
        <w:t> </w:t>
      </w:r>
      <w:r>
        <w:rPr/>
        <w:t>5,000 mg/kg via the oral route. Food but not water was withheld further for 1 hour after the</w:t>
      </w:r>
      <w:r>
        <w:rPr>
          <w:spacing w:val="1"/>
        </w:rPr>
        <w:t> </w:t>
      </w:r>
      <w:r>
        <w:rPr/>
        <w:t>extract administration. The animals were observed for signs and symptoms of toxicity at</w:t>
      </w:r>
      <w:r>
        <w:rPr>
          <w:spacing w:val="1"/>
        </w:rPr>
        <w:t> </w:t>
      </w:r>
      <w:r>
        <w:rPr/>
        <w:t>least once every 30 minutes for the first 4 hours and then daily for 14 days. After 14 days,</w:t>
      </w:r>
      <w:r>
        <w:rPr>
          <w:spacing w:val="1"/>
        </w:rPr>
        <w:t> </w:t>
      </w:r>
      <w:r>
        <w:rPr/>
        <w:t>the study was terminated. The signs and symptoms observed included tremor, convulsion,</w:t>
      </w:r>
      <w:r>
        <w:rPr>
          <w:spacing w:val="1"/>
        </w:rPr>
        <w:t> </w:t>
      </w:r>
      <w:r>
        <w:rPr/>
        <w:t>salivation, lacrimation, diarrhoea, lethargy, sleep, respiratory, behavioural pattern, time of</w:t>
      </w:r>
      <w:r>
        <w:rPr>
          <w:spacing w:val="1"/>
        </w:rPr>
        <w:t> </w:t>
      </w:r>
      <w:r>
        <w:rPr/>
        <w:t>onset of</w:t>
      </w:r>
      <w:r>
        <w:rPr>
          <w:spacing w:val="-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if any</w:t>
      </w:r>
      <w:r>
        <w:rPr>
          <w:spacing w:val="-3"/>
        </w:rPr>
        <w:t> </w:t>
      </w:r>
      <w:r>
        <w:rPr/>
        <w:t>and length of</w:t>
      </w:r>
      <w:r>
        <w:rPr>
          <w:spacing w:val="1"/>
        </w:rPr>
        <w:t> </w:t>
      </w:r>
      <w:r>
        <w:rPr/>
        <w:t>recovery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well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 of</w:t>
      </w:r>
      <w:r>
        <w:rPr>
          <w:spacing w:val="-2"/>
        </w:rPr>
        <w:t> </w:t>
      </w:r>
      <w:r>
        <w:rPr/>
        <w:t>death.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3026" w:val="left" w:leader="none"/>
        </w:tabs>
        <w:spacing w:line="240" w:lineRule="auto" w:before="0" w:after="0"/>
        <w:ind w:left="3025" w:right="0" w:hanging="361"/>
        <w:jc w:val="left"/>
      </w:pPr>
      <w:bookmarkStart w:name="_TOC_250030" w:id="45"/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Antidiarrhoeal</w:t>
      </w:r>
      <w:r>
        <w:rPr>
          <w:spacing w:val="-2"/>
        </w:rPr>
        <w:t> </w:t>
      </w:r>
      <w:bookmarkEnd w:id="45"/>
      <w:r>
        <w:rPr/>
        <w:t>Activity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15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29" w:id="46"/>
      <w:r>
        <w:rPr/>
        <w:t>Castor</w:t>
      </w:r>
      <w:r>
        <w:rPr>
          <w:spacing w:val="-3"/>
        </w:rPr>
        <w:t> </w:t>
      </w:r>
      <w:r>
        <w:rPr/>
        <w:t>Oil-Induced</w:t>
      </w:r>
      <w:r>
        <w:rPr>
          <w:spacing w:val="-1"/>
        </w:rPr>
        <w:t> </w:t>
      </w:r>
      <w:r>
        <w:rPr/>
        <w:t>Diarrhoea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46"/>
      <w:r>
        <w:rPr/>
        <w:t>Mice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5"/>
        <w:jc w:val="both"/>
      </w:pPr>
      <w:r>
        <w:rPr/>
        <w:t>The method described by Awouters </w:t>
      </w:r>
      <w:r>
        <w:rPr>
          <w:i/>
        </w:rPr>
        <w:t>et al</w:t>
      </w:r>
      <w:r>
        <w:rPr/>
        <w:t>. (1978) was adopted. Mice were fasted for 18</w:t>
      </w:r>
      <w:r>
        <w:rPr>
          <w:spacing w:val="1"/>
        </w:rPr>
        <w:t> </w:t>
      </w:r>
      <w:r>
        <w:rPr/>
        <w:t>hours and randomly divided into five groups of five mice each. Group I (negative control)</w:t>
      </w:r>
      <w:r>
        <w:rPr>
          <w:spacing w:val="1"/>
        </w:rPr>
        <w:t> </w:t>
      </w:r>
      <w:r>
        <w:rPr/>
        <w:t>and group V (positive control) were administered 10 mL/kg distilled water and 5 mg/kg</w:t>
      </w:r>
      <w:r>
        <w:rPr>
          <w:spacing w:val="1"/>
        </w:rPr>
        <w:t> </w:t>
      </w:r>
      <w:r>
        <w:rPr/>
        <w:t>loperamide per oral respectively. Group II, III and IV were administered the MECH at a</w:t>
      </w:r>
      <w:r>
        <w:rPr>
          <w:spacing w:val="1"/>
        </w:rPr>
        <w:t> </w:t>
      </w:r>
      <w:r>
        <w:rPr/>
        <w:t>doses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250, 500 and 1000 mg/kg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Sixty minutes after treatment, all the mice were orally administered 0.5 ml of castor oil and</w:t>
      </w:r>
      <w:r>
        <w:rPr>
          <w:spacing w:val="1"/>
        </w:rPr>
        <w:t> </w:t>
      </w:r>
      <w:r>
        <w:rPr/>
        <w:t>then each</w:t>
      </w:r>
      <w:r>
        <w:rPr>
          <w:spacing w:val="1"/>
        </w:rPr>
        <w:t> </w:t>
      </w:r>
      <w:r>
        <w:rPr/>
        <w:t>mouse was placed in</w:t>
      </w:r>
      <w:r>
        <w:rPr>
          <w:spacing w:val="1"/>
        </w:rPr>
        <w:t> </w:t>
      </w:r>
      <w:r>
        <w:rPr/>
        <w:t>a separate</w:t>
      </w:r>
      <w:r>
        <w:rPr>
          <w:spacing w:val="1"/>
        </w:rPr>
        <w:t> </w:t>
      </w:r>
      <w:r>
        <w:rPr/>
        <w:t>cage whose floor was</w:t>
      </w:r>
      <w:r>
        <w:rPr>
          <w:spacing w:val="1"/>
        </w:rPr>
        <w:t> </w:t>
      </w:r>
      <w:r>
        <w:rPr/>
        <w:t>lined</w:t>
      </w:r>
      <w:r>
        <w:rPr>
          <w:spacing w:val="60"/>
        </w:rPr>
        <w:t> </w:t>
      </w:r>
      <w:r>
        <w:rPr/>
        <w:t>with white filter</w:t>
      </w:r>
      <w:r>
        <w:rPr>
          <w:spacing w:val="1"/>
        </w:rPr>
        <w:t> </w:t>
      </w:r>
      <w:r>
        <w:rPr/>
        <w:t>paper for an observation period of 4 hours. Observation was made base on the time of onset</w:t>
      </w:r>
      <w:r>
        <w:rPr>
          <w:spacing w:val="-57"/>
        </w:rPr>
        <w:t> </w:t>
      </w:r>
      <w:r>
        <w:rPr/>
        <w:t>of</w:t>
      </w:r>
      <w:r>
        <w:rPr>
          <w:spacing w:val="29"/>
        </w:rPr>
        <w:t> </w:t>
      </w:r>
      <w:r>
        <w:rPr/>
        <w:t>diarrhoea,</w:t>
      </w:r>
      <w:r>
        <w:rPr>
          <w:spacing w:val="30"/>
        </w:rPr>
        <w:t> </w:t>
      </w:r>
      <w:r>
        <w:rPr/>
        <w:t>number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wet</w:t>
      </w:r>
      <w:r>
        <w:rPr>
          <w:spacing w:val="30"/>
        </w:rPr>
        <w:t> </w:t>
      </w:r>
      <w:r>
        <w:rPr/>
        <w:t>faeces</w:t>
      </w:r>
      <w:r>
        <w:rPr>
          <w:spacing w:val="30"/>
        </w:rPr>
        <w:t> </w:t>
      </w:r>
      <w:r>
        <w:rPr/>
        <w:t>(diarrhoea</w:t>
      </w:r>
      <w:r>
        <w:rPr>
          <w:spacing w:val="29"/>
        </w:rPr>
        <w:t> </w:t>
      </w:r>
      <w:r>
        <w:rPr/>
        <w:t>stools)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total</w:t>
      </w:r>
      <w:r>
        <w:rPr>
          <w:spacing w:val="30"/>
        </w:rPr>
        <w:t> </w:t>
      </w:r>
      <w:r>
        <w:rPr/>
        <w:t>number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faeces.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4"/>
      </w:pPr>
      <w:r>
        <w:rPr/>
        <w:t>Percentage</w:t>
      </w:r>
      <w:r>
        <w:rPr>
          <w:spacing w:val="21"/>
        </w:rPr>
        <w:t> </w:t>
      </w:r>
      <w:r>
        <w:rPr/>
        <w:t>protection</w:t>
      </w:r>
      <w:r>
        <w:rPr>
          <w:spacing w:val="23"/>
        </w:rPr>
        <w:t> </w:t>
      </w:r>
      <w:r>
        <w:rPr/>
        <w:t>against</w:t>
      </w:r>
      <w:r>
        <w:rPr>
          <w:spacing w:val="23"/>
        </w:rPr>
        <w:t> </w:t>
      </w:r>
      <w:r>
        <w:rPr/>
        <w:t>diarrhoea</w:t>
      </w:r>
      <w:r>
        <w:rPr>
          <w:spacing w:val="21"/>
        </w:rPr>
        <w:t> </w:t>
      </w:r>
      <w:r>
        <w:rPr/>
        <w:t>was</w:t>
      </w:r>
      <w:r>
        <w:rPr>
          <w:spacing w:val="27"/>
        </w:rPr>
        <w:t> </w:t>
      </w:r>
      <w:r>
        <w:rPr/>
        <w:t>calculated</w:t>
      </w:r>
      <w:r>
        <w:rPr>
          <w:spacing w:val="22"/>
        </w:rPr>
        <w:t> </w:t>
      </w:r>
      <w:r>
        <w:rPr/>
        <w:t>with</w:t>
      </w:r>
      <w:r>
        <w:rPr>
          <w:spacing w:val="24"/>
        </w:rPr>
        <w:t> </w:t>
      </w:r>
      <w:r>
        <w:rPr/>
        <w:t>respect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number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wet</w:t>
      </w:r>
      <w:r>
        <w:rPr>
          <w:spacing w:val="-57"/>
        </w:rPr>
        <w:t> </w:t>
      </w:r>
      <w:r>
        <w:rPr/>
        <w:t>faeces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</w:t>
      </w:r>
      <w:r>
        <w:rPr>
          <w:spacing w:val="1"/>
        </w:rPr>
        <w:t> </w:t>
      </w:r>
      <w:r>
        <w:rPr/>
        <w:t>below:</w:t>
      </w:r>
    </w:p>
    <w:p>
      <w:pPr>
        <w:spacing w:after="0" w:line="480" w:lineRule="auto"/>
        <w:sectPr>
          <w:pgSz w:w="12240" w:h="15840"/>
          <w:pgMar w:header="0" w:footer="294" w:top="1340" w:bottom="480" w:left="1720" w:right="540"/>
        </w:sectPr>
      </w:pPr>
    </w:p>
    <w:p>
      <w:pPr>
        <w:spacing w:line="168" w:lineRule="auto" w:before="67"/>
        <w:ind w:left="325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256.25pt;margin-top:13.389996pt;width:243.65pt;height:.84pt;mso-position-horizontal-relative:page;mso-position-vertical-relative:paragraph;z-index:-1859328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-13"/>
          <w:sz w:val="24"/>
        </w:rPr>
        <w:t>%</w:t>
      </w:r>
      <w:r>
        <w:rPr>
          <w:rFonts w:ascii="Cambria Math" w:hAnsi="Cambria Math"/>
          <w:spacing w:val="-1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inhibition</w:t>
      </w:r>
      <w:r>
        <w:rPr>
          <w:rFonts w:ascii="Cambria Math" w:hAnsi="Cambria Math"/>
          <w:spacing w:val="1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of</w:t>
      </w:r>
      <w:r>
        <w:rPr>
          <w:rFonts w:ascii="Cambria Math" w:hAnsi="Cambria Math"/>
          <w:spacing w:val="-2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defaecation</w:t>
      </w:r>
      <w:r>
        <w:rPr>
          <w:rFonts w:ascii="Cambria Math" w:hAnsi="Cambria Math"/>
          <w:spacing w:val="8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=</w:t>
      </w:r>
      <w:r>
        <w:rPr>
          <w:rFonts w:ascii="Cambria Math" w:hAnsi="Cambria Math"/>
          <w:spacing w:val="14"/>
          <w:position w:val="-13"/>
          <w:sz w:val="24"/>
        </w:rPr>
        <w:t> </w:t>
      </w:r>
      <w:r>
        <w:rPr>
          <w:rFonts w:ascii="Cambria Math" w:hAnsi="Cambria Math"/>
          <w:sz w:val="17"/>
        </w:rPr>
        <w:t>No</w:t>
      </w:r>
      <w:r>
        <w:rPr>
          <w:rFonts w:ascii="Cambria Math" w:hAnsi="Cambria Math"/>
          <w:spacing w:val="25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faeces</w:t>
      </w:r>
      <w:r>
        <w:rPr>
          <w:rFonts w:ascii="Cambria Math" w:hAnsi="Cambria Math"/>
          <w:spacing w:val="57"/>
          <w:sz w:val="17"/>
        </w:rPr>
        <w:t> </w:t>
      </w:r>
      <w:r>
        <w:rPr>
          <w:rFonts w:ascii="Cambria Math" w:hAnsi="Cambria Math"/>
          <w:sz w:val="17"/>
        </w:rPr>
        <w:t>in</w:t>
      </w:r>
      <w:r>
        <w:rPr>
          <w:rFonts w:ascii="Cambria Math" w:hAnsi="Cambria Math"/>
          <w:spacing w:val="17"/>
          <w:sz w:val="17"/>
        </w:rPr>
        <w:t> </w:t>
      </w:r>
      <w:r>
        <w:rPr>
          <w:rFonts w:ascii="Cambria Math" w:hAnsi="Cambria Math"/>
          <w:sz w:val="17"/>
        </w:rPr>
        <w:t>negative  </w:t>
      </w:r>
      <w:r>
        <w:rPr>
          <w:rFonts w:ascii="Cambria Math" w:hAnsi="Cambria Math"/>
          <w:spacing w:val="6"/>
          <w:sz w:val="17"/>
        </w:rPr>
        <w:t> </w:t>
      </w:r>
      <w:r>
        <w:rPr>
          <w:rFonts w:ascii="Cambria Math" w:hAnsi="Cambria Math"/>
          <w:sz w:val="17"/>
        </w:rPr>
        <w:t>control   </w:t>
      </w:r>
      <w:r>
        <w:rPr>
          <w:rFonts w:ascii="Cambria Math" w:hAnsi="Cambria Math"/>
          <w:spacing w:val="33"/>
          <w:sz w:val="17"/>
        </w:rPr>
        <w:t> </w:t>
      </w:r>
      <w:r>
        <w:rPr>
          <w:rFonts w:ascii="Cambria Math" w:hAnsi="Cambria Math"/>
          <w:sz w:val="17"/>
        </w:rPr>
        <w:t>–</w:t>
      </w:r>
      <w:r>
        <w:rPr>
          <w:rFonts w:ascii="Cambria Math" w:hAnsi="Cambria Math"/>
          <w:spacing w:val="37"/>
          <w:sz w:val="17"/>
        </w:rPr>
        <w:t> </w:t>
      </w:r>
      <w:r>
        <w:rPr>
          <w:rFonts w:ascii="Cambria Math" w:hAnsi="Cambria Math"/>
          <w:sz w:val="17"/>
        </w:rPr>
        <w:t>No</w:t>
      </w:r>
      <w:r>
        <w:rPr>
          <w:rFonts w:ascii="Cambria Math" w:hAnsi="Cambria Math"/>
          <w:spacing w:val="22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faeces</w:t>
      </w:r>
      <w:r>
        <w:rPr>
          <w:rFonts w:ascii="Cambria Math" w:hAnsi="Cambria Math"/>
          <w:spacing w:val="58"/>
          <w:sz w:val="17"/>
        </w:rPr>
        <w:t> </w:t>
      </w:r>
      <w:r>
        <w:rPr>
          <w:rFonts w:ascii="Cambria Math" w:hAnsi="Cambria Math"/>
          <w:sz w:val="17"/>
        </w:rPr>
        <w:t>in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test</w:t>
      </w:r>
      <w:r>
        <w:rPr>
          <w:rFonts w:ascii="Cambria Math" w:hAnsi="Cambria Math"/>
          <w:spacing w:val="36"/>
          <w:sz w:val="17"/>
        </w:rPr>
        <w:t> </w:t>
      </w:r>
      <w:r>
        <w:rPr>
          <w:rFonts w:ascii="Cambria Math" w:hAnsi="Cambria Math"/>
          <w:sz w:val="17"/>
        </w:rPr>
        <w:t>group</w:t>
      </w:r>
    </w:p>
    <w:p>
      <w:pPr>
        <w:spacing w:line="162" w:lineRule="exact" w:before="0"/>
        <w:ind w:left="3918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Total</w:t>
      </w:r>
      <w:r>
        <w:rPr>
          <w:rFonts w:ascii="Cambria Math"/>
          <w:spacing w:val="46"/>
          <w:sz w:val="17"/>
        </w:rPr>
        <w:t> </w:t>
      </w:r>
      <w:r>
        <w:rPr>
          <w:rFonts w:ascii="Cambria Math"/>
          <w:sz w:val="17"/>
        </w:rPr>
        <w:t>No</w:t>
      </w:r>
      <w:r>
        <w:rPr>
          <w:rFonts w:ascii="Cambria Math"/>
          <w:spacing w:val="25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faeces</w:t>
      </w:r>
      <w:r>
        <w:rPr>
          <w:rFonts w:ascii="Cambria Math"/>
          <w:spacing w:val="57"/>
          <w:sz w:val="17"/>
        </w:rPr>
        <w:t> </w:t>
      </w:r>
      <w:r>
        <w:rPr>
          <w:rFonts w:ascii="Cambria Math"/>
          <w:sz w:val="17"/>
        </w:rPr>
        <w:t>in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the</w:t>
      </w:r>
      <w:r>
        <w:rPr>
          <w:rFonts w:ascii="Cambria Math"/>
          <w:spacing w:val="29"/>
          <w:sz w:val="17"/>
        </w:rPr>
        <w:t> </w:t>
      </w:r>
      <w:r>
        <w:rPr>
          <w:rFonts w:ascii="Cambria Math"/>
          <w:sz w:val="17"/>
        </w:rPr>
        <w:t>negative</w:t>
      </w:r>
      <w:r>
        <w:rPr>
          <w:rFonts w:ascii="Cambria Math"/>
          <w:spacing w:val="44"/>
          <w:sz w:val="17"/>
        </w:rPr>
        <w:t> </w:t>
      </w:r>
      <w:r>
        <w:rPr>
          <w:rFonts w:ascii="Cambria Math"/>
          <w:sz w:val="17"/>
        </w:rPr>
        <w:t>control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group</w:t>
      </w:r>
    </w:p>
    <w:p>
      <w:pPr>
        <w:pStyle w:val="BodyText"/>
        <w:spacing w:before="121"/>
        <w:ind w:left="66"/>
      </w:pPr>
      <w:r>
        <w:rPr/>
        <w:br w:type="column"/>
      </w: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2240" w:h="15840"/>
          <w:pgMar w:top="1340" w:bottom="280" w:left="1720" w:right="540"/>
          <w:cols w:num="2" w:equalWidth="0">
            <w:col w:w="8225" w:space="40"/>
            <w:col w:w="17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307" w:lineRule="exact" w:before="73"/>
        <w:ind w:left="750" w:right="1001" w:firstLine="0"/>
        <w:jc w:val="center"/>
        <w:rPr>
          <w:sz w:val="24"/>
        </w:rPr>
      </w:pPr>
      <w:r>
        <w:rPr/>
        <w:pict>
          <v:rect style="position:absolute;margin-left:340.269989pt;margin-top:14.886655pt;width:93pt;height:.84001pt;mso-position-horizontal-relative:page;mso-position-vertical-relative:paragraph;z-index:-1859276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4"/>
        </w:rPr>
        <w:t>%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inhibition of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diarrhoea</w:t>
      </w:r>
      <w:r>
        <w:rPr>
          <w:rFonts w:ascii="Cambria Math" w:hAnsi="Cambria Math"/>
          <w:spacing w:val="11"/>
          <w:sz w:val="24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1"/>
          <w:sz w:val="24"/>
        </w:rPr>
        <w:t> </w:t>
      </w:r>
      <w:r>
        <w:rPr>
          <w:rFonts w:ascii="Cambria Math" w:hAnsi="Cambria Math"/>
          <w:position w:val="14"/>
          <w:sz w:val="17"/>
        </w:rPr>
        <w:t>No</w:t>
      </w:r>
      <w:r>
        <w:rPr>
          <w:rFonts w:ascii="Cambria Math" w:hAnsi="Cambria Math"/>
          <w:spacing w:val="27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of</w:t>
      </w:r>
      <w:r>
        <w:rPr>
          <w:rFonts w:ascii="Cambria Math" w:hAnsi="Cambria Math"/>
          <w:spacing w:val="17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WFC</w:t>
      </w:r>
      <w:r>
        <w:rPr>
          <w:rFonts w:ascii="Cambria Math" w:hAnsi="Cambria Math"/>
          <w:spacing w:val="1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–</w:t>
      </w:r>
      <w:r>
        <w:rPr>
          <w:rFonts w:ascii="Cambria Math" w:hAnsi="Cambria Math"/>
          <w:spacing w:val="-1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No</w:t>
      </w:r>
      <w:r>
        <w:rPr>
          <w:rFonts w:ascii="Cambria Math" w:hAnsi="Cambria Math"/>
          <w:spacing w:val="22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of</w:t>
      </w:r>
      <w:r>
        <w:rPr>
          <w:rFonts w:ascii="Cambria Math" w:hAnsi="Cambria Math"/>
          <w:spacing w:val="17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WFT</w:t>
      </w:r>
      <w:r>
        <w:rPr>
          <w:rFonts w:ascii="Cambria Math" w:hAnsi="Cambria Math"/>
          <w:spacing w:val="12"/>
          <w:position w:val="14"/>
          <w:sz w:val="17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100</w:t>
      </w:r>
    </w:p>
    <w:p>
      <w:pPr>
        <w:spacing w:line="152" w:lineRule="exact" w:before="0"/>
        <w:ind w:left="2872" w:right="858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No</w:t>
      </w:r>
      <w:r>
        <w:rPr>
          <w:rFonts w:ascii="Cambria Math"/>
          <w:spacing w:val="26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20"/>
          <w:sz w:val="17"/>
        </w:rPr>
        <w:t> </w:t>
      </w:r>
      <w:r>
        <w:rPr>
          <w:rFonts w:ascii="Cambria Math"/>
          <w:sz w:val="17"/>
        </w:rPr>
        <w:t>WFC</w:t>
      </w:r>
    </w:p>
    <w:p>
      <w:pPr>
        <w:pStyle w:val="BodyText"/>
        <w:spacing w:before="11"/>
        <w:rPr>
          <w:rFonts w:ascii="Cambria Math"/>
          <w:sz w:val="29"/>
        </w:rPr>
      </w:pPr>
    </w:p>
    <w:p>
      <w:pPr>
        <w:pStyle w:val="BodyText"/>
        <w:spacing w:before="90"/>
        <w:ind w:left="265"/>
      </w:pPr>
      <w:r>
        <w:rPr/>
        <w:t>Where;</w:t>
      </w:r>
    </w:p>
    <w:p>
      <w:pPr>
        <w:pStyle w:val="BodyText"/>
        <w:spacing w:before="1"/>
      </w:pPr>
    </w:p>
    <w:p>
      <w:pPr>
        <w:pStyle w:val="BodyText"/>
        <w:tabs>
          <w:tab w:pos="4942" w:val="left" w:leader="none"/>
        </w:tabs>
        <w:ind w:left="265"/>
      </w:pPr>
      <w:r>
        <w:rPr/>
        <w:t>WFC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wet</w:t>
      </w:r>
      <w:r>
        <w:rPr>
          <w:spacing w:val="-1"/>
        </w:rPr>
        <w:t> </w:t>
      </w:r>
      <w:r>
        <w:rPr/>
        <w:t>faeces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  <w:tab/>
        <w:t>WFT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wet</w:t>
      </w:r>
      <w:r>
        <w:rPr>
          <w:spacing w:val="-1"/>
        </w:rPr>
        <w:t> </w:t>
      </w:r>
      <w:r>
        <w:rPr/>
        <w:t>faeces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806" w:val="left" w:leader="none"/>
        </w:tabs>
        <w:spacing w:line="240" w:lineRule="auto" w:before="212" w:after="0"/>
        <w:ind w:left="805" w:right="0" w:hanging="541"/>
        <w:jc w:val="both"/>
      </w:pPr>
      <w:bookmarkStart w:name="_TOC_250028" w:id="47"/>
      <w:r>
        <w:rPr/>
        <w:t>Castor</w:t>
      </w:r>
      <w:r>
        <w:rPr>
          <w:spacing w:val="-3"/>
        </w:rPr>
        <w:t> </w:t>
      </w:r>
      <w:r>
        <w:rPr/>
        <w:t>Oil-Induced</w:t>
      </w:r>
      <w:r>
        <w:rPr>
          <w:spacing w:val="-1"/>
        </w:rPr>
        <w:t> </w:t>
      </w:r>
      <w:r>
        <w:rPr/>
        <w:t>Enteropooling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47"/>
      <w:r>
        <w:rPr/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The method described by Robert </w:t>
      </w:r>
      <w:r>
        <w:rPr>
          <w:i/>
        </w:rPr>
        <w:t>et al. </w:t>
      </w:r>
      <w:r>
        <w:rPr/>
        <w:t>(1976) was adopted. The mice were fasted for 18</w:t>
      </w:r>
      <w:r>
        <w:rPr>
          <w:spacing w:val="1"/>
        </w:rPr>
        <w:t> </w:t>
      </w:r>
      <w:r>
        <w:rPr/>
        <w:t>hours and adequately allowed free access to water </w:t>
      </w:r>
      <w:r>
        <w:rPr>
          <w:i/>
        </w:rPr>
        <w:t>ad libitum. </w:t>
      </w:r>
      <w:r>
        <w:rPr/>
        <w:t>They were randomly divided</w:t>
      </w:r>
      <w:r>
        <w:rPr>
          <w:spacing w:val="1"/>
        </w:rPr>
        <w:t> </w:t>
      </w:r>
      <w:r>
        <w:rPr/>
        <w:t>into five groups of five mice 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 (negative control) and group V</w:t>
      </w:r>
      <w:r>
        <w:rPr>
          <w:spacing w:val="1"/>
        </w:rPr>
        <w:t> </w:t>
      </w:r>
      <w:r>
        <w:rPr/>
        <w:t>(positive control) administered 10 mL/kg distilled water and 5 mg/kg loperamide per oral</w:t>
      </w:r>
      <w:r>
        <w:rPr>
          <w:spacing w:val="1"/>
        </w:rPr>
        <w:t> </w:t>
      </w:r>
      <w:r>
        <w:rPr/>
        <w:t>respectively. Group II, III and IV were administered the MECH at a doses of 250, 500 and</w:t>
      </w:r>
      <w:r>
        <w:rPr>
          <w:spacing w:val="1"/>
        </w:rPr>
        <w:t> </w:t>
      </w:r>
      <w:r>
        <w:rPr/>
        <w:t>1000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69"/>
        <w:jc w:val="both"/>
      </w:pPr>
      <w:r>
        <w:rPr/>
        <w:t>After 60 minutes of treatment, 0.5 ml castor oil was orally administered to all the mice.</w:t>
      </w:r>
      <w:r>
        <w:rPr>
          <w:spacing w:val="1"/>
        </w:rPr>
        <w:t> </w:t>
      </w:r>
      <w:r>
        <w:rPr/>
        <w:t>Then 30 minutes following castor oil administration, all the mice were sacrificed and their</w:t>
      </w:r>
      <w:r>
        <w:rPr>
          <w:spacing w:val="1"/>
        </w:rPr>
        <w:t> </w:t>
      </w:r>
      <w:r>
        <w:rPr/>
        <w:t>small intestines from the pylorus to caecum were removed and weighed. The intestinal</w:t>
      </w:r>
      <w:r>
        <w:rPr>
          <w:spacing w:val="1"/>
        </w:rPr>
        <w:t> </w:t>
      </w:r>
      <w:r>
        <w:rPr/>
        <w:t>content of each mouse was collected into a graduated syringe and the volume was measured</w:t>
      </w:r>
      <w:r>
        <w:rPr>
          <w:spacing w:val="-57"/>
        </w:rPr>
        <w:t> </w:t>
      </w:r>
      <w:r>
        <w:rPr/>
        <w:t>and recorded to determine the volume of intestinal content of each mouse. The empty</w:t>
      </w:r>
      <w:r>
        <w:rPr>
          <w:spacing w:val="1"/>
        </w:rPr>
        <w:t> </w:t>
      </w:r>
      <w:r>
        <w:rPr/>
        <w:t>intestine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each</w:t>
      </w:r>
      <w:r>
        <w:rPr>
          <w:spacing w:val="27"/>
        </w:rPr>
        <w:t> </w:t>
      </w:r>
      <w:r>
        <w:rPr/>
        <w:t>mouse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reweighed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determine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weight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intestinal</w:t>
      </w:r>
      <w:r>
        <w:rPr>
          <w:spacing w:val="29"/>
        </w:rPr>
        <w:t> </w:t>
      </w:r>
      <w:r>
        <w:rPr/>
        <w:t>content.</w:t>
      </w:r>
      <w:r>
        <w:rPr>
          <w:spacing w:val="-58"/>
        </w:rPr>
        <w:t> </w:t>
      </w:r>
      <w:r>
        <w:rPr/>
        <w:t>The weight and volume of intestinal content obtained from the negative control group were</w:t>
      </w:r>
      <w:r>
        <w:rPr>
          <w:spacing w:val="1"/>
        </w:rPr>
        <w:t> </w:t>
      </w:r>
      <w:r>
        <w:rPr/>
        <w:t>used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compare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weight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volume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intestinal</w:t>
      </w:r>
      <w:r>
        <w:rPr>
          <w:spacing w:val="25"/>
        </w:rPr>
        <w:t> </w:t>
      </w:r>
      <w:r>
        <w:rPr/>
        <w:t>contents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4"/>
        </w:rPr>
        <w:t> </w:t>
      </w:r>
      <w:r>
        <w:rPr/>
        <w:t>treated</w:t>
      </w:r>
      <w:r>
        <w:rPr>
          <w:spacing w:val="28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280" w:left="1720" w:right="540"/>
        </w:sectPr>
      </w:pPr>
    </w:p>
    <w:p>
      <w:pPr>
        <w:pStyle w:val="BodyText"/>
        <w:spacing w:line="480" w:lineRule="auto" w:before="70"/>
        <w:ind w:left="265" w:right="874"/>
        <w:jc w:val="both"/>
      </w:pPr>
      <w:r>
        <w:rPr/>
        <w:t>Percentage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calculating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mean</w:t>
      </w:r>
      <w:r>
        <w:rPr>
          <w:spacing w:val="1"/>
        </w:rPr>
        <w:t> </w:t>
      </w:r>
      <w:r>
        <w:rPr/>
        <w:t>volume of intestinal content of the test groups and comparing it with the mean volume of</w:t>
      </w:r>
      <w:r>
        <w:rPr>
          <w:spacing w:val="1"/>
        </w:rPr>
        <w:t> </w:t>
      </w:r>
      <w:r>
        <w:rPr/>
        <w:t>intestinal content of the negative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 as follows:</w:t>
      </w:r>
    </w:p>
    <w:p>
      <w:pPr>
        <w:spacing w:line="168" w:lineRule="auto" w:before="67"/>
        <w:ind w:left="265" w:right="0" w:firstLine="0"/>
        <w:jc w:val="both"/>
        <w:rPr>
          <w:sz w:val="24"/>
        </w:rPr>
      </w:pPr>
      <w:r>
        <w:rPr/>
        <w:pict>
          <v:rect style="position:absolute;margin-left:316.130005pt;margin-top:13.389949pt;width:214.37pt;height:.84001pt;mso-position-horizontal-relative:page;mso-position-vertical-relative:paragraph;z-index:-1859225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-13"/>
          <w:sz w:val="24"/>
        </w:rPr>
        <w:t>%</w:t>
      </w:r>
      <w:r>
        <w:rPr>
          <w:rFonts w:ascii="Cambria Math" w:hAnsi="Cambria Math"/>
          <w:spacing w:val="-2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weight</w:t>
      </w:r>
      <w:r>
        <w:rPr>
          <w:rFonts w:ascii="Cambria Math" w:hAnsi="Cambria Math"/>
          <w:spacing w:val="-5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decrease</w:t>
      </w:r>
      <w:r>
        <w:rPr>
          <w:rFonts w:ascii="Cambria Math" w:hAnsi="Cambria Math"/>
          <w:spacing w:val="-3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of</w:t>
      </w:r>
      <w:r>
        <w:rPr>
          <w:rFonts w:ascii="Cambria Math" w:hAnsi="Cambria Math"/>
          <w:spacing w:val="-1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intestinal</w:t>
      </w:r>
      <w:r>
        <w:rPr>
          <w:rFonts w:ascii="Cambria Math" w:hAnsi="Cambria Math"/>
          <w:spacing w:val="-4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content</w:t>
      </w:r>
      <w:r>
        <w:rPr>
          <w:rFonts w:ascii="Cambria Math" w:hAnsi="Cambria Math"/>
          <w:spacing w:val="8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=</w:t>
      </w:r>
      <w:r>
        <w:rPr>
          <w:rFonts w:ascii="Cambria Math" w:hAnsi="Cambria Math"/>
          <w:spacing w:val="14"/>
          <w:position w:val="-13"/>
          <w:sz w:val="24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68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instestinal  </w:t>
      </w:r>
      <w:r>
        <w:rPr>
          <w:rFonts w:ascii="Cambria Math" w:hAnsi="Cambria Math"/>
          <w:spacing w:val="25"/>
          <w:sz w:val="17"/>
        </w:rPr>
        <w:t> </w:t>
      </w:r>
      <w:r>
        <w:rPr>
          <w:rFonts w:ascii="Cambria Math" w:hAnsi="Cambria Math"/>
          <w:sz w:val="17"/>
        </w:rPr>
        <w:t>CNC</w:t>
      </w:r>
      <w:r>
        <w:rPr>
          <w:rFonts w:ascii="Cambria Math" w:hAnsi="Cambria Math"/>
          <w:spacing w:val="34"/>
          <w:sz w:val="17"/>
        </w:rPr>
        <w:t> </w:t>
      </w:r>
      <w:r>
        <w:rPr>
          <w:rFonts w:ascii="Cambria Math" w:hAnsi="Cambria Math"/>
          <w:sz w:val="17"/>
        </w:rPr>
        <w:t>–</w:t>
      </w:r>
      <w:r>
        <w:rPr>
          <w:rFonts w:ascii="Cambria Math" w:hAnsi="Cambria Math"/>
          <w:spacing w:val="-2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68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intestinal  </w:t>
      </w:r>
      <w:r>
        <w:rPr>
          <w:rFonts w:ascii="Cambria Math" w:hAnsi="Cambria Math"/>
          <w:spacing w:val="13"/>
          <w:sz w:val="17"/>
        </w:rPr>
        <w:t> </w:t>
      </w:r>
      <w:r>
        <w:rPr>
          <w:rFonts w:ascii="Cambria Math" w:hAnsi="Cambria Math"/>
          <w:sz w:val="17"/>
        </w:rPr>
        <w:t>CTG</w:t>
      </w:r>
      <w:r>
        <w:rPr>
          <w:rFonts w:ascii="Cambria Math" w:hAnsi="Cambria Math"/>
          <w:spacing w:val="47"/>
          <w:sz w:val="17"/>
        </w:rPr>
        <w:t> </w:t>
      </w:r>
      <w:r>
        <w:rPr>
          <w:position w:val="-13"/>
          <w:sz w:val="24"/>
        </w:rPr>
        <w:t>x</w:t>
      </w:r>
    </w:p>
    <w:p>
      <w:pPr>
        <w:spacing w:line="162" w:lineRule="exact" w:before="0"/>
        <w:ind w:left="5752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Weight</w:t>
      </w:r>
      <w:r>
        <w:rPr>
          <w:rFonts w:ascii="Cambria Math"/>
          <w:spacing w:val="67"/>
          <w:sz w:val="17"/>
        </w:rPr>
        <w:t> </w:t>
      </w:r>
      <w:r>
        <w:rPr>
          <w:rFonts w:ascii="Cambria Math"/>
          <w:sz w:val="17"/>
        </w:rPr>
        <w:t>in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intestinal</w:t>
      </w:r>
      <w:r>
        <w:rPr>
          <w:rFonts w:ascii="Cambria Math"/>
          <w:spacing w:val="54"/>
          <w:sz w:val="17"/>
        </w:rPr>
        <w:t> </w:t>
      </w:r>
      <w:r>
        <w:rPr>
          <w:rFonts w:ascii="Cambria Math"/>
          <w:sz w:val="17"/>
        </w:rPr>
        <w:t>CNC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pStyle w:val="BodyText"/>
        <w:spacing w:before="90"/>
        <w:ind w:left="265"/>
      </w:pPr>
      <w:r>
        <w:rPr/>
        <w:t>100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308" w:lineRule="exact" w:before="0"/>
        <w:ind w:left="370" w:right="0" w:firstLine="0"/>
        <w:jc w:val="left"/>
        <w:rPr>
          <w:sz w:val="24"/>
        </w:rPr>
      </w:pPr>
      <w:r>
        <w:rPr/>
        <w:pict>
          <v:rect style="position:absolute;margin-left:337.149994pt;margin-top:11.236658pt;width:173.54pt;height:.84pt;mso-position-horizontal-relative:page;mso-position-vertical-relative:paragraph;z-index:-1859174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4"/>
        </w:rPr>
        <w:t>%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decrease</w:t>
      </w:r>
      <w:r>
        <w:rPr>
          <w:rFonts w:ascii="Cambria Math" w:hAnsi="Cambria Math"/>
          <w:spacing w:val="-2"/>
          <w:sz w:val="24"/>
        </w:rPr>
        <w:t> </w:t>
      </w:r>
      <w:r>
        <w:rPr>
          <w:rFonts w:ascii="Cambria Math" w:hAnsi="Cambria Math"/>
          <w:sz w:val="24"/>
        </w:rPr>
        <w:t>in volume</w:t>
      </w:r>
      <w:r>
        <w:rPr>
          <w:rFonts w:ascii="Cambria Math" w:hAnsi="Cambria Math"/>
          <w:spacing w:val="-5"/>
          <w:sz w:val="24"/>
        </w:rPr>
        <w:t> </w:t>
      </w:r>
      <w:r>
        <w:rPr>
          <w:rFonts w:ascii="Cambria Math" w:hAnsi="Cambria Math"/>
          <w:sz w:val="24"/>
        </w:rPr>
        <w:t>of intestinal</w:t>
      </w:r>
      <w:r>
        <w:rPr>
          <w:rFonts w:ascii="Cambria Math" w:hAnsi="Cambria Math"/>
          <w:spacing w:val="-5"/>
          <w:sz w:val="24"/>
        </w:rPr>
        <w:t> </w:t>
      </w:r>
      <w:r>
        <w:rPr>
          <w:rFonts w:ascii="Cambria Math" w:hAnsi="Cambria Math"/>
          <w:sz w:val="24"/>
        </w:rPr>
        <w:t>content</w:t>
      </w:r>
      <w:r>
        <w:rPr>
          <w:rFonts w:ascii="Cambria Math" w:hAnsi="Cambria Math"/>
          <w:spacing w:val="8"/>
          <w:sz w:val="24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5"/>
          <w:sz w:val="24"/>
        </w:rPr>
        <w:t> </w:t>
      </w:r>
      <w:r>
        <w:rPr>
          <w:rFonts w:ascii="Cambria Math" w:hAnsi="Cambria Math"/>
          <w:position w:val="14"/>
          <w:sz w:val="17"/>
        </w:rPr>
        <w:t>mean</w:t>
      </w:r>
      <w:r>
        <w:rPr>
          <w:rFonts w:ascii="Cambria Math" w:hAnsi="Cambria Math"/>
          <w:spacing w:val="49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intestinal</w:t>
      </w:r>
      <w:r>
        <w:rPr>
          <w:rFonts w:ascii="Cambria Math" w:hAnsi="Cambria Math"/>
          <w:spacing w:val="53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VNC</w:t>
      </w:r>
      <w:r>
        <w:rPr>
          <w:rFonts w:ascii="Cambria Math" w:hAnsi="Cambria Math"/>
          <w:spacing w:val="36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–</w:t>
      </w:r>
      <w:r>
        <w:rPr>
          <w:rFonts w:ascii="Cambria Math" w:hAnsi="Cambria Math"/>
          <w:spacing w:val="-1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mean</w:t>
      </w:r>
      <w:r>
        <w:rPr>
          <w:rFonts w:ascii="Cambria Math" w:hAnsi="Cambria Math"/>
          <w:spacing w:val="47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intestinal</w:t>
      </w:r>
      <w:r>
        <w:rPr>
          <w:rFonts w:ascii="Cambria Math" w:hAnsi="Cambria Math"/>
          <w:spacing w:val="53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VTG</w:t>
      </w:r>
      <w:r>
        <w:rPr>
          <w:rFonts w:ascii="Cambria Math" w:hAnsi="Cambria Math"/>
          <w:spacing w:val="47"/>
          <w:position w:val="14"/>
          <w:sz w:val="17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100</w:t>
      </w:r>
    </w:p>
    <w:p>
      <w:pPr>
        <w:spacing w:line="152" w:lineRule="exact" w:before="0"/>
        <w:ind w:left="593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Mean</w:t>
      </w:r>
      <w:r>
        <w:rPr>
          <w:rFonts w:ascii="Cambria Math"/>
          <w:spacing w:val="47"/>
          <w:sz w:val="17"/>
        </w:rPr>
        <w:t> </w:t>
      </w:r>
      <w:r>
        <w:rPr>
          <w:rFonts w:ascii="Cambria Math"/>
          <w:sz w:val="17"/>
        </w:rPr>
        <w:t>intestinal</w:t>
      </w:r>
      <w:r>
        <w:rPr>
          <w:rFonts w:ascii="Cambria Math"/>
          <w:spacing w:val="54"/>
          <w:sz w:val="17"/>
        </w:rPr>
        <w:t> </w:t>
      </w:r>
      <w:r>
        <w:rPr>
          <w:rFonts w:ascii="Cambria Math"/>
          <w:sz w:val="17"/>
        </w:rPr>
        <w:t>VNC</w:t>
      </w:r>
    </w:p>
    <w:p>
      <w:pPr>
        <w:pStyle w:val="BodyText"/>
        <w:spacing w:before="9"/>
        <w:rPr>
          <w:rFonts w:ascii="Cambria Math"/>
          <w:sz w:val="29"/>
        </w:rPr>
      </w:pPr>
    </w:p>
    <w:p>
      <w:pPr>
        <w:pStyle w:val="BodyText"/>
        <w:spacing w:before="90"/>
        <w:ind w:left="265"/>
      </w:pPr>
      <w:r>
        <w:rPr/>
        <w:t>Where;</w:t>
      </w:r>
    </w:p>
    <w:p>
      <w:pPr>
        <w:pStyle w:val="BodyText"/>
      </w:pPr>
    </w:p>
    <w:p>
      <w:pPr>
        <w:pStyle w:val="BodyText"/>
        <w:tabs>
          <w:tab w:pos="5306" w:val="left" w:leader="none"/>
        </w:tabs>
        <w:ind w:left="265"/>
      </w:pPr>
      <w:r>
        <w:rPr/>
        <w:t>CNC=</w:t>
      </w:r>
      <w:r>
        <w:rPr>
          <w:spacing w:val="-2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  <w:tab/>
        <w:t>CTG=</w:t>
      </w:r>
      <w:r>
        <w:rPr>
          <w:spacing w:val="-2"/>
        </w:rPr>
        <w:t> </w:t>
      </w:r>
      <w:r>
        <w:rPr/>
        <w:t>Contents in test</w:t>
      </w:r>
      <w:r>
        <w:rPr>
          <w:spacing w:val="-1"/>
        </w:rPr>
        <w:t> </w:t>
      </w:r>
      <w:r>
        <w:rPr/>
        <w:t>group</w:t>
      </w:r>
    </w:p>
    <w:p>
      <w:pPr>
        <w:pStyle w:val="BodyText"/>
      </w:pPr>
    </w:p>
    <w:p>
      <w:pPr>
        <w:pStyle w:val="BodyText"/>
        <w:tabs>
          <w:tab w:pos="6026" w:val="left" w:leader="none"/>
        </w:tabs>
        <w:spacing w:line="480" w:lineRule="auto" w:before="1"/>
        <w:ind w:left="265" w:right="877"/>
        <w:jc w:val="both"/>
      </w:pPr>
      <w:r>
        <w:rPr/>
        <w:t>VNC=</w:t>
      </w:r>
      <w:r>
        <w:rPr>
          <w:spacing w:val="-2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negative control</w:t>
      </w:r>
      <w:r>
        <w:rPr>
          <w:spacing w:val="1"/>
        </w:rPr>
        <w:t> </w:t>
      </w:r>
      <w:r>
        <w:rPr/>
        <w:t>group;</w:t>
        <w:tab/>
        <w:t>VTG=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test</w:t>
      </w:r>
      <w:r>
        <w:rPr>
          <w:spacing w:val="-57"/>
        </w:rPr>
        <w:t> </w:t>
      </w:r>
      <w:r>
        <w:rPr/>
        <w:t>group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27" w:id="48"/>
      <w:r>
        <w:rPr/>
        <w:t>Intestinal</w:t>
      </w:r>
      <w:r>
        <w:rPr>
          <w:spacing w:val="-1"/>
        </w:rPr>
        <w:t> </w:t>
      </w:r>
      <w:r>
        <w:rPr/>
        <w:t>Motility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48"/>
      <w:r>
        <w:rPr/>
        <w:t>Mice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4"/>
        <w:jc w:val="both"/>
      </w:pPr>
      <w:r>
        <w:rPr/>
        <w:t>An intestinal motility test was carried out according to the method described by Di Carlo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(1993). The mice were fasted for 18 hours and divided into five groups of five mice</w:t>
      </w:r>
      <w:r>
        <w:rPr>
          <w:spacing w:val="1"/>
        </w:rPr>
        <w:t> </w:t>
      </w:r>
      <w:r>
        <w:rPr/>
        <w:t>each. Group I (negative control) and group V (positive control) were administered 10mL/kg</w:t>
      </w:r>
      <w:r>
        <w:rPr>
          <w:spacing w:val="-57"/>
        </w:rPr>
        <w:t> </w:t>
      </w:r>
      <w:r>
        <w:rPr/>
        <w:t>distilled</w:t>
      </w:r>
      <w:r>
        <w:rPr>
          <w:spacing w:val="21"/>
        </w:rPr>
        <w:t> </w:t>
      </w:r>
      <w:r>
        <w:rPr/>
        <w:t>water</w:t>
      </w:r>
      <w:r>
        <w:rPr>
          <w:spacing w:val="21"/>
        </w:rPr>
        <w:t> </w:t>
      </w:r>
      <w:r>
        <w:rPr/>
        <w:t>(10ml/kg)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5</w:t>
      </w:r>
      <w:r>
        <w:rPr>
          <w:spacing w:val="22"/>
        </w:rPr>
        <w:t> </w:t>
      </w:r>
      <w:r>
        <w:rPr/>
        <w:t>mg/kg</w:t>
      </w:r>
      <w:r>
        <w:rPr>
          <w:spacing w:val="22"/>
        </w:rPr>
        <w:t> </w:t>
      </w:r>
      <w:r>
        <w:rPr/>
        <w:t>loperamide</w:t>
      </w:r>
      <w:r>
        <w:rPr>
          <w:spacing w:val="23"/>
        </w:rPr>
        <w:t> </w:t>
      </w:r>
      <w:r>
        <w:rPr/>
        <w:t>per</w:t>
      </w:r>
      <w:r>
        <w:rPr>
          <w:spacing w:val="21"/>
        </w:rPr>
        <w:t> </w:t>
      </w:r>
      <w:r>
        <w:rPr/>
        <w:t>oral</w:t>
      </w:r>
      <w:r>
        <w:rPr>
          <w:spacing w:val="24"/>
        </w:rPr>
        <w:t> </w:t>
      </w:r>
      <w:r>
        <w:rPr/>
        <w:t>respectively.</w:t>
      </w:r>
      <w:r>
        <w:rPr>
          <w:spacing w:val="26"/>
        </w:rPr>
        <w:t> </w:t>
      </w:r>
      <w:r>
        <w:rPr/>
        <w:t>Group</w:t>
      </w:r>
      <w:r>
        <w:rPr>
          <w:spacing w:val="24"/>
        </w:rPr>
        <w:t> </w:t>
      </w:r>
      <w:r>
        <w:rPr/>
        <w:t>II,</w:t>
      </w:r>
      <w:r>
        <w:rPr>
          <w:spacing w:val="27"/>
        </w:rPr>
        <w:t> </w:t>
      </w:r>
      <w:r>
        <w:rPr/>
        <w:t>III</w:t>
      </w:r>
      <w:r>
        <w:rPr>
          <w:spacing w:val="22"/>
        </w:rPr>
        <w:t> </w:t>
      </w:r>
      <w:r>
        <w:rPr/>
        <w:t>and</w:t>
      </w:r>
      <w:r>
        <w:rPr>
          <w:spacing w:val="-58"/>
        </w:rPr>
        <w:t> </w:t>
      </w:r>
      <w:r>
        <w:rPr/>
        <w:t>IV were</w:t>
      </w:r>
      <w:r>
        <w:rPr>
          <w:spacing w:val="-1"/>
        </w:rPr>
        <w:t> </w:t>
      </w:r>
      <w:r>
        <w:rPr/>
        <w:t>administered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MECH</w:t>
      </w:r>
      <w:r>
        <w:rPr>
          <w:spacing w:val="-1"/>
        </w:rPr>
        <w:t> </w:t>
      </w:r>
      <w:r>
        <w:rPr/>
        <w:t>at a</w:t>
      </w:r>
      <w:r>
        <w:rPr>
          <w:spacing w:val="-1"/>
        </w:rPr>
        <w:t> </w:t>
      </w:r>
      <w:r>
        <w:rPr/>
        <w:t>doses of</w:t>
      </w:r>
      <w:r>
        <w:rPr>
          <w:spacing w:val="1"/>
        </w:rPr>
        <w:t> </w:t>
      </w:r>
      <w:r>
        <w:rPr/>
        <w:t>250, 500</w:t>
      </w:r>
      <w:r>
        <w:rPr>
          <w:spacing w:val="-1"/>
        </w:rPr>
        <w:t> </w:t>
      </w:r>
      <w:r>
        <w:rPr/>
        <w:t>and 1000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872"/>
        <w:jc w:val="both"/>
      </w:pPr>
      <w:r>
        <w:rPr/>
        <w:t>After 30 minutes, all the mice were orally administered castor oil (0.5 ml). Then 30 minutes</w:t>
      </w:r>
      <w:r>
        <w:rPr>
          <w:spacing w:val="-57"/>
        </w:rPr>
        <w:t> </w:t>
      </w:r>
      <w:r>
        <w:rPr/>
        <w:t>later,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mouse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(10%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suspension in 5% acacia). After 30 minutes of charcoal meal administration, all the mice</w:t>
      </w:r>
      <w:r>
        <w:rPr>
          <w:spacing w:val="1"/>
        </w:rPr>
        <w:t> </w:t>
      </w:r>
      <w:r>
        <w:rPr/>
        <w:t>were</w:t>
      </w:r>
      <w:r>
        <w:rPr>
          <w:spacing w:val="6"/>
        </w:rPr>
        <w:t> </w:t>
      </w:r>
      <w:r>
        <w:rPr/>
        <w:t>sacrificed</w:t>
      </w:r>
      <w:r>
        <w:rPr>
          <w:spacing w:val="8"/>
        </w:rPr>
        <w:t> </w:t>
      </w:r>
      <w:r>
        <w:rPr/>
        <w:t>after</w:t>
      </w:r>
      <w:r>
        <w:rPr>
          <w:spacing w:val="9"/>
        </w:rPr>
        <w:t> </w:t>
      </w:r>
      <w:r>
        <w:rPr/>
        <w:t>placing</w:t>
      </w:r>
      <w:r>
        <w:rPr>
          <w:spacing w:val="6"/>
        </w:rPr>
        <w:t> </w:t>
      </w:r>
      <w:r>
        <w:rPr/>
        <w:t>them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an</w:t>
      </w:r>
      <w:r>
        <w:rPr>
          <w:spacing w:val="8"/>
        </w:rPr>
        <w:t> </w:t>
      </w:r>
      <w:r>
        <w:rPr/>
        <w:t>enclosed</w:t>
      </w:r>
      <w:r>
        <w:rPr>
          <w:spacing w:val="8"/>
        </w:rPr>
        <w:t> </w:t>
      </w:r>
      <w:r>
        <w:rPr/>
        <w:t>bowl</w:t>
      </w:r>
      <w:r>
        <w:rPr>
          <w:spacing w:val="10"/>
        </w:rPr>
        <w:t> </w:t>
      </w:r>
      <w:r>
        <w:rPr/>
        <w:t>containing</w:t>
      </w:r>
      <w:r>
        <w:rPr>
          <w:spacing w:val="6"/>
        </w:rPr>
        <w:t> </w:t>
      </w:r>
      <w:r>
        <w:rPr/>
        <w:t>cotton</w:t>
      </w:r>
      <w:r>
        <w:rPr>
          <w:spacing w:val="8"/>
        </w:rPr>
        <w:t> </w:t>
      </w:r>
      <w:r>
        <w:rPr/>
        <w:t>wool</w:t>
      </w:r>
      <w:r>
        <w:rPr>
          <w:spacing w:val="10"/>
        </w:rPr>
        <w:t> </w:t>
      </w:r>
      <w:r>
        <w:rPr/>
        <w:t>soaked</w:t>
      </w:r>
      <w:r>
        <w:rPr>
          <w:spacing w:val="9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chloroform. The abdomen of each mouse was opened, the intestine</w:t>
      </w:r>
      <w:r>
        <w:rPr>
          <w:spacing w:val="61"/>
        </w:rPr>
        <w:t> </w:t>
      </w:r>
      <w:r>
        <w:rPr/>
        <w:t>was removed and</w:t>
      </w:r>
      <w:r>
        <w:rPr>
          <w:spacing w:val="1"/>
        </w:rPr>
        <w:t> </w:t>
      </w:r>
      <w:r>
        <w:rPr/>
        <w:t>placed lengthwise on moist filter paper on a horizontal surface to measure the distance in</w:t>
      </w:r>
      <w:r>
        <w:rPr>
          <w:spacing w:val="1"/>
        </w:rPr>
        <w:t> </w:t>
      </w:r>
      <w:r>
        <w:rPr/>
        <w:t>centimetres</w:t>
      </w:r>
      <w:r>
        <w:rPr>
          <w:spacing w:val="1"/>
        </w:rPr>
        <w:t> </w:t>
      </w:r>
      <w:r>
        <w:rPr/>
        <w:t>(cm)</w:t>
      </w:r>
      <w:r>
        <w:rPr>
          <w:spacing w:val="1"/>
        </w:rPr>
        <w:t> </w:t>
      </w:r>
      <w:r>
        <w:rPr/>
        <w:t>travelled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calibrated ruler. The distance moved by the charcoal meal from the pylorus was measured</w:t>
      </w:r>
      <w:r>
        <w:rPr>
          <w:spacing w:val="1"/>
        </w:rPr>
        <w:t> </w:t>
      </w:r>
      <w:r>
        <w:rPr/>
        <w:t>and then expressed as a percentage of the total distance of the small intestine from the</w:t>
      </w:r>
      <w:r>
        <w:rPr>
          <w:spacing w:val="1"/>
        </w:rPr>
        <w:t> </w:t>
      </w:r>
      <w:r>
        <w:rPr/>
        <w:t>pylorus</w:t>
      </w:r>
      <w:r>
        <w:rPr>
          <w:spacing w:val="-1"/>
        </w:rPr>
        <w:t> </w:t>
      </w:r>
      <w:r>
        <w:rPr/>
        <w:t>to caecum</w:t>
      </w:r>
      <w:r>
        <w:rPr>
          <w:spacing w:val="3"/>
        </w:rPr>
        <w:t> </w:t>
      </w:r>
      <w:r>
        <w:rPr/>
        <w:t>as follows:</w:t>
      </w:r>
    </w:p>
    <w:p>
      <w:pPr>
        <w:spacing w:line="307" w:lineRule="exact" w:before="205"/>
        <w:ind w:left="476" w:right="0" w:firstLine="0"/>
        <w:jc w:val="left"/>
        <w:rPr>
          <w:sz w:val="24"/>
        </w:rPr>
      </w:pPr>
      <w:r>
        <w:rPr/>
        <w:pict>
          <v:rect style="position:absolute;margin-left:307.609985pt;margin-top:21.486687pt;width:152.57pt;height:.84pt;mso-position-horizontal-relative:page;mso-position-vertical-relative:paragraph;z-index:-18591232" filled="true" fillcolor="#000000" stroked="false">
            <v:fill type="solid"/>
            <w10:wrap type="none"/>
          </v:rect>
        </w:pict>
      </w:r>
      <w:r>
        <w:rPr>
          <w:rFonts w:ascii="Cambria Math"/>
          <w:spacing w:val="-1"/>
          <w:sz w:val="24"/>
        </w:rPr>
        <w:t>%</w:t>
      </w:r>
      <w:r>
        <w:rPr>
          <w:rFonts w:ascii="Cambria Math"/>
          <w:sz w:val="24"/>
        </w:rPr>
        <w:t> </w:t>
      </w:r>
      <w:r>
        <w:rPr>
          <w:rFonts w:ascii="Cambria Math"/>
          <w:spacing w:val="-1"/>
          <w:sz w:val="24"/>
        </w:rPr>
        <w:t>Peristaltic</w:t>
      </w:r>
      <w:r>
        <w:rPr>
          <w:rFonts w:ascii="Cambria Math"/>
          <w:spacing w:val="-5"/>
          <w:sz w:val="24"/>
        </w:rPr>
        <w:t> </w:t>
      </w:r>
      <w:r>
        <w:rPr>
          <w:rFonts w:ascii="Cambria Math"/>
          <w:spacing w:val="-1"/>
          <w:sz w:val="24"/>
        </w:rPr>
        <w:t>index</w:t>
      </w:r>
      <w:r>
        <w:rPr>
          <w:rFonts w:ascii="Cambria Math"/>
          <w:spacing w:val="-3"/>
          <w:sz w:val="24"/>
        </w:rPr>
        <w:t> </w:t>
      </w:r>
      <w:r>
        <w:rPr>
          <w:rFonts w:ascii="Cambria Math"/>
          <w:sz w:val="24"/>
        </w:rPr>
        <w:t>of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charcoal</w:t>
      </w:r>
      <w:r>
        <w:rPr>
          <w:rFonts w:ascii="Cambria Math"/>
          <w:spacing w:val="-3"/>
          <w:sz w:val="24"/>
        </w:rPr>
        <w:t> </w:t>
      </w:r>
      <w:r>
        <w:rPr>
          <w:rFonts w:ascii="Cambria Math"/>
          <w:sz w:val="24"/>
        </w:rPr>
        <w:t>meal</w:t>
      </w:r>
      <w:r>
        <w:rPr>
          <w:rFonts w:ascii="Cambria Math"/>
          <w:spacing w:val="14"/>
          <w:sz w:val="24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2"/>
          <w:sz w:val="24"/>
        </w:rPr>
        <w:t> </w:t>
      </w:r>
      <w:r>
        <w:rPr>
          <w:rFonts w:ascii="Cambria Math"/>
          <w:position w:val="14"/>
          <w:sz w:val="17"/>
        </w:rPr>
        <w:t>distance</w:t>
      </w:r>
      <w:r>
        <w:rPr>
          <w:rFonts w:ascii="Cambria Math"/>
          <w:spacing w:val="48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travel</w:t>
      </w:r>
      <w:r>
        <w:rPr>
          <w:rFonts w:ascii="Cambria Math"/>
          <w:spacing w:val="58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by</w:t>
      </w:r>
      <w:r>
        <w:rPr>
          <w:rFonts w:ascii="Cambria Math"/>
          <w:spacing w:val="23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charcoal</w:t>
      </w:r>
      <w:r>
        <w:rPr>
          <w:rFonts w:ascii="Cambria Math"/>
          <w:spacing w:val="45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meal</w:t>
      </w:r>
      <w:r>
        <w:rPr>
          <w:rFonts w:ascii="Cambria Math"/>
          <w:spacing w:val="43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(cm</w:t>
      </w:r>
      <w:r>
        <w:rPr>
          <w:rFonts w:ascii="Cambria Math"/>
          <w:spacing w:val="-11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)</w:t>
      </w:r>
      <w:r>
        <w:rPr>
          <w:rFonts w:ascii="Cambria Math"/>
          <w:spacing w:val="22"/>
          <w:position w:val="14"/>
          <w:sz w:val="17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100</w:t>
      </w:r>
    </w:p>
    <w:p>
      <w:pPr>
        <w:spacing w:line="152" w:lineRule="exact" w:before="0"/>
        <w:ind w:left="4530" w:right="0" w:firstLine="0"/>
        <w:jc w:val="left"/>
        <w:rPr>
          <w:rFonts w:ascii="Cambria Math"/>
          <w:sz w:val="17"/>
        </w:rPr>
      </w:pPr>
      <w:r>
        <w:rPr>
          <w:rFonts w:ascii="Cambria Math"/>
          <w:spacing w:val="-1"/>
          <w:sz w:val="17"/>
        </w:rPr>
        <w:t>Total</w:t>
      </w:r>
      <w:r>
        <w:rPr>
          <w:rFonts w:ascii="Cambria Math"/>
          <w:spacing w:val="51"/>
          <w:sz w:val="17"/>
        </w:rPr>
        <w:t> </w:t>
      </w:r>
      <w:r>
        <w:rPr>
          <w:rFonts w:ascii="Cambria Math"/>
          <w:sz w:val="17"/>
        </w:rPr>
        <w:t>lenght</w:t>
      </w:r>
      <w:r>
        <w:rPr>
          <w:rFonts w:ascii="Cambria Math"/>
          <w:spacing w:val="61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9"/>
          <w:sz w:val="17"/>
        </w:rPr>
        <w:t> </w:t>
      </w:r>
      <w:r>
        <w:rPr>
          <w:rFonts w:ascii="Cambria Math"/>
          <w:sz w:val="17"/>
        </w:rPr>
        <w:t>small</w:t>
      </w:r>
      <w:r>
        <w:rPr>
          <w:rFonts w:ascii="Cambria Math"/>
          <w:spacing w:val="52"/>
          <w:sz w:val="17"/>
        </w:rPr>
        <w:t> </w:t>
      </w:r>
      <w:r>
        <w:rPr>
          <w:rFonts w:ascii="Cambria Math"/>
          <w:sz w:val="17"/>
        </w:rPr>
        <w:t>intestine</w:t>
      </w:r>
      <w:r>
        <w:rPr>
          <w:rFonts w:ascii="Cambria Math"/>
          <w:spacing w:val="48"/>
          <w:sz w:val="17"/>
        </w:rPr>
        <w:t> </w:t>
      </w:r>
      <w:r>
        <w:rPr>
          <w:rFonts w:ascii="Cambria Math"/>
          <w:sz w:val="17"/>
        </w:rPr>
        <w:t>(cm</w:t>
      </w:r>
      <w:r>
        <w:rPr>
          <w:rFonts w:ascii="Cambria Math"/>
          <w:spacing w:val="-12"/>
          <w:sz w:val="17"/>
        </w:rPr>
        <w:t> </w:t>
      </w:r>
      <w:r>
        <w:rPr>
          <w:rFonts w:ascii="Cambria Math"/>
          <w:sz w:val="17"/>
        </w:rPr>
        <w:t>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17"/>
        </w:rPr>
      </w:pPr>
    </w:p>
    <w:p>
      <w:pPr>
        <w:pStyle w:val="BodyText"/>
        <w:spacing w:line="307" w:lineRule="exact" w:before="73"/>
        <w:ind w:left="750" w:right="891"/>
        <w:jc w:val="center"/>
      </w:pPr>
      <w:r>
        <w:rPr/>
        <w:pict>
          <v:rect style="position:absolute;margin-left:401.709991pt;margin-top:14.886655pt;width:19.68pt;height:.84pt;mso-position-horizontal-relative:page;mso-position-vertical-relative:paragraph;z-index:-1859072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%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inhibition of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charcol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movement</w:t>
      </w:r>
      <w:r>
        <w:rPr>
          <w:rFonts w:ascii="Cambria Math" w:hAnsi="Cambria Math"/>
          <w:spacing w:val="5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  <w:position w:val="14"/>
          <w:sz w:val="17"/>
        </w:rPr>
        <w:t>A</w:t>
      </w:r>
      <w:r>
        <w:rPr>
          <w:rFonts w:ascii="Cambria Math" w:hAnsi="Cambria Math"/>
          <w:spacing w:val="14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–</w:t>
      </w:r>
      <w:r>
        <w:rPr>
          <w:rFonts w:ascii="Cambria Math" w:hAnsi="Cambria Math"/>
          <w:spacing w:val="-2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B</w:t>
      </w:r>
      <w:r>
        <w:rPr>
          <w:rFonts w:ascii="Cambria Math" w:hAnsi="Cambria Math"/>
          <w:spacing w:val="25"/>
          <w:position w:val="14"/>
          <w:sz w:val="17"/>
        </w:rPr>
        <w:t> </w:t>
      </w:r>
      <w:r>
        <w:rPr/>
        <w:t>x</w:t>
      </w:r>
      <w:r>
        <w:rPr>
          <w:spacing w:val="1"/>
        </w:rPr>
        <w:t> </w:t>
      </w:r>
      <w:r>
        <w:rPr/>
        <w:t>100</w:t>
      </w:r>
    </w:p>
    <w:p>
      <w:pPr>
        <w:spacing w:line="152" w:lineRule="exact" w:before="0"/>
        <w:ind w:left="3028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0"/>
          <w:sz w:val="17"/>
        </w:rPr>
        <w:t>A</w:t>
      </w:r>
    </w:p>
    <w:p>
      <w:pPr>
        <w:pStyle w:val="BodyText"/>
        <w:spacing w:before="9"/>
        <w:rPr>
          <w:rFonts w:ascii="Cambria Math"/>
          <w:sz w:val="29"/>
        </w:rPr>
      </w:pPr>
    </w:p>
    <w:p>
      <w:pPr>
        <w:pStyle w:val="BodyText"/>
        <w:spacing w:line="480" w:lineRule="auto" w:before="90"/>
        <w:ind w:left="265" w:right="3155"/>
      </w:pPr>
      <w:r>
        <w:rPr/>
        <w:t>A = Mean movement of charcoal meal in the negative control group</w:t>
      </w:r>
      <w:r>
        <w:rPr>
          <w:spacing w:val="-57"/>
        </w:rPr>
        <w:t> </w:t>
      </w:r>
      <w:r>
        <w:rPr/>
        <w:t>B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Mean movement of</w:t>
      </w:r>
      <w:r>
        <w:rPr>
          <w:spacing w:val="1"/>
        </w:rPr>
        <w:t> </w:t>
      </w:r>
      <w:r>
        <w:rPr/>
        <w:t>charcoal meal in the</w:t>
      </w:r>
      <w:r>
        <w:rPr>
          <w:spacing w:val="-1"/>
        </w:rPr>
        <w:t> </w:t>
      </w:r>
      <w:r>
        <w:rPr/>
        <w:t>test</w:t>
      </w:r>
      <w:r>
        <w:rPr>
          <w:spacing w:val="2"/>
        </w:rPr>
        <w:t> </w:t>
      </w:r>
      <w:r>
        <w:rPr/>
        <w:t>group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2861" w:val="left" w:leader="none"/>
        </w:tabs>
        <w:spacing w:line="240" w:lineRule="auto" w:before="0" w:after="0"/>
        <w:ind w:left="2860" w:right="0" w:hanging="361"/>
        <w:jc w:val="both"/>
      </w:pPr>
      <w:bookmarkStart w:name="_TOC_250026" w:id="49"/>
      <w:r>
        <w:rPr/>
        <w:t>Mechanisms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Antidiarrhoeal</w:t>
      </w:r>
      <w:r>
        <w:rPr>
          <w:spacing w:val="-2"/>
        </w:rPr>
        <w:t> </w:t>
      </w:r>
      <w:bookmarkEnd w:id="49"/>
      <w:r>
        <w:rPr/>
        <w:t>Activity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4"/>
        <w:jc w:val="both"/>
      </w:pPr>
      <w:r>
        <w:rPr/>
        <w:t>The most active dose (1,000 mg/kg) of MECH was subjected to mechanistic studies. The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 using an intestinal motility test in mice. The pathways investigated and the</w:t>
      </w:r>
      <w:r>
        <w:rPr>
          <w:spacing w:val="1"/>
        </w:rPr>
        <w:t> </w:t>
      </w:r>
      <w:r>
        <w:rPr/>
        <w:t>drugs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 studies</w:t>
      </w:r>
      <w:r>
        <w:rPr>
          <w:spacing w:val="2"/>
        </w:rPr>
        <w:t> </w:t>
      </w:r>
      <w:r>
        <w:rPr/>
        <w:t>were as follows:</w:t>
      </w:r>
    </w:p>
    <w:p>
      <w:pPr>
        <w:pStyle w:val="Heading1"/>
        <w:numPr>
          <w:ilvl w:val="2"/>
          <w:numId w:val="16"/>
        </w:numPr>
        <w:tabs>
          <w:tab w:pos="806" w:val="left" w:leader="none"/>
        </w:tabs>
        <w:spacing w:line="240" w:lineRule="auto" w:before="206" w:after="0"/>
        <w:ind w:left="805" w:right="0" w:hanging="541"/>
        <w:jc w:val="both"/>
      </w:pPr>
      <w:bookmarkStart w:name="_TOC_250025" w:id="50"/>
      <w:r>
        <w:rPr/>
        <w:t>Opioidergic</w:t>
      </w:r>
      <w:r>
        <w:rPr>
          <w:spacing w:val="-1"/>
        </w:rPr>
        <w:t> </w:t>
      </w:r>
      <w:bookmarkEnd w:id="50"/>
      <w:r>
        <w:rPr/>
        <w:t>Pathway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65" w:right="874"/>
        <w:jc w:val="both"/>
      </w:pPr>
      <w:r>
        <w:rPr/>
        <w:t>Thirty mice were grouped into six groups (n=5). Group I, II and III were administered</w:t>
      </w:r>
      <w:r>
        <w:rPr>
          <w:spacing w:val="1"/>
        </w:rPr>
        <w:t> </w:t>
      </w:r>
      <w:r>
        <w:rPr/>
        <w:t>distilled water (10 ml/kg, </w:t>
      </w:r>
      <w:r>
        <w:rPr>
          <w:i/>
        </w:rPr>
        <w:t>p.o</w:t>
      </w:r>
      <w:r>
        <w:rPr/>
        <w:t>), naloxone (2 mg/kg, </w:t>
      </w:r>
      <w:r>
        <w:rPr>
          <w:i/>
        </w:rPr>
        <w:t>s.c</w:t>
      </w:r>
      <w:r>
        <w:rPr/>
        <w:t>) and MECH (1,000 mg/kg, </w:t>
      </w:r>
      <w:r>
        <w:rPr>
          <w:i/>
        </w:rPr>
        <w:t>p.o</w:t>
      </w:r>
      <w:r>
        <w:rPr/>
        <w:t>),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naloxone</w:t>
      </w:r>
      <w:r>
        <w:rPr>
          <w:spacing w:val="1"/>
        </w:rPr>
        <w:t> </w:t>
      </w:r>
      <w:r>
        <w:rPr/>
        <w:t>(2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administration of MECH (1,000 mg/kg). Group V was administered loperamide (5 mg/kg,</w:t>
      </w:r>
      <w:r>
        <w:rPr>
          <w:spacing w:val="1"/>
        </w:rPr>
        <w:t> </w:t>
      </w:r>
      <w:r>
        <w:rPr>
          <w:i/>
        </w:rPr>
        <w:t>p.o</w:t>
      </w:r>
      <w:r>
        <w:rPr/>
        <w:t>).</w:t>
      </w:r>
      <w:r>
        <w:rPr>
          <w:spacing w:val="16"/>
        </w:rPr>
        <w:t> </w:t>
      </w:r>
      <w:r>
        <w:rPr/>
        <w:t>Group</w:t>
      </w:r>
      <w:r>
        <w:rPr>
          <w:spacing w:val="16"/>
        </w:rPr>
        <w:t> </w:t>
      </w:r>
      <w:r>
        <w:rPr/>
        <w:t>VI</w:t>
      </w:r>
      <w:r>
        <w:rPr>
          <w:spacing w:val="14"/>
        </w:rPr>
        <w:t> </w:t>
      </w:r>
      <w:r>
        <w:rPr/>
        <w:t>was</w:t>
      </w:r>
      <w:r>
        <w:rPr>
          <w:spacing w:val="17"/>
        </w:rPr>
        <w:t> </w:t>
      </w:r>
      <w:r>
        <w:rPr/>
        <w:t>pretreated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naloxone</w:t>
      </w:r>
      <w:r>
        <w:rPr>
          <w:spacing w:val="17"/>
        </w:rPr>
        <w:t> </w:t>
      </w:r>
      <w:r>
        <w:rPr/>
        <w:t>(2</w:t>
      </w:r>
      <w:r>
        <w:rPr>
          <w:spacing w:val="15"/>
        </w:rPr>
        <w:t> </w:t>
      </w:r>
      <w:r>
        <w:rPr/>
        <w:t>mg/kg,</w:t>
      </w:r>
      <w:r>
        <w:rPr>
          <w:spacing w:val="17"/>
        </w:rPr>
        <w:t> </w:t>
      </w:r>
      <w:r>
        <w:rPr>
          <w:i/>
        </w:rPr>
        <w:t>s.c</w:t>
      </w:r>
      <w:r>
        <w:rPr/>
        <w:t>)</w:t>
      </w:r>
      <w:r>
        <w:rPr>
          <w:spacing w:val="15"/>
        </w:rPr>
        <w:t> </w:t>
      </w:r>
      <w:r>
        <w:rPr/>
        <w:t>30</w:t>
      </w:r>
      <w:r>
        <w:rPr>
          <w:spacing w:val="16"/>
        </w:rPr>
        <w:t> </w:t>
      </w:r>
      <w:r>
        <w:rPr/>
        <w:t>minutes</w:t>
      </w:r>
      <w:r>
        <w:rPr>
          <w:spacing w:val="16"/>
        </w:rPr>
        <w:t> </w:t>
      </w:r>
      <w:r>
        <w:rPr/>
        <w:t>before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2" w:lineRule="auto" w:before="70"/>
        <w:ind w:left="265" w:right="875"/>
        <w:jc w:val="both"/>
      </w:pPr>
      <w:r>
        <w:rPr/>
        <w:t>administration of loperamide (5 mg/kg). The mice in all the groups were subjected to</w:t>
      </w:r>
      <w:r>
        <w:rPr>
          <w:spacing w:val="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motility</w:t>
      </w:r>
      <w:r>
        <w:rPr>
          <w:spacing w:val="-6"/>
        </w:rPr>
        <w:t> </w:t>
      </w:r>
      <w:r>
        <w:rPr/>
        <w:t>test as</w:t>
      </w:r>
      <w:r>
        <w:rPr>
          <w:spacing w:val="2"/>
        </w:rPr>
        <w:t> </w:t>
      </w:r>
      <w:r>
        <w:rPr/>
        <w:t>earlier</w:t>
      </w:r>
      <w:r>
        <w:rPr>
          <w:spacing w:val="-2"/>
        </w:rPr>
        <w:t> </w:t>
      </w:r>
      <w:r>
        <w:rPr/>
        <w:t>described.</w:t>
      </w:r>
    </w:p>
    <w:p>
      <w:pPr>
        <w:pStyle w:val="Heading1"/>
        <w:numPr>
          <w:ilvl w:val="2"/>
          <w:numId w:val="16"/>
        </w:numPr>
        <w:tabs>
          <w:tab w:pos="806" w:val="left" w:leader="none"/>
        </w:tabs>
        <w:spacing w:line="240" w:lineRule="auto" w:before="199" w:after="0"/>
        <w:ind w:left="805" w:right="0" w:hanging="541"/>
        <w:jc w:val="both"/>
      </w:pPr>
      <w:bookmarkStart w:name="_TOC_250024" w:id="51"/>
      <w:r>
        <w:rPr/>
        <w:t>α</w:t>
      </w:r>
      <w:r>
        <w:rPr>
          <w:vertAlign w:val="subscript"/>
        </w:rPr>
        <w:t>1</w:t>
      </w:r>
      <w:r>
        <w:rPr>
          <w:vertAlign w:val="baseline"/>
        </w:rPr>
        <w:t>-adrenergic</w:t>
      </w:r>
      <w:r>
        <w:rPr>
          <w:spacing w:val="1"/>
          <w:vertAlign w:val="baseline"/>
        </w:rPr>
        <w:t> </w:t>
      </w:r>
      <w:bookmarkEnd w:id="51"/>
      <w:r>
        <w:rPr>
          <w:vertAlign w:val="baseline"/>
        </w:rPr>
        <w:t>Pathway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Thirty mice were grouped into six groups (n=5). Group I, II and III were administered</w:t>
      </w:r>
      <w:r>
        <w:rPr>
          <w:spacing w:val="1"/>
        </w:rPr>
        <w:t> </w:t>
      </w:r>
      <w:r>
        <w:rPr/>
        <w:t>distilled water (10 ml/kg, </w:t>
      </w:r>
      <w:r>
        <w:rPr>
          <w:i/>
        </w:rPr>
        <w:t>p.o</w:t>
      </w:r>
      <w:r>
        <w:rPr/>
        <w:t>), prazosin (1 mg/kg, </w:t>
      </w:r>
      <w:r>
        <w:rPr>
          <w:i/>
        </w:rPr>
        <w:t>s.c</w:t>
      </w:r>
      <w:r>
        <w:rPr/>
        <w:t>) and MECH (1,000 mg/kg, </w:t>
      </w:r>
      <w:r>
        <w:rPr>
          <w:i/>
        </w:rPr>
        <w:t>p.o</w:t>
      </w:r>
      <w:r>
        <w:rPr/>
        <w:t>),</w:t>
      </w:r>
      <w:r>
        <w:rPr>
          <w:spacing w:val="1"/>
        </w:rPr>
        <w:t> </w:t>
      </w:r>
      <w:r>
        <w:rPr/>
        <w:t>respectively. Group IV were pretreated with prazosin (1 mg/kg, </w:t>
      </w:r>
      <w:r>
        <w:rPr>
          <w:i/>
        </w:rPr>
        <w:t>s.c</w:t>
      </w:r>
      <w:r>
        <w:rPr/>
        <w:t>) 30 minutes before</w:t>
      </w:r>
      <w:r>
        <w:rPr>
          <w:spacing w:val="1"/>
        </w:rPr>
        <w:t> </w:t>
      </w:r>
      <w:r>
        <w:rPr/>
        <w:t>administration of MECH (1,000 mg/kg). Group V was administered morphine (10 mg/kg</w:t>
      </w:r>
      <w:r>
        <w:rPr>
          <w:spacing w:val="1"/>
        </w:rPr>
        <w:t> </w:t>
      </w:r>
      <w:r>
        <w:rPr>
          <w:i/>
        </w:rPr>
        <w:t>s.c</w:t>
      </w:r>
      <w:r>
        <w:rPr/>
        <w:t>).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prazosin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mg/kg,</w:t>
      </w:r>
      <w:r>
        <w:rPr>
          <w:spacing w:val="1"/>
        </w:rPr>
        <w:t> </w:t>
      </w:r>
      <w:r>
        <w:rPr>
          <w:i/>
        </w:rPr>
        <w:t>s.c</w:t>
      </w:r>
      <w:r>
        <w:rPr/>
        <w:t>)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 of morphine (10 mg/kg </w:t>
      </w:r>
      <w:r>
        <w:rPr>
          <w:i/>
        </w:rPr>
        <w:t>s.c</w:t>
      </w:r>
      <w:r>
        <w:rPr/>
        <w:t>). The mice in all the groups were subjected to</w:t>
      </w:r>
      <w:r>
        <w:rPr>
          <w:spacing w:val="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motility</w:t>
      </w:r>
      <w:r>
        <w:rPr>
          <w:spacing w:val="-6"/>
        </w:rPr>
        <w:t> </w:t>
      </w:r>
      <w:r>
        <w:rPr/>
        <w:t>test as</w:t>
      </w:r>
      <w:r>
        <w:rPr>
          <w:spacing w:val="3"/>
        </w:rPr>
        <w:t> </w:t>
      </w:r>
      <w:r>
        <w:rPr/>
        <w:t>earlier</w:t>
      </w:r>
      <w:r>
        <w:rPr>
          <w:spacing w:val="-2"/>
        </w:rPr>
        <w:t> </w:t>
      </w:r>
      <w:r>
        <w:rPr/>
        <w:t>described.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806" w:val="left" w:leader="none"/>
        </w:tabs>
        <w:spacing w:line="240" w:lineRule="auto" w:before="1" w:after="0"/>
        <w:ind w:left="805" w:right="0" w:hanging="541"/>
        <w:jc w:val="both"/>
      </w:pPr>
      <w:bookmarkStart w:name="_TOC_250023" w:id="52"/>
      <w:r>
        <w:rPr/>
        <w:t>α</w:t>
      </w:r>
      <w:r>
        <w:rPr>
          <w:vertAlign w:val="subscript"/>
        </w:rPr>
        <w:t>2</w:t>
      </w:r>
      <w:r>
        <w:rPr>
          <w:vertAlign w:val="baseline"/>
        </w:rPr>
        <w:t>-adrenergic</w:t>
      </w:r>
      <w:r>
        <w:rPr>
          <w:spacing w:val="1"/>
          <w:vertAlign w:val="baseline"/>
        </w:rPr>
        <w:t> </w:t>
      </w:r>
      <w:bookmarkEnd w:id="52"/>
      <w:r>
        <w:rPr>
          <w:vertAlign w:val="baseline"/>
        </w:rPr>
        <w:t>Pathway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3"/>
        <w:jc w:val="both"/>
      </w:pPr>
      <w:r>
        <w:rPr/>
        <w:t>Thirty mice were grouped into six groups (n=5). Group I, II and III were administered</w:t>
      </w:r>
      <w:r>
        <w:rPr>
          <w:spacing w:val="1"/>
        </w:rPr>
        <w:t> </w:t>
      </w:r>
      <w:r>
        <w:rPr/>
        <w:t>distilled water (10 ml/kg, </w:t>
      </w:r>
      <w:r>
        <w:rPr>
          <w:i/>
        </w:rPr>
        <w:t>p.o</w:t>
      </w:r>
      <w:r>
        <w:rPr/>
        <w:t>), yohimbine (1 mg/kg, </w:t>
      </w:r>
      <w:r>
        <w:rPr>
          <w:i/>
        </w:rPr>
        <w:t>i.p</w:t>
      </w:r>
      <w:r>
        <w:rPr/>
        <w:t>) and MECH (1,000 mg/kg, </w:t>
      </w:r>
      <w:r>
        <w:rPr>
          <w:i/>
        </w:rPr>
        <w:t>p.o</w:t>
      </w:r>
      <w:r>
        <w:rPr/>
        <w:t>),</w:t>
      </w:r>
      <w:r>
        <w:rPr>
          <w:spacing w:val="1"/>
        </w:rPr>
        <w:t> </w:t>
      </w:r>
      <w:r>
        <w:rPr/>
        <w:t>respectively. Group IV were pretreated with yohimbine (1 mg/kg, </w:t>
      </w:r>
      <w:r>
        <w:rPr>
          <w:i/>
        </w:rPr>
        <w:t>i.p</w:t>
      </w:r>
      <w:r>
        <w:rPr/>
        <w:t>) 30 minutes before</w:t>
      </w:r>
      <w:r>
        <w:rPr>
          <w:spacing w:val="1"/>
        </w:rPr>
        <w:t> </w:t>
      </w:r>
      <w:r>
        <w:rPr/>
        <w:t>administration of MECH (1,000 mg/kg). Group V was administered morphine (10 mg/kg</w:t>
      </w:r>
      <w:r>
        <w:rPr>
          <w:spacing w:val="1"/>
        </w:rPr>
        <w:t> </w:t>
      </w:r>
      <w:r>
        <w:rPr>
          <w:i/>
        </w:rPr>
        <w:t>s.c</w:t>
      </w:r>
      <w:r>
        <w:rPr/>
        <w:t>).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yohimbine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mg/kg,</w:t>
      </w:r>
      <w:r>
        <w:rPr>
          <w:spacing w:val="1"/>
        </w:rPr>
        <w:t> </w:t>
      </w:r>
      <w:r>
        <w:rPr>
          <w:i/>
        </w:rPr>
        <w:t>i.p</w:t>
      </w:r>
      <w:r>
        <w:rPr/>
        <w:t>)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 of morphine (10 mg/kg </w:t>
      </w:r>
      <w:r>
        <w:rPr>
          <w:i/>
        </w:rPr>
        <w:t>s.c</w:t>
      </w:r>
      <w:r>
        <w:rPr/>
        <w:t>). The mice in all the groups were subjected to</w:t>
      </w:r>
      <w:r>
        <w:rPr>
          <w:spacing w:val="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motility</w:t>
      </w:r>
      <w:r>
        <w:rPr>
          <w:spacing w:val="-6"/>
        </w:rPr>
        <w:t> </w:t>
      </w:r>
      <w:r>
        <w:rPr/>
        <w:t>test as</w:t>
      </w:r>
      <w:r>
        <w:rPr>
          <w:spacing w:val="2"/>
        </w:rPr>
        <w:t> </w:t>
      </w:r>
      <w:r>
        <w:rPr/>
        <w:t>earlier</w:t>
      </w:r>
      <w:r>
        <w:rPr>
          <w:spacing w:val="-2"/>
        </w:rPr>
        <w:t> </w:t>
      </w:r>
      <w:r>
        <w:rPr/>
        <w:t>described.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bookmarkStart w:name="_TOC_250022" w:id="53"/>
      <w:bookmarkEnd w:id="53"/>
      <w:r>
        <w:rPr/>
        <w:t>β-adrenergic Pathway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Thirty mice were grouped into six groups (n=5). Group I, II and III were administered</w:t>
      </w:r>
      <w:r>
        <w:rPr>
          <w:spacing w:val="1"/>
        </w:rPr>
        <w:t> </w:t>
      </w:r>
      <w:r>
        <w:rPr/>
        <w:t>distilled water (10 ml/kg, </w:t>
      </w:r>
      <w:r>
        <w:rPr>
          <w:i/>
        </w:rPr>
        <w:t>p.o</w:t>
      </w:r>
      <w:r>
        <w:rPr/>
        <w:t>), propranolol (1 mg/kg, </w:t>
      </w:r>
      <w:r>
        <w:rPr>
          <w:i/>
        </w:rPr>
        <w:t>i.p</w:t>
      </w:r>
      <w:r>
        <w:rPr/>
        <w:t>) and MECH (1,000 mg/kg, </w:t>
      </w:r>
      <w:r>
        <w:rPr>
          <w:i/>
        </w:rPr>
        <w:t>p.o</w:t>
      </w:r>
      <w:r>
        <w:rPr/>
        <w:t>),</w:t>
      </w:r>
      <w:r>
        <w:rPr>
          <w:spacing w:val="1"/>
        </w:rPr>
        <w:t> </w:t>
      </w:r>
      <w:r>
        <w:rPr/>
        <w:t>respectively.</w:t>
      </w:r>
      <w:r>
        <w:rPr>
          <w:spacing w:val="18"/>
        </w:rPr>
        <w:t> </w:t>
      </w:r>
      <w:r>
        <w:rPr/>
        <w:t>Group</w:t>
      </w:r>
      <w:r>
        <w:rPr>
          <w:spacing w:val="21"/>
        </w:rPr>
        <w:t> </w:t>
      </w:r>
      <w:r>
        <w:rPr/>
        <w:t>IV</w:t>
      </w:r>
      <w:r>
        <w:rPr>
          <w:spacing w:val="23"/>
        </w:rPr>
        <w:t> </w:t>
      </w:r>
      <w:r>
        <w:rPr/>
        <w:t>were</w:t>
      </w:r>
      <w:r>
        <w:rPr>
          <w:spacing w:val="17"/>
        </w:rPr>
        <w:t> </w:t>
      </w:r>
      <w:r>
        <w:rPr/>
        <w:t>pretreated</w:t>
      </w:r>
      <w:r>
        <w:rPr>
          <w:spacing w:val="19"/>
        </w:rPr>
        <w:t> </w:t>
      </w:r>
      <w:r>
        <w:rPr/>
        <w:t>with</w:t>
      </w:r>
      <w:r>
        <w:rPr>
          <w:spacing w:val="21"/>
        </w:rPr>
        <w:t> </w:t>
      </w:r>
      <w:r>
        <w:rPr/>
        <w:t>propranolol</w:t>
      </w:r>
      <w:r>
        <w:rPr>
          <w:spacing w:val="20"/>
        </w:rPr>
        <w:t> </w:t>
      </w:r>
      <w:r>
        <w:rPr/>
        <w:t>(1</w:t>
      </w:r>
      <w:r>
        <w:rPr>
          <w:spacing w:val="18"/>
        </w:rPr>
        <w:t> </w:t>
      </w:r>
      <w:r>
        <w:rPr/>
        <w:t>mg/kg,</w:t>
      </w:r>
      <w:r>
        <w:rPr>
          <w:spacing w:val="20"/>
        </w:rPr>
        <w:t> </w:t>
      </w:r>
      <w:r>
        <w:rPr>
          <w:i/>
        </w:rPr>
        <w:t>i.p</w:t>
      </w:r>
      <w:r>
        <w:rPr/>
        <w:t>)</w:t>
      </w:r>
      <w:r>
        <w:rPr>
          <w:spacing w:val="18"/>
        </w:rPr>
        <w:t> </w:t>
      </w:r>
      <w:r>
        <w:rPr/>
        <w:t>30</w:t>
      </w:r>
      <w:r>
        <w:rPr>
          <w:spacing w:val="19"/>
        </w:rPr>
        <w:t> </w:t>
      </w:r>
      <w:r>
        <w:rPr/>
        <w:t>minutes</w:t>
      </w:r>
      <w:r>
        <w:rPr>
          <w:spacing w:val="19"/>
        </w:rPr>
        <w:t> </w:t>
      </w:r>
      <w:r>
        <w:rPr/>
        <w:t>before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administration of MECH (1,000 mg/kg). Group V was administered morphine (10 mg/kg</w:t>
      </w:r>
      <w:r>
        <w:rPr>
          <w:spacing w:val="1"/>
        </w:rPr>
        <w:t> </w:t>
      </w:r>
      <w:r>
        <w:rPr>
          <w:i/>
        </w:rPr>
        <w:t>s.c</w:t>
      </w:r>
      <w:r>
        <w:rPr/>
        <w:t>). Group VI were pretreated</w:t>
      </w:r>
      <w:r>
        <w:rPr>
          <w:spacing w:val="1"/>
        </w:rPr>
        <w:t> </w:t>
      </w:r>
      <w:r>
        <w:rPr/>
        <w:t>with propranolol (1 mg/kg, </w:t>
      </w:r>
      <w:r>
        <w:rPr>
          <w:i/>
        </w:rPr>
        <w:t>i.p</w:t>
      </w:r>
      <w:r>
        <w:rPr/>
        <w:t>) 30 minutes before the</w:t>
      </w:r>
      <w:r>
        <w:rPr>
          <w:spacing w:val="1"/>
        </w:rPr>
        <w:t> </w:t>
      </w:r>
      <w:r>
        <w:rPr/>
        <w:t>administration morphine (10 mg/kg </w:t>
      </w:r>
      <w:r>
        <w:rPr>
          <w:i/>
        </w:rPr>
        <w:t>s.c</w:t>
      </w:r>
      <w:r>
        <w:rPr/>
        <w:t>). The mice in all the groups were subjected to</w:t>
      </w:r>
      <w:r>
        <w:rPr>
          <w:spacing w:val="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motility</w:t>
      </w:r>
      <w:r>
        <w:rPr>
          <w:spacing w:val="-6"/>
        </w:rPr>
        <w:t> </w:t>
      </w:r>
      <w:r>
        <w:rPr/>
        <w:t>test as</w:t>
      </w:r>
      <w:r>
        <w:rPr>
          <w:spacing w:val="2"/>
        </w:rPr>
        <w:t> </w:t>
      </w:r>
      <w:r>
        <w:rPr/>
        <w:t>earlier</w:t>
      </w:r>
      <w:r>
        <w:rPr>
          <w:spacing w:val="-2"/>
        </w:rPr>
        <w:t> </w:t>
      </w:r>
      <w:r>
        <w:rPr/>
        <w:t>described.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r>
        <w:rPr/>
        <w:t>Cholinergic</w:t>
      </w:r>
      <w:r>
        <w:rPr>
          <w:spacing w:val="-2"/>
        </w:rPr>
        <w:t> </w:t>
      </w:r>
      <w:r>
        <w:rPr/>
        <w:t>Pathway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Thirty mice were grouped into six groups (n=5). Group I, II and III were administered</w:t>
      </w:r>
      <w:r>
        <w:rPr>
          <w:spacing w:val="1"/>
        </w:rPr>
        <w:t> </w:t>
      </w:r>
      <w:r>
        <w:rPr/>
        <w:t>distilled water (10 ml/kg, </w:t>
      </w:r>
      <w:r>
        <w:rPr>
          <w:i/>
        </w:rPr>
        <w:t>p.o</w:t>
      </w:r>
      <w:r>
        <w:rPr/>
        <w:t>), pilocarpine (1 mg/kg, </w:t>
      </w:r>
      <w:r>
        <w:rPr>
          <w:i/>
        </w:rPr>
        <w:t>s.c</w:t>
      </w:r>
      <w:r>
        <w:rPr/>
        <w:t>), and MECH (1,000 mg/kg, </w:t>
      </w:r>
      <w:r>
        <w:rPr>
          <w:i/>
        </w:rPr>
        <w:t>p.o</w:t>
      </w:r>
      <w:r>
        <w:rPr/>
        <w:t>)</w:t>
      </w:r>
      <w:r>
        <w:rPr>
          <w:spacing w:val="1"/>
        </w:rPr>
        <w:t> </w:t>
      </w:r>
      <w:r>
        <w:rPr/>
        <w:t>respectively. Group IV were pretreated with pilocarpine (1 mg/kg, </w:t>
      </w:r>
      <w:r>
        <w:rPr>
          <w:i/>
        </w:rPr>
        <w:t>s.c</w:t>
      </w:r>
      <w:r>
        <w:rPr/>
        <w:t>), 30 minutes before</w:t>
      </w:r>
      <w:r>
        <w:rPr>
          <w:spacing w:val="1"/>
        </w:rPr>
        <w:t> </w:t>
      </w:r>
      <w:r>
        <w:rPr/>
        <w:t>administration of MECH (1,000 mg/kg). Group V was administered atropine sulphate (5</w:t>
      </w:r>
      <w:r>
        <w:rPr>
          <w:spacing w:val="1"/>
        </w:rPr>
        <w:t> </w:t>
      </w:r>
      <w:r>
        <w:rPr/>
        <w:t>mg/kg </w:t>
      </w:r>
      <w:r>
        <w:rPr>
          <w:i/>
        </w:rPr>
        <w:t>p.o</w:t>
      </w:r>
      <w:r>
        <w:rPr/>
        <w:t>). Group VI was pretreated with pilocarpine (1 mg/kg, </w:t>
      </w:r>
      <w:r>
        <w:rPr>
          <w:i/>
        </w:rPr>
        <w:t>s.c</w:t>
      </w:r>
      <w:r>
        <w:rPr/>
        <w:t>) 30 minutes before 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>
          <w:i/>
        </w:rPr>
        <w:t>p.o</w:t>
      </w:r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-1"/>
        </w:rPr>
        <w:t> </w:t>
      </w:r>
      <w:r>
        <w:rPr/>
        <w:t>to intestinal motility</w:t>
      </w:r>
      <w:r>
        <w:rPr>
          <w:spacing w:val="-7"/>
        </w:rPr>
        <w:t> </w:t>
      </w:r>
      <w:r>
        <w:rPr/>
        <w:t>test as</w:t>
      </w:r>
      <w:r>
        <w:rPr>
          <w:spacing w:val="2"/>
        </w:rPr>
        <w:t> </w:t>
      </w:r>
      <w:r>
        <w:rPr/>
        <w:t>earlier</w:t>
      </w:r>
      <w:r>
        <w:rPr>
          <w:spacing w:val="-2"/>
        </w:rPr>
        <w:t> </w:t>
      </w:r>
      <w:r>
        <w:rPr/>
        <w:t>described.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r>
        <w:rPr/>
        <w:t>Nitric</w:t>
      </w:r>
      <w:r>
        <w:rPr>
          <w:spacing w:val="-2"/>
        </w:rPr>
        <w:t> </w:t>
      </w:r>
      <w:r>
        <w:rPr/>
        <w:t>Oxide Pathway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Thirty mice were grouped into six groups (n=5). Group I, II and III were administered</w:t>
      </w:r>
      <w:r>
        <w:rPr>
          <w:spacing w:val="1"/>
        </w:rPr>
        <w:t> </w:t>
      </w:r>
      <w:r>
        <w:rPr/>
        <w:t>distilled water (10 ml/kg, </w:t>
      </w:r>
      <w:r>
        <w:rPr>
          <w:i/>
        </w:rPr>
        <w:t>p.o</w:t>
      </w:r>
      <w:r>
        <w:rPr/>
        <w:t>), isosorbide dinitrate (150 mg/kg, </w:t>
      </w:r>
      <w:r>
        <w:rPr>
          <w:i/>
        </w:rPr>
        <w:t>p.o</w:t>
      </w:r>
      <w:r>
        <w:rPr/>
        <w:t>) and MECH (1,000</w:t>
      </w:r>
      <w:r>
        <w:rPr>
          <w:spacing w:val="1"/>
        </w:rPr>
        <w:t> </w:t>
      </w:r>
      <w:r>
        <w:rPr/>
        <w:t>mg/kg, </w:t>
      </w:r>
      <w:r>
        <w:rPr>
          <w:i/>
        </w:rPr>
        <w:t>p.o</w:t>
      </w:r>
      <w:r>
        <w:rPr/>
        <w:t>), respectively. Group IV was pretreated with isosorbide dinitrate (150 mg/kg,</w:t>
      </w:r>
      <w:r>
        <w:rPr>
          <w:spacing w:val="1"/>
        </w:rPr>
        <w:t> </w:t>
      </w:r>
      <w:r>
        <w:rPr>
          <w:i/>
        </w:rPr>
        <w:t>p.o</w:t>
      </w:r>
      <w:r>
        <w:rPr/>
        <w:t>) 30 minutes before administration of MECH (1,000 mg/kg). Group V was administered</w:t>
      </w:r>
      <w:r>
        <w:rPr>
          <w:spacing w:val="1"/>
        </w:rPr>
        <w:t> </w:t>
      </w:r>
      <w:r>
        <w:rPr/>
        <w:t>morphine (10 mg/kg </w:t>
      </w:r>
      <w:r>
        <w:rPr>
          <w:i/>
        </w:rPr>
        <w:t>s.c</w:t>
      </w:r>
      <w:r>
        <w:rPr/>
        <w:t>). Group VI was pretreated with isosorbide dinitrate (150 mg/kg,</w:t>
      </w:r>
      <w:r>
        <w:rPr>
          <w:spacing w:val="1"/>
        </w:rPr>
        <w:t> </w:t>
      </w:r>
      <w:r>
        <w:rPr>
          <w:i/>
        </w:rPr>
        <w:t>p.o</w:t>
      </w:r>
      <w:r>
        <w:rPr/>
        <w:t>) 30 minutes before the administration of morphine (10 mg/kg </w:t>
      </w:r>
      <w:r>
        <w:rPr>
          <w:i/>
        </w:rPr>
        <w:t>s.c</w:t>
      </w:r>
      <w:r>
        <w:rPr/>
        <w:t>). The mice in all the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subjected to</w:t>
      </w:r>
      <w:r>
        <w:rPr>
          <w:spacing w:val="3"/>
        </w:rPr>
        <w:t> </w:t>
      </w:r>
      <w:r>
        <w:rPr/>
        <w:t>intestinal motility</w:t>
      </w:r>
      <w:r>
        <w:rPr>
          <w:spacing w:val="-6"/>
        </w:rPr>
        <w:t> </w:t>
      </w:r>
      <w:r>
        <w:rPr/>
        <w:t>test as</w:t>
      </w:r>
      <w:r>
        <w:rPr>
          <w:spacing w:val="1"/>
        </w:rPr>
        <w:t> </w:t>
      </w:r>
      <w:r>
        <w:rPr/>
        <w:t>earlier</w:t>
      </w:r>
      <w:r>
        <w:rPr>
          <w:spacing w:val="-2"/>
        </w:rPr>
        <w:t> </w:t>
      </w:r>
      <w:r>
        <w:rPr/>
        <w:t>described.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numPr>
          <w:ilvl w:val="1"/>
          <w:numId w:val="13"/>
        </w:numPr>
        <w:tabs>
          <w:tab w:pos="3626" w:val="left" w:leader="none"/>
        </w:tabs>
        <w:spacing w:line="240" w:lineRule="auto" w:before="75" w:after="0"/>
        <w:ind w:left="3625" w:right="0" w:hanging="481"/>
        <w:jc w:val="both"/>
      </w:pPr>
      <w:bookmarkStart w:name="_TOC_250021" w:id="54"/>
      <w:r>
        <w:rPr/>
        <w:t>Sub-Acute</w:t>
      </w:r>
      <w:r>
        <w:rPr>
          <w:spacing w:val="-2"/>
        </w:rPr>
        <w:t> </w:t>
      </w:r>
      <w:r>
        <w:rPr/>
        <w:t>Toxicity</w:t>
      </w:r>
      <w:r>
        <w:rPr>
          <w:spacing w:val="-2"/>
        </w:rPr>
        <w:t> </w:t>
      </w:r>
      <w:bookmarkEnd w:id="54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The 28-days repeated oral toxicity study was conducted to the Organization of Economic</w:t>
      </w:r>
      <w:r>
        <w:rPr>
          <w:spacing w:val="1"/>
        </w:rPr>
        <w:t> </w:t>
      </w:r>
      <w:r>
        <w:rPr/>
        <w:t>Co-operation and Development (OECD) 407 guidelines (OECD, 2008). Twenty four (24)</w:t>
      </w:r>
      <w:r>
        <w:rPr>
          <w:spacing w:val="1"/>
        </w:rPr>
        <w:t> </w:t>
      </w:r>
      <w:r>
        <w:rPr/>
        <w:t>adult Wistar rats of both sexes (3 males and 3 females) were grouped into four groups</w:t>
      </w:r>
      <w:r>
        <w:rPr>
          <w:spacing w:val="1"/>
        </w:rPr>
        <w:t> </w:t>
      </w:r>
      <w:r>
        <w:rPr/>
        <w:t>containing six</w:t>
      </w:r>
      <w:r>
        <w:rPr>
          <w:spacing w:val="1"/>
        </w:rPr>
        <w:t> </w:t>
      </w:r>
      <w:r>
        <w:rPr/>
        <w:t>rats in each group. Group</w:t>
      </w:r>
      <w:r>
        <w:rPr>
          <w:spacing w:val="1"/>
        </w:rPr>
        <w:t> </w:t>
      </w:r>
      <w:r>
        <w:rPr/>
        <w:t>I was</w:t>
      </w:r>
      <w:r>
        <w:rPr>
          <w:spacing w:val="60"/>
        </w:rPr>
        <w:t> </w:t>
      </w:r>
      <w:r>
        <w:rPr/>
        <w:t>administered 1 mL/kg distilled water per</w:t>
      </w:r>
      <w:r>
        <w:rPr>
          <w:spacing w:val="1"/>
        </w:rPr>
        <w:t> </w:t>
      </w:r>
      <w:r>
        <w:rPr/>
        <w:t>oral. Groups II, III and IV were administered graded oral doses of 250, 500 and 1,000</w:t>
      </w:r>
      <w:r>
        <w:rPr>
          <w:spacing w:val="1"/>
        </w:rPr>
        <w:t> </w:t>
      </w:r>
      <w:r>
        <w:rPr/>
        <w:t>mg/kg MECH, respectively, using an orogastric cannula daily for 28-consecutive days. The</w:t>
      </w:r>
      <w:r>
        <w:rPr>
          <w:spacing w:val="-57"/>
        </w:rPr>
        <w:t> </w:t>
      </w:r>
      <w:r>
        <w:rPr/>
        <w:t>weekly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symptoms of toxicity. On the 29</w:t>
      </w:r>
      <w:r>
        <w:rPr>
          <w:vertAlign w:val="superscript"/>
        </w:rPr>
        <w:t>th</w:t>
      </w:r>
      <w:r>
        <w:rPr>
          <w:vertAlign w:val="baseline"/>
        </w:rPr>
        <w:t> day, all the animals were euthanized using chloroform</w:t>
      </w:r>
      <w:r>
        <w:rPr>
          <w:spacing w:val="1"/>
          <w:vertAlign w:val="baseline"/>
        </w:rPr>
        <w:t> </w:t>
      </w:r>
      <w:r>
        <w:rPr>
          <w:vertAlign w:val="baseline"/>
        </w:rPr>
        <w:t>anaesthesia, and blood samples were collected from each rat through cardiac puncture in</w:t>
      </w:r>
      <w:r>
        <w:rPr>
          <w:spacing w:val="1"/>
          <w:vertAlign w:val="baseline"/>
        </w:rPr>
        <w:t> </w:t>
      </w:r>
      <w:r>
        <w:rPr>
          <w:vertAlign w:val="baseline"/>
        </w:rPr>
        <w:t>tubes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ethylenediaminetetraacetic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(EDTA)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haematological</w:t>
      </w:r>
      <w:r>
        <w:rPr>
          <w:spacing w:val="60"/>
          <w:vertAlign w:val="baseline"/>
        </w:rPr>
        <w:t> </w:t>
      </w:r>
      <w:r>
        <w:rPr>
          <w:vertAlign w:val="baseline"/>
        </w:rPr>
        <w:t>analysis,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blood 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biochemical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 were collected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a</w:t>
      </w:r>
      <w:r>
        <w:rPr>
          <w:spacing w:val="-1"/>
          <w:vertAlign w:val="baseline"/>
        </w:rPr>
        <w:t> </w:t>
      </w:r>
      <w:r>
        <w:rPr>
          <w:vertAlign w:val="baseline"/>
        </w:rPr>
        <w:t>plain tubes.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926" w:val="left" w:leader="none"/>
        </w:tabs>
        <w:spacing w:line="240" w:lineRule="auto" w:before="0" w:after="0"/>
        <w:ind w:left="925" w:right="0" w:hanging="661"/>
        <w:jc w:val="both"/>
      </w:pPr>
      <w:bookmarkStart w:name="_TOC_250020" w:id="55"/>
      <w:r>
        <w:rPr/>
        <w:t>Biochemical</w:t>
      </w:r>
      <w:r>
        <w:rPr>
          <w:spacing w:val="-3"/>
        </w:rPr>
        <w:t> </w:t>
      </w:r>
      <w:bookmarkEnd w:id="55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3"/>
        <w:jc w:val="both"/>
      </w:pPr>
      <w:r>
        <w:rPr/>
        <w:t>Blood for biochemical analysis was kept for an hour at room temperature and allowed for</w:t>
      </w:r>
      <w:r>
        <w:rPr>
          <w:spacing w:val="1"/>
        </w:rPr>
        <w:t> </w:t>
      </w:r>
      <w:r>
        <w:rPr/>
        <w:t>adequate clotting. The blood was centrifuged at 3000 revolutions per minute (rpm) for 10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biochemical parameters such as alanine transaminase (ALT), aspartate transaminase (AST),</w:t>
      </w:r>
      <w:r>
        <w:rPr>
          <w:spacing w:val="-57"/>
        </w:rPr>
        <w:t> </w:t>
      </w:r>
      <w:r>
        <w:rPr/>
        <w:t>alkaline phosphatase (ALP), albumin, total bilirubin, direct bilirubin, total protein, urea,</w:t>
      </w:r>
      <w:r>
        <w:rPr>
          <w:spacing w:val="1"/>
        </w:rPr>
        <w:t> </w:t>
      </w:r>
      <w:r>
        <w:rPr/>
        <w:t>creatinine, electrolytes,</w:t>
      </w:r>
      <w:r>
        <w:rPr>
          <w:spacing w:val="1"/>
        </w:rPr>
        <w:t> </w:t>
      </w:r>
      <w:r>
        <w:rPr/>
        <w:t>cholesterol, triglycerides, high-density lipoproteins (HDL), low-</w:t>
      </w:r>
      <w:r>
        <w:rPr>
          <w:spacing w:val="1"/>
        </w:rPr>
        <w:t> </w:t>
      </w:r>
      <w:r>
        <w:rPr/>
        <w:t>density</w:t>
      </w:r>
      <w:r>
        <w:rPr>
          <w:spacing w:val="-6"/>
        </w:rPr>
        <w:t> </w:t>
      </w:r>
      <w:r>
        <w:rPr/>
        <w:t>lipoprotein (LDL) and</w:t>
      </w:r>
      <w:r>
        <w:rPr>
          <w:spacing w:val="2"/>
        </w:rPr>
        <w:t> </w:t>
      </w:r>
      <w:r>
        <w:rPr/>
        <w:t>glucose.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2"/>
          <w:numId w:val="17"/>
        </w:numPr>
        <w:tabs>
          <w:tab w:pos="926" w:val="left" w:leader="none"/>
        </w:tabs>
        <w:spacing w:line="240" w:lineRule="auto" w:before="0" w:after="0"/>
        <w:ind w:left="925" w:right="0" w:hanging="661"/>
        <w:jc w:val="both"/>
      </w:pPr>
      <w:bookmarkStart w:name="_TOC_250019" w:id="56"/>
      <w:r>
        <w:rPr/>
        <w:t>Haematological</w:t>
      </w:r>
      <w:r>
        <w:rPr>
          <w:spacing w:val="-1"/>
        </w:rPr>
        <w:t> </w:t>
      </w:r>
      <w:bookmarkEnd w:id="56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876"/>
        <w:jc w:val="both"/>
      </w:pPr>
      <w:r>
        <w:rPr/>
        <w:t>The haematological analysis was carried out to determine the effect of 28-days treatment on</w:t>
      </w:r>
      <w:r>
        <w:rPr>
          <w:spacing w:val="-57"/>
        </w:rPr>
        <w:t> </w:t>
      </w:r>
      <w:r>
        <w:rPr/>
        <w:t>the</w:t>
      </w:r>
      <w:r>
        <w:rPr>
          <w:spacing w:val="14"/>
        </w:rPr>
        <w:t> </w:t>
      </w:r>
      <w:r>
        <w:rPr/>
        <w:t>levels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red</w:t>
      </w:r>
      <w:r>
        <w:rPr>
          <w:spacing w:val="15"/>
        </w:rPr>
        <w:t> </w:t>
      </w:r>
      <w:r>
        <w:rPr/>
        <w:t>blood</w:t>
      </w:r>
      <w:r>
        <w:rPr>
          <w:spacing w:val="16"/>
        </w:rPr>
        <w:t> </w:t>
      </w:r>
      <w:r>
        <w:rPr/>
        <w:t>cells</w:t>
      </w:r>
      <w:r>
        <w:rPr>
          <w:spacing w:val="15"/>
        </w:rPr>
        <w:t> </w:t>
      </w:r>
      <w:r>
        <w:rPr/>
        <w:t>(RBC)</w:t>
      </w:r>
      <w:r>
        <w:rPr>
          <w:spacing w:val="17"/>
        </w:rPr>
        <w:t> </w:t>
      </w:r>
      <w:r>
        <w:rPr/>
        <w:t>count,</w:t>
      </w:r>
      <w:r>
        <w:rPr>
          <w:spacing w:val="15"/>
        </w:rPr>
        <w:t> </w:t>
      </w:r>
      <w:r>
        <w:rPr/>
        <w:t>haemoglobin</w:t>
      </w:r>
      <w:r>
        <w:rPr>
          <w:spacing w:val="15"/>
        </w:rPr>
        <w:t> </w:t>
      </w:r>
      <w:r>
        <w:rPr/>
        <w:t>(HGB),</w:t>
      </w:r>
      <w:r>
        <w:rPr>
          <w:spacing w:val="17"/>
        </w:rPr>
        <w:t> </w:t>
      </w:r>
      <w:r>
        <w:rPr/>
        <w:t>haematocrit</w:t>
      </w:r>
      <w:r>
        <w:rPr>
          <w:spacing w:val="15"/>
        </w:rPr>
        <w:t> </w:t>
      </w:r>
      <w:r>
        <w:rPr/>
        <w:t>(HCT),</w:t>
      </w:r>
      <w:r>
        <w:rPr>
          <w:spacing w:val="15"/>
        </w:rPr>
        <w:t> </w:t>
      </w:r>
      <w:r>
        <w:rPr/>
        <w:t>mean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80" w:lineRule="auto" w:before="70"/>
        <w:ind w:left="265" w:right="874"/>
        <w:jc w:val="both"/>
      </w:pPr>
      <w:r>
        <w:rPr/>
        <w:t>corpuscular volume (MCV), mean corpuscular haemoglobin (MCH), mean corpuscular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(MCHC),</w:t>
      </w:r>
      <w:r>
        <w:rPr>
          <w:spacing w:val="1"/>
        </w:rPr>
        <w:t> </w:t>
      </w:r>
      <w:r>
        <w:rPr/>
        <w:t>platelet</w:t>
      </w:r>
      <w:r>
        <w:rPr>
          <w:spacing w:val="1"/>
        </w:rPr>
        <w:t> </w:t>
      </w:r>
      <w:r>
        <w:rPr/>
        <w:t>(PLT),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(WBC)</w:t>
      </w:r>
      <w:r>
        <w:rPr>
          <w:spacing w:val="1"/>
        </w:rPr>
        <w:t> </w:t>
      </w:r>
      <w:r>
        <w:rPr/>
        <w:t>count,</w:t>
      </w:r>
      <w:r>
        <w:rPr>
          <w:spacing w:val="1"/>
        </w:rPr>
        <w:t> </w:t>
      </w:r>
      <w:r>
        <w:rPr/>
        <w:t>lymphocytes</w:t>
      </w:r>
      <w:r>
        <w:rPr>
          <w:spacing w:val="1"/>
        </w:rPr>
        <w:t> </w:t>
      </w:r>
      <w:r>
        <w:rPr/>
        <w:t>(LYM),</w:t>
      </w:r>
      <w:r>
        <w:rPr>
          <w:spacing w:val="1"/>
        </w:rPr>
        <w:t> </w:t>
      </w:r>
      <w:r>
        <w:rPr/>
        <w:t>granulocytes</w:t>
      </w:r>
      <w:r>
        <w:rPr>
          <w:spacing w:val="1"/>
        </w:rPr>
        <w:t> </w:t>
      </w:r>
      <w:r>
        <w:rPr/>
        <w:t>(GRAN),</w:t>
      </w:r>
      <w:r>
        <w:rPr>
          <w:spacing w:val="1"/>
        </w:rPr>
        <w:t> </w:t>
      </w:r>
      <w:r>
        <w:rPr/>
        <w:t>monocytes</w:t>
      </w:r>
      <w:r>
        <w:rPr>
          <w:spacing w:val="1"/>
        </w:rPr>
        <w:t> </w:t>
      </w:r>
      <w:r>
        <w:rPr/>
        <w:t>(MXD),</w:t>
      </w:r>
      <w:r>
        <w:rPr>
          <w:spacing w:val="1"/>
        </w:rPr>
        <w:t> </w:t>
      </w:r>
      <w:r>
        <w:rPr/>
        <w:t>neutrophils</w:t>
      </w:r>
      <w:r>
        <w:rPr>
          <w:spacing w:val="1"/>
        </w:rPr>
        <w:t> </w:t>
      </w:r>
      <w:r>
        <w:rPr/>
        <w:t>(NEU),</w:t>
      </w:r>
      <w:r>
        <w:rPr>
          <w:spacing w:val="1"/>
        </w:rPr>
        <w:t> </w:t>
      </w:r>
      <w:r>
        <w:rPr/>
        <w:t>eosinophils</w:t>
      </w:r>
      <w:r>
        <w:rPr>
          <w:spacing w:val="-1"/>
        </w:rPr>
        <w:t> </w:t>
      </w:r>
      <w:r>
        <w:rPr/>
        <w:t>and basophils.</w:t>
      </w:r>
    </w:p>
    <w:p>
      <w:pPr>
        <w:pStyle w:val="Heading1"/>
        <w:numPr>
          <w:ilvl w:val="2"/>
          <w:numId w:val="17"/>
        </w:numPr>
        <w:tabs>
          <w:tab w:pos="926" w:val="left" w:leader="none"/>
        </w:tabs>
        <w:spacing w:line="240" w:lineRule="auto" w:before="205" w:after="0"/>
        <w:ind w:left="925" w:right="0" w:hanging="661"/>
        <w:jc w:val="both"/>
      </w:pPr>
      <w:r>
        <w:rPr/>
        <w:t>Histological</w:t>
      </w:r>
      <w:r>
        <w:rPr>
          <w:spacing w:val="-2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 Relative</w:t>
      </w:r>
      <w:r>
        <w:rPr>
          <w:spacing w:val="1"/>
        </w:rPr>
        <w:t> </w:t>
      </w:r>
      <w:r>
        <w:rPr/>
        <w:t>Organ</w:t>
      </w:r>
      <w:r>
        <w:rPr>
          <w:spacing w:val="-1"/>
        </w:rPr>
        <w:t> </w:t>
      </w:r>
      <w:r>
        <w:rPr/>
        <w:t>Weight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65" w:right="877"/>
        <w:jc w:val="both"/>
      </w:pPr>
      <w:r>
        <w:rPr/>
        <w:t>At the end of 28 days, each rat was weighed, and the liver, kidney, lung, heart, stomach and</w:t>
      </w:r>
      <w:r>
        <w:rPr>
          <w:spacing w:val="-57"/>
        </w:rPr>
        <w:t> </w:t>
      </w:r>
      <w:r>
        <w:rPr/>
        <w:t>small</w:t>
      </w:r>
      <w:r>
        <w:rPr>
          <w:spacing w:val="1"/>
        </w:rPr>
        <w:t> </w:t>
      </w:r>
      <w:r>
        <w:rPr/>
        <w:t>intestine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organ</w:t>
      </w:r>
      <w:r>
        <w:rPr>
          <w:spacing w:val="60"/>
        </w:rPr>
        <w:t> </w:t>
      </w:r>
      <w:r>
        <w:rPr/>
        <w:t>weight</w:t>
      </w:r>
      <w:r>
        <w:rPr>
          <w:spacing w:val="-57"/>
        </w:rPr>
        <w:t> </w:t>
      </w:r>
      <w:r>
        <w:rPr/>
        <w:t>(ROW)</w:t>
      </w:r>
      <w:r>
        <w:rPr>
          <w:spacing w:val="33"/>
        </w:rPr>
        <w:t> </w:t>
      </w:r>
      <w:r>
        <w:rPr/>
        <w:t>was</w:t>
      </w:r>
      <w:r>
        <w:rPr>
          <w:spacing w:val="35"/>
        </w:rPr>
        <w:t> </w:t>
      </w:r>
      <w:r>
        <w:rPr/>
        <w:t>calculated</w:t>
      </w:r>
      <w:r>
        <w:rPr>
          <w:spacing w:val="36"/>
        </w:rPr>
        <w:t> </w:t>
      </w:r>
      <w:r>
        <w:rPr/>
        <w:t>by</w:t>
      </w:r>
      <w:r>
        <w:rPr>
          <w:spacing w:val="29"/>
        </w:rPr>
        <w:t> </w:t>
      </w:r>
      <w:r>
        <w:rPr/>
        <w:t>expressing</w:t>
      </w:r>
      <w:r>
        <w:rPr>
          <w:spacing w:val="32"/>
        </w:rPr>
        <w:t> </w:t>
      </w:r>
      <w:r>
        <w:rPr/>
        <w:t>the</w:t>
      </w:r>
      <w:r>
        <w:rPr>
          <w:spacing w:val="36"/>
        </w:rPr>
        <w:t> </w:t>
      </w:r>
      <w:r>
        <w:rPr/>
        <w:t>absolute</w:t>
      </w:r>
      <w:r>
        <w:rPr>
          <w:spacing w:val="34"/>
        </w:rPr>
        <w:t> </w:t>
      </w:r>
      <w:r>
        <w:rPr/>
        <w:t>organ</w:t>
      </w:r>
      <w:r>
        <w:rPr>
          <w:spacing w:val="34"/>
        </w:rPr>
        <w:t> </w:t>
      </w:r>
      <w:r>
        <w:rPr/>
        <w:t>weight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percentage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total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before="1"/>
        <w:ind w:left="265"/>
      </w:pPr>
      <w:r>
        <w:rPr/>
        <w:t>body</w:t>
      </w:r>
      <w:r>
        <w:rPr>
          <w:spacing w:val="-6"/>
        </w:rPr>
        <w:t> </w:t>
      </w:r>
      <w:r>
        <w:rPr/>
        <w:t>weight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formula:</w:t>
      </w:r>
    </w:p>
    <w:p>
      <w:pPr>
        <w:pStyle w:val="BodyText"/>
        <w:spacing w:before="2"/>
      </w:pPr>
    </w:p>
    <w:p>
      <w:pPr>
        <w:tabs>
          <w:tab w:pos="3524" w:val="left" w:leader="none"/>
        </w:tabs>
        <w:spacing w:line="302" w:lineRule="exact" w:before="0"/>
        <w:ind w:left="265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25.770004pt;margin-top:11.236664pt;width:141.74pt;height:.84pt;mso-position-horizontal-relative:page;mso-position-vertical-relative:paragraph;z-index:-18590208" filled="true" fillcolor="#000000" stroked="false">
            <v:fill type="solid"/>
            <w10:wrap type="none"/>
          </v:rect>
        </w:pict>
      </w:r>
      <w:r>
        <w:rPr>
          <w:rFonts w:ascii="Cambria Math"/>
          <w:spacing w:val="-1"/>
          <w:sz w:val="24"/>
        </w:rPr>
        <w:t>Relative</w:t>
      </w:r>
      <w:r>
        <w:rPr>
          <w:rFonts w:ascii="Cambria Math"/>
          <w:spacing w:val="-15"/>
          <w:sz w:val="24"/>
        </w:rPr>
        <w:t> </w:t>
      </w:r>
      <w:r>
        <w:rPr>
          <w:rFonts w:ascii="Cambria Math"/>
          <w:spacing w:val="-1"/>
          <w:sz w:val="24"/>
        </w:rPr>
        <w:t>organ</w:t>
      </w:r>
      <w:r>
        <w:rPr>
          <w:rFonts w:ascii="Cambria Math"/>
          <w:spacing w:val="-2"/>
          <w:sz w:val="24"/>
        </w:rPr>
        <w:t> </w:t>
      </w:r>
      <w:r>
        <w:rPr>
          <w:rFonts w:ascii="Cambria Math"/>
          <w:sz w:val="24"/>
        </w:rPr>
        <w:t>weight</w:t>
      </w:r>
      <w:r>
        <w:rPr>
          <w:rFonts w:ascii="Cambria Math"/>
          <w:spacing w:val="10"/>
          <w:sz w:val="24"/>
        </w:rPr>
        <w:t> </w:t>
      </w:r>
      <w:r>
        <w:rPr>
          <w:rFonts w:ascii="Cambria Math"/>
          <w:sz w:val="24"/>
        </w:rPr>
        <w:t>=</w:t>
        <w:tab/>
      </w:r>
      <w:r>
        <w:rPr>
          <w:rFonts w:ascii="Cambria Math"/>
          <w:position w:val="14"/>
          <w:sz w:val="17"/>
        </w:rPr>
        <w:t>Organ</w:t>
      </w:r>
      <w:r>
        <w:rPr>
          <w:rFonts w:ascii="Cambria Math"/>
          <w:spacing w:val="25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weight</w:t>
      </w:r>
      <w:r>
        <w:rPr>
          <w:rFonts w:ascii="Cambria Math"/>
          <w:spacing w:val="28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(g)</w:t>
      </w:r>
    </w:p>
    <w:p>
      <w:pPr>
        <w:spacing w:line="157" w:lineRule="exact" w:before="0"/>
        <w:ind w:left="279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Final</w:t>
      </w:r>
      <w:r>
        <w:rPr>
          <w:rFonts w:ascii="Cambria Math"/>
          <w:spacing w:val="46"/>
          <w:sz w:val="17"/>
        </w:rPr>
        <w:t> </w:t>
      </w:r>
      <w:r>
        <w:rPr>
          <w:rFonts w:ascii="Cambria Math"/>
          <w:sz w:val="17"/>
        </w:rPr>
        <w:t>body</w:t>
      </w:r>
      <w:r>
        <w:rPr>
          <w:rFonts w:ascii="Cambria Math"/>
          <w:spacing w:val="48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8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9"/>
          <w:sz w:val="17"/>
        </w:rPr>
        <w:t> </w:t>
      </w:r>
      <w:r>
        <w:rPr>
          <w:rFonts w:ascii="Cambria Math"/>
          <w:sz w:val="17"/>
        </w:rPr>
        <w:t>the</w:t>
      </w:r>
      <w:r>
        <w:rPr>
          <w:rFonts w:ascii="Cambria Math"/>
          <w:spacing w:val="32"/>
          <w:sz w:val="17"/>
        </w:rPr>
        <w:t> </w:t>
      </w:r>
      <w:r>
        <w:rPr>
          <w:rFonts w:ascii="Cambria Math"/>
          <w:sz w:val="17"/>
        </w:rPr>
        <w:t>animal</w:t>
      </w:r>
      <w:r>
        <w:rPr>
          <w:rFonts w:ascii="Cambria Math"/>
          <w:spacing w:val="62"/>
          <w:sz w:val="17"/>
        </w:rPr>
        <w:t> </w:t>
      </w:r>
      <w:r>
        <w:rPr>
          <w:rFonts w:ascii="Cambria Math"/>
          <w:position w:val="1"/>
          <w:sz w:val="17"/>
        </w:rPr>
        <w:t>(</w:t>
      </w:r>
      <w:r>
        <w:rPr>
          <w:rFonts w:ascii="Cambria Math"/>
          <w:sz w:val="17"/>
        </w:rPr>
        <w:t>g</w:t>
      </w:r>
      <w:r>
        <w:rPr>
          <w:rFonts w:ascii="Cambria Math"/>
          <w:position w:val="1"/>
          <w:sz w:val="17"/>
        </w:rPr>
        <w:t>)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1"/>
        <w:rPr>
          <w:rFonts w:ascii="Cambria Math"/>
          <w:sz w:val="27"/>
        </w:rPr>
      </w:pPr>
    </w:p>
    <w:p>
      <w:pPr>
        <w:pStyle w:val="BodyText"/>
        <w:ind w:left="11"/>
      </w:pP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2240" w:h="15840"/>
          <w:pgMar w:top="1340" w:bottom="280" w:left="1720" w:right="540"/>
          <w:cols w:num="2" w:equalWidth="0">
            <w:col w:w="5632" w:space="40"/>
            <w:col w:w="43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265" w:right="875" w:firstLine="59"/>
        <w:jc w:val="both"/>
      </w:pPr>
      <w:r>
        <w:rPr/>
        <w:t>The organs were processed for embedment in paraffin wax after fixation in 10% formalin.</w:t>
      </w:r>
      <w:r>
        <w:rPr>
          <w:spacing w:val="1"/>
        </w:rPr>
        <w:t> </w:t>
      </w:r>
      <w:r>
        <w:rPr/>
        <w:t>Sections from the liver, kidney, heart, lung, stomach and small intestine were cut 4-5µm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rotary</w:t>
      </w:r>
      <w:r>
        <w:rPr>
          <w:spacing w:val="1"/>
        </w:rPr>
        <w:t> </w:t>
      </w:r>
      <w:r>
        <w:rPr/>
        <w:t>microtone,</w:t>
      </w:r>
      <w:r>
        <w:rPr>
          <w:spacing w:val="1"/>
        </w:rPr>
        <w:t> </w:t>
      </w:r>
      <w:r>
        <w:rPr/>
        <w:t>stained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hematoxylin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eosin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microscopy.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photomicrographs were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histopathological changes.</w:t>
      </w:r>
    </w:p>
    <w:p>
      <w:pPr>
        <w:pStyle w:val="Heading1"/>
        <w:numPr>
          <w:ilvl w:val="1"/>
          <w:numId w:val="13"/>
        </w:numPr>
        <w:tabs>
          <w:tab w:pos="4346" w:val="left" w:leader="none"/>
        </w:tabs>
        <w:spacing w:line="240" w:lineRule="auto" w:before="5" w:after="0"/>
        <w:ind w:left="4345" w:right="0" w:hanging="481"/>
        <w:jc w:val="both"/>
      </w:pPr>
      <w:bookmarkStart w:name="_TOC_250018" w:id="57"/>
      <w:r>
        <w:rPr/>
        <w:t>Data</w:t>
      </w:r>
      <w:r>
        <w:rPr>
          <w:spacing w:val="-1"/>
        </w:rPr>
        <w:t> </w:t>
      </w:r>
      <w:bookmarkEnd w:id="57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Data</w:t>
      </w:r>
      <w:r>
        <w:rPr>
          <w:spacing w:val="57"/>
        </w:rPr>
        <w:t> </w:t>
      </w:r>
      <w:r>
        <w:rPr/>
        <w:t>were</w:t>
      </w:r>
      <w:r>
        <w:rPr>
          <w:spacing w:val="57"/>
        </w:rPr>
        <w:t> </w:t>
      </w:r>
      <w:r>
        <w:rPr/>
        <w:t>presented</w:t>
      </w:r>
      <w:r>
        <w:rPr>
          <w:spacing w:val="58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58"/>
        </w:rPr>
        <w:t> </w:t>
      </w:r>
      <w:r>
        <w:rPr/>
        <w:t>±</w:t>
      </w:r>
      <w:r>
        <w:rPr>
          <w:spacing w:val="1"/>
        </w:rPr>
        <w:t> </w:t>
      </w:r>
      <w:r>
        <w:rPr/>
        <w:t>standard</w:t>
      </w:r>
      <w:r>
        <w:rPr>
          <w:spacing w:val="58"/>
        </w:rPr>
        <w:t> </w:t>
      </w:r>
      <w:r>
        <w:rPr/>
        <w:t>error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mean</w:t>
      </w:r>
      <w:r>
        <w:rPr>
          <w:spacing w:val="58"/>
        </w:rPr>
        <w:t> </w:t>
      </w:r>
      <w:r>
        <w:rPr/>
        <w:t>(SEM)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tables,</w:t>
      </w:r>
      <w:r>
        <w:rPr>
          <w:spacing w:val="59"/>
        </w:rPr>
        <w:t> </w:t>
      </w:r>
      <w:r>
        <w:rPr/>
        <w:t>figures</w:t>
      </w:r>
      <w:r>
        <w:rPr>
          <w:spacing w:val="59"/>
        </w:rPr>
        <w:t> </w:t>
      </w:r>
      <w:r>
        <w:rPr/>
        <w:t>and</w:t>
      </w:r>
      <w:r>
        <w:rPr>
          <w:spacing w:val="-58"/>
        </w:rPr>
        <w:t> </w:t>
      </w:r>
      <w:r>
        <w:rPr/>
        <w:t>photomicrograph as appropriate. The data were analyzed with SPSS Version 20 using One</w:t>
      </w:r>
      <w:r>
        <w:rPr>
          <w:spacing w:val="1"/>
        </w:rPr>
        <w:t> </w:t>
      </w:r>
      <w:r>
        <w:rPr/>
        <w:t>Way Analysis of Variance (ANOVA) for castor oil-induced diarrhoea, castor oil-induced</w:t>
      </w:r>
      <w:r>
        <w:rPr>
          <w:spacing w:val="1"/>
        </w:rPr>
        <w:t> </w:t>
      </w:r>
      <w:r>
        <w:rPr/>
        <w:t>enteropooling,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motility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ROW,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analysis followed by Dunnett’s post hoc test. The repeated measure ANOVA was used to</w:t>
      </w:r>
      <w:r>
        <w:rPr>
          <w:spacing w:val="1"/>
        </w:rPr>
        <w:t> </w:t>
      </w:r>
      <w:r>
        <w:rPr/>
        <w:t>analyse the weekly body weight of rats followed by Dunnett’s post hoc test. The results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considered statistically</w:t>
      </w:r>
      <w:r>
        <w:rPr>
          <w:spacing w:val="-5"/>
        </w:rPr>
        <w:t> </w:t>
      </w:r>
      <w:r>
        <w:rPr/>
        <w:t>significant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>
          <w:i/>
        </w:rPr>
        <w:t>p</w:t>
      </w:r>
      <w:r>
        <w:rPr/>
        <w:t>˂0.05.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280" w:left="1720" w:right="540"/>
        </w:sectPr>
      </w:pPr>
    </w:p>
    <w:p>
      <w:pPr>
        <w:pStyle w:val="Heading1"/>
        <w:spacing w:before="75"/>
        <w:ind w:left="651" w:right="905"/>
        <w:jc w:val="center"/>
      </w:pPr>
      <w:bookmarkStart w:name="_TOC_250017" w:id="58"/>
      <w:r>
        <w:rPr/>
        <w:t>CHAPTER</w:t>
      </w:r>
      <w:r>
        <w:rPr>
          <w:spacing w:val="-3"/>
        </w:rPr>
        <w:t> </w:t>
      </w:r>
      <w:bookmarkEnd w:id="58"/>
      <w:r>
        <w:rPr/>
        <w:t>FOUR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8"/>
        </w:numPr>
        <w:tabs>
          <w:tab w:pos="4406" w:val="left" w:leader="none"/>
        </w:tabs>
        <w:spacing w:line="240" w:lineRule="auto" w:before="0" w:after="0"/>
        <w:ind w:left="4405" w:right="0" w:hanging="361"/>
        <w:jc w:val="left"/>
      </w:pPr>
      <w:bookmarkStart w:name="_TOC_250016" w:id="59"/>
      <w:bookmarkEnd w:id="59"/>
      <w:r>
        <w:rPr/>
        <w:t>RESULTS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8"/>
        </w:numPr>
        <w:tabs>
          <w:tab w:pos="1257" w:val="left" w:leader="none"/>
        </w:tabs>
        <w:spacing w:line="240" w:lineRule="auto" w:before="0" w:after="0"/>
        <w:ind w:left="1256" w:right="0" w:hanging="361"/>
        <w:jc w:val="left"/>
        <w:rPr>
          <w:b/>
          <w:i/>
          <w:sz w:val="24"/>
        </w:rPr>
      </w:pPr>
      <w:r>
        <w:rPr>
          <w:b/>
          <w:sz w:val="24"/>
        </w:rPr>
        <w:t>Percentage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Yield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Combretum hypopilinum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265" w:right="0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percentage</w:t>
      </w:r>
      <w:r>
        <w:rPr>
          <w:spacing w:val="41"/>
          <w:sz w:val="24"/>
        </w:rPr>
        <w:t> </w:t>
      </w:r>
      <w:r>
        <w:rPr>
          <w:sz w:val="24"/>
        </w:rPr>
        <w:t>yield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methanol</w:t>
      </w:r>
      <w:r>
        <w:rPr>
          <w:spacing w:val="38"/>
          <w:sz w:val="24"/>
        </w:rPr>
        <w:t> </w:t>
      </w:r>
      <w:r>
        <w:rPr>
          <w:sz w:val="24"/>
        </w:rPr>
        <w:t>leaf</w:t>
      </w:r>
      <w:r>
        <w:rPr>
          <w:spacing w:val="38"/>
          <w:sz w:val="24"/>
        </w:rPr>
        <w:t> </w:t>
      </w:r>
      <w:r>
        <w:rPr>
          <w:sz w:val="24"/>
        </w:rPr>
        <w:t>extract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hypopilinum</w:t>
      </w:r>
      <w:r>
        <w:rPr>
          <w:i/>
          <w:spacing w:val="40"/>
          <w:sz w:val="24"/>
        </w:rPr>
        <w:t> </w:t>
      </w:r>
      <w:r>
        <w:rPr>
          <w:sz w:val="24"/>
        </w:rPr>
        <w:t>was</w:t>
      </w:r>
      <w:r>
        <w:rPr>
          <w:spacing w:val="40"/>
          <w:sz w:val="24"/>
        </w:rPr>
        <w:t> </w:t>
      </w:r>
      <w:r>
        <w:rPr>
          <w:sz w:val="24"/>
        </w:rPr>
        <w:t>12.62</w:t>
      </w:r>
      <w:r>
        <w:rPr>
          <w:spacing w:val="37"/>
          <w:sz w:val="24"/>
        </w:rPr>
        <w:t> </w:t>
      </w:r>
      <w:r>
        <w:rPr>
          <w:sz w:val="24"/>
        </w:rPr>
        <w:t>%</w:t>
      </w:r>
    </w:p>
    <w:p>
      <w:pPr>
        <w:pStyle w:val="BodyText"/>
      </w:pPr>
    </w:p>
    <w:p>
      <w:pPr>
        <w:pStyle w:val="BodyText"/>
        <w:ind w:left="265"/>
      </w:pP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W</w:t>
      </w:r>
      <w:r>
        <w:rPr>
          <w:vertAlign w:val="baseline"/>
        </w:rPr>
        <w:t>.</w:t>
      </w: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40"/>
        </w:rPr>
      </w:pPr>
    </w:p>
    <w:p>
      <w:pPr>
        <w:pStyle w:val="ListParagraph"/>
        <w:numPr>
          <w:ilvl w:val="1"/>
          <w:numId w:val="18"/>
        </w:numPr>
        <w:tabs>
          <w:tab w:pos="2030" w:val="left" w:leader="none"/>
        </w:tabs>
        <w:spacing w:line="240" w:lineRule="auto" w:before="0" w:after="0"/>
        <w:ind w:left="2029" w:right="0" w:hanging="361"/>
        <w:jc w:val="both"/>
        <w:rPr>
          <w:b/>
          <w:i/>
          <w:sz w:val="24"/>
        </w:rPr>
      </w:pPr>
      <w:r>
        <w:rPr>
          <w:b/>
          <w:sz w:val="24"/>
        </w:rPr>
        <w:t>Phytochemical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Constituents 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hypopilinum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Preliminary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steroids,</w:t>
      </w:r>
      <w:r>
        <w:rPr>
          <w:spacing w:val="1"/>
        </w:rPr>
        <w:t> </w:t>
      </w:r>
      <w:r>
        <w:rPr/>
        <w:t>triterpenes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alkaloids.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anthraquinones</w:t>
      </w:r>
      <w:r>
        <w:rPr>
          <w:spacing w:val="-1"/>
        </w:rPr>
        <w:t> </w:t>
      </w:r>
      <w:r>
        <w:rPr/>
        <w:t>were absent (Table 4.1).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spacing w:line="480" w:lineRule="auto" w:before="75" w:after="4"/>
        <w:ind w:left="265" w:right="67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Constituents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1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hypopilinum</w:t>
      </w:r>
    </w:p>
    <w:p>
      <w:pPr>
        <w:pStyle w:val="BodyText"/>
        <w:spacing w:line="28" w:lineRule="exact"/>
        <w:ind w:left="236"/>
        <w:rPr>
          <w:sz w:val="2"/>
        </w:rPr>
      </w:pPr>
      <w:r>
        <w:rPr>
          <w:position w:val="0"/>
          <w:sz w:val="2"/>
        </w:rPr>
        <w:pict>
          <v:group style="width:444.8pt;height:1.45pt;mso-position-horizontal-relative:char;mso-position-vertical-relative:line" coordorigin="0,0" coordsize="8896,29">
            <v:rect style="position:absolute;left:0;top:0;width:8896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tabs>
          <w:tab w:pos="7158" w:val="left" w:leader="none"/>
        </w:tabs>
        <w:spacing w:before="16"/>
        <w:ind w:left="265"/>
      </w:pPr>
      <w:r>
        <w:rPr/>
        <w:t>Phytochemical</w:t>
      </w:r>
      <w:r>
        <w:rPr>
          <w:spacing w:val="-2"/>
        </w:rPr>
        <w:t> </w:t>
      </w:r>
      <w:r>
        <w:rPr/>
        <w:t>constituents</w:t>
        <w:tab/>
        <w:t>Result</w:t>
      </w: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4"/>
        <w:gridCol w:w="3632"/>
      </w:tblGrid>
      <w:tr>
        <w:trPr>
          <w:trHeight w:val="410" w:hRule="atLeast"/>
        </w:trPr>
        <w:tc>
          <w:tcPr>
            <w:tcW w:w="526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28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36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0" w:right="15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5264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glycosides</w:t>
            </w:r>
          </w:p>
        </w:tc>
        <w:tc>
          <w:tcPr>
            <w:tcW w:w="3632" w:type="dxa"/>
          </w:tcPr>
          <w:p>
            <w:pPr>
              <w:pStyle w:val="TableParagraph"/>
              <w:ind w:left="0" w:right="15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5264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3632" w:type="dxa"/>
          </w:tcPr>
          <w:p>
            <w:pPr>
              <w:pStyle w:val="TableParagraph"/>
              <w:ind w:left="0" w:right="15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5264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3632" w:type="dxa"/>
          </w:tcPr>
          <w:p>
            <w:pPr>
              <w:pStyle w:val="TableParagraph"/>
              <w:ind w:left="0" w:right="15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5264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3632" w:type="dxa"/>
          </w:tcPr>
          <w:p>
            <w:pPr>
              <w:pStyle w:val="TableParagraph"/>
              <w:ind w:left="0" w:right="152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3" w:hRule="atLeast"/>
        </w:trPr>
        <w:tc>
          <w:tcPr>
            <w:tcW w:w="5264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Steroids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triterpenes</w:t>
            </w:r>
          </w:p>
        </w:tc>
        <w:tc>
          <w:tcPr>
            <w:tcW w:w="3632" w:type="dxa"/>
          </w:tcPr>
          <w:p>
            <w:pPr>
              <w:pStyle w:val="TableParagraph"/>
              <w:ind w:left="0" w:right="154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712" w:hRule="atLeast"/>
        </w:trPr>
        <w:tc>
          <w:tcPr>
            <w:tcW w:w="52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Anthraquinones</w:t>
            </w:r>
          </w:p>
        </w:tc>
        <w:tc>
          <w:tcPr>
            <w:tcW w:w="36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0" w:right="15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67" w:hRule="atLeast"/>
        </w:trPr>
        <w:tc>
          <w:tcPr>
            <w:tcW w:w="526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7" w:lineRule="exact" w:before="0"/>
              <w:ind w:left="88"/>
              <w:rPr>
                <w:sz w:val="24"/>
              </w:rPr>
            </w:pPr>
            <w:r>
              <w:rPr>
                <w:sz w:val="24"/>
              </w:rPr>
              <w:t>Key: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and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Absent</w:t>
            </w:r>
          </w:p>
        </w:tc>
        <w:tc>
          <w:tcPr>
            <w:tcW w:w="36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294" w:top="1340" w:bottom="480" w:left="1720" w:right="540"/>
        </w:sectPr>
      </w:pPr>
    </w:p>
    <w:p>
      <w:pPr>
        <w:pStyle w:val="Heading1"/>
        <w:numPr>
          <w:ilvl w:val="1"/>
          <w:numId w:val="18"/>
        </w:numPr>
        <w:tabs>
          <w:tab w:pos="3506" w:val="left" w:leader="none"/>
        </w:tabs>
        <w:spacing w:line="240" w:lineRule="auto" w:before="75" w:after="0"/>
        <w:ind w:left="3505" w:right="0" w:hanging="361"/>
        <w:jc w:val="both"/>
      </w:pPr>
      <w:bookmarkStart w:name="_TOC_250015" w:id="60"/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bookmarkEnd w:id="60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5"/>
        <w:jc w:val="both"/>
      </w:pPr>
      <w:r>
        <w:rPr/>
        <w:t>The oral LD</w:t>
      </w:r>
      <w:r>
        <w:rPr>
          <w:vertAlign w:val="subscript"/>
        </w:rPr>
        <w:t>50</w:t>
      </w:r>
      <w:r>
        <w:rPr>
          <w:vertAlign w:val="baseline"/>
        </w:rPr>
        <w:t> of MECH was estimated to be greater than 5,000 mg/kg in both mice and</w:t>
      </w:r>
      <w:r>
        <w:rPr>
          <w:spacing w:val="1"/>
          <w:vertAlign w:val="baseline"/>
        </w:rPr>
        <w:t> </w:t>
      </w:r>
      <w:r>
        <w:rPr>
          <w:vertAlign w:val="baseline"/>
        </w:rPr>
        <w:t>rats. The physical observation of mice and rats administered with 5,000 mg/kg of MECH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 14 days revealed that none of the animals showed signs of toxicity in their skin,</w:t>
      </w:r>
      <w:r>
        <w:rPr>
          <w:spacing w:val="1"/>
          <w:vertAlign w:val="baseline"/>
        </w:rPr>
        <w:t> </w:t>
      </w:r>
      <w:r>
        <w:rPr>
          <w:vertAlign w:val="baseline"/>
        </w:rPr>
        <w:t>fur, eyes, mucus membrane, or behavioural changes, diarrhoea, tremors, salivation, sleep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coma. Also, there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no</w:t>
      </w:r>
      <w:r>
        <w:rPr>
          <w:spacing w:val="-1"/>
          <w:vertAlign w:val="baseline"/>
        </w:rPr>
        <w:t> </w:t>
      </w:r>
      <w:r>
        <w:rPr>
          <w:vertAlign w:val="baseline"/>
        </w:rPr>
        <w:t>mortality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animals observed 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tested dose.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ListParagraph"/>
        <w:numPr>
          <w:ilvl w:val="1"/>
          <w:numId w:val="18"/>
        </w:numPr>
        <w:tabs>
          <w:tab w:pos="2066" w:val="left" w:leader="none"/>
        </w:tabs>
        <w:spacing w:line="240" w:lineRule="auto" w:before="75" w:after="0"/>
        <w:ind w:left="2065" w:right="0" w:hanging="361"/>
        <w:jc w:val="left"/>
        <w:rPr>
          <w:b/>
          <w:i/>
          <w:sz w:val="24"/>
        </w:rPr>
      </w:pPr>
      <w:r>
        <w:rPr>
          <w:b/>
          <w:sz w:val="24"/>
        </w:rPr>
        <w:t>Antidiarrhoeal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Combretum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hypopilinum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2"/>
          <w:numId w:val="19"/>
        </w:numPr>
        <w:tabs>
          <w:tab w:pos="868" w:val="left" w:leader="none"/>
        </w:tabs>
        <w:spacing w:line="480" w:lineRule="auto" w:before="0" w:after="0"/>
        <w:ind w:left="265" w:right="871" w:firstLine="0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Extract  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Castor  Oil-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induced Diarrhoea 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line="271" w:lineRule="exact"/>
        <w:ind w:left="265"/>
        <w:jc w:val="both"/>
      </w:pPr>
      <w:r>
        <w:rPr/>
        <w:t>The</w:t>
      </w:r>
      <w:r>
        <w:rPr>
          <w:spacing w:val="2"/>
        </w:rPr>
        <w:t> </w:t>
      </w:r>
      <w:r>
        <w:rPr/>
        <w:t>mice</w:t>
      </w:r>
      <w:r>
        <w:rPr>
          <w:spacing w:val="2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distilled</w:t>
      </w:r>
      <w:r>
        <w:rPr>
          <w:spacing w:val="5"/>
        </w:rPr>
        <w:t> </w:t>
      </w:r>
      <w:r>
        <w:rPr/>
        <w:t>water</w:t>
      </w:r>
      <w:r>
        <w:rPr>
          <w:spacing w:val="7"/>
        </w:rPr>
        <w:t> </w:t>
      </w:r>
      <w:r>
        <w:rPr/>
        <w:t>group</w:t>
      </w:r>
      <w:r>
        <w:rPr>
          <w:spacing w:val="3"/>
        </w:rPr>
        <w:t> </w:t>
      </w:r>
      <w:r>
        <w:rPr/>
        <w:t>showed</w:t>
      </w:r>
      <w:r>
        <w:rPr>
          <w:spacing w:val="6"/>
        </w:rPr>
        <w:t> </w:t>
      </w:r>
      <w:r>
        <w:rPr/>
        <w:t>copious</w:t>
      </w:r>
      <w:r>
        <w:rPr>
          <w:spacing w:val="3"/>
        </w:rPr>
        <w:t> </w:t>
      </w:r>
      <w:r>
        <w:rPr/>
        <w:t>diarrhoea</w:t>
      </w:r>
      <w:r>
        <w:rPr>
          <w:spacing w:val="2"/>
        </w:rPr>
        <w:t> </w:t>
      </w:r>
      <w:r>
        <w:rPr/>
        <w:t>within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first</w:t>
      </w:r>
      <w:r>
        <w:rPr>
          <w:spacing w:val="5"/>
        </w:rPr>
        <w:t> </w:t>
      </w:r>
      <w:r>
        <w:rPr/>
        <w:t>hour</w:t>
      </w:r>
      <w:r>
        <w:rPr>
          <w:spacing w:val="6"/>
        </w:rPr>
        <w:t> </w:t>
      </w:r>
      <w:r>
        <w:rPr/>
        <w:t>(54.60</w:t>
      </w:r>
    </w:p>
    <w:p>
      <w:pPr>
        <w:pStyle w:val="BodyText"/>
      </w:pPr>
    </w:p>
    <w:p>
      <w:pPr>
        <w:pStyle w:val="BodyText"/>
        <w:spacing w:line="480" w:lineRule="auto"/>
        <w:ind w:left="265" w:right="873"/>
        <w:jc w:val="both"/>
      </w:pPr>
      <w:r>
        <w:rPr/>
        <w:t>± 13.10) minutes after castor oil administration. The oral administration of MECH at doses</w:t>
      </w:r>
      <w:r>
        <w:rPr>
          <w:spacing w:val="1"/>
        </w:rPr>
        <w:t> </w:t>
      </w:r>
      <w:r>
        <w:rPr/>
        <w:t>of 250, 500 and 1,000 mg/kg non-significantly (</w:t>
      </w:r>
      <w:r>
        <w:rPr>
          <w:i/>
        </w:rPr>
        <w:t>p</w:t>
      </w:r>
      <w:r>
        <w:rPr/>
        <w:t>&gt;0.05) delayed the onset of diarrhoea to</w:t>
      </w:r>
      <w:r>
        <w:rPr>
          <w:spacing w:val="1"/>
        </w:rPr>
        <w:t> </w:t>
      </w:r>
      <w:r>
        <w:rPr/>
        <w:t>(90.20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25.87),</w:t>
      </w:r>
      <w:r>
        <w:rPr>
          <w:spacing w:val="1"/>
        </w:rPr>
        <w:t> </w:t>
      </w:r>
      <w:r>
        <w:rPr/>
        <w:t>(107.80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13.63)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(148.40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20.59)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with distilled water group. However, significant (</w:t>
      </w:r>
      <w:r>
        <w:rPr>
          <w:i/>
        </w:rPr>
        <w:t>p</w:t>
      </w:r>
      <w:r>
        <w:rPr/>
        <w:t>≤0.05) delay in the onset of</w:t>
      </w:r>
      <w:r>
        <w:rPr>
          <w:spacing w:val="1"/>
        </w:rPr>
        <w:t> </w:t>
      </w:r>
      <w:r>
        <w:rPr/>
        <w:t>diarrhoea (158.00 ± 30.42) minutes was observed in the group treated with loperamide (5</w:t>
      </w:r>
      <w:r>
        <w:rPr>
          <w:spacing w:val="1"/>
        </w:rPr>
        <w:t> </w:t>
      </w:r>
      <w:r>
        <w:rPr/>
        <w:t>mg/kg)</w:t>
      </w:r>
      <w:r>
        <w:rPr>
          <w:spacing w:val="-2"/>
        </w:rPr>
        <w:t> </w:t>
      </w:r>
      <w:r>
        <w:rPr/>
        <w:t>compared with distilled water group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Also, the MECH inhibited</w:t>
      </w:r>
      <w:r>
        <w:rPr>
          <w:spacing w:val="1"/>
        </w:rPr>
        <w:t> </w:t>
      </w:r>
      <w:r>
        <w:rPr/>
        <w:t>the number of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faeces</w:t>
      </w:r>
      <w:r>
        <w:rPr>
          <w:spacing w:val="1"/>
        </w:rPr>
        <w:t> </w:t>
      </w:r>
      <w:r>
        <w:rPr/>
        <w:t>(46.67%,</w:t>
      </w:r>
      <w:r>
        <w:rPr>
          <w:spacing w:val="1"/>
        </w:rPr>
        <w:t> </w:t>
      </w:r>
      <w:r>
        <w:rPr/>
        <w:t>56.67%</w:t>
      </w:r>
      <w:r>
        <w:rPr>
          <w:spacing w:val="1"/>
        </w:rPr>
        <w:t> </w:t>
      </w:r>
      <w:r>
        <w:rPr/>
        <w:t>and 60.00%)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doses of 250, 500 and 1,000 mg/kg, respectively, which was significant (</w:t>
      </w:r>
      <w:r>
        <w:rPr>
          <w:i/>
        </w:rPr>
        <w:t>p</w:t>
      </w:r>
      <w:r>
        <w:rPr/>
        <w:t>≤0.05) at higher</w:t>
      </w:r>
      <w:r>
        <w:rPr>
          <w:spacing w:val="1"/>
        </w:rPr>
        <w:t> </w:t>
      </w:r>
      <w:r>
        <w:rPr/>
        <w:t>doses (500 and 1,000 mg/kg) compared with distilled water group. Also, a 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≤0.01) inhibition in the number of wet faeces was observed in the group treated with</w:t>
      </w:r>
      <w:r>
        <w:rPr>
          <w:spacing w:val="1"/>
        </w:rPr>
        <w:t> </w:t>
      </w:r>
      <w:r>
        <w:rPr/>
        <w:t>loperamide</w:t>
      </w:r>
      <w:r>
        <w:rPr>
          <w:spacing w:val="-2"/>
        </w:rPr>
        <w:t> </w:t>
      </w:r>
      <w:r>
        <w:rPr/>
        <w:t>(5 mg/kg)</w:t>
      </w:r>
      <w:r>
        <w:rPr>
          <w:spacing w:val="-1"/>
        </w:rPr>
        <w:t> </w:t>
      </w:r>
      <w:r>
        <w:rPr/>
        <w:t>compared with distilled</w:t>
      </w:r>
      <w:r>
        <w:rPr>
          <w:spacing w:val="-1"/>
        </w:rPr>
        <w:t> </w:t>
      </w:r>
      <w:r>
        <w:rPr/>
        <w:t>water</w:t>
      </w:r>
      <w:r>
        <w:rPr>
          <w:spacing w:val="2"/>
        </w:rPr>
        <w:t> </w:t>
      </w:r>
      <w:r>
        <w:rPr/>
        <w:t>group</w:t>
      </w:r>
      <w:r>
        <w:rPr>
          <w:spacing w:val="-2"/>
        </w:rPr>
        <w:t> </w:t>
      </w:r>
      <w:r>
        <w:rPr/>
        <w:t>(Table 4.2).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spacing w:line="480" w:lineRule="auto" w:before="75" w:after="9"/>
        <w:ind w:left="265" w:right="873" w:firstLine="0"/>
        <w:jc w:val="both"/>
        <w:rPr>
          <w:b/>
          <w:sz w:val="24"/>
        </w:rPr>
      </w:pPr>
      <w:r>
        <w:rPr>
          <w:b/>
          <w:sz w:val="24"/>
        </w:rPr>
        <w:t>Table 4.2: Effect of Methanol Leaf Extract of </w:t>
      </w:r>
      <w:r>
        <w:rPr>
          <w:b/>
          <w:i/>
          <w:sz w:val="24"/>
        </w:rPr>
        <w:t>Combretum hypopilinum </w:t>
      </w:r>
      <w:r>
        <w:rPr>
          <w:b/>
          <w:sz w:val="24"/>
        </w:rPr>
        <w:t>on Castor Oil-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induced Diarrhoea 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Mice</w:t>
      </w: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1811"/>
        <w:gridCol w:w="1590"/>
        <w:gridCol w:w="1410"/>
        <w:gridCol w:w="1653"/>
        <w:gridCol w:w="1538"/>
      </w:tblGrid>
      <w:tr>
        <w:trPr>
          <w:trHeight w:val="827" w:hRule="atLeast"/>
        </w:trPr>
        <w:tc>
          <w:tcPr>
            <w:tcW w:w="1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right="404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24" w:right="181"/>
              <w:rPr>
                <w:sz w:val="24"/>
              </w:rPr>
            </w:pPr>
            <w:r>
              <w:rPr>
                <w:sz w:val="24"/>
              </w:rPr>
              <w:t>Onset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diarrhoea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" w:right="156"/>
              <w:rPr>
                <w:sz w:val="24"/>
              </w:rPr>
            </w:pPr>
            <w:r>
              <w:rPr>
                <w:sz w:val="24"/>
              </w:rPr>
              <w:t>Total number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faeces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4" w:right="26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 w:before="0"/>
              <w:ind w:left="144"/>
              <w:rPr>
                <w:sz w:val="24"/>
              </w:rPr>
            </w:pPr>
            <w:r>
              <w:rPr>
                <w:sz w:val="24"/>
              </w:rPr>
              <w:t>faeces</w:t>
            </w:r>
          </w:p>
        </w:tc>
        <w:tc>
          <w:tcPr>
            <w:tcW w:w="1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11" w:val="left" w:leader="none"/>
              </w:tabs>
              <w:spacing w:before="0"/>
              <w:ind w:left="174" w:right="104"/>
              <w:rPr>
                <w:sz w:val="24"/>
              </w:rPr>
            </w:pPr>
            <w:r>
              <w:rPr>
                <w:sz w:val="24"/>
              </w:rPr>
              <w:t>%</w:t>
              <w:tab/>
            </w:r>
            <w:r>
              <w:rPr>
                <w:spacing w:val="-1"/>
                <w:sz w:val="24"/>
              </w:rPr>
              <w:t>inhibition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diarrhoea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8" w:right="104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inhibition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defecation</w:t>
            </w:r>
          </w:p>
        </w:tc>
      </w:tr>
      <w:tr>
        <w:trPr>
          <w:trHeight w:val="410" w:hRule="atLeast"/>
        </w:trPr>
        <w:tc>
          <w:tcPr>
            <w:tcW w:w="1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ml/kg)</w:t>
            </w:r>
          </w:p>
        </w:tc>
        <w:tc>
          <w:tcPr>
            <w:tcW w:w="1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84"/>
              <w:rPr>
                <w:sz w:val="24"/>
              </w:rPr>
            </w:pPr>
            <w:r>
              <w:rPr>
                <w:sz w:val="24"/>
              </w:rPr>
              <w:t>54.60 ± 13.10</w:t>
            </w:r>
          </w:p>
        </w:tc>
        <w:tc>
          <w:tcPr>
            <w:tcW w:w="1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6.00 ± 1.05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6" w:right="152"/>
              <w:jc w:val="center"/>
              <w:rPr>
                <w:sz w:val="24"/>
              </w:rPr>
            </w:pPr>
            <w:r>
              <w:rPr>
                <w:sz w:val="24"/>
              </w:rPr>
              <w:t>6.00 ± 1.05</w:t>
            </w:r>
          </w:p>
        </w:tc>
        <w:tc>
          <w:tcPr>
            <w:tcW w:w="1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9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7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(250)</w:t>
            </w:r>
          </w:p>
        </w:tc>
        <w:tc>
          <w:tcPr>
            <w:tcW w:w="1811" w:type="dxa"/>
          </w:tcPr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90.20 ± 25.87</w:t>
            </w:r>
          </w:p>
        </w:tc>
        <w:tc>
          <w:tcPr>
            <w:tcW w:w="159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3.20 ± 0.80</w:t>
            </w:r>
          </w:p>
        </w:tc>
        <w:tc>
          <w:tcPr>
            <w:tcW w:w="1410" w:type="dxa"/>
          </w:tcPr>
          <w:p>
            <w:pPr>
              <w:pStyle w:val="TableParagraph"/>
              <w:ind w:left="126" w:right="152"/>
              <w:jc w:val="center"/>
              <w:rPr>
                <w:sz w:val="24"/>
              </w:rPr>
            </w:pPr>
            <w:r>
              <w:rPr>
                <w:sz w:val="24"/>
              </w:rPr>
              <w:t>4.80 ± 1.39</w:t>
            </w:r>
          </w:p>
        </w:tc>
        <w:tc>
          <w:tcPr>
            <w:tcW w:w="1653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46.67</w:t>
            </w:r>
          </w:p>
        </w:tc>
        <w:tc>
          <w:tcPr>
            <w:tcW w:w="1538" w:type="dxa"/>
          </w:tcPr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</w:tr>
      <w:tr>
        <w:trPr>
          <w:trHeight w:val="552" w:hRule="atLeast"/>
        </w:trPr>
        <w:tc>
          <w:tcPr>
            <w:tcW w:w="17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(500)</w:t>
            </w:r>
          </w:p>
        </w:tc>
        <w:tc>
          <w:tcPr>
            <w:tcW w:w="181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107.80 ± 13.63</w:t>
            </w:r>
          </w:p>
        </w:tc>
        <w:tc>
          <w:tcPr>
            <w:tcW w:w="159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2.60 ± 0.68*</w:t>
            </w:r>
          </w:p>
        </w:tc>
        <w:tc>
          <w:tcPr>
            <w:tcW w:w="1410" w:type="dxa"/>
          </w:tcPr>
          <w:p>
            <w:pPr>
              <w:pStyle w:val="TableParagraph"/>
              <w:ind w:left="126" w:right="152"/>
              <w:jc w:val="center"/>
              <w:rPr>
                <w:sz w:val="24"/>
              </w:rPr>
            </w:pPr>
            <w:r>
              <w:rPr>
                <w:sz w:val="24"/>
              </w:rPr>
              <w:t>3.40 ± 0.68</w:t>
            </w:r>
          </w:p>
        </w:tc>
        <w:tc>
          <w:tcPr>
            <w:tcW w:w="1653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56.67</w:t>
            </w:r>
          </w:p>
        </w:tc>
        <w:tc>
          <w:tcPr>
            <w:tcW w:w="153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43.33</w:t>
            </w:r>
          </w:p>
        </w:tc>
      </w:tr>
      <w:tr>
        <w:trPr>
          <w:trHeight w:val="552" w:hRule="atLeast"/>
        </w:trPr>
        <w:tc>
          <w:tcPr>
            <w:tcW w:w="17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(1,000)</w:t>
            </w:r>
          </w:p>
        </w:tc>
        <w:tc>
          <w:tcPr>
            <w:tcW w:w="1811" w:type="dxa"/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148.40 ± 20.59</w:t>
            </w:r>
          </w:p>
        </w:tc>
        <w:tc>
          <w:tcPr>
            <w:tcW w:w="159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2.40 ± 0.68*</w:t>
            </w:r>
          </w:p>
        </w:tc>
        <w:tc>
          <w:tcPr>
            <w:tcW w:w="1410" w:type="dxa"/>
          </w:tcPr>
          <w:p>
            <w:pPr>
              <w:pStyle w:val="TableParagraph"/>
              <w:ind w:left="126" w:right="152"/>
              <w:jc w:val="center"/>
              <w:rPr>
                <w:sz w:val="24"/>
              </w:rPr>
            </w:pPr>
            <w:r>
              <w:rPr>
                <w:sz w:val="24"/>
              </w:rPr>
              <w:t>4.00 ± 1.14</w:t>
            </w:r>
          </w:p>
        </w:tc>
        <w:tc>
          <w:tcPr>
            <w:tcW w:w="1653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53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</w:tr>
      <w:tr>
        <w:trPr>
          <w:trHeight w:val="408" w:hRule="atLeast"/>
        </w:trPr>
        <w:tc>
          <w:tcPr>
            <w:tcW w:w="17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(5)</w:t>
            </w:r>
          </w:p>
        </w:tc>
        <w:tc>
          <w:tcPr>
            <w:tcW w:w="1811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158.00 ± 30.42*</w:t>
            </w:r>
          </w:p>
        </w:tc>
        <w:tc>
          <w:tcPr>
            <w:tcW w:w="159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1.60 ± 0.40**</w:t>
            </w:r>
          </w:p>
        </w:tc>
        <w:tc>
          <w:tcPr>
            <w:tcW w:w="1410" w:type="dxa"/>
          </w:tcPr>
          <w:p>
            <w:pPr>
              <w:pStyle w:val="TableParagraph"/>
              <w:spacing w:line="256" w:lineRule="exact"/>
              <w:ind w:left="126" w:right="152"/>
              <w:jc w:val="center"/>
              <w:rPr>
                <w:sz w:val="24"/>
              </w:rPr>
            </w:pPr>
            <w:r>
              <w:rPr>
                <w:sz w:val="24"/>
              </w:rPr>
              <w:t>1.60 ± 0.40</w:t>
            </w:r>
          </w:p>
        </w:tc>
        <w:tc>
          <w:tcPr>
            <w:tcW w:w="1653" w:type="dxa"/>
          </w:tcPr>
          <w:p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73.33</w:t>
            </w:r>
          </w:p>
        </w:tc>
        <w:tc>
          <w:tcPr>
            <w:tcW w:w="15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73.33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3.144005pt;margin-top:14.174932pt;width:486.436023pt;height:.479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65" w:right="875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≤0.05 and **</w:t>
      </w:r>
      <w:r>
        <w:rPr>
          <w:i/>
        </w:rPr>
        <w:t>p</w:t>
      </w:r>
      <w:r>
        <w:rPr/>
        <w:t>≤0.01 versus distilled water group</w:t>
      </w:r>
      <w:r>
        <w:rPr>
          <w:spacing w:val="1"/>
        </w:rPr>
        <w:t> </w:t>
      </w:r>
      <w:r>
        <w:rPr/>
        <w:t>(One Way ANOVA followed by Dunnett’s post hoc test), DW= distilled water, MECH=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C. hypopilinum</w:t>
      </w:r>
      <w:r>
        <w:rPr/>
        <w:t>,</w:t>
      </w:r>
      <w:r>
        <w:rPr>
          <w:spacing w:val="1"/>
        </w:rPr>
        <w:t> </w:t>
      </w:r>
      <w:r>
        <w:rPr/>
        <w:t>LOP=</w:t>
      </w:r>
      <w:r>
        <w:rPr>
          <w:spacing w:val="2"/>
        </w:rPr>
        <w:t> </w:t>
      </w:r>
      <w:r>
        <w:rPr/>
        <w:t>Loperamide,</w:t>
      </w:r>
      <w:r>
        <w:rPr>
          <w:spacing w:val="-1"/>
        </w:rPr>
        <w:t> </w:t>
      </w:r>
      <w:r>
        <w:rPr/>
        <w:t>n=5</w:t>
      </w:r>
    </w:p>
    <w:p>
      <w:pPr>
        <w:spacing w:after="0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ListParagraph"/>
        <w:numPr>
          <w:ilvl w:val="2"/>
          <w:numId w:val="19"/>
        </w:numPr>
        <w:tabs>
          <w:tab w:pos="868" w:val="left" w:leader="none"/>
        </w:tabs>
        <w:spacing w:line="480" w:lineRule="auto" w:before="75" w:after="0"/>
        <w:ind w:left="265" w:right="871" w:firstLine="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Castor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Oil-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Enteropooling in Mice</w:t>
      </w:r>
    </w:p>
    <w:p>
      <w:pPr>
        <w:pStyle w:val="BodyText"/>
        <w:spacing w:line="480" w:lineRule="auto"/>
        <w:ind w:left="265" w:right="872"/>
        <w:jc w:val="both"/>
      </w:pPr>
      <w:r>
        <w:rPr/>
        <w:t>The MECH did not significantly (</w:t>
      </w:r>
      <w:r>
        <w:rPr>
          <w:i/>
        </w:rPr>
        <w:t>p</w:t>
      </w:r>
      <w:r>
        <w:rPr/>
        <w:t>&gt;0.05) change intestinal fluid accumulation volume at</w:t>
      </w:r>
      <w:r>
        <w:rPr>
          <w:spacing w:val="1"/>
        </w:rPr>
        <w:t> </w:t>
      </w:r>
      <w:r>
        <w:rPr/>
        <w:t>the lowest dose of 250 mg/kg. However, a significant (</w:t>
      </w:r>
      <w:r>
        <w:rPr>
          <w:i/>
        </w:rPr>
        <w:t>p</w:t>
      </w:r>
      <w:r>
        <w:rPr/>
        <w:t>≤0.05 and </w:t>
      </w:r>
      <w:r>
        <w:rPr>
          <w:i/>
        </w:rPr>
        <w:t>p</w:t>
      </w:r>
      <w:r>
        <w:rPr/>
        <w:t>≤ 0.01) reduction</w:t>
      </w:r>
      <w:r>
        <w:rPr>
          <w:spacing w:val="1"/>
        </w:rPr>
        <w:t> </w:t>
      </w:r>
      <w:r>
        <w:rPr/>
        <w:t>(40.00% and 51.67%) in the volume of intestinal fluid was observed at the higher doses</w:t>
      </w:r>
      <w:r>
        <w:rPr>
          <w:spacing w:val="1"/>
        </w:rPr>
        <w:t> </w:t>
      </w:r>
      <w:r>
        <w:rPr/>
        <w:t>(500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1,000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loperamide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mg/kg) significantly (</w:t>
      </w:r>
      <w:r>
        <w:rPr>
          <w:i/>
        </w:rPr>
        <w:t>p</w:t>
      </w:r>
      <w:r>
        <w:rPr/>
        <w:t>≤0.001)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intestinal fluid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4.1).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before="75"/>
        <w:ind w:left="722"/>
      </w:pPr>
      <w:r>
        <w:rPr/>
        <w:pict>
          <v:group style="position:absolute;margin-left:147pt;margin-top:11.043113pt;width:392.3pt;height:313.2pt;mso-position-horizontal-relative:page;mso-position-vertical-relative:paragraph;z-index:15740928" coordorigin="2940,221" coordsize="7846,6264">
            <v:shape style="position:absolute;left:3365;top:1097;width:731;height:5381" type="#_x0000_t75" stroked="false">
              <v:imagedata r:id="rId16" o:title=""/>
            </v:shape>
            <v:shape style="position:absolute;left:3375;top:1065;width:705;height:5413" type="#_x0000_t75" stroked="false">
              <v:imagedata r:id="rId17" o:title=""/>
            </v:shape>
            <v:shape style="position:absolute;left:3686;top:756;width:90;height:358" coordorigin="3687,756" coordsize="90,358" path="m3732,1114l3732,1114,3732,756m3687,756l3777,756e" filled="false" stroked="true" strokeweight="1pt" strokecolor="#000000">
              <v:path arrowok="t"/>
              <v:stroke dashstyle="solid"/>
            </v:shape>
            <v:shape style="position:absolute;left:4932;top:1455;width:734;height:5023" type="#_x0000_t75" stroked="false">
              <v:imagedata r:id="rId18" o:title=""/>
            </v:shape>
            <v:shape style="position:absolute;left:4935;top:1425;width:705;height:5053" type="#_x0000_t75" stroked="false">
              <v:imagedata r:id="rId19" o:title=""/>
            </v:shape>
            <v:shape style="position:absolute;left:5254;top:845;width:90;height:626" coordorigin="5254,846" coordsize="90,626" path="m5299,1472l5299,1472,5299,846m5254,846l5344,846e" filled="false" stroked="true" strokeweight="1pt" strokecolor="#000000">
              <v:path arrowok="t"/>
              <v:stroke dashstyle="solid"/>
            </v:shape>
            <v:shape style="position:absolute;left:6499;top:3243;width:734;height:3235" type="#_x0000_t75" stroked="false">
              <v:imagedata r:id="rId20" o:title=""/>
            </v:shape>
            <v:shape style="position:absolute;left:6510;top:3210;width:705;height:3268" type="#_x0000_t75" stroked="false">
              <v:imagedata r:id="rId21" o:title=""/>
            </v:shape>
            <v:shape style="position:absolute;left:6821;top:2902;width:90;height:358" coordorigin="6822,2902" coordsize="90,358" path="m6867,3260l6867,3260,6867,2902m6822,2902l6912,2902e" filled="false" stroked="true" strokeweight="1pt" strokecolor="#000000">
              <v:path arrowok="t"/>
              <v:stroke dashstyle="solid"/>
            </v:shape>
            <v:shape style="position:absolute;left:8069;top:3869;width:731;height:2609" type="#_x0000_t75" stroked="false">
              <v:imagedata r:id="rId22" o:title=""/>
            </v:shape>
            <v:shape style="position:absolute;left:8070;top:3840;width:705;height:2638" type="#_x0000_t75" stroked="false">
              <v:imagedata r:id="rId23" o:title=""/>
            </v:shape>
            <v:shape style="position:absolute;left:8389;top:3349;width:90;height:537" coordorigin="8389,3349" coordsize="90,537" path="m8434,3885l8434,3885,8434,3349m8389,3349l8479,3349e" filled="false" stroked="true" strokeweight="1pt" strokecolor="#000000">
              <v:path arrowok="t"/>
              <v:stroke dashstyle="solid"/>
            </v:shape>
            <v:shape style="position:absolute;left:9636;top:4404;width:731;height:2074" type="#_x0000_t75" stroked="false">
              <v:imagedata r:id="rId24" o:title=""/>
            </v:shape>
            <v:shape style="position:absolute;left:9645;top:4380;width:705;height:2098" type="#_x0000_t75" stroked="false">
              <v:imagedata r:id="rId25" o:title=""/>
            </v:shape>
            <v:shape style="position:absolute;left:9956;top:4064;width:90;height:358" coordorigin="9957,4064" coordsize="90,358" path="m10002,4422l10002,4422,10002,4064m9957,4064l10047,4064e" filled="false" stroked="true" strokeweight="1pt" strokecolor="#000000">
              <v:path arrowok="t"/>
              <v:stroke dashstyle="solid"/>
            </v:shape>
            <v:shape style="position:absolute;left:2947;top:220;width:7839;height:6257" coordorigin="2947,221" coordsize="7839,6257" path="m2947,6478l2947,221m2947,6478l10786,6478e" filled="false" stroked="true" strokeweight=".72pt" strokecolor="#858585">
              <v:path arrowok="t"/>
              <v:stroke dashstyle="solid"/>
            </v:shape>
            <v:shape style="position:absolute;left:6806;top:2756;width:1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8318;top:3177;width:2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9864;top:3925;width:35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0.7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722"/>
      </w:pPr>
      <w:r>
        <w:rPr/>
        <w:t>0.6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/>
        <w:ind w:left="722"/>
      </w:pPr>
      <w:r>
        <w:rPr/>
        <w:pict>
          <v:shape style="position:absolute;margin-left:104.636642pt;margin-top:-5.698984pt;width:15.3pt;height:169.2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Volume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intestinal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content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(ml)</w:t>
                  </w:r>
                </w:p>
              </w:txbxContent>
            </v:textbox>
            <w10:wrap type="none"/>
          </v:shape>
        </w:pict>
      </w:r>
      <w:r>
        <w:rPr/>
        <w:t>0.5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/>
        <w:ind w:left="722"/>
      </w:pPr>
      <w:r>
        <w:rPr/>
        <w:t>0.4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/>
        <w:ind w:left="722"/>
      </w:pPr>
      <w:r>
        <w:rPr/>
        <w:t>0.3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722"/>
      </w:pPr>
      <w:r>
        <w:rPr/>
        <w:t>0.2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/>
        <w:ind w:left="722"/>
      </w:pPr>
      <w:r>
        <w:rPr/>
        <w:t>0.1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903"/>
      </w:pPr>
      <w:r>
        <w:rPr/>
        <w:t>0</w:t>
      </w:r>
    </w:p>
    <w:p>
      <w:pPr>
        <w:pStyle w:val="BodyText"/>
        <w:tabs>
          <w:tab w:pos="1747" w:val="left" w:leader="none"/>
          <w:tab w:pos="3315" w:val="left" w:leader="none"/>
          <w:tab w:pos="4792" w:val="left" w:leader="none"/>
          <w:tab w:pos="6695" w:val="left" w:leader="none"/>
        </w:tabs>
        <w:spacing w:line="267" w:lineRule="exact" w:before="73"/>
        <w:ind w:right="107"/>
        <w:jc w:val="center"/>
      </w:pPr>
      <w:r>
        <w:rPr/>
        <w:t>DW</w:t>
      </w:r>
      <w:r>
        <w:rPr>
          <w:spacing w:val="-8"/>
        </w:rPr>
        <w:t> </w:t>
      </w:r>
      <w:r>
        <w:rPr/>
        <w:t>(10</w:t>
      </w:r>
      <w:r>
        <w:rPr>
          <w:spacing w:val="-1"/>
        </w:rPr>
        <w:t> </w:t>
      </w:r>
      <w:r>
        <w:rPr/>
        <w:t>ml/kg)</w:t>
        <w:tab/>
        <w:t>MECH</w:t>
      </w:r>
      <w:r>
        <w:rPr>
          <w:spacing w:val="-3"/>
        </w:rPr>
        <w:t> </w:t>
      </w:r>
      <w:r>
        <w:rPr/>
        <w:t>250</w:t>
        <w:tab/>
        <w:t>MECH</w:t>
      </w:r>
      <w:r>
        <w:rPr>
          <w:spacing w:val="-3"/>
        </w:rPr>
        <w:t> </w:t>
      </w:r>
      <w:r>
        <w:rPr/>
        <w:t>500</w:t>
        <w:tab/>
        <w:t>MECH</w:t>
      </w:r>
      <w:r>
        <w:rPr>
          <w:spacing w:val="-4"/>
        </w:rPr>
        <w:t> </w:t>
      </w:r>
      <w:r>
        <w:rPr/>
        <w:t>1,000</w:t>
        <w:tab/>
        <w:t>LOP</w:t>
      </w:r>
      <w:r>
        <w:rPr>
          <w:spacing w:val="-9"/>
        </w:rPr>
        <w:t> </w:t>
      </w:r>
      <w:r>
        <w:rPr/>
        <w:t>5</w:t>
      </w:r>
    </w:p>
    <w:p>
      <w:pPr>
        <w:pStyle w:val="Heading1"/>
        <w:spacing w:line="267" w:lineRule="exact"/>
        <w:ind w:left="750" w:right="437"/>
        <w:jc w:val="center"/>
      </w:pPr>
      <w:r>
        <w:rPr/>
        <w:t>Treatment</w:t>
      </w:r>
      <w:r>
        <w:rPr>
          <w:spacing w:val="-14"/>
        </w:rPr>
        <w:t> </w:t>
      </w:r>
      <w:r>
        <w:rPr/>
        <w:t>(mg/kg)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42" w:lineRule="auto" w:before="90"/>
        <w:ind w:left="265" w:right="871" w:firstLine="0"/>
        <w:jc w:val="both"/>
        <w:rPr>
          <w:b/>
          <w:sz w:val="24"/>
        </w:rPr>
      </w:pPr>
      <w:r>
        <w:rPr>
          <w:b/>
          <w:sz w:val="24"/>
        </w:rPr>
        <w:t>Figure 4.1: Effect of Methanol Leaf Extract of </w:t>
      </w:r>
      <w:r>
        <w:rPr>
          <w:b/>
          <w:i/>
          <w:sz w:val="24"/>
        </w:rPr>
        <w:t>Combretum hypopilinum </w:t>
      </w:r>
      <w:r>
        <w:rPr>
          <w:b/>
          <w:sz w:val="24"/>
        </w:rPr>
        <w:t>on Castor Oil-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Enteropooling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 Mice</w:t>
      </w:r>
    </w:p>
    <w:p>
      <w:pPr>
        <w:pStyle w:val="BodyText"/>
        <w:spacing w:before="189"/>
        <w:ind w:left="265" w:right="874"/>
        <w:jc w:val="both"/>
      </w:pPr>
      <w:r>
        <w:rPr/>
        <w:t>Data are presented as Mean ± SEM; * </w:t>
      </w:r>
      <w:r>
        <w:rPr>
          <w:i/>
        </w:rPr>
        <w:t>p</w:t>
      </w:r>
      <w:r>
        <w:rPr/>
        <w:t>≤0.05, ** </w:t>
      </w:r>
      <w:r>
        <w:rPr>
          <w:i/>
        </w:rPr>
        <w:t>p</w:t>
      </w:r>
      <w:r>
        <w:rPr/>
        <w:t>≤0.01 and *** </w:t>
      </w:r>
      <w:r>
        <w:rPr>
          <w:i/>
        </w:rPr>
        <w:t>p</w:t>
      </w:r>
      <w:r>
        <w:rPr/>
        <w:t>≤0.001 distilled water</w:t>
      </w:r>
      <w:r>
        <w:rPr>
          <w:spacing w:val="1"/>
        </w:rPr>
        <w:t> </w:t>
      </w:r>
      <w:r>
        <w:rPr/>
        <w:t>group (One Way ANOVA followed by Dunnett’s post hoc test), DW= distilled water,</w:t>
      </w:r>
      <w:r>
        <w:rPr>
          <w:spacing w:val="1"/>
        </w:rPr>
        <w:t> </w:t>
      </w:r>
      <w:r>
        <w:rPr/>
        <w:t>MECH=</w:t>
      </w:r>
      <w:r>
        <w:rPr>
          <w:spacing w:val="-3"/>
        </w:rPr>
        <w:t> </w:t>
      </w:r>
      <w:r>
        <w:rPr/>
        <w:t>Methanol leaf extract of </w:t>
      </w:r>
      <w:r>
        <w:rPr>
          <w:i/>
        </w:rPr>
        <w:t>C. hypopilinum</w:t>
      </w:r>
      <w:r>
        <w:rPr/>
        <w:t>,</w:t>
      </w:r>
      <w:r>
        <w:rPr>
          <w:spacing w:val="2"/>
        </w:rPr>
        <w:t> </w:t>
      </w:r>
      <w:r>
        <w:rPr/>
        <w:t>LOP= Loperamide, n=5</w:t>
      </w:r>
    </w:p>
    <w:p>
      <w:pPr>
        <w:spacing w:after="0"/>
        <w:jc w:val="both"/>
        <w:sectPr>
          <w:pgSz w:w="12240" w:h="15840"/>
          <w:pgMar w:header="0" w:footer="294" w:top="1440" w:bottom="480" w:left="1720" w:right="540"/>
        </w:sectPr>
      </w:pPr>
    </w:p>
    <w:p>
      <w:pPr>
        <w:pStyle w:val="ListParagraph"/>
        <w:numPr>
          <w:ilvl w:val="2"/>
          <w:numId w:val="19"/>
        </w:numPr>
        <w:tabs>
          <w:tab w:pos="892" w:val="left" w:leader="none"/>
        </w:tabs>
        <w:spacing w:line="480" w:lineRule="auto" w:before="75" w:after="0"/>
        <w:ind w:left="265" w:right="873" w:firstLine="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Intestinal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Motility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Mice</w:t>
      </w:r>
    </w:p>
    <w:p>
      <w:pPr>
        <w:pStyle w:val="BodyText"/>
        <w:spacing w:line="480" w:lineRule="auto"/>
        <w:ind w:left="265" w:right="873"/>
        <w:jc w:val="both"/>
      </w:pPr>
      <w:r>
        <w:rPr/>
        <w:t>In the distilled water group, the charcoal travelled 75.46% of the total length of the small</w:t>
      </w:r>
      <w:r>
        <w:rPr>
          <w:spacing w:val="1"/>
        </w:rPr>
        <w:t> </w:t>
      </w:r>
      <w:r>
        <w:rPr/>
        <w:t>intestine.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&gt;0.05)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movement at the lowest dose (250 mg/kg). However, there was significant (</w:t>
      </w:r>
      <w:r>
        <w:rPr>
          <w:i/>
        </w:rPr>
        <w:t>p</w:t>
      </w:r>
      <w:r>
        <w:rPr/>
        <w:t>≤0.05 and</w:t>
      </w:r>
      <w:r>
        <w:rPr>
          <w:spacing w:val="1"/>
        </w:rPr>
        <w:t> </w:t>
      </w:r>
      <w:r>
        <w:rPr>
          <w:i/>
        </w:rPr>
        <w:t>p</w:t>
      </w:r>
      <w:r>
        <w:rPr/>
        <w:t>≤0.001) decrease (38.55% and 74.54%) in the charcoal movement at the doses of 500 and</w:t>
      </w:r>
      <w:r>
        <w:rPr>
          <w:spacing w:val="1"/>
        </w:rPr>
        <w:t> </w:t>
      </w:r>
      <w:r>
        <w:rPr/>
        <w:t>1,000 mg/kg respectively. The loperamide (5 mg/kg) also exhibited a significant (</w:t>
      </w:r>
      <w:r>
        <w:rPr>
          <w:i/>
        </w:rPr>
        <w:t>p</w:t>
      </w:r>
      <w:r>
        <w:rPr/>
        <w:t>≤0.001)</w:t>
      </w:r>
      <w:r>
        <w:rPr>
          <w:spacing w:val="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movement with a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inhibition of</w:t>
      </w:r>
      <w:r>
        <w:rPr>
          <w:spacing w:val="-1"/>
        </w:rPr>
        <w:t> </w:t>
      </w:r>
      <w:r>
        <w:rPr/>
        <w:t>65.66</w:t>
      </w:r>
      <w:r>
        <w:rPr>
          <w:spacing w:val="-1"/>
        </w:rPr>
        <w:t> </w:t>
      </w:r>
      <w:r>
        <w:rPr/>
        <w:t>%</w:t>
      </w:r>
      <w:r>
        <w:rPr>
          <w:spacing w:val="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4.2).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before="88"/>
        <w:ind w:left="630"/>
      </w:pPr>
      <w:r>
        <w:rPr/>
        <w:pict>
          <v:group style="position:absolute;margin-left:136.080002pt;margin-top:11.28315pt;width:409.6pt;height:302.2pt;mso-position-horizontal-relative:page;mso-position-vertical-relative:paragraph;z-index:15741952" coordorigin="2722,226" coordsize="8192,6044">
            <v:shape style="position:absolute;left:3228;top:1231;width:753;height:4966" type="#_x0000_t75" stroked="false">
              <v:imagedata r:id="rId26" o:title=""/>
            </v:shape>
            <v:shape style="position:absolute;left:3240;top:1200;width:720;height:5000" type="#_x0000_t75" stroked="false">
              <v:imagedata r:id="rId27" o:title=""/>
            </v:shape>
            <v:shape style="position:absolute;left:3559;top:862;width:90;height:385" coordorigin="3559,862" coordsize="90,385" path="m3604,1247l3604,1247,3604,862m3559,862l3649,862e" filled="false" stroked="true" strokeweight="1pt" strokecolor="#000000">
              <v:path arrowok="t"/>
              <v:stroke dashstyle="solid"/>
            </v:shape>
            <v:shape style="position:absolute;left:4851;top:2573;width:753;height:3625" type="#_x0000_t75" stroked="false">
              <v:imagedata r:id="rId28" o:title=""/>
            </v:shape>
            <v:shape style="position:absolute;left:4860;top:2550;width:720;height:3650" type="#_x0000_t75" stroked="false">
              <v:imagedata r:id="rId29" o:title=""/>
            </v:shape>
            <v:shape style="position:absolute;left:5181;top:2158;width:90;height:431" coordorigin="5182,2158" coordsize="90,431" path="m5227,2589l5227,2589,5227,2158m5182,2158l5272,2158e" filled="false" stroked="true" strokeweight="1pt" strokecolor="#000000">
              <v:path arrowok="t"/>
              <v:stroke dashstyle="solid"/>
            </v:shape>
            <v:shape style="position:absolute;left:6473;top:3139;width:753;height:3058" type="#_x0000_t75" stroked="false">
              <v:imagedata r:id="rId30" o:title=""/>
            </v:shape>
            <v:shape style="position:absolute;left:6480;top:3105;width:720;height:3095" type="#_x0000_t75" stroked="false">
              <v:imagedata r:id="rId31" o:title=""/>
            </v:shape>
            <v:shape style="position:absolute;left:6804;top:2800;width:90;height:355" coordorigin="6804,2801" coordsize="90,355" path="m6849,3156l6849,3156,6849,2801m6804,2801l6894,2801e" filled="false" stroked="true" strokeweight="1pt" strokecolor="#000000">
              <v:path arrowok="t"/>
              <v:stroke dashstyle="solid"/>
            </v:shape>
            <v:shape style="position:absolute;left:8093;top:4913;width:755;height:1285" type="#_x0000_t75" stroked="false">
              <v:imagedata r:id="rId32" o:title=""/>
            </v:shape>
            <v:shape style="position:absolute;left:8100;top:4890;width:720;height:1310" type="#_x0000_t75" stroked="false">
              <v:imagedata r:id="rId33" o:title=""/>
            </v:shape>
            <v:shape style="position:absolute;left:8426;top:4723;width:90;height:208" coordorigin="8426,4723" coordsize="90,208" path="m8471,4930l8471,4930,8471,4723m8426,4723l8516,4723e" filled="false" stroked="true" strokeweight="1pt" strokecolor="#000000">
              <v:path arrowok="t"/>
              <v:stroke dashstyle="solid"/>
            </v:shape>
            <v:shape style="position:absolute;left:9715;top:4481;width:755;height:1717" type="#_x0000_t75" stroked="false">
              <v:imagedata r:id="rId34" o:title=""/>
            </v:shape>
            <v:shape style="position:absolute;left:9720;top:4455;width:735;height:1745" type="#_x0000_t75" stroked="false">
              <v:imagedata r:id="rId35" o:title=""/>
            </v:shape>
            <v:shape style="position:absolute;left:10048;top:4066;width:90;height:431" coordorigin="10048,4067" coordsize="90,431" path="m10093,4498l10093,4498,10093,4067m10048,4067l10138,4067e" filled="false" stroked="true" strokeweight="1pt" strokecolor="#000000">
              <v:path arrowok="t"/>
              <v:stroke dashstyle="solid"/>
            </v:shape>
            <v:shape style="position:absolute;left:2721;top:232;width:8184;height:6036" coordorigin="2722,233" coordsize="8184,6036" path="m2794,6199l2794,233m2722,6199l2794,6199m2722,5453l2794,5453m2722,4709l2794,4709m2722,3962l2794,3962m2722,3216l2794,3216m2722,2470l2794,2470m2722,1726l2794,1726m2722,979l2794,979m2722,233l2794,233m2794,6199l10906,6199m2794,6199l2794,6269m4416,6199l4416,6269m6038,6199l6038,6269m7661,6199l7661,6269m9283,6199l9283,6269m10906,6199l10906,6269e" filled="false" stroked="true" strokeweight=".72pt" strokecolor="#858585">
              <v:path arrowok="t"/>
              <v:stroke dashstyle="solid"/>
            </v:shape>
            <v:shape style="position:absolute;left:6810;top:2615;width:1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9990;top:3878;width:2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8373;top:4517;width:2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40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30"/>
      </w:pPr>
      <w:r>
        <w:rPr/>
        <w:t>35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30"/>
      </w:pPr>
      <w:r>
        <w:rPr/>
        <w:pict>
          <v:shape style="position:absolute;margin-left:100.246643pt;margin-top:-6.163868pt;width:15.3pt;height:176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Distance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Moved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by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Charcoal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/>
        <w:t>30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630"/>
      </w:pPr>
      <w:r>
        <w:rPr/>
        <w:t>25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630"/>
      </w:pPr>
      <w:r>
        <w:rPr/>
        <w:t>20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630"/>
      </w:pPr>
      <w:r>
        <w:rPr/>
        <w:t>15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30"/>
      </w:pPr>
      <w:r>
        <w:rPr/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50"/>
      </w:pPr>
      <w:r>
        <w:rPr/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750"/>
      </w:pPr>
      <w:r>
        <w:rPr/>
        <w:t>0</w:t>
      </w:r>
    </w:p>
    <w:p>
      <w:pPr>
        <w:pStyle w:val="BodyText"/>
        <w:tabs>
          <w:tab w:pos="1802" w:val="left" w:leader="none"/>
          <w:tab w:pos="3425" w:val="left" w:leader="none"/>
          <w:tab w:pos="4958" w:val="left" w:leader="none"/>
          <w:tab w:pos="6914" w:val="left" w:leader="none"/>
        </w:tabs>
        <w:spacing w:before="73"/>
        <w:ind w:right="144"/>
        <w:jc w:val="center"/>
      </w:pPr>
      <w:r>
        <w:rPr/>
        <w:t>DW</w:t>
      </w:r>
      <w:r>
        <w:rPr>
          <w:spacing w:val="-8"/>
        </w:rPr>
        <w:t> </w:t>
      </w:r>
      <w:r>
        <w:rPr/>
        <w:t>(10</w:t>
      </w:r>
      <w:r>
        <w:rPr>
          <w:spacing w:val="-1"/>
        </w:rPr>
        <w:t> </w:t>
      </w:r>
      <w:r>
        <w:rPr/>
        <w:t>ml/kg)</w:t>
        <w:tab/>
        <w:t>MECH</w:t>
      </w:r>
      <w:r>
        <w:rPr>
          <w:spacing w:val="-3"/>
        </w:rPr>
        <w:t> </w:t>
      </w:r>
      <w:r>
        <w:rPr/>
        <w:t>250</w:t>
        <w:tab/>
        <w:t>MECH</w:t>
      </w:r>
      <w:r>
        <w:rPr>
          <w:spacing w:val="-2"/>
        </w:rPr>
        <w:t> </w:t>
      </w:r>
      <w:r>
        <w:rPr/>
        <w:t>500</w:t>
        <w:tab/>
        <w:t>MECH</w:t>
      </w:r>
      <w:r>
        <w:rPr>
          <w:spacing w:val="-3"/>
        </w:rPr>
        <w:t> </w:t>
      </w:r>
      <w:r>
        <w:rPr/>
        <w:t>1,000</w:t>
        <w:tab/>
        <w:t>LOP</w:t>
      </w:r>
      <w:r>
        <w:rPr>
          <w:spacing w:val="-9"/>
        </w:rPr>
        <w:t> </w:t>
      </w:r>
      <w:r>
        <w:rPr/>
        <w:t>5</w:t>
      </w:r>
    </w:p>
    <w:p>
      <w:pPr>
        <w:pStyle w:val="Heading1"/>
        <w:spacing w:before="79"/>
        <w:ind w:left="750" w:right="472"/>
        <w:jc w:val="center"/>
      </w:pPr>
      <w:r>
        <w:rPr/>
        <w:t>Treatment</w:t>
      </w:r>
      <w:r>
        <w:rPr>
          <w:spacing w:val="-14"/>
        </w:rPr>
        <w:t> </w:t>
      </w:r>
      <w:r>
        <w:rPr/>
        <w:t>(mg/kg)</w:t>
      </w:r>
    </w:p>
    <w:p>
      <w:pPr>
        <w:pStyle w:val="BodyText"/>
        <w:spacing w:before="7"/>
        <w:rPr>
          <w:b/>
          <w:sz w:val="18"/>
        </w:rPr>
      </w:pPr>
    </w:p>
    <w:p>
      <w:pPr>
        <w:spacing w:before="90"/>
        <w:ind w:left="265" w:right="872" w:firstLine="0"/>
        <w:jc w:val="both"/>
        <w:rPr>
          <w:b/>
          <w:sz w:val="24"/>
        </w:rPr>
      </w:pPr>
      <w:r>
        <w:rPr>
          <w:b/>
          <w:sz w:val="24"/>
        </w:rPr>
        <w:t>Figure 4.2: Effect of Methanol Leaf Extract of </w:t>
      </w:r>
      <w:r>
        <w:rPr>
          <w:b/>
          <w:i/>
          <w:sz w:val="24"/>
        </w:rPr>
        <w:t>Combretum hypopilinum </w:t>
      </w:r>
      <w:r>
        <w:rPr>
          <w:b/>
          <w:sz w:val="24"/>
        </w:rPr>
        <w:t>on Intestinal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65" w:right="871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≤0.05 and **</w:t>
      </w:r>
      <w:r>
        <w:rPr>
          <w:i/>
        </w:rPr>
        <w:t>p</w:t>
      </w:r>
      <w:r>
        <w:rPr/>
        <w:t>≤0.001, versus distilled water group</w:t>
      </w:r>
      <w:r>
        <w:rPr>
          <w:spacing w:val="1"/>
        </w:rPr>
        <w:t> </w:t>
      </w:r>
      <w:r>
        <w:rPr/>
        <w:t>(One Way ANOVA followed by Dunnett’s post hoc test), DW= Distilled Water, MECH=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C. hypopilinum</w:t>
      </w:r>
      <w:r>
        <w:rPr/>
        <w:t>,</w:t>
      </w:r>
      <w:r>
        <w:rPr>
          <w:spacing w:val="1"/>
        </w:rPr>
        <w:t> </w:t>
      </w:r>
      <w:r>
        <w:rPr/>
        <w:t>LOP=</w:t>
      </w:r>
      <w:r>
        <w:rPr>
          <w:spacing w:val="2"/>
        </w:rPr>
        <w:t> </w:t>
      </w:r>
      <w:r>
        <w:rPr/>
        <w:t>Loperamide,</w:t>
      </w:r>
      <w:r>
        <w:rPr>
          <w:spacing w:val="-1"/>
        </w:rPr>
        <w:t> </w:t>
      </w:r>
      <w:r>
        <w:rPr/>
        <w:t>n=5</w:t>
      </w:r>
    </w:p>
    <w:p>
      <w:pPr>
        <w:spacing w:after="0"/>
        <w:jc w:val="both"/>
        <w:sectPr>
          <w:pgSz w:w="12240" w:h="15840"/>
          <w:pgMar w:header="0" w:footer="294" w:top="1500" w:bottom="480" w:left="1720" w:right="540"/>
        </w:sectPr>
      </w:pPr>
    </w:p>
    <w:p>
      <w:pPr>
        <w:pStyle w:val="ListParagraph"/>
        <w:numPr>
          <w:ilvl w:val="1"/>
          <w:numId w:val="18"/>
        </w:numPr>
        <w:tabs>
          <w:tab w:pos="657" w:val="left" w:leader="none"/>
        </w:tabs>
        <w:spacing w:line="480" w:lineRule="auto" w:before="75" w:after="0"/>
        <w:ind w:left="265" w:right="875" w:firstLine="0"/>
        <w:jc w:val="both"/>
        <w:rPr>
          <w:b/>
          <w:i/>
          <w:sz w:val="24"/>
        </w:rPr>
      </w:pPr>
      <w:r>
        <w:rPr>
          <w:b/>
          <w:sz w:val="24"/>
        </w:rPr>
        <w:t>Mechanisms of Antidiarrhoeal Activity of Methanol Leaf Extract of </w:t>
      </w:r>
      <w:r>
        <w:rPr>
          <w:b/>
          <w:i/>
          <w:sz w:val="24"/>
        </w:rPr>
        <w:t>Combretum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hypopilinum</w:t>
      </w:r>
    </w:p>
    <w:p>
      <w:pPr>
        <w:pStyle w:val="BodyText"/>
        <w:spacing w:line="477" w:lineRule="auto"/>
        <w:ind w:left="265" w:right="875"/>
        <w:jc w:val="both"/>
      </w:pP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</w:t>
      </w:r>
      <w:r>
        <w:rPr>
          <w:spacing w:val="1"/>
        </w:rPr>
        <w:t> </w:t>
      </w:r>
      <w:r>
        <w:rPr/>
        <w:t>(</w:t>
      </w:r>
      <w:r>
        <w:rPr>
          <w:i/>
        </w:rPr>
        <w:t>p≤</w:t>
      </w:r>
      <w:r>
        <w:rPr/>
        <w:t>0.001),</w:t>
      </w:r>
      <w:r>
        <w:rPr>
          <w:spacing w:val="1"/>
        </w:rPr>
        <w:t> </w:t>
      </w:r>
      <w:r>
        <w:rPr/>
        <w:t>loperamide</w:t>
      </w:r>
      <w:r>
        <w:rPr>
          <w:spacing w:val="1"/>
        </w:rPr>
        <w:t> </w:t>
      </w:r>
      <w:r>
        <w:rPr/>
        <w:t>(</w:t>
      </w:r>
      <w:r>
        <w:rPr>
          <w:i/>
        </w:rPr>
        <w:t>p≤</w:t>
      </w:r>
      <w:r>
        <w:rPr/>
        <w:t>0.01),</w:t>
      </w:r>
      <w:r>
        <w:rPr>
          <w:spacing w:val="1"/>
        </w:rPr>
        <w:t> </w:t>
      </w:r>
      <w:r>
        <w:rPr/>
        <w:t>morphine</w:t>
      </w:r>
      <w:r>
        <w:rPr>
          <w:spacing w:val="1"/>
        </w:rPr>
        <w:t> </w:t>
      </w:r>
      <w:r>
        <w:rPr/>
        <w:t>(</w:t>
      </w:r>
      <w:r>
        <w:rPr>
          <w:i/>
        </w:rPr>
        <w:t>p≤</w:t>
      </w:r>
      <w:r>
        <w:rPr/>
        <w:t>0.01)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(</w:t>
      </w:r>
      <w:r>
        <w:rPr>
          <w:i/>
        </w:rPr>
        <w:t>p≤</w:t>
      </w:r>
      <w:r>
        <w:rPr/>
        <w:t>0.05)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with distilled water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(Figure 4.3</w:t>
      </w:r>
      <w:r>
        <w:rPr>
          <w:spacing w:val="1"/>
        </w:rPr>
        <w:t> </w:t>
      </w:r>
      <w:r>
        <w:rPr/>
        <w:t>- 4.8). The pretreatment of</w:t>
      </w:r>
      <w:r>
        <w:rPr>
          <w:spacing w:val="60"/>
        </w:rPr>
        <w:t> </w:t>
      </w:r>
      <w:r>
        <w:rPr/>
        <w:t>the animals</w:t>
      </w:r>
      <w:r>
        <w:rPr>
          <w:spacing w:val="1"/>
        </w:rPr>
        <w:t> </w:t>
      </w:r>
      <w:r>
        <w:rPr/>
        <w:t>with naloxone, prazosin and propranolol followed by administration of the extract did not</w:t>
      </w:r>
      <w:r>
        <w:rPr>
          <w:spacing w:val="1"/>
        </w:rPr>
        <w:t> </w:t>
      </w:r>
      <w:r>
        <w:rPr/>
        <w:t>significantly (</w:t>
      </w:r>
      <w:r>
        <w:rPr>
          <w:i/>
        </w:rPr>
        <w:t>p</w:t>
      </w:r>
      <w:r>
        <w:rPr/>
        <w:t>&gt;0.05) alter the charcoal movement compared with distilled water group</w:t>
      </w:r>
      <w:r>
        <w:rPr>
          <w:spacing w:val="1"/>
        </w:rPr>
        <w:t> </w:t>
      </w:r>
      <w:r>
        <w:rPr/>
        <w:t>(Figure 4.3, 4.4 and 4.6). Also, pretreatment of the animals with naloxone or prazosin</w:t>
      </w:r>
      <w:r>
        <w:rPr>
          <w:spacing w:val="1"/>
        </w:rPr>
        <w:t> </w:t>
      </w:r>
      <w:r>
        <w:rPr/>
        <w:t>followed by administration of the extract each significantly (</w:t>
      </w:r>
      <w:r>
        <w:rPr>
          <w:i/>
        </w:rPr>
        <w:t>p≤</w:t>
      </w:r>
      <w:r>
        <w:rPr/>
        <w:t>0.01) increased the charcoal</w:t>
      </w:r>
      <w:r>
        <w:rPr>
          <w:spacing w:val="1"/>
        </w:rPr>
        <w:t> </w:t>
      </w:r>
      <w:r>
        <w:rPr/>
        <w:t>movement produced by MECH (Figure 4.3 and 4.4). However, pretreatment of the animals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yohimbine,</w:t>
      </w:r>
      <w:r>
        <w:rPr>
          <w:spacing w:val="1"/>
        </w:rPr>
        <w:t> </w:t>
      </w:r>
      <w:r>
        <w:rPr/>
        <w:t>pilocarpine</w:t>
      </w:r>
      <w:r>
        <w:rPr>
          <w:spacing w:val="1"/>
        </w:rPr>
        <w:t> </w:t>
      </w:r>
      <w:r>
        <w:rPr/>
        <w:t>or isosorbide dinitrate each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 (</w:t>
      </w:r>
      <w:r>
        <w:rPr>
          <w:i/>
        </w:rPr>
        <w:t>p</w:t>
      </w:r>
      <w:r>
        <w:rPr/>
        <w:t>&gt;0.05)</w:t>
      </w:r>
      <w:r>
        <w:rPr>
          <w:spacing w:val="1"/>
        </w:rPr>
        <w:t> </w:t>
      </w:r>
      <w:r>
        <w:rPr/>
        <w:t>change the intestinal movement of charcoal produced compared with distilled water group</w:t>
      </w:r>
      <w:r>
        <w:rPr>
          <w:spacing w:val="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4.5, 4.7</w:t>
      </w:r>
      <w:r>
        <w:rPr>
          <w:spacing w:val="2"/>
        </w:rPr>
        <w:t> </w:t>
      </w:r>
      <w:r>
        <w:rPr/>
        <w:t>and 4.8).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77" w:lineRule="auto"/>
        <w:ind w:left="265" w:right="872"/>
        <w:jc w:val="both"/>
      </w:pP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yohimbine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propranolol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morphine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non-significant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&gt;0.05)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 distilled water</w:t>
      </w:r>
      <w:r>
        <w:rPr>
          <w:spacing w:val="1"/>
        </w:rPr>
        <w:t> </w:t>
      </w:r>
      <w:r>
        <w:rPr/>
        <w:t>group (Figure 4.5 and 4.6). However, pretreatment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 with prazosin or isosorbide dinitrate followed by administration of morphine, each</w:t>
      </w:r>
      <w:r>
        <w:rPr>
          <w:spacing w:val="1"/>
        </w:rPr>
        <w:t> </w:t>
      </w:r>
      <w:r>
        <w:rPr/>
        <w:t>significantly (</w:t>
      </w:r>
      <w:r>
        <w:rPr>
          <w:i/>
        </w:rPr>
        <w:t>p</w:t>
      </w:r>
      <w:r>
        <w:rPr/>
        <w:t>≤0.001) decreased the charcoal movement when compared with distilled</w:t>
      </w:r>
      <w:r>
        <w:rPr>
          <w:spacing w:val="1"/>
        </w:rPr>
        <w:t> </w:t>
      </w:r>
      <w:r>
        <w:rPr/>
        <w:t>water group</w:t>
      </w:r>
      <w:r>
        <w:rPr>
          <w:spacing w:val="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4.4 and 4.8).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77" w:lineRule="auto"/>
        <w:ind w:left="265" w:right="873"/>
        <w:jc w:val="both"/>
      </w:pPr>
      <w:r>
        <w:rPr/>
        <w:t>The pretreatment of animals with naloxone and pilocarpine followed by administration of</w:t>
      </w:r>
      <w:r>
        <w:rPr>
          <w:spacing w:val="1"/>
        </w:rPr>
        <w:t> </w:t>
      </w:r>
      <w:r>
        <w:rPr/>
        <w:t>loperamide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&gt;0.05)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charcoal</w:t>
      </w:r>
      <w:r>
        <w:rPr>
          <w:spacing w:val="19"/>
        </w:rPr>
        <w:t> </w:t>
      </w:r>
      <w:r>
        <w:rPr/>
        <w:t>movement</w:t>
      </w:r>
      <w:r>
        <w:rPr>
          <w:spacing w:val="22"/>
        </w:rPr>
        <w:t> </w:t>
      </w:r>
      <w:r>
        <w:rPr/>
        <w:t>when</w:t>
      </w:r>
      <w:r>
        <w:rPr>
          <w:spacing w:val="20"/>
        </w:rPr>
        <w:t> </w:t>
      </w:r>
      <w:r>
        <w:rPr/>
        <w:t>compared</w:t>
      </w:r>
      <w:r>
        <w:rPr>
          <w:spacing w:val="21"/>
        </w:rPr>
        <w:t> </w:t>
      </w:r>
      <w:r>
        <w:rPr/>
        <w:t>with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negative</w:t>
      </w:r>
      <w:r>
        <w:rPr>
          <w:spacing w:val="20"/>
        </w:rPr>
        <w:t> </w:t>
      </w:r>
      <w:r>
        <w:rPr/>
        <w:t>control</w:t>
      </w:r>
      <w:r>
        <w:rPr>
          <w:spacing w:val="23"/>
        </w:rPr>
        <w:t> </w:t>
      </w:r>
      <w:r>
        <w:rPr/>
        <w:t>group</w:t>
      </w:r>
      <w:r>
        <w:rPr>
          <w:spacing w:val="21"/>
        </w:rPr>
        <w:t> </w:t>
      </w:r>
      <w:r>
        <w:rPr/>
        <w:t>(Figure</w:t>
      </w:r>
      <w:r>
        <w:rPr>
          <w:spacing w:val="18"/>
        </w:rPr>
        <w:t> </w:t>
      </w:r>
      <w:r>
        <w:rPr/>
        <w:t>4.3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4.7).</w:t>
      </w:r>
    </w:p>
    <w:p>
      <w:pPr>
        <w:spacing w:after="0" w:line="477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line="477" w:lineRule="auto" w:before="72"/>
        <w:ind w:left="265" w:right="874"/>
        <w:jc w:val="both"/>
      </w:pPr>
      <w:r>
        <w:rPr/>
        <w:t>The naloxone, prazosin, yohimbine, propranolol, pilocarpine or isosorbide dinitrate when</w:t>
      </w:r>
      <w:r>
        <w:rPr>
          <w:spacing w:val="1"/>
        </w:rPr>
        <w:t> </w:t>
      </w:r>
      <w:r>
        <w:rPr/>
        <w:t>administered alone, each did not significantly (</w:t>
      </w:r>
      <w:r>
        <w:rPr>
          <w:i/>
        </w:rPr>
        <w:t>p</w:t>
      </w:r>
      <w:r>
        <w:rPr/>
        <w:t>&gt;0.05) change the intestinal movement of</w:t>
      </w:r>
      <w:r>
        <w:rPr>
          <w:spacing w:val="1"/>
        </w:rPr>
        <w:t> </w:t>
      </w:r>
      <w:r>
        <w:rPr/>
        <w:t>charcoal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compared</w:t>
      </w:r>
      <w:r>
        <w:rPr>
          <w:spacing w:val="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control group.</w:t>
      </w:r>
      <w:r>
        <w:rPr>
          <w:spacing w:val="-1"/>
        </w:rPr>
        <w:t> </w:t>
      </w:r>
      <w:r>
        <w:rPr/>
        <w:t>(Figures 4.3 -</w:t>
      </w:r>
      <w:r>
        <w:rPr>
          <w:spacing w:val="-1"/>
        </w:rPr>
        <w:t> </w:t>
      </w:r>
      <w:r>
        <w:rPr/>
        <w:t>4.8).</w:t>
      </w:r>
    </w:p>
    <w:p>
      <w:pPr>
        <w:spacing w:after="0" w:line="477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732"/>
      </w:pPr>
      <w:r>
        <w:rPr/>
        <w:pict>
          <v:group style="position:absolute;margin-left:141.240005pt;margin-top:11.45315pt;width:427.7pt;height:304.7pt;mso-position-horizontal-relative:page;mso-position-vertical-relative:paragraph;z-index:15742976" coordorigin="2825,229" coordsize="8554,6094">
            <v:shape style="position:absolute;left:3269;top:1156;width:669;height:5101" type="#_x0000_t75" stroked="false">
              <v:imagedata r:id="rId36" o:title=""/>
            </v:shape>
            <v:shape style="position:absolute;left:3270;top:1132;width:645;height:5126" type="#_x0000_t75" stroked="false">
              <v:imagedata r:id="rId37" o:title=""/>
            </v:shape>
            <v:shape style="position:absolute;left:3558;top:876;width:90;height:296" coordorigin="3559,876" coordsize="90,296" path="m3604,1172l3604,1172,3604,876m3559,876l3649,876e" filled="false" stroked="true" strokeweight="1pt" strokecolor="#000000">
              <v:path arrowok="t"/>
              <v:stroke dashstyle="solid"/>
            </v:shape>
            <v:shape style="position:absolute;left:4680;top:1638;width:671;height:4619" type="#_x0000_t75" stroked="false">
              <v:imagedata r:id="rId38" o:title=""/>
            </v:shape>
            <v:shape style="position:absolute;left:4695;top:1612;width:630;height:4646" type="#_x0000_t75" stroked="false">
              <v:imagedata r:id="rId39" o:title=""/>
            </v:shape>
            <v:shape style="position:absolute;left:4971;top:1435;width:90;height:218" coordorigin="4971,1435" coordsize="90,218" path="m5016,1653l5016,1653,5016,1435m4971,1435l5061,1435e" filled="false" stroked="true" strokeweight="1pt" strokecolor="#000000">
              <v:path arrowok="t"/>
              <v:stroke dashstyle="solid"/>
            </v:shape>
            <v:shape style="position:absolute;left:6094;top:4636;width:669;height:1621" type="#_x0000_t75" stroked="false">
              <v:imagedata r:id="rId40" o:title=""/>
            </v:shape>
            <v:shape style="position:absolute;left:6105;top:4612;width:630;height:1646" type="#_x0000_t75" stroked="false">
              <v:imagedata r:id="rId41" o:title=""/>
            </v:shape>
            <v:shape style="position:absolute;left:6383;top:4102;width:90;height:549" coordorigin="6384,4102" coordsize="90,549" path="m6429,4651l6429,4651,6429,4102m6384,4102l6474,4102e" filled="false" stroked="true" strokeweight="1pt" strokecolor="#000000">
              <v:path arrowok="t"/>
              <v:stroke dashstyle="solid"/>
            </v:shape>
            <v:shape style="position:absolute;left:7505;top:1957;width:671;height:4300" type="#_x0000_t75" stroked="false">
              <v:imagedata r:id="rId42" o:title=""/>
            </v:shape>
            <v:shape style="position:absolute;left:7515;top:1927;width:645;height:4331" type="#_x0000_t75" stroked="false">
              <v:imagedata r:id="rId43" o:title=""/>
            </v:shape>
            <v:shape style="position:absolute;left:7796;top:1669;width:90;height:305" coordorigin="7796,1670" coordsize="90,305" path="m7841,1975l7841,1975,7841,1670m7796,1670l7886,1670e" filled="false" stroked="true" strokeweight="1pt" strokecolor="#000000">
              <v:path arrowok="t"/>
              <v:stroke dashstyle="solid"/>
            </v:shape>
            <v:shape style="position:absolute;left:8918;top:4715;width:669;height:1542" type="#_x0000_t75" stroked="false">
              <v:imagedata r:id="rId44" o:title=""/>
            </v:shape>
            <v:shape style="position:absolute;left:8925;top:4687;width:645;height:1571" type="#_x0000_t75" stroked="false">
              <v:imagedata r:id="rId45" o:title=""/>
            </v:shape>
            <v:shape style="position:absolute;left:9208;top:4344;width:90;height:387" coordorigin="9208,4345" coordsize="90,387" path="m9253,4731l9253,4731,9253,4345m9208,4345l9298,4345e" filled="false" stroked="true" strokeweight="1pt" strokecolor="#000000">
              <v:path arrowok="t"/>
              <v:stroke dashstyle="solid"/>
            </v:shape>
            <v:shape style="position:absolute;left:10330;top:2948;width:671;height:3308" type="#_x0000_t75" stroked="false">
              <v:imagedata r:id="rId46" o:title=""/>
            </v:shape>
            <v:shape style="position:absolute;left:10335;top:2917;width:645;height:3341" type="#_x0000_t75" stroked="false">
              <v:imagedata r:id="rId47" o:title=""/>
            </v:shape>
            <v:shape style="position:absolute;left:10621;top:2495;width:90;height:470" coordorigin="10621,2495" coordsize="90,470" path="m10666,2965l10666,2965,10666,2495m10621,2495l10711,2495e" filled="false" stroked="true" strokeweight="1pt" strokecolor="#000000">
              <v:path arrowok="t"/>
              <v:stroke dashstyle="solid"/>
            </v:shape>
            <v:shape style="position:absolute;left:2824;top:236;width:72;height:6022" coordorigin="2825,236" coordsize="72,6022" path="m2897,6258l2897,236m2825,6258l2897,6258m2825,5588l2897,5588m2825,4919l2897,4919m2825,4251l2897,4251m2825,3582l2897,3582m2825,2912l2897,2912m2825,2243l2897,2243m2825,1575l2897,1575m2825,906l2897,906m2825,236l2897,236e" filled="false" stroked="true" strokeweight=".72pt" strokecolor="#858585">
              <v:path arrowok="t"/>
              <v:stroke dashstyle="solid"/>
            </v:shape>
            <v:shape style="position:absolute;left:2896;top:6257;width:8475;height:65" coordorigin="2897,6258" coordsize="8475,65" path="m2897,6258l11371,6258m2897,6258l2897,6323m4308,6258l4308,6323m5722,6258l5722,6323m7135,6258l7135,6323m8546,6258l8546,6323m9960,6258l9960,6323m11371,6258l11371,6323e" filled="false" stroked="true" strokeweight=".72pt" strokecolor="#858585">
              <v:path arrowok="t"/>
              <v:stroke dashstyle="solid"/>
            </v:shape>
            <v:shape style="position:absolute;left:4833;top:1101;width:58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##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7646;top:1359;width:46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#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6368;top:3911;width:14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9202;top:4163;width:14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45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732"/>
      </w:pPr>
      <w:r>
        <w:rPr/>
        <w:t>40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732"/>
      </w:pPr>
      <w:r>
        <w:rPr/>
        <w:pict>
          <v:shape style="position:absolute;margin-left:106.646637pt;margin-top:-7.313895pt;width:15.3pt;height:176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Distance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Moved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by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Charcoal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/>
        <w:t>35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90"/>
        <w:ind w:left="732"/>
      </w:pPr>
      <w:r>
        <w:rPr/>
        <w:t>30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732"/>
      </w:pPr>
      <w:r>
        <w:rPr/>
        <w:t>25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732"/>
      </w:pPr>
      <w:r>
        <w:rPr/>
        <w:t>20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90"/>
        <w:ind w:left="732"/>
      </w:pPr>
      <w:r>
        <w:rPr/>
        <w:t>15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732"/>
      </w:pPr>
      <w:r>
        <w:rPr/>
        <w:t>10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852"/>
      </w:pPr>
      <w:r>
        <w:rPr/>
        <w:t>5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852"/>
      </w:pPr>
      <w:r>
        <w:rPr/>
        <w:t>0</w:t>
      </w:r>
    </w:p>
    <w:p>
      <w:pPr>
        <w:tabs>
          <w:tab w:pos="2506" w:val="left" w:leader="none"/>
          <w:tab w:pos="3633" w:val="left" w:leader="none"/>
          <w:tab w:pos="6761" w:val="left" w:leader="none"/>
          <w:tab w:pos="7915" w:val="left" w:leader="none"/>
        </w:tabs>
        <w:spacing w:before="58"/>
        <w:ind w:left="750" w:right="0" w:firstLine="0"/>
        <w:jc w:val="center"/>
        <w:rPr>
          <w:sz w:val="22"/>
        </w:rPr>
      </w:pPr>
      <w:r>
        <w:rPr>
          <w:sz w:val="22"/>
        </w:rPr>
        <w:t>DW</w:t>
      </w:r>
      <w:r>
        <w:rPr>
          <w:spacing w:val="-5"/>
          <w:sz w:val="22"/>
        </w:rPr>
        <w:t> </w:t>
      </w:r>
      <w:r>
        <w:rPr>
          <w:sz w:val="22"/>
        </w:rPr>
        <w:t>(10ml/kg)</w:t>
        <w:tab/>
        <w:t>NAL</w:t>
      </w:r>
      <w:r>
        <w:rPr>
          <w:spacing w:val="-3"/>
          <w:sz w:val="22"/>
        </w:rPr>
        <w:t> </w:t>
      </w:r>
      <w:r>
        <w:rPr>
          <w:sz w:val="22"/>
        </w:rPr>
        <w:t>2</w:t>
        <w:tab/>
        <w:t>MECH</w:t>
      </w:r>
      <w:r>
        <w:rPr>
          <w:spacing w:val="-4"/>
          <w:sz w:val="22"/>
        </w:rPr>
        <w:t> </w:t>
      </w:r>
      <w:r>
        <w:rPr>
          <w:sz w:val="22"/>
        </w:rPr>
        <w:t>1,000</w:t>
      </w:r>
      <w:r>
        <w:rPr>
          <w:spacing w:val="105"/>
          <w:sz w:val="22"/>
        </w:rPr>
        <w:t> </w:t>
      </w:r>
      <w:r>
        <w:rPr>
          <w:sz w:val="22"/>
        </w:rPr>
        <w:t>NAL</w:t>
      </w:r>
      <w:r>
        <w:rPr>
          <w:spacing w:val="-3"/>
          <w:sz w:val="22"/>
        </w:rPr>
        <w:t> </w:t>
      </w:r>
      <w:r>
        <w:rPr>
          <w:sz w:val="22"/>
        </w:rPr>
        <w:t>+</w:t>
      </w:r>
      <w:r>
        <w:rPr>
          <w:spacing w:val="1"/>
          <w:sz w:val="22"/>
        </w:rPr>
        <w:t> </w:t>
      </w:r>
      <w:r>
        <w:rPr>
          <w:sz w:val="22"/>
        </w:rPr>
        <w:t>MECH</w:t>
        <w:tab/>
        <w:t>LOP</w:t>
      </w:r>
      <w:r>
        <w:rPr>
          <w:spacing w:val="-3"/>
          <w:sz w:val="22"/>
        </w:rPr>
        <w:t> </w:t>
      </w:r>
      <w:r>
        <w:rPr>
          <w:sz w:val="22"/>
        </w:rPr>
        <w:t>5</w:t>
        <w:tab/>
        <w:t>NAL</w:t>
      </w:r>
      <w:r>
        <w:rPr>
          <w:spacing w:val="-4"/>
          <w:sz w:val="22"/>
        </w:rPr>
        <w:t> </w:t>
      </w:r>
      <w:r>
        <w:rPr>
          <w:sz w:val="22"/>
        </w:rPr>
        <w:t>+</w:t>
      </w:r>
      <w:r>
        <w:rPr>
          <w:spacing w:val="-1"/>
          <w:sz w:val="22"/>
        </w:rPr>
        <w:t> </w:t>
      </w:r>
      <w:r>
        <w:rPr>
          <w:sz w:val="22"/>
        </w:rPr>
        <w:t>LOP</w:t>
      </w:r>
    </w:p>
    <w:p>
      <w:pPr>
        <w:pStyle w:val="Heading1"/>
        <w:spacing w:before="148"/>
        <w:ind w:left="2695" w:right="1845"/>
        <w:jc w:val="center"/>
      </w:pPr>
      <w:r>
        <w:rPr/>
        <w:t>Treatment</w:t>
      </w:r>
      <w:r>
        <w:rPr>
          <w:spacing w:val="-14"/>
        </w:rPr>
        <w:t> </w:t>
      </w:r>
      <w:r>
        <w:rPr/>
        <w:t>(mg/kg)</w:t>
      </w:r>
    </w:p>
    <w:p>
      <w:pPr>
        <w:spacing w:line="242" w:lineRule="auto" w:before="169"/>
        <w:ind w:left="265" w:right="877" w:firstLine="0"/>
        <w:jc w:val="both"/>
        <w:rPr>
          <w:b/>
          <w:sz w:val="24"/>
        </w:rPr>
      </w:pPr>
      <w:r>
        <w:rPr>
          <w:b/>
          <w:sz w:val="24"/>
        </w:rPr>
        <w:t>Figure: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4.3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Naloxone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Antidiarrhoeal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Combretum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hypopilinum </w:t>
      </w:r>
      <w:r>
        <w:rPr>
          <w:b/>
          <w:sz w:val="24"/>
        </w:rPr>
        <w:t>in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Intestinal Transit 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192"/>
        <w:ind w:left="265" w:right="874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≤0.001 compared to distilled water group, </w:t>
      </w:r>
      <w:r>
        <w:rPr>
          <w:vertAlign w:val="superscript"/>
        </w:rPr>
        <w:t>#</w:t>
      </w:r>
      <w:r>
        <w:rPr>
          <w:i/>
          <w:vertAlign w:val="baseline"/>
        </w:rPr>
        <w:t>p</w:t>
      </w:r>
      <w:r>
        <w:rPr>
          <w:vertAlign w:val="baseline"/>
        </w:rPr>
        <w:t>≤0.01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superscript"/>
        </w:rPr>
        <w:t>##</w:t>
      </w:r>
      <w:r>
        <w:rPr>
          <w:i/>
          <w:vertAlign w:val="baseline"/>
        </w:rPr>
        <w:t>p≤</w:t>
      </w:r>
      <w:r>
        <w:rPr>
          <w:vertAlign w:val="baseline"/>
        </w:rPr>
        <w:t>0.001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MECH,</w:t>
      </w:r>
      <w:r>
        <w:rPr>
          <w:spacing w:val="1"/>
          <w:vertAlign w:val="baseline"/>
        </w:rPr>
        <w:t> </w:t>
      </w:r>
      <w:r>
        <w:rPr>
          <w:vertAlign w:val="superscript"/>
        </w:rPr>
        <w:t>a</w:t>
      </w:r>
      <w:r>
        <w:rPr>
          <w:vertAlign w:val="baseline"/>
        </w:rPr>
        <w:t> </w:t>
      </w:r>
      <w:r>
        <w:rPr>
          <w:i/>
          <w:vertAlign w:val="baseline"/>
        </w:rPr>
        <w:t>p≤</w:t>
      </w:r>
      <w:r>
        <w:rPr>
          <w:vertAlign w:val="baseline"/>
        </w:rPr>
        <w:t>0.001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LOP</w:t>
      </w:r>
      <w:r>
        <w:rPr>
          <w:spacing w:val="1"/>
          <w:vertAlign w:val="baseline"/>
        </w:rPr>
        <w:t> </w:t>
      </w:r>
      <w:r>
        <w:rPr>
          <w:vertAlign w:val="baseline"/>
        </w:rPr>
        <w:t>(One Way ANOVA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 by Bonferroni’s post hoc test), DW= Distilled Water, MECH= Methanol leaf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hypopilinum</w:t>
      </w:r>
      <w:r>
        <w:rPr>
          <w:vertAlign w:val="baseline"/>
        </w:rPr>
        <w:t>, NAL=</w:t>
      </w:r>
      <w:r>
        <w:rPr>
          <w:spacing w:val="-1"/>
          <w:vertAlign w:val="baseline"/>
        </w:rPr>
        <w:t> </w:t>
      </w:r>
      <w:r>
        <w:rPr>
          <w:vertAlign w:val="baseline"/>
        </w:rPr>
        <w:t>Naloxone,</w:t>
      </w:r>
      <w:r>
        <w:rPr>
          <w:spacing w:val="1"/>
          <w:vertAlign w:val="baseline"/>
        </w:rPr>
        <w:t> </w:t>
      </w:r>
      <w:r>
        <w:rPr>
          <w:vertAlign w:val="baseline"/>
        </w:rPr>
        <w:t>LOP=</w:t>
      </w:r>
      <w:r>
        <w:rPr>
          <w:spacing w:val="5"/>
          <w:vertAlign w:val="baseline"/>
        </w:rPr>
        <w:t> </w:t>
      </w:r>
      <w:r>
        <w:rPr>
          <w:vertAlign w:val="baseline"/>
        </w:rPr>
        <w:t>Loperamide, n=5</w:t>
      </w:r>
    </w:p>
    <w:p>
      <w:pPr>
        <w:spacing w:after="0"/>
        <w:jc w:val="both"/>
        <w:sectPr>
          <w:pgSz w:w="12240" w:h="15840"/>
          <w:pgMar w:header="0" w:footer="294" w:top="1500" w:bottom="480" w:left="1720" w:right="540"/>
        </w:sectPr>
      </w:pPr>
    </w:p>
    <w:p>
      <w:pPr>
        <w:spacing w:before="107"/>
        <w:ind w:left="695" w:right="0" w:firstLine="0"/>
        <w:jc w:val="left"/>
        <w:rPr>
          <w:sz w:val="22"/>
        </w:rPr>
      </w:pPr>
      <w:r>
        <w:rPr/>
        <w:pict>
          <v:group style="position:absolute;margin-left:137.880005pt;margin-top:11.609507pt;width:417pt;height:309.850pt;mso-position-horizontal-relative:page;mso-position-vertical-relative:paragraph;z-index:15744000" coordorigin="2758,232" coordsize="8340,6197">
            <v:shape style="position:absolute;left:4562;top:1039;width:655;height:5325" type="#_x0000_t75" stroked="false">
              <v:imagedata r:id="rId48" o:title=""/>
            </v:shape>
            <v:shape style="position:absolute;left:4575;top:1004;width:615;height:5360" type="#_x0000_t75" stroked="false">
              <v:imagedata r:id="rId49" o:title=""/>
            </v:shape>
            <v:shape style="position:absolute;left:4845;top:867;width:90;height:188" coordorigin="4845,867" coordsize="90,188" path="m4890,1055l4890,1055,4890,867m4845,867l4935,867e" filled="false" stroked="true" strokeweight="1pt" strokecolor="#000000">
              <v:path arrowok="t"/>
              <v:stroke dashstyle="solid"/>
            </v:shape>
            <v:shape style="position:absolute;left:5940;top:4713;width:657;height:1651" type="#_x0000_t75" stroked="false">
              <v:imagedata r:id="rId50" o:title=""/>
            </v:shape>
            <v:shape style="position:absolute;left:5940;top:4679;width:630;height:1685" type="#_x0000_t75" stroked="false">
              <v:imagedata r:id="rId51" o:title=""/>
            </v:shape>
            <v:shape style="position:absolute;left:6223;top:4172;width:90;height:558" coordorigin="6223,4172" coordsize="90,558" path="m6268,4730l6268,4730,6268,4172m6223,4172l6313,4172e" filled="false" stroked="true" strokeweight="1pt" strokecolor="#000000">
              <v:path arrowok="t"/>
              <v:stroke dashstyle="solid"/>
            </v:shape>
            <v:shape style="position:absolute;left:3170;top:1139;width:684;height:5225" type="#_x0000_t75" stroked="false">
              <v:imagedata r:id="rId52" o:title=""/>
            </v:shape>
            <v:shape style="position:absolute;left:3467;top:890;width:90;height:301" coordorigin="3467,890" coordsize="90,301" path="m3512,1191l3512,1191,3512,890m3467,890l3557,890e" filled="false" stroked="true" strokeweight="1pt" strokecolor="#000000">
              <v:path arrowok="t"/>
              <v:stroke dashstyle="solid"/>
            </v:shape>
            <v:shape style="position:absolute;left:7318;top:2563;width:657;height:3801" type="#_x0000_t75" stroked="false">
              <v:imagedata r:id="rId53" o:title=""/>
            </v:shape>
            <v:shape style="position:absolute;left:7320;top:2534;width:630;height:3830" type="#_x0000_t75" stroked="false">
              <v:imagedata r:id="rId54" o:title=""/>
            </v:shape>
            <v:shape style="position:absolute;left:7601;top:2244;width:90;height:335" coordorigin="7601,2245" coordsize="90,335" path="m7646,2580l7646,2580,7646,2245m7601,2245l7691,2245e" filled="false" stroked="true" strokeweight="1pt" strokecolor="#000000">
              <v:path arrowok="t"/>
              <v:stroke dashstyle="solid"/>
            </v:shape>
            <v:shape style="position:absolute;left:8695;top:3789;width:657;height:2575" type="#_x0000_t75" stroked="false">
              <v:imagedata r:id="rId55" o:title=""/>
            </v:shape>
            <v:shape style="position:absolute;left:8700;top:3764;width:630;height:2600" type="#_x0000_t75" stroked="false">
              <v:imagedata r:id="rId56" o:title=""/>
            </v:shape>
            <v:shape style="position:absolute;left:8978;top:3535;width:90;height:270" coordorigin="8979,3535" coordsize="90,270" path="m9024,3805l9024,3805,9024,3535m8979,3535l9069,3535e" filled="false" stroked="true" strokeweight="1pt" strokecolor="#000000">
              <v:path arrowok="t"/>
              <v:stroke dashstyle="solid"/>
            </v:shape>
            <v:shape style="position:absolute;left:10073;top:3897;width:657;height:2467" type="#_x0000_t75" stroked="false">
              <v:imagedata r:id="rId57" o:title=""/>
            </v:shape>
            <v:shape style="position:absolute;left:10080;top:3869;width:630;height:2495" type="#_x0000_t75" stroked="false">
              <v:imagedata r:id="rId58" o:title=""/>
            </v:shape>
            <v:shape style="position:absolute;left:10356;top:3780;width:90;height:134" coordorigin="10357,3780" coordsize="90,134" path="m10402,3914l10402,3914,10402,3780m10357,3780l10447,3780e" filled="false" stroked="true" strokeweight="1pt" strokecolor="#000000">
              <v:path arrowok="t"/>
              <v:stroke dashstyle="solid"/>
            </v:shape>
            <v:shape style="position:absolute;left:2757;top:239;width:8333;height:6190" coordorigin="2758,239" coordsize="8333,6190" path="m2822,6364l2822,239m2758,6364l2822,6364m2758,5683l2822,5683m2758,5003l2822,5003m2758,4322l2822,4322m2758,3643l2822,3643m2758,2961l2822,2961m2758,2282l2822,2282m2758,1600l2822,1600m2758,921l2822,921m2758,239l2822,239m2822,6364l11090,6364m2822,6364l2822,6429m4200,6364l4200,6429m5578,6364l5578,6429m6958,6364l6958,6429m8335,6364l8335,6429m9713,6364l9713,6429m11090,6364l11090,6429e" filled="false" stroked="true" strokeweight=".72pt" strokecolor="#858585">
              <v:path arrowok="t"/>
              <v:stroke dashstyle="solid"/>
            </v:shape>
            <v:shape style="position:absolute;left:4673;top:583;width:52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##(a)</w:t>
                    </w:r>
                  </w:p>
                </w:txbxContent>
              </v:textbox>
              <w10:wrap type="none"/>
            </v:shape>
            <v:shape style="position:absolute;left:7595;top:1994;width:328;height:268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6"/>
                        <w:sz w:val="24"/>
                      </w:rPr>
                      <w:t>#</w:t>
                    </w:r>
                    <w:r>
                      <w:rPr>
                        <w:sz w:val="16"/>
                      </w:rPr>
                      <w:t>(1)</w:t>
                    </w:r>
                  </w:p>
                </w:txbxContent>
              </v:textbox>
              <w10:wrap type="none"/>
            </v:shape>
            <v:shape style="position:absolute;left:8964;top:3312;width:328;height:268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6"/>
                        <w:sz w:val="24"/>
                      </w:rPr>
                      <w:t>*</w:t>
                    </w:r>
                    <w:r>
                      <w:rPr>
                        <w:sz w:val="16"/>
                      </w:rPr>
                      <w:t>(2)</w:t>
                    </w:r>
                  </w:p>
                </w:txbxContent>
              </v:textbox>
              <w10:wrap type="none"/>
            </v:shape>
            <v:shape style="position:absolute;left:10322;top:3578;width:131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205;top:3936;width:14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45</w:t>
      </w:r>
    </w:p>
    <w:p>
      <w:pPr>
        <w:pStyle w:val="BodyText"/>
        <w:spacing w:before="3"/>
        <w:rPr>
          <w:sz w:val="29"/>
        </w:rPr>
      </w:pPr>
    </w:p>
    <w:p>
      <w:pPr>
        <w:spacing w:before="92"/>
        <w:ind w:left="695" w:right="0" w:firstLine="0"/>
        <w:jc w:val="left"/>
        <w:rPr>
          <w:sz w:val="22"/>
        </w:rPr>
      </w:pPr>
      <w:r>
        <w:rPr>
          <w:sz w:val="22"/>
        </w:rPr>
        <w:t>40</w:t>
      </w:r>
    </w:p>
    <w:p>
      <w:pPr>
        <w:pStyle w:val="BodyText"/>
        <w:spacing w:before="3"/>
        <w:rPr>
          <w:sz w:val="29"/>
        </w:rPr>
      </w:pPr>
    </w:p>
    <w:p>
      <w:pPr>
        <w:spacing w:before="91"/>
        <w:ind w:left="695" w:right="0" w:firstLine="0"/>
        <w:jc w:val="left"/>
        <w:rPr>
          <w:sz w:val="22"/>
        </w:rPr>
      </w:pPr>
      <w:r>
        <w:rPr/>
        <w:pict>
          <v:shape style="position:absolute;margin-left:104.226639pt;margin-top:5.895617pt;width:15.3pt;height:174.7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Distance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moved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by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Charcoal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35</w:t>
      </w:r>
    </w:p>
    <w:p>
      <w:pPr>
        <w:pStyle w:val="BodyText"/>
      </w:pPr>
    </w:p>
    <w:p>
      <w:pPr>
        <w:spacing w:before="152"/>
        <w:ind w:left="695" w:right="0" w:firstLine="0"/>
        <w:jc w:val="left"/>
        <w:rPr>
          <w:sz w:val="22"/>
        </w:rPr>
      </w:pPr>
      <w:r>
        <w:rPr>
          <w:sz w:val="22"/>
        </w:rPr>
        <w:t>30</w:t>
      </w:r>
    </w:p>
    <w:p>
      <w:pPr>
        <w:pStyle w:val="BodyText"/>
        <w:spacing w:before="2"/>
        <w:rPr>
          <w:sz w:val="29"/>
        </w:rPr>
      </w:pPr>
    </w:p>
    <w:p>
      <w:pPr>
        <w:spacing w:before="92"/>
        <w:ind w:left="695" w:right="0" w:firstLine="0"/>
        <w:jc w:val="left"/>
        <w:rPr>
          <w:sz w:val="22"/>
        </w:rPr>
      </w:pPr>
      <w:r>
        <w:rPr>
          <w:sz w:val="22"/>
        </w:rPr>
        <w:t>25</w:t>
      </w:r>
    </w:p>
    <w:p>
      <w:pPr>
        <w:pStyle w:val="BodyText"/>
      </w:pPr>
    </w:p>
    <w:p>
      <w:pPr>
        <w:spacing w:before="152"/>
        <w:ind w:left="695" w:right="0" w:firstLine="0"/>
        <w:jc w:val="left"/>
        <w:rPr>
          <w:sz w:val="22"/>
        </w:rPr>
      </w:pPr>
      <w:r>
        <w:rPr>
          <w:sz w:val="22"/>
        </w:rPr>
        <w:t>20</w:t>
      </w:r>
    </w:p>
    <w:p>
      <w:pPr>
        <w:pStyle w:val="BodyText"/>
        <w:spacing w:before="3"/>
        <w:rPr>
          <w:sz w:val="29"/>
        </w:rPr>
      </w:pPr>
    </w:p>
    <w:p>
      <w:pPr>
        <w:spacing w:before="91"/>
        <w:ind w:left="695" w:right="0" w:firstLine="0"/>
        <w:jc w:val="left"/>
        <w:rPr>
          <w:sz w:val="22"/>
        </w:rPr>
      </w:pPr>
      <w:r>
        <w:rPr>
          <w:sz w:val="22"/>
        </w:rPr>
        <w:t>15</w:t>
      </w:r>
    </w:p>
    <w:p>
      <w:pPr>
        <w:pStyle w:val="BodyText"/>
        <w:spacing w:before="3"/>
        <w:rPr>
          <w:sz w:val="29"/>
        </w:rPr>
      </w:pPr>
    </w:p>
    <w:p>
      <w:pPr>
        <w:spacing w:before="92"/>
        <w:ind w:left="695" w:right="0" w:firstLine="0"/>
        <w:jc w:val="left"/>
        <w:rPr>
          <w:sz w:val="22"/>
        </w:rPr>
      </w:pPr>
      <w:r>
        <w:rPr>
          <w:sz w:val="22"/>
        </w:rPr>
        <w:t>10</w:t>
      </w:r>
    </w:p>
    <w:p>
      <w:pPr>
        <w:pStyle w:val="BodyText"/>
        <w:spacing w:before="2"/>
        <w:rPr>
          <w:sz w:val="29"/>
        </w:rPr>
      </w:pPr>
    </w:p>
    <w:p>
      <w:pPr>
        <w:spacing w:before="92"/>
        <w:ind w:left="806" w:right="0" w:firstLine="0"/>
        <w:jc w:val="left"/>
        <w:rPr>
          <w:sz w:val="22"/>
        </w:rPr>
      </w:pPr>
      <w:r>
        <w:rPr>
          <w:w w:val="100"/>
          <w:sz w:val="22"/>
        </w:rPr>
        <w:t>5</w:t>
      </w:r>
    </w:p>
    <w:p>
      <w:pPr>
        <w:pStyle w:val="BodyText"/>
        <w:spacing w:before="2"/>
        <w:rPr>
          <w:sz w:val="29"/>
        </w:rPr>
      </w:pPr>
    </w:p>
    <w:p>
      <w:pPr>
        <w:spacing w:before="92"/>
        <w:ind w:left="806" w:right="0" w:firstLine="0"/>
        <w:jc w:val="left"/>
        <w:rPr>
          <w:sz w:val="22"/>
        </w:rPr>
      </w:pPr>
      <w:r>
        <w:rPr>
          <w:w w:val="100"/>
          <w:sz w:val="22"/>
        </w:rPr>
        <w:t>0</w:t>
      </w:r>
    </w:p>
    <w:p>
      <w:pPr>
        <w:tabs>
          <w:tab w:pos="2161" w:val="left" w:leader="none"/>
          <w:tab w:pos="3241" w:val="left" w:leader="none"/>
          <w:tab w:pos="6201" w:val="left" w:leader="none"/>
          <w:tab w:pos="7388" w:val="left" w:leader="none"/>
        </w:tabs>
        <w:spacing w:before="67"/>
        <w:ind w:left="401" w:right="0" w:firstLine="0"/>
        <w:jc w:val="center"/>
        <w:rPr>
          <w:sz w:val="22"/>
        </w:rPr>
      </w:pPr>
      <w:r>
        <w:rPr>
          <w:sz w:val="22"/>
        </w:rPr>
        <w:t>DW</w:t>
      </w:r>
      <w:r>
        <w:rPr>
          <w:spacing w:val="-4"/>
          <w:sz w:val="22"/>
        </w:rPr>
        <w:t> </w:t>
      </w:r>
      <w:r>
        <w:rPr>
          <w:sz w:val="22"/>
        </w:rPr>
        <w:t>(10</w:t>
      </w:r>
      <w:r>
        <w:rPr>
          <w:spacing w:val="-5"/>
          <w:sz w:val="22"/>
        </w:rPr>
        <w:t> </w:t>
      </w:r>
      <w:r>
        <w:rPr>
          <w:sz w:val="22"/>
        </w:rPr>
        <w:t>ml/kg)</w:t>
        <w:tab/>
        <w:t>PRA</w:t>
      </w:r>
      <w:r>
        <w:rPr>
          <w:spacing w:val="-4"/>
          <w:sz w:val="22"/>
        </w:rPr>
        <w:t> </w:t>
      </w:r>
      <w:r>
        <w:rPr>
          <w:sz w:val="22"/>
        </w:rPr>
        <w:t>1</w:t>
        <w:tab/>
        <w:t>MECH</w:t>
      </w:r>
      <w:r>
        <w:rPr>
          <w:spacing w:val="-4"/>
          <w:sz w:val="22"/>
        </w:rPr>
        <w:t> </w:t>
      </w:r>
      <w:r>
        <w:rPr>
          <w:sz w:val="22"/>
        </w:rPr>
        <w:t>1,000</w:t>
      </w:r>
      <w:r>
        <w:rPr>
          <w:spacing w:val="84"/>
          <w:sz w:val="22"/>
        </w:rPr>
        <w:t> </w:t>
      </w:r>
      <w:r>
        <w:rPr>
          <w:sz w:val="22"/>
        </w:rPr>
        <w:t>PRA</w:t>
      </w:r>
      <w:r>
        <w:rPr>
          <w:spacing w:val="-4"/>
          <w:sz w:val="22"/>
        </w:rPr>
        <w:t> </w:t>
      </w:r>
      <w:r>
        <w:rPr>
          <w:sz w:val="22"/>
        </w:rPr>
        <w:t>+ MECH</w:t>
        <w:tab/>
        <w:t>MOR</w:t>
      </w:r>
      <w:r>
        <w:rPr>
          <w:spacing w:val="-3"/>
          <w:sz w:val="22"/>
        </w:rPr>
        <w:t> </w:t>
      </w:r>
      <w:r>
        <w:rPr>
          <w:sz w:val="22"/>
        </w:rPr>
        <w:t>10</w:t>
        <w:tab/>
        <w:t>PRA</w:t>
      </w:r>
      <w:r>
        <w:rPr>
          <w:spacing w:val="-4"/>
          <w:sz w:val="22"/>
        </w:rPr>
        <w:t> </w:t>
      </w:r>
      <w:r>
        <w:rPr>
          <w:sz w:val="22"/>
        </w:rPr>
        <w:t>+ MOR</w:t>
      </w:r>
    </w:p>
    <w:p>
      <w:pPr>
        <w:pStyle w:val="Heading1"/>
        <w:spacing w:before="87"/>
        <w:ind w:left="750" w:right="255"/>
        <w:jc w:val="center"/>
      </w:pPr>
      <w:r>
        <w:rPr/>
        <w:t>Treatment</w:t>
      </w:r>
      <w:r>
        <w:rPr>
          <w:spacing w:val="-14"/>
        </w:rPr>
        <w:t> </w:t>
      </w:r>
      <w:r>
        <w:rPr/>
        <w:t>(mg/kg)</w:t>
      </w:r>
    </w:p>
    <w:p>
      <w:pPr>
        <w:pStyle w:val="BodyText"/>
        <w:spacing w:before="7"/>
        <w:rPr>
          <w:b/>
          <w:sz w:val="18"/>
        </w:rPr>
      </w:pPr>
    </w:p>
    <w:p>
      <w:pPr>
        <w:spacing w:before="90"/>
        <w:ind w:left="265" w:right="877" w:firstLine="0"/>
        <w:jc w:val="both"/>
        <w:rPr>
          <w:b/>
          <w:sz w:val="24"/>
        </w:rPr>
      </w:pPr>
      <w:r>
        <w:rPr>
          <w:b/>
          <w:sz w:val="24"/>
        </w:rPr>
        <w:t>Figure 4.4: Effect of Prazosin on the Antidiarrhoeal Activity of Methanol Leaf Extract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Combretum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Intestinal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Transit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49" w:lineRule="auto" w:before="1"/>
        <w:ind w:left="265" w:right="873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≤0.001 compared to distilled water group, </w:t>
      </w:r>
      <w:r>
        <w:rPr>
          <w:vertAlign w:val="superscript"/>
        </w:rPr>
        <w:t>#</w:t>
      </w:r>
      <w:r>
        <w:rPr>
          <w:i/>
          <w:vertAlign w:val="baseline"/>
        </w:rPr>
        <w:t>p</w:t>
      </w:r>
      <w:r>
        <w:rPr>
          <w:vertAlign w:val="baseline"/>
        </w:rPr>
        <w:t>≤0.01</w:t>
      </w:r>
      <w:r>
        <w:rPr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vertAlign w:val="superscript"/>
        </w:rPr>
        <w:t>##</w:t>
      </w:r>
      <w:r>
        <w:rPr>
          <w:i/>
          <w:vertAlign w:val="baseline"/>
        </w:rPr>
        <w:t>p</w:t>
      </w:r>
      <w:r>
        <w:rPr>
          <w:vertAlign w:val="baseline"/>
        </w:rPr>
        <w:t>≤0.001 compared to MECH, </w:t>
      </w:r>
      <w:r>
        <w:rPr>
          <w:vertAlign w:val="superscript"/>
        </w:rPr>
        <w:t>a</w:t>
      </w:r>
      <w:r>
        <w:rPr>
          <w:i/>
          <w:vertAlign w:val="baseline"/>
        </w:rPr>
        <w:t>p≤</w:t>
      </w:r>
      <w:r>
        <w:rPr>
          <w:vertAlign w:val="baseline"/>
        </w:rPr>
        <w:t>0.001 compared to MOR, </w:t>
      </w:r>
      <w:r>
        <w:rPr>
          <w:vertAlign w:val="superscript"/>
        </w:rPr>
        <w:t>1</w:t>
      </w:r>
      <w:r>
        <w:rPr>
          <w:i/>
          <w:vertAlign w:val="baseline"/>
        </w:rPr>
        <w:t>p≤</w:t>
      </w:r>
      <w:r>
        <w:rPr>
          <w:vertAlign w:val="baseline"/>
        </w:rPr>
        <w:t>0.01 and </w:t>
      </w:r>
      <w:r>
        <w:rPr>
          <w:vertAlign w:val="superscript"/>
        </w:rPr>
        <w:t>2</w:t>
      </w:r>
      <w:r>
        <w:rPr>
          <w:i/>
          <w:vertAlign w:val="baseline"/>
        </w:rPr>
        <w:t>p≤</w:t>
      </w:r>
      <w:r>
        <w:rPr>
          <w:vertAlign w:val="baseline"/>
        </w:rPr>
        <w:t>0.001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to PRA (One Way ANOVA followed by Bonferroni’s post hoc test), DW=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 Water, MECH= Methanol leaf extract of </w:t>
      </w:r>
      <w:r>
        <w:rPr>
          <w:i/>
          <w:vertAlign w:val="baseline"/>
        </w:rPr>
        <w:t>C. hypopilinum</w:t>
      </w:r>
      <w:r>
        <w:rPr>
          <w:vertAlign w:val="baseline"/>
        </w:rPr>
        <w:t>, PRA= Prazosin, MOR=</w:t>
      </w:r>
      <w:r>
        <w:rPr>
          <w:spacing w:val="1"/>
          <w:vertAlign w:val="baseline"/>
        </w:rPr>
        <w:t> </w:t>
      </w:r>
      <w:r>
        <w:rPr>
          <w:vertAlign w:val="baseline"/>
        </w:rPr>
        <w:t>Morphine,</w:t>
      </w:r>
      <w:r>
        <w:rPr>
          <w:spacing w:val="-1"/>
          <w:vertAlign w:val="baseline"/>
        </w:rPr>
        <w:t> </w:t>
      </w:r>
      <w:r>
        <w:rPr>
          <w:vertAlign w:val="baseline"/>
        </w:rPr>
        <w:t>n=5</w:t>
      </w:r>
    </w:p>
    <w:p>
      <w:pPr>
        <w:spacing w:after="0" w:line="249" w:lineRule="auto"/>
        <w:jc w:val="both"/>
        <w:sectPr>
          <w:pgSz w:w="12240" w:h="15840"/>
          <w:pgMar w:header="0" w:footer="294" w:top="1500" w:bottom="480" w:left="1720" w:right="540"/>
        </w:sectPr>
      </w:pPr>
    </w:p>
    <w:p>
      <w:pPr>
        <w:spacing w:before="123"/>
        <w:ind w:left="670" w:right="0" w:firstLine="0"/>
        <w:jc w:val="left"/>
        <w:rPr>
          <w:sz w:val="22"/>
        </w:rPr>
      </w:pPr>
      <w:r>
        <w:rPr/>
        <w:pict>
          <v:group style="position:absolute;margin-left:136.559998pt;margin-top:12.339529pt;width:425.8pt;height:308.2pt;mso-position-horizontal-relative:page;mso-position-vertical-relative:paragraph;z-index:15745024" coordorigin="2731,247" coordsize="8516,6164">
            <v:shape style="position:absolute;left:3166;top:1185;width:669;height:5160" type="#_x0000_t75" stroked="false">
              <v:imagedata r:id="rId59" o:title=""/>
            </v:shape>
            <v:shape style="position:absolute;left:3180;top:1154;width:630;height:5191" type="#_x0000_t75" stroked="false">
              <v:imagedata r:id="rId60" o:title=""/>
            </v:shape>
            <v:shape style="position:absolute;left:3455;top:902;width:90;height:299" coordorigin="3456,902" coordsize="90,299" path="m3501,1201l3501,1201,3501,902m3456,902l3546,902e" filled="false" stroked="true" strokeweight="1pt" strokecolor="#000000">
              <v:path arrowok="t"/>
              <v:stroke dashstyle="solid"/>
            </v:shape>
            <v:shape style="position:absolute;left:4575;top:1483;width:666;height:4862" type="#_x0000_t75" stroked="false">
              <v:imagedata r:id="rId61" o:title=""/>
            </v:shape>
            <v:shape style="position:absolute;left:4575;top:1454;width:645;height:4891" type="#_x0000_t75" stroked="false">
              <v:imagedata r:id="rId62" o:title=""/>
            </v:shape>
            <v:shape style="position:absolute;left:4862;top:886;width:90;height:614" coordorigin="4863,886" coordsize="90,614" path="m4908,1499l4908,1499,4908,886m4863,886l4953,886e" filled="false" stroked="true" strokeweight="1pt" strokecolor="#000000">
              <v:path arrowok="t"/>
              <v:stroke dashstyle="solid"/>
            </v:shape>
            <v:shape style="position:absolute;left:5981;top:4704;width:666;height:1641" type="#_x0000_t75" stroked="false">
              <v:imagedata r:id="rId63" o:title=""/>
            </v:shape>
            <v:shape style="position:absolute;left:5985;top:4679;width:645;height:1666" type="#_x0000_t75" stroked="false">
              <v:imagedata r:id="rId64" o:title=""/>
            </v:shape>
            <v:shape style="position:absolute;left:6269;top:4124;width:90;height:597" coordorigin="6270,4124" coordsize="90,597" path="m6315,4721l6315,4721,6315,4124m6270,4124l6360,4124e" filled="false" stroked="true" strokeweight="1pt" strokecolor="#000000">
              <v:path arrowok="t"/>
              <v:stroke dashstyle="solid"/>
            </v:shape>
            <v:shape style="position:absolute;left:7387;top:4001;width:669;height:2345" type="#_x0000_t75" stroked="false">
              <v:imagedata r:id="rId65" o:title=""/>
            </v:shape>
            <v:shape style="position:absolute;left:7395;top:3974;width:645;height:2371" type="#_x0000_t75" stroked="false">
              <v:imagedata r:id="rId66" o:title=""/>
            </v:shape>
            <v:shape style="position:absolute;left:7676;top:3665;width:90;height:352" coordorigin="7677,3665" coordsize="90,352" path="m7722,4017l7722,4017,7722,3665m7677,3665l7767,3665e" filled="false" stroked="true" strokeweight="1pt" strokecolor="#000000">
              <v:path arrowok="t"/>
              <v:stroke dashstyle="solid"/>
            </v:shape>
            <v:shape style="position:absolute;left:8794;top:3784;width:669;height:2561" type="#_x0000_t75" stroked="false">
              <v:imagedata r:id="rId67" o:title=""/>
            </v:shape>
            <v:shape style="position:absolute;left:8805;top:3749;width:630;height:2596" type="#_x0000_t75" stroked="false">
              <v:imagedata r:id="rId68" o:title=""/>
            </v:shape>
            <v:shape style="position:absolute;left:9083;top:3532;width:90;height:268" coordorigin="9084,3532" coordsize="90,268" path="m9129,3800l9129,3800,9129,3532m9084,3532l9174,3532e" filled="false" stroked="true" strokeweight="1pt" strokecolor="#000000">
              <v:path arrowok="t"/>
              <v:stroke dashstyle="solid"/>
            </v:shape>
            <v:shape style="position:absolute;left:10203;top:3269;width:666;height:3077" type="#_x0000_t75" stroked="false">
              <v:imagedata r:id="rId69" o:title=""/>
            </v:shape>
            <v:shape style="position:absolute;left:10215;top:3239;width:630;height:3106" type="#_x0000_t75" stroked="false">
              <v:imagedata r:id="rId70" o:title=""/>
            </v:shape>
            <v:shape style="position:absolute;left:10490;top:2631;width:90;height:655" coordorigin="10491,2631" coordsize="90,655" path="m10536,3286l10536,3286,10536,2631m10491,2631l10581,2631e" filled="false" stroked="true" strokeweight="1pt" strokecolor="#000000">
              <v:path arrowok="t"/>
              <v:stroke dashstyle="solid"/>
            </v:shape>
            <v:shape style="position:absolute;left:2731;top:254;width:8508;height:6156" coordorigin="2731,254" coordsize="8508,6156" path="m2798,6345l2798,254m2731,6345l2798,6345m2731,5668l2798,5668m2731,4992l2798,4992m2731,4315l2798,4315m2731,3638l2798,3638m2731,2961l2798,2961m2731,2284l2798,2284m2731,1608l2798,1608m2731,931l2798,931m2731,254l2798,254m2798,6345l11239,6345m2798,6345l2798,6410m4205,6345l4205,6410m5611,6345l5611,6410m7020,6345l7020,6410m8426,6345l8426,6410m9833,6345l9833,6410m11239,6345l11239,6410e" filled="false" stroked="true" strokeweight=".72pt" strokecolor="#858585">
              <v:path arrowok="t"/>
              <v:stroke dashstyle="solid"/>
            </v:shape>
            <v:shape style="position:absolute;left:4765;top:581;width:4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#(a)</w:t>
                    </w:r>
                  </w:p>
                </w:txbxContent>
              </v:textbox>
              <w10:wrap type="none"/>
            </v:shape>
            <v:shape style="position:absolute;left:7608;top:3448;width:328;height:268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6"/>
                        <w:sz w:val="24"/>
                      </w:rPr>
                      <w:t>*</w:t>
                    </w:r>
                    <w:r>
                      <w:rPr>
                        <w:sz w:val="16"/>
                      </w:rPr>
                      <w:t>(1)</w:t>
                    </w:r>
                  </w:p>
                </w:txbxContent>
              </v:textbox>
              <w10:wrap type="none"/>
            </v:shape>
            <v:shape style="position:absolute;left:9072;top:3278;width:131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236;top:3970;width:2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45</w:t>
      </w:r>
    </w:p>
    <w:p>
      <w:pPr>
        <w:pStyle w:val="BodyText"/>
        <w:spacing w:before="10"/>
        <w:rPr>
          <w:sz w:val="28"/>
        </w:rPr>
      </w:pPr>
    </w:p>
    <w:p>
      <w:pPr>
        <w:spacing w:before="92"/>
        <w:ind w:left="670" w:right="0" w:firstLine="0"/>
        <w:jc w:val="left"/>
        <w:rPr>
          <w:sz w:val="22"/>
        </w:rPr>
      </w:pPr>
      <w:r>
        <w:rPr>
          <w:sz w:val="22"/>
        </w:rPr>
        <w:t>40</w:t>
      </w:r>
    </w:p>
    <w:p>
      <w:pPr>
        <w:pStyle w:val="BodyText"/>
        <w:spacing w:before="10"/>
        <w:rPr>
          <w:sz w:val="28"/>
        </w:rPr>
      </w:pPr>
    </w:p>
    <w:p>
      <w:pPr>
        <w:spacing w:before="92"/>
        <w:ind w:left="670" w:right="0" w:firstLine="0"/>
        <w:jc w:val="left"/>
        <w:rPr>
          <w:sz w:val="22"/>
        </w:rPr>
      </w:pPr>
      <w:r>
        <w:rPr/>
        <w:pict>
          <v:shape style="position:absolute;margin-left:104.226639pt;margin-top:1.755612pt;width:15.3pt;height:174.7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Distance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moved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by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Charcoal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35</w:t>
      </w:r>
    </w:p>
    <w:p>
      <w:pPr>
        <w:pStyle w:val="BodyText"/>
        <w:spacing w:before="10"/>
        <w:rPr>
          <w:sz w:val="28"/>
        </w:rPr>
      </w:pPr>
    </w:p>
    <w:p>
      <w:pPr>
        <w:spacing w:before="92"/>
        <w:ind w:left="670" w:right="0" w:firstLine="0"/>
        <w:jc w:val="left"/>
        <w:rPr>
          <w:sz w:val="22"/>
        </w:rPr>
      </w:pPr>
      <w:r>
        <w:rPr>
          <w:sz w:val="22"/>
        </w:rPr>
        <w:t>30</w:t>
      </w:r>
    </w:p>
    <w:p>
      <w:pPr>
        <w:pStyle w:val="BodyText"/>
        <w:spacing w:before="10"/>
        <w:rPr>
          <w:sz w:val="28"/>
        </w:rPr>
      </w:pPr>
    </w:p>
    <w:p>
      <w:pPr>
        <w:spacing w:before="92"/>
        <w:ind w:left="670" w:right="0" w:firstLine="0"/>
        <w:jc w:val="left"/>
        <w:rPr>
          <w:sz w:val="22"/>
        </w:rPr>
      </w:pPr>
      <w:r>
        <w:rPr>
          <w:sz w:val="22"/>
        </w:rPr>
        <w:t>25</w:t>
      </w:r>
    </w:p>
    <w:p>
      <w:pPr>
        <w:pStyle w:val="BodyText"/>
        <w:spacing w:before="10"/>
        <w:rPr>
          <w:sz w:val="28"/>
        </w:rPr>
      </w:pPr>
    </w:p>
    <w:p>
      <w:pPr>
        <w:spacing w:before="92"/>
        <w:ind w:left="670" w:right="0" w:firstLine="0"/>
        <w:jc w:val="left"/>
        <w:rPr>
          <w:sz w:val="22"/>
        </w:rPr>
      </w:pPr>
      <w:r>
        <w:rPr>
          <w:sz w:val="22"/>
        </w:rPr>
        <w:t>20</w:t>
      </w:r>
    </w:p>
    <w:p>
      <w:pPr>
        <w:pStyle w:val="BodyText"/>
        <w:spacing w:before="10"/>
        <w:rPr>
          <w:sz w:val="28"/>
        </w:rPr>
      </w:pPr>
    </w:p>
    <w:p>
      <w:pPr>
        <w:spacing w:before="92"/>
        <w:ind w:left="670" w:right="0" w:firstLine="0"/>
        <w:jc w:val="left"/>
        <w:rPr>
          <w:sz w:val="22"/>
        </w:rPr>
      </w:pPr>
      <w:r>
        <w:rPr>
          <w:sz w:val="22"/>
        </w:rPr>
        <w:t>15</w:t>
      </w:r>
    </w:p>
    <w:p>
      <w:pPr>
        <w:pStyle w:val="BodyText"/>
        <w:spacing w:before="10"/>
        <w:rPr>
          <w:sz w:val="28"/>
        </w:rPr>
      </w:pPr>
    </w:p>
    <w:p>
      <w:pPr>
        <w:spacing w:before="91"/>
        <w:ind w:left="670" w:right="0" w:firstLine="0"/>
        <w:jc w:val="left"/>
        <w:rPr>
          <w:sz w:val="22"/>
        </w:rPr>
      </w:pPr>
      <w:r>
        <w:rPr>
          <w:sz w:val="22"/>
        </w:rPr>
        <w:t>10</w:t>
      </w:r>
    </w:p>
    <w:p>
      <w:pPr>
        <w:pStyle w:val="BodyText"/>
        <w:spacing w:before="10"/>
        <w:rPr>
          <w:sz w:val="28"/>
        </w:rPr>
      </w:pPr>
    </w:p>
    <w:p>
      <w:pPr>
        <w:spacing w:before="92"/>
        <w:ind w:left="779" w:right="0" w:firstLine="0"/>
        <w:jc w:val="left"/>
        <w:rPr>
          <w:sz w:val="22"/>
        </w:rPr>
      </w:pPr>
      <w:r>
        <w:rPr>
          <w:w w:val="100"/>
          <w:sz w:val="22"/>
        </w:rPr>
        <w:t>5</w:t>
      </w:r>
    </w:p>
    <w:p>
      <w:pPr>
        <w:pStyle w:val="BodyText"/>
        <w:rPr>
          <w:sz w:val="29"/>
        </w:rPr>
      </w:pPr>
    </w:p>
    <w:p>
      <w:pPr>
        <w:spacing w:before="91"/>
        <w:ind w:left="779" w:right="0" w:firstLine="0"/>
        <w:jc w:val="left"/>
        <w:rPr>
          <w:sz w:val="22"/>
        </w:rPr>
      </w:pPr>
      <w:r>
        <w:rPr>
          <w:w w:val="100"/>
          <w:sz w:val="22"/>
        </w:rPr>
        <w:t>0</w:t>
      </w:r>
    </w:p>
    <w:p>
      <w:pPr>
        <w:tabs>
          <w:tab w:pos="2310" w:val="left" w:leader="none"/>
          <w:tab w:pos="3446" w:val="left" w:leader="none"/>
          <w:tab w:pos="6464" w:val="left" w:leader="none"/>
          <w:tab w:pos="7655" w:val="left" w:leader="none"/>
        </w:tabs>
        <w:spacing w:before="66"/>
        <w:ind w:left="622" w:right="0" w:firstLine="0"/>
        <w:jc w:val="center"/>
        <w:rPr>
          <w:sz w:val="22"/>
        </w:rPr>
      </w:pPr>
      <w:r>
        <w:rPr>
          <w:sz w:val="22"/>
        </w:rPr>
        <w:t>DW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spacing w:val="-4"/>
          <w:sz w:val="22"/>
        </w:rPr>
        <w:t> </w:t>
      </w:r>
      <w:r>
        <w:rPr>
          <w:sz w:val="22"/>
        </w:rPr>
        <w:t>ml/kg</w:t>
        <w:tab/>
        <w:t>YOH</w:t>
      </w:r>
      <w:r>
        <w:rPr>
          <w:spacing w:val="-1"/>
          <w:sz w:val="22"/>
        </w:rPr>
        <w:t> </w:t>
      </w:r>
      <w:r>
        <w:rPr>
          <w:sz w:val="22"/>
        </w:rPr>
        <w:t>2</w:t>
        <w:tab/>
        <w:t>MECH</w:t>
      </w:r>
      <w:r>
        <w:rPr>
          <w:spacing w:val="-4"/>
          <w:sz w:val="22"/>
        </w:rPr>
        <w:t> </w:t>
      </w:r>
      <w:r>
        <w:rPr>
          <w:sz w:val="22"/>
        </w:rPr>
        <w:t>1,000</w:t>
      </w:r>
      <w:r>
        <w:rPr>
          <w:spacing w:val="88"/>
          <w:sz w:val="22"/>
        </w:rPr>
        <w:t> </w:t>
      </w:r>
      <w:r>
        <w:rPr>
          <w:sz w:val="22"/>
        </w:rPr>
        <w:t>YOH</w:t>
      </w:r>
      <w:r>
        <w:rPr>
          <w:spacing w:val="-1"/>
          <w:sz w:val="22"/>
        </w:rPr>
        <w:t> </w:t>
      </w:r>
      <w:r>
        <w:rPr>
          <w:sz w:val="22"/>
        </w:rPr>
        <w:t>+</w:t>
      </w:r>
      <w:r>
        <w:rPr>
          <w:spacing w:val="-2"/>
          <w:sz w:val="22"/>
        </w:rPr>
        <w:t> </w:t>
      </w:r>
      <w:r>
        <w:rPr>
          <w:sz w:val="22"/>
        </w:rPr>
        <w:t>MECH</w:t>
        <w:tab/>
        <w:t>MOR</w:t>
      </w:r>
      <w:r>
        <w:rPr>
          <w:spacing w:val="-3"/>
          <w:sz w:val="22"/>
        </w:rPr>
        <w:t> </w:t>
      </w:r>
      <w:r>
        <w:rPr>
          <w:sz w:val="22"/>
        </w:rPr>
        <w:t>10</w:t>
        <w:tab/>
        <w:t>YOH</w:t>
      </w:r>
      <w:r>
        <w:rPr>
          <w:spacing w:val="-1"/>
          <w:sz w:val="22"/>
        </w:rPr>
        <w:t> </w:t>
      </w:r>
      <w:r>
        <w:rPr>
          <w:sz w:val="22"/>
        </w:rPr>
        <w:t>+</w:t>
      </w:r>
      <w:r>
        <w:rPr>
          <w:spacing w:val="-2"/>
          <w:sz w:val="22"/>
        </w:rPr>
        <w:t> </w:t>
      </w:r>
      <w:r>
        <w:rPr>
          <w:sz w:val="22"/>
        </w:rPr>
        <w:t>MOR</w:t>
      </w:r>
    </w:p>
    <w:p>
      <w:pPr>
        <w:pStyle w:val="Heading1"/>
        <w:spacing w:before="149"/>
        <w:ind w:left="750" w:right="131"/>
        <w:jc w:val="center"/>
      </w:pPr>
      <w:r>
        <w:rPr/>
        <w:t>Treatment</w:t>
      </w:r>
      <w:r>
        <w:rPr>
          <w:spacing w:val="-14"/>
        </w:rPr>
        <w:t> </w:t>
      </w:r>
      <w:r>
        <w:rPr/>
        <w:t>(mg/kg)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90"/>
        <w:ind w:left="265" w:right="876" w:firstLine="0"/>
        <w:jc w:val="both"/>
        <w:rPr>
          <w:b/>
          <w:sz w:val="24"/>
        </w:rPr>
      </w:pPr>
      <w:r>
        <w:rPr>
          <w:b/>
          <w:sz w:val="24"/>
        </w:rPr>
        <w:t>Figure 4.5: Effect of Yohimbine on the Antidiarrhoeal Activity of Methanol 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Intestinal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Transit 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9" w:lineRule="auto"/>
        <w:ind w:left="265" w:right="872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≤0.01 and **</w:t>
      </w:r>
      <w:r>
        <w:rPr>
          <w:i/>
        </w:rPr>
        <w:t>p</w:t>
      </w:r>
      <w:r>
        <w:rPr/>
        <w:t>≤0.001 compared to distilled water</w:t>
      </w:r>
      <w:r>
        <w:rPr>
          <w:spacing w:val="1"/>
        </w:rPr>
        <w:t> </w:t>
      </w:r>
      <w:r>
        <w:rPr/>
        <w:t>group,</w:t>
      </w:r>
      <w:r>
        <w:rPr>
          <w:spacing w:val="49"/>
        </w:rPr>
        <w:t> </w:t>
      </w:r>
      <w:r>
        <w:rPr>
          <w:vertAlign w:val="superscript"/>
        </w:rPr>
        <w:t>#</w:t>
      </w:r>
      <w:r>
        <w:rPr>
          <w:i/>
          <w:vertAlign w:val="baseline"/>
        </w:rPr>
        <w:t>p</w:t>
      </w:r>
      <w:r>
        <w:rPr>
          <w:vertAlign w:val="baseline"/>
        </w:rPr>
        <w:t>≤0.01</w:t>
      </w:r>
      <w:r>
        <w:rPr>
          <w:spacing w:val="49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50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MECH,</w:t>
      </w:r>
      <w:r>
        <w:rPr>
          <w:spacing w:val="47"/>
          <w:vertAlign w:val="baseline"/>
        </w:rPr>
        <w:t> </w:t>
      </w:r>
      <w:r>
        <w:rPr>
          <w:vertAlign w:val="superscript"/>
        </w:rPr>
        <w:t>a</w:t>
      </w:r>
      <w:r>
        <w:rPr>
          <w:i/>
          <w:vertAlign w:val="baseline"/>
        </w:rPr>
        <w:t>p≤</w:t>
      </w:r>
      <w:r>
        <w:rPr>
          <w:vertAlign w:val="baseline"/>
        </w:rPr>
        <w:t>0.05</w:t>
      </w:r>
      <w:r>
        <w:rPr>
          <w:spacing w:val="49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50"/>
          <w:vertAlign w:val="baseline"/>
        </w:rPr>
        <w:t> </w:t>
      </w:r>
      <w:r>
        <w:rPr>
          <w:vertAlign w:val="baseline"/>
        </w:rPr>
        <w:t>to</w:t>
      </w:r>
      <w:r>
        <w:rPr>
          <w:spacing w:val="50"/>
          <w:vertAlign w:val="baseline"/>
        </w:rPr>
        <w:t> </w:t>
      </w:r>
      <w:r>
        <w:rPr>
          <w:vertAlign w:val="baseline"/>
        </w:rPr>
        <w:t>MOR,</w:t>
      </w:r>
      <w:r>
        <w:rPr>
          <w:spacing w:val="50"/>
          <w:vertAlign w:val="baseline"/>
        </w:rPr>
        <w:t> </w:t>
      </w:r>
      <w:r>
        <w:rPr>
          <w:vertAlign w:val="superscript"/>
        </w:rPr>
        <w:t>1</w:t>
      </w:r>
      <w:r>
        <w:rPr>
          <w:i/>
          <w:vertAlign w:val="baseline"/>
        </w:rPr>
        <w:t>p≤</w:t>
      </w:r>
      <w:r>
        <w:rPr>
          <w:vertAlign w:val="baseline"/>
        </w:rPr>
        <w:t>0.05</w:t>
      </w:r>
      <w:r>
        <w:rPr>
          <w:spacing w:val="49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50"/>
          <w:vertAlign w:val="baseline"/>
        </w:rPr>
        <w:t> </w:t>
      </w:r>
      <w:r>
        <w:rPr>
          <w:vertAlign w:val="baseline"/>
        </w:rPr>
        <w:t>to</w:t>
      </w:r>
      <w:r>
        <w:rPr>
          <w:spacing w:val="-58"/>
          <w:vertAlign w:val="baseline"/>
        </w:rPr>
        <w:t> </w:t>
      </w:r>
      <w:r>
        <w:rPr>
          <w:vertAlign w:val="baseline"/>
        </w:rPr>
        <w:t>YOH (One way ANOVA followed by Bonferroni’s post hoc test), DW= Distilled Water,</w:t>
      </w:r>
      <w:r>
        <w:rPr>
          <w:spacing w:val="1"/>
          <w:vertAlign w:val="baseline"/>
        </w:rPr>
        <w:t> </w:t>
      </w:r>
      <w:r>
        <w:rPr>
          <w:vertAlign w:val="baseline"/>
        </w:rPr>
        <w:t>MECH= Methanol leaf extract of </w:t>
      </w:r>
      <w:r>
        <w:rPr>
          <w:i/>
          <w:vertAlign w:val="baseline"/>
        </w:rPr>
        <w:t>C. hypopilinum</w:t>
      </w:r>
      <w:r>
        <w:rPr>
          <w:vertAlign w:val="baseline"/>
        </w:rPr>
        <w:t>, YOH= Yohimbine, MOR= Morphine,</w:t>
      </w:r>
      <w:r>
        <w:rPr>
          <w:spacing w:val="1"/>
          <w:vertAlign w:val="baseline"/>
        </w:rPr>
        <w:t> </w:t>
      </w:r>
      <w:r>
        <w:rPr>
          <w:vertAlign w:val="baseline"/>
        </w:rPr>
        <w:t>n=5</w:t>
      </w:r>
    </w:p>
    <w:p>
      <w:pPr>
        <w:spacing w:after="0" w:line="249" w:lineRule="auto"/>
        <w:jc w:val="both"/>
        <w:sectPr>
          <w:pgSz w:w="12240" w:h="15840"/>
          <w:pgMar w:header="0" w:footer="294" w:top="1500" w:bottom="480" w:left="1720" w:right="540"/>
        </w:sectPr>
      </w:pPr>
    </w:p>
    <w:p>
      <w:pPr>
        <w:pStyle w:val="BodyText"/>
        <w:spacing w:before="100"/>
        <w:ind w:left="710"/>
      </w:pPr>
      <w:r>
        <w:rPr/>
        <w:pict>
          <v:group style="position:absolute;margin-left:140.160004pt;margin-top:11.883113pt;width:420.15pt;height:310.6pt;mso-position-horizontal-relative:page;mso-position-vertical-relative:paragraph;z-index:15746048" coordorigin="2803,238" coordsize="8403,6212">
            <v:shape style="position:absolute;left:3240;top:1183;width:659;height:5205" type="#_x0000_t75" stroked="false">
              <v:imagedata r:id="rId71" o:title=""/>
            </v:shape>
            <v:shape style="position:absolute;left:3240;top:1155;width:630;height:5234" type="#_x0000_t75" stroked="false">
              <v:imagedata r:id="rId72" o:title=""/>
            </v:shape>
            <v:shape style="position:absolute;left:3524;top:898;width:90;height:302" coordorigin="3524,899" coordsize="90,302" path="m3569,1200l3569,1200,3569,899m3524,899l3614,899e" filled="false" stroked="true" strokeweight="1pt" strokecolor="#000000">
              <v:path arrowok="t"/>
              <v:stroke dashstyle="solid"/>
            </v:shape>
            <v:shape style="position:absolute;left:4627;top:2849;width:659;height:3540" type="#_x0000_t75" stroked="false">
              <v:imagedata r:id="rId73" o:title=""/>
            </v:shape>
            <v:shape style="position:absolute;left:4635;top:2820;width:630;height:3569" type="#_x0000_t75" stroked="false">
              <v:imagedata r:id="rId74" o:title=""/>
            </v:shape>
            <v:shape style="position:absolute;left:4911;top:2148;width:90;height:719" coordorigin="4912,2148" coordsize="90,719" path="m4957,2866l4957,2866,4957,2148m4912,2148l5002,2148e" filled="false" stroked="true" strokeweight="1pt" strokecolor="#000000">
              <v:path arrowok="t"/>
              <v:stroke dashstyle="solid"/>
            </v:shape>
            <v:shape style="position:absolute;left:6014;top:4733;width:659;height:1656" type="#_x0000_t75" stroked="false">
              <v:imagedata r:id="rId75" o:title=""/>
            </v:shape>
            <v:shape style="position:absolute;left:6015;top:4710;width:630;height:1679" type="#_x0000_t75" stroked="false">
              <v:imagedata r:id="rId76" o:title=""/>
            </v:shape>
            <v:shape style="position:absolute;left:6299;top:4190;width:90;height:560" coordorigin="6299,4190" coordsize="90,560" path="m6344,4750l6344,4750,6344,4190m6299,4190l6389,4190e" filled="false" stroked="true" strokeweight="1pt" strokecolor="#000000">
              <v:path arrowok="t"/>
              <v:stroke dashstyle="solid"/>
            </v:shape>
            <v:shape style="position:absolute;left:7402;top:2890;width:659;height:3499" type="#_x0000_t75" stroked="false">
              <v:imagedata r:id="rId77" o:title=""/>
            </v:shape>
            <v:shape style="position:absolute;left:7410;top:2865;width:630;height:3524" type="#_x0000_t75" stroked="false">
              <v:imagedata r:id="rId78" o:title=""/>
            </v:shape>
            <v:shape style="position:absolute;left:7686;top:2642;width:90;height:265" coordorigin="7686,2642" coordsize="90,265" path="m7731,2907l7731,2907,7731,2642m7686,2642l7776,2642e" filled="false" stroked="true" strokeweight="1pt" strokecolor="#000000">
              <v:path arrowok="t"/>
              <v:stroke dashstyle="solid"/>
            </v:shape>
            <v:shape style="position:absolute;left:8789;top:3807;width:659;height:2582" type="#_x0000_t75" stroked="false">
              <v:imagedata r:id="rId79" o:title=""/>
            </v:shape>
            <v:shape style="position:absolute;left:8790;top:3780;width:630;height:2609" type="#_x0000_t75" stroked="false">
              <v:imagedata r:id="rId80" o:title=""/>
            </v:shape>
            <v:shape style="position:absolute;left:9073;top:3551;width:90;height:271" coordorigin="9073,3552" coordsize="90,271" path="m9118,3822l9118,3822,9118,3552m9073,3552l9163,3552e" filled="false" stroked="true" strokeweight="1pt" strokecolor="#000000">
              <v:path arrowok="t"/>
              <v:stroke dashstyle="solid"/>
            </v:shape>
            <v:shape style="position:absolute;left:10176;top:3041;width:659;height:3348" type="#_x0000_t75" stroked="false">
              <v:imagedata r:id="rId81" o:title=""/>
            </v:shape>
            <v:shape style="position:absolute;left:10185;top:3015;width:630;height:3374" type="#_x0000_t75" stroked="false">
              <v:imagedata r:id="rId82" o:title=""/>
            </v:shape>
            <v:shape style="position:absolute;left:10460;top:2549;width:90;height:508" coordorigin="10461,2549" coordsize="90,508" path="m10506,3057l10506,3057,10506,2549m10461,2549l10551,2549e" filled="false" stroked="true" strokeweight="1pt" strokecolor="#000000">
              <v:path arrowok="t"/>
              <v:stroke dashstyle="solid"/>
            </v:shape>
            <v:shape style="position:absolute;left:2803;top:244;width:8396;height:6204" coordorigin="2803,245" coordsize="8396,6204" path="m2875,6389l2875,245m2803,6389l2875,6389m2803,5707l2875,5707m2803,5023l2875,5023m2803,4342l2875,4342m2803,3658l2875,3658m2803,2976l2875,2976m2803,2292l2875,2292m2803,1610l2875,1610m2803,926l2875,926m2803,245l2875,245m2875,6389l11198,6389m2875,6389l2875,6449m4262,6389l4262,6449m5650,6389l5650,6449m7037,6389l7037,6449m8424,6389l8424,6449m9811,6389l9811,6449m11198,6389l11198,6449e" filled="false" stroked="true" strokeweight=".72pt" strokecolor="#858585">
              <v:path arrowok="t"/>
              <v:stroke dashstyle="solid"/>
            </v:shape>
            <v:shape style="position:absolute;left:9089;top:3373;width:1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244;top:4052;width:2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45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710"/>
      </w:pPr>
      <w:r>
        <w:rPr/>
        <w:t>40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710"/>
      </w:pPr>
      <w:r>
        <w:rPr/>
        <w:pict>
          <v:shape style="position:absolute;margin-left:100.246643pt;margin-top:7.490265pt;width:15.3pt;height:179.3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Distamce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Moved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by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Charcoal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/>
        <w:t>35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710"/>
      </w:pPr>
      <w:r>
        <w:rPr/>
        <w:t>30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90"/>
        <w:ind w:left="710"/>
      </w:pPr>
      <w:r>
        <w:rPr/>
        <w:t>25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710"/>
      </w:pPr>
      <w:r>
        <w:rPr/>
        <w:t>20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710"/>
      </w:pPr>
      <w:r>
        <w:rPr/>
        <w:t>15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710"/>
      </w:pPr>
      <w:r>
        <w:rPr/>
        <w:t>10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90"/>
        <w:ind w:left="830"/>
      </w:pPr>
      <w:r>
        <w:rPr/>
        <w:t>5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830"/>
      </w:pPr>
      <w:r>
        <w:rPr/>
        <w:t>0</w:t>
      </w:r>
    </w:p>
    <w:p>
      <w:pPr>
        <w:tabs>
          <w:tab w:pos="2968" w:val="left" w:leader="none"/>
          <w:tab w:pos="4085" w:val="left" w:leader="none"/>
          <w:tab w:pos="5424" w:val="left" w:leader="none"/>
          <w:tab w:pos="7047" w:val="left" w:leader="none"/>
          <w:tab w:pos="8285" w:val="left" w:leader="none"/>
        </w:tabs>
        <w:spacing w:before="49"/>
        <w:ind w:left="1238" w:right="0" w:firstLine="0"/>
        <w:jc w:val="left"/>
        <w:rPr>
          <w:sz w:val="20"/>
        </w:rPr>
      </w:pPr>
      <w:r>
        <w:rPr>
          <w:sz w:val="20"/>
        </w:rPr>
        <w:t>DW</w:t>
      </w:r>
      <w:r>
        <w:rPr>
          <w:spacing w:val="-4"/>
          <w:sz w:val="20"/>
        </w:rPr>
        <w:t> </w:t>
      </w:r>
      <w:r>
        <w:rPr>
          <w:sz w:val="20"/>
        </w:rPr>
        <w:t>(10</w:t>
      </w:r>
      <w:r>
        <w:rPr>
          <w:spacing w:val="-4"/>
          <w:sz w:val="20"/>
        </w:rPr>
        <w:t> </w:t>
      </w:r>
      <w:r>
        <w:rPr>
          <w:sz w:val="20"/>
        </w:rPr>
        <w:t>ml/kg)</w:t>
        <w:tab/>
        <w:t>PRO</w:t>
      </w:r>
      <w:r>
        <w:rPr>
          <w:spacing w:val="-2"/>
          <w:sz w:val="20"/>
        </w:rPr>
        <w:t> </w:t>
      </w:r>
      <w:r>
        <w:rPr>
          <w:sz w:val="20"/>
        </w:rPr>
        <w:t>1</w:t>
        <w:tab/>
        <w:t>MECH</w:t>
      </w:r>
      <w:r>
        <w:rPr>
          <w:spacing w:val="-1"/>
          <w:sz w:val="20"/>
        </w:rPr>
        <w:t> </w:t>
      </w:r>
      <w:r>
        <w:rPr>
          <w:sz w:val="20"/>
        </w:rPr>
        <w:t>1,000</w:t>
        <w:tab/>
        <w:t>PRO</w:t>
      </w:r>
      <w:r>
        <w:rPr>
          <w:spacing w:val="-3"/>
          <w:sz w:val="20"/>
        </w:rPr>
        <w:t> </w:t>
      </w:r>
      <w:r>
        <w:rPr>
          <w:sz w:val="20"/>
        </w:rPr>
        <w:t>+</w:t>
      </w:r>
      <w:r>
        <w:rPr>
          <w:spacing w:val="-1"/>
          <w:sz w:val="20"/>
        </w:rPr>
        <w:t> </w:t>
      </w:r>
      <w:r>
        <w:rPr>
          <w:sz w:val="20"/>
        </w:rPr>
        <w:t>MECH</w:t>
        <w:tab/>
        <w:t>MOR</w:t>
      </w:r>
      <w:r>
        <w:rPr>
          <w:spacing w:val="-1"/>
          <w:sz w:val="20"/>
        </w:rPr>
        <w:t> </w:t>
      </w:r>
      <w:r>
        <w:rPr>
          <w:sz w:val="20"/>
        </w:rPr>
        <w:t>10</w:t>
        <w:tab/>
        <w:t>PRO</w:t>
      </w:r>
      <w:r>
        <w:rPr>
          <w:spacing w:val="-4"/>
          <w:sz w:val="20"/>
        </w:rPr>
        <w:t> </w:t>
      </w:r>
      <w:r>
        <w:rPr>
          <w:sz w:val="20"/>
        </w:rPr>
        <w:t>+MOR</w:t>
      </w:r>
    </w:p>
    <w:p>
      <w:pPr>
        <w:pStyle w:val="Heading1"/>
        <w:spacing w:before="149"/>
        <w:ind w:left="750" w:right="94"/>
        <w:jc w:val="center"/>
      </w:pPr>
      <w:r>
        <w:rPr/>
        <w:t>Treatment</w:t>
      </w:r>
      <w:r>
        <w:rPr>
          <w:spacing w:val="-13"/>
        </w:rPr>
        <w:t> </w:t>
      </w:r>
      <w:r>
        <w:rPr/>
        <w:t>(mg/kg)</w:t>
      </w:r>
    </w:p>
    <w:p>
      <w:pPr>
        <w:pStyle w:val="BodyText"/>
        <w:spacing w:before="5"/>
        <w:rPr>
          <w:b/>
          <w:sz w:val="22"/>
        </w:rPr>
      </w:pPr>
    </w:p>
    <w:p>
      <w:pPr>
        <w:spacing w:before="90"/>
        <w:ind w:left="265" w:right="875" w:firstLine="0"/>
        <w:jc w:val="both"/>
        <w:rPr>
          <w:b/>
          <w:sz w:val="24"/>
        </w:rPr>
      </w:pPr>
      <w:r>
        <w:rPr>
          <w:b/>
          <w:sz w:val="24"/>
        </w:rPr>
        <w:t>Figure 4.6: Effect of Propranolol on the Antidiarrhoeal Activity of Methanol 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Intestinal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Transit 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1"/>
        <w:ind w:left="265" w:right="871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≤0.01 and **</w:t>
      </w:r>
      <w:r>
        <w:rPr>
          <w:i/>
        </w:rPr>
        <w:t>p</w:t>
      </w:r>
      <w:r>
        <w:rPr/>
        <w:t>≤0.001, compared to distilled water</w:t>
      </w:r>
      <w:r>
        <w:rPr>
          <w:spacing w:val="1"/>
        </w:rPr>
        <w:t> </w:t>
      </w:r>
      <w:r>
        <w:rPr/>
        <w:t>group, (One Way ANOVA followed by Bonferroni’s post hoc test), DW= Distilled Water,</w:t>
      </w:r>
      <w:r>
        <w:rPr>
          <w:spacing w:val="1"/>
        </w:rPr>
        <w:t> </w:t>
      </w:r>
      <w:r>
        <w:rPr/>
        <w:t>MECH= Methanol leaf extract of </w:t>
      </w:r>
      <w:r>
        <w:rPr>
          <w:i/>
        </w:rPr>
        <w:t>C. hypopilinum</w:t>
      </w:r>
      <w:r>
        <w:rPr/>
        <w:t>, PRO= Propranolol, MOR= Morphine,</w:t>
      </w:r>
      <w:r>
        <w:rPr>
          <w:spacing w:val="1"/>
        </w:rPr>
        <w:t> </w:t>
      </w:r>
      <w:r>
        <w:rPr/>
        <w:t>n=5</w:t>
      </w:r>
    </w:p>
    <w:p>
      <w:pPr>
        <w:spacing w:after="0"/>
        <w:jc w:val="both"/>
        <w:sectPr>
          <w:pgSz w:w="12240" w:h="15840"/>
          <w:pgMar w:header="0" w:footer="294" w:top="1500" w:bottom="480" w:left="1720" w:right="540"/>
        </w:sectPr>
      </w:pPr>
    </w:p>
    <w:p>
      <w:pPr>
        <w:spacing w:before="78"/>
        <w:ind w:left="662" w:right="0" w:firstLine="0"/>
        <w:jc w:val="left"/>
        <w:rPr>
          <w:sz w:val="22"/>
        </w:rPr>
      </w:pPr>
      <w:r>
        <w:rPr/>
        <w:pict>
          <v:group style="position:absolute;margin-left:139.080002pt;margin-top:10.469539pt;width:427.45pt;height:307.1pt;mso-position-horizontal-relative:page;mso-position-vertical-relative:paragraph;z-index:15747072" coordorigin="2782,209" coordsize="8549,6142">
            <v:shape style="position:absolute;left:3166;top:1148;width:674;height:5196" type="#_x0000_t75" stroked="false">
              <v:imagedata r:id="rId83" o:title=""/>
            </v:shape>
            <v:shape style="position:absolute;left:3165;top:1114;width:645;height:5229" type="#_x0000_t75" stroked="false">
              <v:imagedata r:id="rId84" o:title=""/>
            </v:shape>
            <v:shape style="position:absolute;left:3457;top:862;width:90;height:302" coordorigin="3457,862" coordsize="90,302" path="m3502,1163l3502,1163,3502,862m3457,862l3547,862e" filled="false" stroked="true" strokeweight="1pt" strokecolor="#000000">
              <v:path arrowok="t"/>
              <v:stroke dashstyle="solid"/>
            </v:shape>
            <v:shape style="position:absolute;left:4589;top:2237;width:674;height:4106" type="#_x0000_t75" stroked="false">
              <v:imagedata r:id="rId85" o:title=""/>
            </v:shape>
            <v:shape style="position:absolute;left:4590;top:2209;width:645;height:4134" type="#_x0000_t75" stroked="false">
              <v:imagedata r:id="rId86" o:title=""/>
            </v:shape>
            <v:shape style="position:absolute;left:4880;top:1891;width:90;height:363" coordorigin="4880,1891" coordsize="90,363" path="m4925,2254l4925,2254,4925,1891m4880,1891l4970,1891e" filled="false" stroked="true" strokeweight="1pt" strokecolor="#000000">
              <v:path arrowok="t"/>
              <v:stroke dashstyle="solid"/>
            </v:shape>
            <v:shape style="position:absolute;left:6012;top:4690;width:674;height:1653" type="#_x0000_t75" stroked="false">
              <v:imagedata r:id="rId87" o:title=""/>
            </v:shape>
            <v:shape style="position:absolute;left:6015;top:4669;width:645;height:1674" type="#_x0000_t75" stroked="false">
              <v:imagedata r:id="rId88" o:title=""/>
            </v:shape>
            <v:shape style="position:absolute;left:6304;top:4148;width:90;height:559" coordorigin="6304,4149" coordsize="90,559" path="m6349,4708l6349,4708,6349,4149m6304,4149l6394,4149e" filled="false" stroked="true" strokeweight="1pt" strokecolor="#000000">
              <v:path arrowok="t"/>
              <v:stroke dashstyle="solid"/>
            </v:shape>
            <v:shape style="position:absolute;left:7435;top:4364;width:674;height:1980" type="#_x0000_t75" stroked="false">
              <v:imagedata r:id="rId89" o:title=""/>
            </v:shape>
            <v:shape style="position:absolute;left:7440;top:4339;width:645;height:2004" type="#_x0000_t75" stroked="false">
              <v:imagedata r:id="rId90" o:title=""/>
            </v:shape>
            <v:shape style="position:absolute;left:7727;top:3532;width:90;height:848" coordorigin="7728,3533" coordsize="90,848" path="m7773,4381l7773,4381,7773,3533m7728,3533l7818,3533e" filled="false" stroked="true" strokeweight="1pt" strokecolor="#000000">
              <v:path arrowok="t"/>
              <v:stroke dashstyle="solid"/>
            </v:shape>
            <v:shape style="position:absolute;left:8858;top:4064;width:674;height:2280" type="#_x0000_t75" stroked="false">
              <v:imagedata r:id="rId91" o:title=""/>
            </v:shape>
            <v:shape style="position:absolute;left:8865;top:4039;width:645;height:2304" type="#_x0000_t75" stroked="false">
              <v:imagedata r:id="rId92" o:title=""/>
            </v:shape>
            <v:shape style="position:absolute;left:9151;top:3904;width:90;height:176" coordorigin="9151,3905" coordsize="90,176" path="m9196,4081l9196,4081,9196,3905m9151,3905l9241,3905e" filled="false" stroked="true" strokeweight="1pt" strokecolor="#000000">
              <v:path arrowok="t"/>
              <v:stroke dashstyle="solid"/>
            </v:shape>
            <v:shape style="position:absolute;left:10282;top:2341;width:674;height:4003" type="#_x0000_t75" stroked="false">
              <v:imagedata r:id="rId93" o:title=""/>
            </v:shape>
            <v:shape style="position:absolute;left:10290;top:2314;width:645;height:4029" type="#_x0000_t75" stroked="false">
              <v:imagedata r:id="rId94" o:title=""/>
            </v:shape>
            <v:shape style="position:absolute;left:10574;top:1292;width:90;height:1064" coordorigin="10575,1293" coordsize="90,1064" path="m10620,2356l10620,2356,10620,1293m10575,1293l10665,1293e" filled="false" stroked="true" strokeweight="1pt" strokecolor="#000000">
              <v:path arrowok="t"/>
              <v:stroke dashstyle="solid"/>
            </v:shape>
            <v:line style="position:absolute" from="2789,6344" to="2789,209" stroked="true" strokeweight=".72pt" strokecolor="#858585">
              <v:stroke dashstyle="solid"/>
            </v:line>
            <v:line style="position:absolute" from="2789,6344" to="11330,6344" stroked="true" strokeweight=".72pt" strokecolor="#858585">
              <v:stroke dashstyle="solid"/>
            </v:line>
            <v:shape style="position:absolute;left:7646;top:3387;width:241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6205;top:3917;width:35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v:shape style="position:absolute;left:9134;top:3754;width:1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45</w:t>
      </w:r>
    </w:p>
    <w:p>
      <w:pPr>
        <w:pStyle w:val="BodyText"/>
        <w:spacing w:before="4"/>
        <w:rPr>
          <w:sz w:val="29"/>
        </w:rPr>
      </w:pPr>
    </w:p>
    <w:p>
      <w:pPr>
        <w:spacing w:before="91"/>
        <w:ind w:left="662" w:right="0" w:firstLine="0"/>
        <w:jc w:val="left"/>
        <w:rPr>
          <w:sz w:val="22"/>
        </w:rPr>
      </w:pPr>
      <w:r>
        <w:rPr>
          <w:sz w:val="22"/>
        </w:rPr>
        <w:t>40</w:t>
      </w:r>
    </w:p>
    <w:p>
      <w:pPr>
        <w:pStyle w:val="BodyText"/>
        <w:spacing w:before="4"/>
        <w:rPr>
          <w:sz w:val="29"/>
        </w:rPr>
      </w:pPr>
    </w:p>
    <w:p>
      <w:pPr>
        <w:spacing w:before="91"/>
        <w:ind w:left="662" w:right="0" w:firstLine="0"/>
        <w:jc w:val="left"/>
        <w:rPr>
          <w:sz w:val="22"/>
        </w:rPr>
      </w:pPr>
      <w:r>
        <w:rPr/>
        <w:pict>
          <v:shape style="position:absolute;margin-left:101.326637pt;margin-top:5.56558pt;width:15.3pt;height:174.7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Distance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moved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by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Charcoal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35</w:t>
      </w:r>
    </w:p>
    <w:p>
      <w:pPr>
        <w:pStyle w:val="BodyText"/>
        <w:spacing w:before="4"/>
        <w:rPr>
          <w:sz w:val="29"/>
        </w:rPr>
      </w:pPr>
    </w:p>
    <w:p>
      <w:pPr>
        <w:spacing w:before="92"/>
        <w:ind w:left="662" w:right="0" w:firstLine="0"/>
        <w:jc w:val="left"/>
        <w:rPr>
          <w:sz w:val="22"/>
        </w:rPr>
      </w:pPr>
      <w:r>
        <w:rPr>
          <w:sz w:val="22"/>
        </w:rPr>
        <w:t>30</w:t>
      </w:r>
    </w:p>
    <w:p>
      <w:pPr>
        <w:pStyle w:val="BodyText"/>
        <w:spacing w:before="3"/>
        <w:rPr>
          <w:sz w:val="29"/>
        </w:rPr>
      </w:pPr>
    </w:p>
    <w:p>
      <w:pPr>
        <w:spacing w:before="92"/>
        <w:ind w:left="662" w:right="0" w:firstLine="0"/>
        <w:jc w:val="left"/>
        <w:rPr>
          <w:sz w:val="22"/>
        </w:rPr>
      </w:pPr>
      <w:r>
        <w:rPr>
          <w:sz w:val="22"/>
        </w:rPr>
        <w:t>25</w:t>
      </w:r>
    </w:p>
    <w:p>
      <w:pPr>
        <w:pStyle w:val="BodyText"/>
      </w:pPr>
    </w:p>
    <w:p>
      <w:pPr>
        <w:spacing w:before="153"/>
        <w:ind w:left="662" w:right="0" w:firstLine="0"/>
        <w:jc w:val="left"/>
        <w:rPr>
          <w:sz w:val="22"/>
        </w:rPr>
      </w:pPr>
      <w:r>
        <w:rPr>
          <w:sz w:val="22"/>
        </w:rPr>
        <w:t>20</w:t>
      </w:r>
    </w:p>
    <w:p>
      <w:pPr>
        <w:pStyle w:val="BodyText"/>
        <w:spacing w:before="3"/>
        <w:rPr>
          <w:sz w:val="29"/>
        </w:rPr>
      </w:pPr>
    </w:p>
    <w:p>
      <w:pPr>
        <w:spacing w:before="92"/>
        <w:ind w:left="662" w:right="0" w:firstLine="0"/>
        <w:jc w:val="left"/>
        <w:rPr>
          <w:sz w:val="22"/>
        </w:rPr>
      </w:pPr>
      <w:r>
        <w:rPr>
          <w:sz w:val="22"/>
        </w:rPr>
        <w:t>15</w:t>
      </w:r>
    </w:p>
    <w:p>
      <w:pPr>
        <w:pStyle w:val="BodyText"/>
        <w:spacing w:before="4"/>
        <w:rPr>
          <w:sz w:val="29"/>
        </w:rPr>
      </w:pPr>
    </w:p>
    <w:p>
      <w:pPr>
        <w:spacing w:before="91"/>
        <w:ind w:left="662" w:right="0" w:firstLine="0"/>
        <w:jc w:val="left"/>
        <w:rPr>
          <w:sz w:val="22"/>
        </w:rPr>
      </w:pPr>
      <w:r>
        <w:rPr>
          <w:sz w:val="22"/>
        </w:rPr>
        <w:t>10</w:t>
      </w:r>
    </w:p>
    <w:p>
      <w:pPr>
        <w:pStyle w:val="BodyText"/>
        <w:spacing w:before="4"/>
        <w:rPr>
          <w:sz w:val="29"/>
        </w:rPr>
      </w:pPr>
    </w:p>
    <w:p>
      <w:pPr>
        <w:spacing w:before="91"/>
        <w:ind w:left="773" w:right="0" w:firstLine="0"/>
        <w:jc w:val="left"/>
        <w:rPr>
          <w:sz w:val="22"/>
        </w:rPr>
      </w:pPr>
      <w:r>
        <w:rPr>
          <w:w w:val="100"/>
          <w:sz w:val="22"/>
        </w:rPr>
        <w:t>5</w:t>
      </w:r>
    </w:p>
    <w:p>
      <w:pPr>
        <w:pStyle w:val="BodyText"/>
        <w:spacing w:before="4"/>
        <w:rPr>
          <w:sz w:val="29"/>
        </w:rPr>
      </w:pPr>
    </w:p>
    <w:p>
      <w:pPr>
        <w:spacing w:before="92"/>
        <w:ind w:left="773" w:right="0" w:firstLine="0"/>
        <w:jc w:val="left"/>
        <w:rPr>
          <w:sz w:val="22"/>
        </w:rPr>
      </w:pPr>
      <w:r>
        <w:rPr>
          <w:w w:val="100"/>
          <w:sz w:val="22"/>
        </w:rPr>
        <w:t>0</w:t>
      </w:r>
    </w:p>
    <w:p>
      <w:pPr>
        <w:tabs>
          <w:tab w:pos="2960" w:val="left" w:leader="none"/>
          <w:tab w:pos="4036" w:val="left" w:leader="none"/>
          <w:tab w:pos="5454" w:val="left" w:leader="none"/>
          <w:tab w:pos="7176" w:val="left" w:leader="none"/>
          <w:tab w:pos="8398" w:val="left" w:leader="none"/>
        </w:tabs>
        <w:spacing w:before="66"/>
        <w:ind w:left="1152" w:right="0" w:firstLine="0"/>
        <w:jc w:val="left"/>
        <w:rPr>
          <w:sz w:val="22"/>
        </w:rPr>
      </w:pPr>
      <w:r>
        <w:rPr>
          <w:sz w:val="22"/>
        </w:rPr>
        <w:t>DW</w:t>
      </w:r>
      <w:r>
        <w:rPr>
          <w:spacing w:val="51"/>
          <w:sz w:val="22"/>
        </w:rPr>
        <w:t> </w:t>
      </w:r>
      <w:r>
        <w:rPr>
          <w:sz w:val="22"/>
        </w:rPr>
        <w:t>10</w:t>
      </w:r>
      <w:r>
        <w:rPr>
          <w:spacing w:val="-4"/>
          <w:sz w:val="22"/>
        </w:rPr>
        <w:t> </w:t>
      </w:r>
      <w:r>
        <w:rPr>
          <w:sz w:val="22"/>
        </w:rPr>
        <w:t>ml/kg</w:t>
        <w:tab/>
        <w:t>PIL</w:t>
      </w:r>
      <w:r>
        <w:rPr>
          <w:spacing w:val="-1"/>
          <w:sz w:val="22"/>
        </w:rPr>
        <w:t> </w:t>
      </w:r>
      <w:r>
        <w:rPr>
          <w:sz w:val="22"/>
        </w:rPr>
        <w:t>1</w:t>
        <w:tab/>
        <w:t>MECH</w:t>
      </w:r>
      <w:r>
        <w:rPr>
          <w:spacing w:val="-3"/>
          <w:sz w:val="22"/>
        </w:rPr>
        <w:t> </w:t>
      </w:r>
      <w:r>
        <w:rPr>
          <w:sz w:val="22"/>
        </w:rPr>
        <w:t>1,000</w:t>
        <w:tab/>
        <w:t>PIL</w:t>
      </w:r>
      <w:r>
        <w:rPr>
          <w:spacing w:val="-1"/>
          <w:sz w:val="22"/>
        </w:rPr>
        <w:t> </w:t>
      </w:r>
      <w:r>
        <w:rPr>
          <w:sz w:val="22"/>
        </w:rPr>
        <w:t>+</w:t>
      </w:r>
      <w:r>
        <w:rPr>
          <w:spacing w:val="-1"/>
          <w:sz w:val="22"/>
        </w:rPr>
        <w:t> </w:t>
      </w:r>
      <w:r>
        <w:rPr>
          <w:sz w:val="22"/>
        </w:rPr>
        <w:t>MECH</w:t>
        <w:tab/>
        <w:t>ATR</w:t>
      </w:r>
      <w:r>
        <w:rPr>
          <w:spacing w:val="-6"/>
          <w:sz w:val="22"/>
        </w:rPr>
        <w:t> </w:t>
      </w:r>
      <w:r>
        <w:rPr>
          <w:sz w:val="22"/>
        </w:rPr>
        <w:t>5</w:t>
        <w:tab/>
        <w:t>PIL</w:t>
      </w:r>
      <w:r>
        <w:rPr>
          <w:spacing w:val="-1"/>
          <w:sz w:val="22"/>
        </w:rPr>
        <w:t> </w:t>
      </w:r>
      <w:r>
        <w:rPr>
          <w:sz w:val="22"/>
        </w:rPr>
        <w:t>+ ATR</w:t>
      </w:r>
    </w:p>
    <w:p>
      <w:pPr>
        <w:pStyle w:val="Heading1"/>
        <w:spacing w:before="148"/>
        <w:ind w:left="750" w:right="47"/>
        <w:jc w:val="center"/>
      </w:pPr>
      <w:r>
        <w:rPr/>
        <w:t>Treatments</w:t>
      </w:r>
      <w:r>
        <w:rPr>
          <w:spacing w:val="-14"/>
        </w:rPr>
        <w:t> </w:t>
      </w:r>
      <w:r>
        <w:rPr/>
        <w:t>(mg/kg)</w:t>
      </w:r>
    </w:p>
    <w:p>
      <w:pPr>
        <w:spacing w:before="176"/>
        <w:ind w:left="265" w:right="875" w:firstLine="0"/>
        <w:jc w:val="both"/>
        <w:rPr>
          <w:b/>
          <w:sz w:val="24"/>
        </w:rPr>
      </w:pPr>
      <w:r>
        <w:rPr>
          <w:b/>
          <w:sz w:val="24"/>
        </w:rPr>
        <w:t>Figure 4.7: Effect of Pilocarpine on the Antidiarrhoeal Activity of Methanol 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Intestinal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Transit 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65" w:right="876"/>
        <w:jc w:val="both"/>
      </w:pPr>
      <w:r>
        <w:rPr/>
        <w:t>Data are presented as Mean ± SEM. *</w:t>
      </w:r>
      <w:r>
        <w:rPr>
          <w:i/>
        </w:rPr>
        <w:t>p</w:t>
      </w:r>
      <w:r>
        <w:rPr/>
        <w:t>≤0.05, **</w:t>
      </w:r>
      <w:r>
        <w:rPr>
          <w:i/>
        </w:rPr>
        <w:t>p</w:t>
      </w:r>
      <w:r>
        <w:rPr/>
        <w:t>≤0.01 and ***</w:t>
      </w:r>
      <w:r>
        <w:rPr>
          <w:i/>
        </w:rPr>
        <w:t>p</w:t>
      </w:r>
      <w:r>
        <w:rPr/>
        <w:t>≤0.001 compared to</w:t>
      </w:r>
      <w:r>
        <w:rPr>
          <w:spacing w:val="1"/>
        </w:rPr>
        <w:t> </w:t>
      </w:r>
      <w:r>
        <w:rPr/>
        <w:t>distilled water group (One Way ANOVA followed by Bonferroni’s post hoc test), DW=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MECH=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/>
        <w:t>,</w:t>
      </w:r>
      <w:r>
        <w:rPr>
          <w:spacing w:val="1"/>
        </w:rPr>
        <w:t> </w:t>
      </w:r>
      <w:r>
        <w:rPr/>
        <w:t>PIL=</w:t>
      </w:r>
      <w:r>
        <w:rPr>
          <w:spacing w:val="60"/>
        </w:rPr>
        <w:t> </w:t>
      </w:r>
      <w:r>
        <w:rPr/>
        <w:t>Pilocarpine,</w:t>
      </w:r>
      <w:r>
        <w:rPr>
          <w:spacing w:val="1"/>
        </w:rPr>
        <w:t> </w:t>
      </w:r>
      <w:r>
        <w:rPr/>
        <w:t>ATR=</w:t>
      </w:r>
      <w:r>
        <w:rPr>
          <w:spacing w:val="-2"/>
        </w:rPr>
        <w:t> </w:t>
      </w:r>
      <w:r>
        <w:rPr/>
        <w:t>Atropine Sulphate, n=5</w:t>
      </w:r>
    </w:p>
    <w:p>
      <w:pPr>
        <w:spacing w:after="0"/>
        <w:jc w:val="both"/>
        <w:sectPr>
          <w:pgSz w:w="12240" w:h="15840"/>
          <w:pgMar w:header="0" w:footer="294" w:top="1420" w:bottom="480" w:left="17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92"/>
        <w:ind w:left="762" w:right="0" w:firstLine="0"/>
        <w:jc w:val="left"/>
        <w:rPr>
          <w:sz w:val="22"/>
        </w:rPr>
      </w:pPr>
      <w:r>
        <w:rPr/>
        <w:pict>
          <v:group style="position:absolute;margin-left:141.240005pt;margin-top:10.769531pt;width:433.6pt;height:313pt;mso-position-horizontal-relative:page;mso-position-vertical-relative:paragraph;z-index:15748096" coordorigin="2825,215" coordsize="8672,6260">
            <v:shape style="position:absolute;left:3267;top:1168;width:678;height:5241" type="#_x0000_t75" stroked="false">
              <v:imagedata r:id="rId95" o:title=""/>
            </v:shape>
            <v:shape style="position:absolute;left:3270;top:1142;width:645;height:5268" type="#_x0000_t75" stroked="false">
              <v:imagedata r:id="rId96" o:title=""/>
            </v:shape>
            <v:shape style="position:absolute;left:3560;top:881;width:90;height:304" coordorigin="3561,882" coordsize="90,304" path="m3606,1186l3606,1186,3606,882m3561,882l3651,882e" filled="false" stroked="true" strokeweight="1pt" strokecolor="#000000">
              <v:path arrowok="t"/>
              <v:stroke dashstyle="solid"/>
            </v:shape>
            <v:shape style="position:absolute;left:4699;top:1581;width:678;height:4828" type="#_x0000_t75" stroked="false">
              <v:imagedata r:id="rId97" o:title=""/>
            </v:shape>
            <v:shape style="position:absolute;left:4710;top:1547;width:645;height:4863" type="#_x0000_t75" stroked="false">
              <v:imagedata r:id="rId98" o:title=""/>
            </v:shape>
            <v:shape style="position:absolute;left:4994;top:1323;width:90;height:275" coordorigin="4994,1323" coordsize="90,275" path="m5039,1598l5039,1598,5039,1323m4994,1323l5084,1323e" filled="false" stroked="true" strokeweight="1pt" strokecolor="#000000">
              <v:path arrowok="t"/>
              <v:stroke dashstyle="solid"/>
            </v:shape>
            <v:shape style="position:absolute;left:6132;top:4744;width:678;height:1665" type="#_x0000_t75" stroked="false">
              <v:imagedata r:id="rId99" o:title=""/>
            </v:shape>
            <v:shape style="position:absolute;left:6135;top:4712;width:660;height:1698" type="#_x0000_t75" stroked="false">
              <v:imagedata r:id="rId100" o:title=""/>
            </v:shape>
            <v:shape style="position:absolute;left:6427;top:4196;width:90;height:564" coordorigin="6427,4196" coordsize="90,564" path="m6472,4760l6472,4760,6472,4196m6427,4196l6517,4196e" filled="false" stroked="true" strokeweight="1pt" strokecolor="#000000">
              <v:path arrowok="t"/>
              <v:stroke dashstyle="solid"/>
            </v:shape>
            <v:shape style="position:absolute;left:7565;top:3285;width:678;height:3124" type="#_x0000_t75" stroked="false">
              <v:imagedata r:id="rId101" o:title=""/>
            </v:shape>
            <v:shape style="position:absolute;left:7575;top:3257;width:645;height:3153" type="#_x0000_t75" stroked="false">
              <v:imagedata r:id="rId102" o:title=""/>
            </v:shape>
            <v:shape style="position:absolute;left:7860;top:3174;width:90;height:128" coordorigin="7860,3175" coordsize="90,128" path="m7905,3303l7905,3303,7905,3175m7860,3175l7950,3175e" filled="false" stroked="true" strokeweight="1pt" strokecolor="#000000">
              <v:path arrowok="t"/>
              <v:stroke dashstyle="solid"/>
            </v:shape>
            <v:shape style="position:absolute;left:9000;top:3808;width:676;height:2601" type="#_x0000_t75" stroked="false">
              <v:imagedata r:id="rId103" o:title=""/>
            </v:shape>
            <v:shape style="position:absolute;left:9000;top:3782;width:660;height:2628" type="#_x0000_t75" stroked="false">
              <v:imagedata r:id="rId104" o:title=""/>
            </v:shape>
            <v:shape style="position:absolute;left:9293;top:3552;width:90;height:273" coordorigin="9293,3553" coordsize="90,273" path="m9338,3825l9338,3825,9338,3553m9293,3553l9383,3553e" filled="false" stroked="true" strokeweight="1pt" strokecolor="#000000">
              <v:path arrowok="t"/>
              <v:stroke dashstyle="solid"/>
            </v:shape>
            <v:shape style="position:absolute;left:10433;top:3837;width:678;height:2572" type="#_x0000_t75" stroked="false">
              <v:imagedata r:id="rId105" o:title=""/>
            </v:shape>
            <v:shape style="position:absolute;left:10440;top:3812;width:645;height:2598" type="#_x0000_t75" stroked="false">
              <v:imagedata r:id="rId106" o:title=""/>
            </v:shape>
            <v:shape style="position:absolute;left:10726;top:3682;width:90;height:171" coordorigin="10726,3682" coordsize="90,171" path="m10771,3852l10771,3852,10771,3682m10726,3682l10816,3682e" filled="false" stroked="true" strokeweight="1pt" strokecolor="#000000">
              <v:path arrowok="t"/>
              <v:stroke dashstyle="solid"/>
            </v:shape>
            <v:shape style="position:absolute;left:2824;top:222;width:8664;height:6252" coordorigin="2825,223" coordsize="8664,6252" path="m2890,6410l2890,223m2825,6410l2890,6410m2825,5723l2890,5723m2825,5035l2890,5035m2825,4348l2890,4348m2825,3659l2890,3659m2825,2973l2890,2973m2825,2284l2890,2284m2825,1598l2890,1598m2825,909l2890,909m2825,223l2890,223m2890,6410l11489,6410m2890,6410l2890,6475m4322,6410l4322,6475m5755,6410l5755,6475m7190,6410l7190,6475m8623,6410l8623,6475m10056,6410l10056,6475m11489,6410l11489,6475e" filled="false" stroked="true" strokeweight=".72pt" strokecolor="#858585">
              <v:path arrowok="t"/>
              <v:stroke dashstyle="solid"/>
            </v:shape>
            <v:shape style="position:absolute;left:4914;top:1007;width:4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#(a)</w:t>
                    </w:r>
                  </w:p>
                </w:txbxContent>
              </v:textbox>
              <w10:wrap type="none"/>
            </v:shape>
            <v:shape style="position:absolute;left:7809;top:2795;width:309;height:248" type="#_x0000_t202" filled="false" stroked="false">
              <v:textbox inset="0,0,0,0">
                <w:txbxContent>
                  <w:p>
                    <w:pPr>
                      <w:spacing w:line="136" w:lineRule="auto" w:before="27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position w:val="-6"/>
                        <w:sz w:val="22"/>
                      </w:rPr>
                      <w:t>*</w:t>
                    </w:r>
                    <w:r>
                      <w:rPr>
                        <w:rFonts w:ascii="Calibri"/>
                        <w:sz w:val="16"/>
                      </w:rPr>
                      <w:t>(1)</w:t>
                    </w:r>
                  </w:p>
                </w:txbxContent>
              </v:textbox>
              <w10:wrap type="none"/>
            </v:shape>
            <v:shape style="position:absolute;left:9242;top:3325;width:2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10594;top:3345;width:448;height:268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6"/>
                        <w:sz w:val="24"/>
                      </w:rPr>
                      <w:t>**</w:t>
                    </w:r>
                    <w:r>
                      <w:rPr>
                        <w:sz w:val="16"/>
                      </w:rPr>
                      <w:t>(2)</w:t>
                    </w:r>
                  </w:p>
                </w:txbxContent>
              </v:textbox>
              <w10:wrap type="none"/>
            </v:shape>
            <v:shape style="position:absolute;left:6349;top:3934;width:2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45</w:t>
      </w:r>
    </w:p>
    <w:p>
      <w:pPr>
        <w:pStyle w:val="BodyText"/>
        <w:spacing w:before="9"/>
        <w:rPr>
          <w:sz w:val="29"/>
        </w:rPr>
      </w:pPr>
    </w:p>
    <w:p>
      <w:pPr>
        <w:spacing w:before="92"/>
        <w:ind w:left="762" w:right="0" w:firstLine="0"/>
        <w:jc w:val="left"/>
        <w:rPr>
          <w:sz w:val="22"/>
        </w:rPr>
      </w:pPr>
      <w:r>
        <w:rPr>
          <w:sz w:val="22"/>
        </w:rPr>
        <w:t>40</w:t>
      </w:r>
    </w:p>
    <w:p>
      <w:pPr>
        <w:pStyle w:val="BodyText"/>
        <w:spacing w:before="10"/>
        <w:rPr>
          <w:sz w:val="29"/>
        </w:rPr>
      </w:pPr>
    </w:p>
    <w:p>
      <w:pPr>
        <w:spacing w:before="91"/>
        <w:ind w:left="762" w:right="0" w:firstLine="0"/>
        <w:jc w:val="left"/>
        <w:rPr>
          <w:sz w:val="22"/>
        </w:rPr>
      </w:pPr>
      <w:r>
        <w:rPr/>
        <w:pict>
          <v:shape style="position:absolute;margin-left:102.306641pt;margin-top:9.795597pt;width:15.3pt;height:174.7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Distance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moved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by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Charcoal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35</w:t>
      </w:r>
    </w:p>
    <w:p>
      <w:pPr>
        <w:pStyle w:val="BodyText"/>
        <w:spacing w:before="10"/>
        <w:rPr>
          <w:sz w:val="29"/>
        </w:rPr>
      </w:pPr>
    </w:p>
    <w:p>
      <w:pPr>
        <w:spacing w:before="91"/>
        <w:ind w:left="762" w:right="0" w:firstLine="0"/>
        <w:jc w:val="left"/>
        <w:rPr>
          <w:sz w:val="22"/>
        </w:rPr>
      </w:pPr>
      <w:r>
        <w:rPr>
          <w:sz w:val="22"/>
        </w:rPr>
        <w:t>30</w:t>
      </w:r>
    </w:p>
    <w:p>
      <w:pPr>
        <w:pStyle w:val="BodyText"/>
        <w:spacing w:before="9"/>
        <w:rPr>
          <w:sz w:val="29"/>
        </w:rPr>
      </w:pPr>
    </w:p>
    <w:p>
      <w:pPr>
        <w:spacing w:before="92"/>
        <w:ind w:left="762" w:right="0" w:firstLine="0"/>
        <w:jc w:val="left"/>
        <w:rPr>
          <w:sz w:val="22"/>
        </w:rPr>
      </w:pPr>
      <w:r>
        <w:rPr>
          <w:sz w:val="22"/>
        </w:rPr>
        <w:t>25</w:t>
      </w:r>
    </w:p>
    <w:p>
      <w:pPr>
        <w:pStyle w:val="BodyText"/>
        <w:spacing w:before="9"/>
        <w:rPr>
          <w:sz w:val="29"/>
        </w:rPr>
      </w:pPr>
    </w:p>
    <w:p>
      <w:pPr>
        <w:spacing w:before="92"/>
        <w:ind w:left="762" w:right="0" w:firstLine="0"/>
        <w:jc w:val="left"/>
        <w:rPr>
          <w:sz w:val="22"/>
        </w:rPr>
      </w:pPr>
      <w:r>
        <w:rPr>
          <w:sz w:val="22"/>
        </w:rPr>
        <w:t>20</w:t>
      </w:r>
    </w:p>
    <w:p>
      <w:pPr>
        <w:pStyle w:val="BodyText"/>
        <w:spacing w:before="9"/>
        <w:rPr>
          <w:sz w:val="29"/>
        </w:rPr>
      </w:pPr>
    </w:p>
    <w:p>
      <w:pPr>
        <w:spacing w:before="92"/>
        <w:ind w:left="762" w:right="0" w:firstLine="0"/>
        <w:jc w:val="left"/>
        <w:rPr>
          <w:sz w:val="22"/>
        </w:rPr>
      </w:pPr>
      <w:r>
        <w:rPr>
          <w:sz w:val="22"/>
        </w:rPr>
        <w:t>15</w:t>
      </w:r>
    </w:p>
    <w:p>
      <w:pPr>
        <w:pStyle w:val="BodyText"/>
        <w:spacing w:before="10"/>
        <w:rPr>
          <w:sz w:val="29"/>
        </w:rPr>
      </w:pPr>
    </w:p>
    <w:p>
      <w:pPr>
        <w:spacing w:before="91"/>
        <w:ind w:left="762" w:right="0" w:firstLine="0"/>
        <w:jc w:val="left"/>
        <w:rPr>
          <w:sz w:val="22"/>
        </w:rPr>
      </w:pPr>
      <w:r>
        <w:rPr>
          <w:sz w:val="22"/>
        </w:rPr>
        <w:t>10</w:t>
      </w:r>
    </w:p>
    <w:p>
      <w:pPr>
        <w:pStyle w:val="BodyText"/>
        <w:spacing w:before="10"/>
        <w:rPr>
          <w:sz w:val="29"/>
        </w:rPr>
      </w:pPr>
    </w:p>
    <w:p>
      <w:pPr>
        <w:spacing w:before="91"/>
        <w:ind w:left="872" w:right="0" w:firstLine="0"/>
        <w:jc w:val="left"/>
        <w:rPr>
          <w:sz w:val="22"/>
        </w:rPr>
      </w:pPr>
      <w:r>
        <w:rPr>
          <w:w w:val="100"/>
          <w:sz w:val="22"/>
        </w:rPr>
        <w:t>5</w:t>
      </w:r>
    </w:p>
    <w:p>
      <w:pPr>
        <w:pStyle w:val="BodyText"/>
        <w:spacing w:before="9"/>
        <w:rPr>
          <w:sz w:val="29"/>
        </w:rPr>
      </w:pPr>
    </w:p>
    <w:p>
      <w:pPr>
        <w:spacing w:before="92"/>
        <w:ind w:left="872" w:right="0" w:firstLine="0"/>
        <w:jc w:val="left"/>
        <w:rPr>
          <w:sz w:val="22"/>
        </w:rPr>
      </w:pPr>
      <w:r>
        <w:rPr>
          <w:w w:val="100"/>
          <w:sz w:val="22"/>
        </w:rPr>
        <w:t>0</w:t>
      </w:r>
    </w:p>
    <w:p>
      <w:pPr>
        <w:tabs>
          <w:tab w:pos="2948" w:val="left" w:leader="none"/>
          <w:tab w:pos="4158" w:val="left" w:leader="none"/>
          <w:tab w:pos="5575" w:val="left" w:leader="none"/>
          <w:tab w:pos="7232" w:val="left" w:leader="none"/>
          <w:tab w:pos="8509" w:val="left" w:leader="none"/>
        </w:tabs>
        <w:spacing w:line="234" w:lineRule="exact" w:before="67"/>
        <w:ind w:left="1285" w:right="0" w:firstLine="0"/>
        <w:jc w:val="left"/>
        <w:rPr>
          <w:sz w:val="22"/>
        </w:rPr>
      </w:pPr>
      <w:r>
        <w:rPr>
          <w:sz w:val="22"/>
        </w:rPr>
        <w:t>DW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spacing w:val="-4"/>
          <w:sz w:val="22"/>
        </w:rPr>
        <w:t> </w:t>
      </w:r>
      <w:r>
        <w:rPr>
          <w:sz w:val="22"/>
        </w:rPr>
        <w:t>ml/kg</w:t>
        <w:tab/>
        <w:t>ISD</w:t>
      </w:r>
      <w:r>
        <w:rPr>
          <w:spacing w:val="1"/>
          <w:sz w:val="22"/>
        </w:rPr>
        <w:t> </w:t>
      </w:r>
      <w:r>
        <w:rPr>
          <w:sz w:val="22"/>
        </w:rPr>
        <w:t>150</w:t>
        <w:tab/>
        <w:t>MECH</w:t>
      </w:r>
      <w:r>
        <w:rPr>
          <w:spacing w:val="-3"/>
          <w:sz w:val="22"/>
        </w:rPr>
        <w:t> </w:t>
      </w:r>
      <w:r>
        <w:rPr>
          <w:sz w:val="22"/>
        </w:rPr>
        <w:t>1,000</w:t>
        <w:tab/>
        <w:t>ISD +</w:t>
      </w:r>
      <w:r>
        <w:rPr>
          <w:spacing w:val="-2"/>
          <w:sz w:val="22"/>
        </w:rPr>
        <w:t> </w:t>
      </w:r>
      <w:r>
        <w:rPr>
          <w:sz w:val="22"/>
        </w:rPr>
        <w:t>MECH</w:t>
        <w:tab/>
        <w:t>MOR</w:t>
      </w:r>
      <w:r>
        <w:rPr>
          <w:spacing w:val="-3"/>
          <w:sz w:val="22"/>
        </w:rPr>
        <w:t> </w:t>
      </w:r>
      <w:r>
        <w:rPr>
          <w:sz w:val="22"/>
        </w:rPr>
        <w:t>10</w:t>
        <w:tab/>
        <w:t>ISD</w:t>
      </w:r>
      <w:r>
        <w:rPr>
          <w:spacing w:val="1"/>
          <w:sz w:val="22"/>
        </w:rPr>
        <w:t> </w:t>
      </w:r>
      <w:r>
        <w:rPr>
          <w:sz w:val="22"/>
        </w:rPr>
        <w:t>+</w:t>
      </w:r>
      <w:r>
        <w:rPr>
          <w:spacing w:val="-3"/>
          <w:sz w:val="22"/>
        </w:rPr>
        <w:t> </w:t>
      </w:r>
      <w:r>
        <w:rPr>
          <w:sz w:val="22"/>
        </w:rPr>
        <w:t>MOR</w:t>
      </w:r>
    </w:p>
    <w:p>
      <w:pPr>
        <w:pStyle w:val="Heading1"/>
        <w:spacing w:line="257" w:lineRule="exact"/>
        <w:ind w:left="750" w:right="193"/>
        <w:jc w:val="center"/>
      </w:pPr>
      <w:r>
        <w:rPr/>
        <w:t>Treatments</w:t>
      </w:r>
      <w:r>
        <w:rPr>
          <w:spacing w:val="-14"/>
        </w:rPr>
        <w:t> </w:t>
      </w:r>
      <w:r>
        <w:rPr/>
        <w:t>(mg/kg)</w:t>
      </w:r>
    </w:p>
    <w:p>
      <w:pPr>
        <w:spacing w:before="54"/>
        <w:ind w:left="265" w:right="874" w:firstLine="0"/>
        <w:jc w:val="both"/>
        <w:rPr>
          <w:b/>
          <w:sz w:val="24"/>
        </w:rPr>
      </w:pPr>
      <w:r>
        <w:rPr>
          <w:b/>
          <w:sz w:val="24"/>
        </w:rPr>
        <w:t>Figure 4.8: Effect of Isosorbide Dinitrate on the Antidiarrhoeal Activity of 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 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Combretum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Intestinal Transit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265" w:right="873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≤0.01 and **</w:t>
      </w:r>
      <w:r>
        <w:rPr>
          <w:i/>
        </w:rPr>
        <w:t>p</w:t>
      </w:r>
      <w:r>
        <w:rPr/>
        <w:t>≤ 0.001, compared to distilled water,</w:t>
      </w:r>
      <w:r>
        <w:rPr>
          <w:spacing w:val="1"/>
        </w:rPr>
        <w:t> </w:t>
      </w:r>
      <w:r>
        <w:rPr>
          <w:vertAlign w:val="superscript"/>
        </w:rPr>
        <w:t>#</w:t>
      </w:r>
      <w:r>
        <w:rPr>
          <w:i/>
          <w:vertAlign w:val="baseline"/>
        </w:rPr>
        <w:t>p</w:t>
      </w:r>
      <w:r>
        <w:rPr>
          <w:vertAlign w:val="baseline"/>
        </w:rPr>
        <w:t>≤</w:t>
      </w:r>
      <w:r>
        <w:rPr>
          <w:spacing w:val="1"/>
          <w:vertAlign w:val="baseline"/>
        </w:rPr>
        <w:t> </w:t>
      </w:r>
      <w:r>
        <w:rPr>
          <w:vertAlign w:val="baseline"/>
        </w:rPr>
        <w:t>0.001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MECH,</w:t>
      </w:r>
      <w:r>
        <w:rPr>
          <w:spacing w:val="1"/>
          <w:vertAlign w:val="baseline"/>
        </w:rPr>
        <w:t> </w:t>
      </w:r>
      <w:r>
        <w:rPr>
          <w:vertAlign w:val="superscript"/>
        </w:rPr>
        <w:t>a</w:t>
      </w:r>
      <w:r>
        <w:rPr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≤0.05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MOR,</w:t>
      </w:r>
      <w:r>
        <w:rPr>
          <w:spacing w:val="1"/>
          <w:vertAlign w:val="baseline"/>
        </w:rPr>
        <w:t>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≤0.05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≤0.01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ISD</w:t>
      </w:r>
      <w:r>
        <w:rPr>
          <w:spacing w:val="1"/>
          <w:vertAlign w:val="baseline"/>
        </w:rPr>
        <w:t> </w:t>
      </w:r>
      <w:r>
        <w:rPr>
          <w:vertAlign w:val="baseline"/>
        </w:rPr>
        <w:t>(One</w:t>
      </w:r>
      <w:r>
        <w:rPr>
          <w:spacing w:val="1"/>
          <w:vertAlign w:val="baseline"/>
        </w:rPr>
        <w:t> </w:t>
      </w:r>
      <w:r>
        <w:rPr>
          <w:vertAlign w:val="baseline"/>
        </w:rPr>
        <w:t>Way ANOVA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Bonferroni’s</w:t>
      </w:r>
      <w:r>
        <w:rPr>
          <w:spacing w:val="1"/>
          <w:vertAlign w:val="baseline"/>
        </w:rPr>
        <w:t> </w:t>
      </w:r>
      <w:r>
        <w:rPr>
          <w:vertAlign w:val="baseline"/>
        </w:rPr>
        <w:t>post</w:t>
      </w:r>
      <w:r>
        <w:rPr>
          <w:spacing w:val="1"/>
          <w:vertAlign w:val="baseline"/>
        </w:rPr>
        <w:t> </w:t>
      </w:r>
      <w:r>
        <w:rPr>
          <w:vertAlign w:val="baseline"/>
        </w:rPr>
        <w:t>hoc</w:t>
      </w:r>
      <w:r>
        <w:rPr>
          <w:spacing w:val="1"/>
          <w:vertAlign w:val="baseline"/>
        </w:rPr>
        <w:t> </w:t>
      </w:r>
      <w:r>
        <w:rPr>
          <w:vertAlign w:val="baseline"/>
        </w:rPr>
        <w:t>test),</w:t>
      </w:r>
      <w:r>
        <w:rPr>
          <w:spacing w:val="1"/>
          <w:vertAlign w:val="baseline"/>
        </w:rPr>
        <w:t> </w:t>
      </w:r>
      <w:r>
        <w:rPr>
          <w:vertAlign w:val="baseline"/>
        </w:rPr>
        <w:t>DW=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Water,</w:t>
      </w:r>
      <w:r>
        <w:rPr>
          <w:spacing w:val="1"/>
          <w:vertAlign w:val="baseline"/>
        </w:rPr>
        <w:t> </w:t>
      </w:r>
      <w:r>
        <w:rPr>
          <w:vertAlign w:val="baseline"/>
        </w:rPr>
        <w:t>MECH=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leaf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hypopilinum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ISD=</w:t>
      </w:r>
      <w:r>
        <w:rPr>
          <w:spacing w:val="1"/>
          <w:vertAlign w:val="baseline"/>
        </w:rPr>
        <w:t> </w:t>
      </w:r>
      <w:r>
        <w:rPr>
          <w:vertAlign w:val="baseline"/>
        </w:rPr>
        <w:t>Isosorbide</w:t>
      </w:r>
      <w:r>
        <w:rPr>
          <w:spacing w:val="1"/>
          <w:vertAlign w:val="baseline"/>
        </w:rPr>
        <w:t> </w:t>
      </w:r>
      <w:r>
        <w:rPr>
          <w:vertAlign w:val="baseline"/>
        </w:rPr>
        <w:t>Dinitrate,</w:t>
      </w:r>
      <w:r>
        <w:rPr>
          <w:spacing w:val="-1"/>
          <w:vertAlign w:val="baseline"/>
        </w:rPr>
        <w:t> </w:t>
      </w:r>
      <w:r>
        <w:rPr>
          <w:vertAlign w:val="baseline"/>
        </w:rPr>
        <w:t>MOR= Morphine, n=5</w:t>
      </w:r>
    </w:p>
    <w:p>
      <w:pPr>
        <w:spacing w:after="0"/>
        <w:jc w:val="both"/>
        <w:sectPr>
          <w:pgSz w:w="12240" w:h="15840"/>
          <w:pgMar w:header="0" w:footer="294" w:top="1500" w:bottom="480" w:left="1720" w:right="540"/>
        </w:sectPr>
      </w:pPr>
    </w:p>
    <w:p>
      <w:pPr>
        <w:pStyle w:val="Heading1"/>
        <w:numPr>
          <w:ilvl w:val="1"/>
          <w:numId w:val="18"/>
        </w:numPr>
        <w:tabs>
          <w:tab w:pos="3626" w:val="left" w:leader="none"/>
        </w:tabs>
        <w:spacing w:line="240" w:lineRule="auto" w:before="75" w:after="0"/>
        <w:ind w:left="3625" w:right="0" w:hanging="361"/>
        <w:jc w:val="left"/>
      </w:pPr>
      <w:bookmarkStart w:name="_TOC_250014" w:id="61"/>
      <w:r>
        <w:rPr/>
        <w:t>Sub-Acute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bookmarkEnd w:id="61"/>
      <w:r>
        <w:rPr/>
        <w:t>Study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20"/>
        </w:numPr>
        <w:tabs>
          <w:tab w:pos="825" w:val="left" w:leader="none"/>
        </w:tabs>
        <w:spacing w:line="480" w:lineRule="auto" w:before="0" w:after="0"/>
        <w:ind w:left="265" w:right="875" w:firstLine="0"/>
        <w:jc w:val="both"/>
      </w:pPr>
      <w:bookmarkStart w:name="_TOC_250013" w:id="62"/>
      <w:r>
        <w:rPr/>
        <w:t>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on Body</w:t>
      </w:r>
      <w:r>
        <w:rPr>
          <w:spacing w:val="-3"/>
        </w:rPr>
        <w:t> </w:t>
      </w:r>
      <w:r>
        <w:rPr/>
        <w:t>Weights of</w:t>
      </w:r>
      <w:r>
        <w:rPr>
          <w:spacing w:val="2"/>
        </w:rPr>
        <w:t> </w:t>
      </w:r>
      <w:bookmarkEnd w:id="62"/>
      <w:r>
        <w:rPr/>
        <w:t>Rats</w:t>
      </w:r>
    </w:p>
    <w:p>
      <w:pPr>
        <w:pStyle w:val="BodyText"/>
        <w:spacing w:line="480" w:lineRule="auto"/>
        <w:ind w:left="265" w:right="871"/>
        <w:jc w:val="both"/>
      </w:pPr>
      <w:r>
        <w:rPr/>
        <w:t>The administration of MECH did not significantly (</w:t>
      </w:r>
      <w:r>
        <w:rPr>
          <w:i/>
        </w:rPr>
        <w:t>p</w:t>
      </w:r>
      <w:r>
        <w:rPr/>
        <w:t>&gt;0.05) change the body weight in the</w:t>
      </w:r>
      <w:r>
        <w:rPr>
          <w:spacing w:val="1"/>
        </w:rPr>
        <w:t> </w:t>
      </w:r>
      <w:r>
        <w:rPr/>
        <w:t>groups treated with 250 and 1,000 mg/kg of the extract. However, there was a 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≤0.05) decrease in body weight in the group treated with 500 mg/kg of the extract in the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 second week</w:t>
      </w:r>
      <w:r>
        <w:rPr>
          <w:spacing w:val="2"/>
        </w:rPr>
        <w:t> </w:t>
      </w:r>
      <w:r>
        <w:rPr/>
        <w:t>compared with</w:t>
      </w:r>
      <w:r>
        <w:rPr>
          <w:spacing w:val="-1"/>
        </w:rPr>
        <w:t> </w:t>
      </w:r>
      <w:r>
        <w:rPr/>
        <w:t>distilled water</w:t>
      </w:r>
      <w:r>
        <w:rPr>
          <w:spacing w:val="2"/>
        </w:rPr>
        <w:t> </w:t>
      </w:r>
      <w:r>
        <w:rPr/>
        <w:t>group</w:t>
      </w:r>
      <w:r>
        <w:rPr>
          <w:spacing w:val="-2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4.9).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before="96"/>
        <w:ind w:left="596"/>
      </w:pPr>
      <w:r>
        <w:rPr/>
        <w:pict>
          <v:group style="position:absolute;margin-left:140.520004pt;margin-top:8.219736pt;width:429.85pt;height:311.350pt;mso-position-horizontal-relative:page;mso-position-vertical-relative:paragraph;z-index:15749120" coordorigin="2810,164" coordsize="8597,6227">
            <v:shape style="position:absolute;left:2810;top:241;width:72;height:6080" coordorigin="2810,242" coordsize="72,6080" path="m2882,6321l2882,242m2810,6321l2882,6321m2810,5104l2882,5104m2810,3890l2882,3890m2810,2673l2882,2673m2810,1459l2882,1459m2810,242l2882,242e" filled="false" stroked="true" strokeweight=".72pt" strokecolor="#858585">
              <v:path arrowok="t"/>
              <v:stroke dashstyle="solid"/>
            </v:shape>
            <v:shape style="position:absolute;left:2882;top:6321;width:8518;height:70" coordorigin="2882,6321" coordsize="8518,70" path="m2882,6321l11400,6321m2882,6321l2882,6391m4586,6321l4586,6391m6290,6321l6290,6391m7992,6321l7992,6391m9696,6321l9696,6391m11400,6321l11400,6391e" filled="false" stroked="true" strokeweight=".72pt" strokecolor="#858585">
              <v:path arrowok="t"/>
              <v:stroke dashstyle="solid"/>
            </v:shape>
            <v:shape style="position:absolute;left:3733;top:2618;width:2;height:156" coordorigin="3733,2618" coordsize="0,156" path="m3733,2774l3733,2774,3733,2618e" filled="false" stroked="true" strokeweight="1pt" strokecolor="#000000">
              <v:path arrowok="t"/>
              <v:stroke dashstyle="solid"/>
            </v:shape>
            <v:rect style="position:absolute;left:3688;top:2608;width:90;height:20" filled="true" fillcolor="#000000" stroked="false">
              <v:fill type="solid"/>
            </v:rect>
            <v:shape style="position:absolute;left:3733;top:1545;width:6860;height:1249" coordorigin="3733,1546" coordsize="6860,1249" path="m5437,2356l5437,2356,5437,2191m5392,2191l5482,2191m7140,2065l7140,2065,7140,1938m7095,1938l7185,1938m8844,1890l8844,1890,8844,1769m8799,1769l8889,1769m10548,1684l10548,1684,10548,1546m10503,1546l10593,1546m3733,2794l3733,2794,3733,2641e" filled="false" stroked="true" strokeweight="1pt" strokecolor="#000000">
              <v:path arrowok="t"/>
              <v:stroke dashstyle="solid"/>
            </v:shape>
            <v:rect style="position:absolute;left:3688;top:2631;width:90;height:20" filled="true" fillcolor="#000000" stroked="false">
              <v:fill type="solid"/>
            </v:rect>
            <v:shape style="position:absolute;left:3733;top:2024;width:6860;height:796" coordorigin="3733,2024" coordsize="6860,796" path="m5437,2754l5437,2819m5392,2754l5482,2754m7140,2343l7140,2491m7095,2343l7185,2343m8844,2184l8844,2337m8799,2184l8889,2184m10548,2024l10548,2179m10503,2024l10593,2024m3733,2770l3733,2770,3733,2635e" filled="false" stroked="true" strokeweight="1pt" strokecolor="#000000">
              <v:path arrowok="t"/>
              <v:stroke dashstyle="solid"/>
            </v:shape>
            <v:rect style="position:absolute;left:3688;top:2625;width:90;height:20" filled="true" fillcolor="#000000" stroked="false">
              <v:fill type="solid"/>
            </v:rect>
            <v:shape style="position:absolute;left:3733;top:2317;width:6815;height:724" coordorigin="3733,2318" coordsize="6815,724" path="m5437,2959l5437,3041m7140,2806l7140,2806,7140,2640m7095,2640l7185,2640m8844,2476l8844,2583m10548,2318l10548,2376m3733,2794l3733,2794,3733,2638e" filled="false" stroked="true" strokeweight="1pt" strokecolor="#000000">
              <v:path arrowok="t"/>
              <v:stroke dashstyle="solid"/>
            </v:shape>
            <v:rect style="position:absolute;left:3688;top:2628;width:90;height:20" filled="true" fillcolor="#000000" stroked="false">
              <v:fill type="solid"/>
            </v:rect>
            <v:shape style="position:absolute;left:5391;top:1417;width:5201;height:1219" coordorigin="5392,1417" coordsize="5201,1219" path="m5437,2636l5437,2636,5437,2532m5392,2532l5482,2532m7140,2284l7140,2284,7140,2116m7095,2116l7185,2116m8844,1943l8844,1943,8844,1723m8799,1723l8889,1723m10548,1647l10548,1647,10548,1417m10503,1417l10593,1417e" filled="false" stroked="true" strokeweight="1pt" strokecolor="#000000">
              <v:path arrowok="t"/>
              <v:stroke dashstyle="solid"/>
            </v:shape>
            <v:shape style="position:absolute;left:3732;top:1684;width:6816;height:1090" coordorigin="3732,1684" coordsize="6816,1090" path="m3732,2774l5436,2356,7140,2066,8844,1891,10548,1684e" filled="false" stroked="true" strokeweight="2.16pt" strokecolor="#497dba">
              <v:path arrowok="t"/>
              <v:stroke dashstyle="solid"/>
            </v:shape>
            <v:shape style="position:absolute;left:3655;top:2696;width:155;height:155" type="#_x0000_t75" stroked="false">
              <v:imagedata r:id="rId107" o:title=""/>
            </v:shape>
            <v:shape style="position:absolute;left:5359;top:2279;width:155;height:155" type="#_x0000_t75" stroked="false">
              <v:imagedata r:id="rId108" o:title=""/>
            </v:shape>
            <v:shape style="position:absolute;left:7062;top:1988;width:155;height:155" type="#_x0000_t75" stroked="false">
              <v:imagedata r:id="rId108" o:title=""/>
            </v:shape>
            <v:shape style="position:absolute;left:8766;top:1813;width:155;height:155" type="#_x0000_t75" stroked="false">
              <v:imagedata r:id="rId109" o:title=""/>
            </v:shape>
            <v:shape style="position:absolute;left:10470;top:1607;width:155;height:155" type="#_x0000_t75" stroked="false">
              <v:imagedata r:id="rId110" o:title=""/>
            </v:shape>
            <v:shape style="position:absolute;left:3732;top:2248;width:6816;height:639" coordorigin="3732,2248" coordsize="6816,639" path="m3732,2793l5436,2887,7140,2560,8844,2407,10548,2248e" filled="false" stroked="true" strokeweight="2.16pt" strokecolor="#bd4a47">
              <v:path arrowok="t"/>
              <v:stroke dashstyle="solid"/>
            </v:shape>
            <v:rect style="position:absolute;left:3662;top:2725;width:140;height:140" filled="true" fillcolor="#c0504d" stroked="false">
              <v:fill type="solid"/>
            </v:rect>
            <v:rect style="position:absolute;left:3662;top:2725;width:140;height:140" filled="false" stroked="true" strokeweight=".72pt" strokecolor="#bd4a47">
              <v:stroke dashstyle="solid"/>
            </v:rect>
            <v:rect style="position:absolute;left:5366;top:2819;width:140;height:140" filled="true" fillcolor="#c0504d" stroked="false">
              <v:fill type="solid"/>
            </v:rect>
            <v:rect style="position:absolute;left:5366;top:2819;width:140;height:140" filled="false" stroked="true" strokeweight=".72pt" strokecolor="#bd4a47">
              <v:stroke dashstyle="solid"/>
            </v:rect>
            <v:rect style="position:absolute;left:7070;top:2490;width:140;height:140" filled="true" fillcolor="#c0504d" stroked="false">
              <v:fill type="solid"/>
            </v:rect>
            <v:rect style="position:absolute;left:7070;top:2490;width:140;height:140" filled="false" stroked="true" strokeweight=".72pt" strokecolor="#bd4a47">
              <v:stroke dashstyle="solid"/>
            </v:rect>
            <v:rect style="position:absolute;left:8774;top:2337;width:140;height:140" filled="true" fillcolor="#c0504d" stroked="false">
              <v:fill type="solid"/>
            </v:rect>
            <v:rect style="position:absolute;left:8774;top:2337;width:140;height:140" filled="false" stroked="true" strokeweight=".72pt" strokecolor="#bd4a47">
              <v:stroke dashstyle="solid"/>
            </v:rect>
            <v:rect style="position:absolute;left:10478;top:2178;width:140;height:140" filled="true" fillcolor="#c0504d" stroked="false">
              <v:fill type="solid"/>
            </v:rect>
            <v:rect style="position:absolute;left:10478;top:2178;width:140;height:140" filled="false" stroked="true" strokeweight=".72pt" strokecolor="#bd4a47">
              <v:stroke dashstyle="solid"/>
            </v:rect>
            <v:shape style="position:absolute;left:3732;top:2377;width:6816;height:665" coordorigin="3732,2378" coordsize="6816,665" path="m3732,2771l5436,3043,7140,2807,8844,2584,10548,2378e" filled="false" stroked="true" strokeweight="2.16pt" strokecolor="#97b853">
              <v:path arrowok="t"/>
              <v:stroke dashstyle="solid"/>
            </v:shape>
            <v:shape style="position:absolute;left:3655;top:2692;width:155;height:155" type="#_x0000_t75" stroked="false">
              <v:imagedata r:id="rId111" o:title=""/>
            </v:shape>
            <v:shape style="position:absolute;left:5359;top:2964;width:155;height:155" type="#_x0000_t75" stroked="false">
              <v:imagedata r:id="rId112" o:title=""/>
            </v:shape>
            <v:shape style="position:absolute;left:7062;top:2729;width:155;height:155" type="#_x0000_t75" stroked="false">
              <v:imagedata r:id="rId112" o:title=""/>
            </v:shape>
            <v:shape style="position:absolute;left:8766;top:2505;width:155;height:155" type="#_x0000_t75" stroked="false">
              <v:imagedata r:id="rId113" o:title=""/>
            </v:shape>
            <v:shape style="position:absolute;left:10470;top:2298;width:155;height:155" type="#_x0000_t75" stroked="false">
              <v:imagedata r:id="rId114" o:title=""/>
            </v:shape>
            <v:shape style="position:absolute;left:3732;top:1648;width:6816;height:1148" coordorigin="3732,1648" coordsize="6816,1148" path="m3732,2795l5436,2637,7140,2284,8844,1943,10548,1648e" filled="false" stroked="true" strokeweight="2.16pt" strokecolor="#7c5f9f">
              <v:path arrowok="t"/>
              <v:stroke dashstyle="solid"/>
            </v:shape>
            <v:shape style="position:absolute;left:3662;top:1578;width:6956;height:1287" coordorigin="3662,1579" coordsize="6956,1287" path="m3732,2795l3662,2865,3802,2865,3732,2795xm3802,2726l3662,2726,3732,2795,3802,2726xm5436,2637l5366,2707,5506,2707,5436,2637xm5506,2567l5366,2567,5436,2637,5506,2567xm7140,2284l7070,2354,7210,2354,7140,2284xm7210,2215l7070,2215,7140,2284,7210,2215xm8844,1945l8774,2015,8914,2015,8844,1945xm8914,1874l8774,1874,8844,1945,8914,1874xm10548,1648l10478,1718,10618,1718,10548,1648xm10618,1579l10478,1579,10548,1648,10618,1579xe" filled="true" fillcolor="#8063a1" stroked="false">
              <v:path arrowok="t"/>
              <v:fill type="solid"/>
            </v:shape>
            <v:shape style="position:absolute;left:3662;top:1578;width:6956;height:1287" coordorigin="3662,1579" coordsize="6956,1287" path="m3802,2865l3662,2726m3662,2865l3802,2726m5506,2707l5366,2567m5366,2707l5506,2567m7210,2354l7070,2215m7070,2354l7210,2215m8914,2015l8774,1874m8774,2015l8914,1874m10618,1718l10478,1579m10478,1718l10618,1579e" filled="false" stroked="true" strokeweight=".72pt" strokecolor="#7c5f9f">
              <v:path arrowok="t"/>
              <v:stroke dashstyle="solid"/>
            </v:shape>
            <v:shape style="position:absolute;left:3770;top:217;width:384;height:154" type="#_x0000_t75" stroked="false">
              <v:imagedata r:id="rId115" o:title=""/>
            </v:shape>
            <v:line style="position:absolute" from="3770,578" to="4154,578" stroked="true" strokeweight="2.16pt" strokecolor="#bd4a47">
              <v:stroke dashstyle="solid"/>
            </v:line>
            <v:rect style="position:absolute;left:3892;top:508;width:142;height:140" filled="true" fillcolor="#c0504d" stroked="false">
              <v:fill type="solid"/>
            </v:rect>
            <v:rect style="position:absolute;left:3892;top:508;width:142;height:140" filled="false" stroked="true" strokeweight=".72pt" strokecolor="#bd4a47">
              <v:stroke dashstyle="solid"/>
            </v:rect>
            <v:shape style="position:absolute;left:3770;top:781;width:384;height:156" type="#_x0000_t75" stroked="false">
              <v:imagedata r:id="rId116" o:title=""/>
            </v:shape>
            <v:shape style="position:absolute;left:3770;top:1065;width:384;height:156" type="#_x0000_t75" stroked="false">
              <v:imagedata r:id="rId117" o:title=""/>
            </v:shape>
            <v:shape style="position:absolute;left:4196;top:164;width:2140;height:111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DW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ml/kg)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MECH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(250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mg/kg)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MECH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(500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mg/kg)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MECH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(1,000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mg/kg)</w:t>
                    </w:r>
                  </w:p>
                </w:txbxContent>
              </v:textbox>
              <w10:wrap type="none"/>
            </v:shape>
            <v:shape style="position:absolute;left:7078;top:2872;width:1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366;top:3090;width:1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596"/>
      </w:pPr>
      <w:r>
        <w:rPr/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596"/>
      </w:pPr>
      <w:r>
        <w:rPr/>
        <w:pict>
          <v:shape style="position:absolute;margin-left:100.246643pt;margin-top:-20.979095pt;width:15.3pt;height:117.2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Mean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Body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Weight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t>150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596"/>
      </w:pPr>
      <w:r>
        <w:rPr/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716"/>
      </w:pPr>
      <w:r>
        <w:rPr/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836"/>
      </w:pPr>
      <w:r>
        <w:rPr/>
        <w:t>0</w:t>
      </w:r>
    </w:p>
    <w:p>
      <w:pPr>
        <w:pStyle w:val="BodyText"/>
        <w:tabs>
          <w:tab w:pos="2568" w:val="left" w:leader="none"/>
          <w:tab w:pos="4272" w:val="left" w:leader="none"/>
          <w:tab w:pos="5975" w:val="left" w:leader="none"/>
          <w:tab w:pos="7679" w:val="left" w:leader="none"/>
        </w:tabs>
        <w:spacing w:before="73"/>
        <w:ind w:left="864"/>
        <w:jc w:val="center"/>
      </w:pPr>
      <w:r>
        <w:rPr/>
        <w:t>0</w:t>
        <w:tab/>
        <w:t>1</w:t>
        <w:tab/>
        <w:t>2</w:t>
        <w:tab/>
        <w:t>3</w:t>
        <w:tab/>
        <w:t>4</w:t>
      </w:r>
    </w:p>
    <w:p>
      <w:pPr>
        <w:pStyle w:val="Heading1"/>
        <w:spacing w:before="151"/>
        <w:ind w:left="2708" w:right="1845"/>
        <w:jc w:val="center"/>
      </w:pPr>
      <w:r>
        <w:rPr/>
        <w:t>Duration</w:t>
      </w:r>
      <w:r>
        <w:rPr>
          <w:spacing w:val="-10"/>
        </w:rPr>
        <w:t> </w:t>
      </w:r>
      <w:r>
        <w:rPr/>
        <w:t>(Week)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90"/>
        <w:ind w:left="265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7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2"/>
          <w:sz w:val="24"/>
        </w:rPr>
        <w:t> </w:t>
      </w:r>
      <w:r>
        <w:rPr>
          <w:b/>
          <w:sz w:val="24"/>
        </w:rPr>
        <w:t>28-Days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7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2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7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7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of</w:t>
      </w:r>
    </w:p>
    <w:p>
      <w:pPr>
        <w:spacing w:before="0"/>
        <w:ind w:left="265" w:right="0" w:firstLine="0"/>
        <w:jc w:val="both"/>
        <w:rPr>
          <w:b/>
          <w:sz w:val="24"/>
        </w:rPr>
      </w:pPr>
      <w:r>
        <w:rPr>
          <w:b/>
          <w:i/>
          <w:sz w:val="24"/>
        </w:rPr>
        <w:t>Combretum hypopilinum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Weights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65" w:right="871"/>
        <w:jc w:val="both"/>
      </w:pP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SEM; </w:t>
      </w:r>
      <w:r>
        <w:rPr>
          <w:i/>
        </w:rPr>
        <w:t>*</w:t>
      </w:r>
      <w:r>
        <w:rPr>
          <w:i/>
          <w:spacing w:val="1"/>
        </w:rPr>
        <w:t> </w:t>
      </w:r>
      <w:r>
        <w:rPr>
          <w:i/>
        </w:rPr>
        <w:t>p</w:t>
      </w:r>
      <w:r>
        <w:rPr/>
        <w:t>≤0.05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(Repeated</w:t>
      </w:r>
      <w:r>
        <w:rPr>
          <w:spacing w:val="1"/>
        </w:rPr>
        <w:t> </w:t>
      </w:r>
      <w:r>
        <w:rPr/>
        <w:t>measure ANOVA followed by Dunnett’s post hoc test), DW= Distilled Water, MECH=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 of</w:t>
      </w:r>
      <w:r>
        <w:rPr>
          <w:spacing w:val="3"/>
        </w:rPr>
        <w:t> </w:t>
      </w:r>
      <w:r>
        <w:rPr>
          <w:i/>
        </w:rPr>
        <w:t>C. hypopilinum</w:t>
      </w:r>
      <w:r>
        <w:rPr/>
        <w:t>, n=6</w:t>
      </w:r>
    </w:p>
    <w:p>
      <w:pPr>
        <w:spacing w:after="0"/>
        <w:jc w:val="both"/>
        <w:sectPr>
          <w:pgSz w:w="12240" w:h="15840"/>
          <w:pgMar w:header="0" w:footer="294" w:top="1500" w:bottom="480" w:left="1720" w:right="540"/>
        </w:sectPr>
      </w:pPr>
    </w:p>
    <w:p>
      <w:pPr>
        <w:pStyle w:val="Heading1"/>
        <w:numPr>
          <w:ilvl w:val="2"/>
          <w:numId w:val="20"/>
        </w:numPr>
        <w:tabs>
          <w:tab w:pos="825" w:val="left" w:leader="none"/>
        </w:tabs>
        <w:spacing w:line="480" w:lineRule="auto" w:before="75" w:after="0"/>
        <w:ind w:left="265" w:right="875" w:firstLine="0"/>
        <w:jc w:val="both"/>
      </w:pPr>
      <w:r>
        <w:rPr/>
        <w:t>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on Relative Organ Weights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</w:p>
    <w:p>
      <w:pPr>
        <w:pStyle w:val="BodyText"/>
        <w:spacing w:line="480" w:lineRule="auto"/>
        <w:ind w:left="265" w:right="871"/>
        <w:jc w:val="both"/>
      </w:pPr>
      <w:r>
        <w:rPr/>
        <w:t>The repeated oral administration of MECH did not show significant (</w:t>
      </w:r>
      <w:r>
        <w:rPr>
          <w:i/>
        </w:rPr>
        <w:t>p</w:t>
      </w:r>
      <w:r>
        <w:rPr/>
        <w:t>&gt;0.05) changes in</w:t>
      </w:r>
      <w:r>
        <w:rPr>
          <w:spacing w:val="1"/>
        </w:rPr>
        <w:t> </w:t>
      </w:r>
      <w:r>
        <w:rPr/>
        <w:t>relative (liver, heart, lung, stomach and small intestine) weight. However, there was a</w:t>
      </w:r>
      <w:r>
        <w:rPr>
          <w:spacing w:val="1"/>
        </w:rPr>
        <w:t> </w:t>
      </w:r>
      <w:r>
        <w:rPr/>
        <w:t>significant (</w:t>
      </w:r>
      <w:r>
        <w:rPr>
          <w:i/>
        </w:rPr>
        <w:t>p</w:t>
      </w:r>
      <w:r>
        <w:rPr/>
        <w:t>≤0.05 and </w:t>
      </w:r>
      <w:r>
        <w:rPr>
          <w:i/>
        </w:rPr>
        <w:t>p </w:t>
      </w:r>
      <w:r>
        <w:rPr/>
        <w:t>≤0.01) decrease in relative kidney weight in groups treated with</w:t>
      </w:r>
      <w:r>
        <w:rPr>
          <w:spacing w:val="1"/>
        </w:rPr>
        <w:t> </w:t>
      </w:r>
      <w:r>
        <w:rPr/>
        <w:t>500 and 1,000 mg/kg of MECH, respectively, compared with the control group (Figure</w:t>
      </w:r>
      <w:r>
        <w:rPr>
          <w:spacing w:val="1"/>
        </w:rPr>
        <w:t> </w:t>
      </w:r>
      <w:r>
        <w:rPr/>
        <w:t>4.10).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before="102"/>
        <w:ind w:right="9017"/>
        <w:jc w:val="right"/>
      </w:pPr>
      <w:r>
        <w:rPr/>
        <w:pict>
          <v:group style="position:absolute;margin-left:140.639999pt;margin-top:11.963099pt;width:411.75pt;height:292.8pt;mso-position-horizontal-relative:page;mso-position-vertical-relative:paragraph;z-index:15750144" coordorigin="2813,239" coordsize="8235,5856">
            <v:shape style="position:absolute;left:3017;top:4737;width:352;height:1287" type="#_x0000_t75" stroked="false">
              <v:imagedata r:id="rId118" o:title=""/>
            </v:shape>
            <v:shape style="position:absolute;left:3249;top:5003;width:382;height:1021" type="#_x0000_t75" stroked="false">
              <v:imagedata r:id="rId119" o:title=""/>
            </v:shape>
            <v:shape style="position:absolute;left:3496;top:5068;width:382;height:956" type="#_x0000_t75" stroked="false">
              <v:imagedata r:id="rId120" o:title=""/>
            </v:shape>
            <v:shape style="position:absolute;left:3744;top:5221;width:382;height:802" type="#_x0000_t75" stroked="false">
              <v:imagedata r:id="rId121" o:title=""/>
            </v:shape>
            <v:shape style="position:absolute;left:3030;top:4709;width:315;height:1314" type="#_x0000_t75" stroked="false">
              <v:imagedata r:id="rId122" o:title=""/>
            </v:shape>
            <v:shape style="position:absolute;left:3270;top:4994;width:330;height:1029" type="#_x0000_t75" stroked="false">
              <v:imagedata r:id="rId123" o:title=""/>
            </v:shape>
            <v:shape style="position:absolute;left:3525;top:5054;width:315;height:969" type="#_x0000_t75" stroked="false">
              <v:imagedata r:id="rId124" o:title=""/>
            </v:shape>
            <v:shape style="position:absolute;left:3765;top:5204;width:330;height:819" type="#_x0000_t75" stroked="false">
              <v:imagedata r:id="rId125" o:title=""/>
            </v:shape>
            <v:line style="position:absolute" from="3183,4740" to="3203,4740" stroked="true" strokeweight="1.29pt" strokecolor="#000000">
              <v:stroke dashstyle="solid"/>
            </v:line>
            <v:line style="position:absolute" from="3148,4727" to="3238,4727" stroked="true" strokeweight="1pt" strokecolor="#000000">
              <v:stroke dashstyle="solid"/>
            </v:line>
            <v:line style="position:absolute" from="3431,5010" to="3451,5010" stroked="true" strokeweight="2.57pt" strokecolor="#000000">
              <v:stroke dashstyle="solid"/>
            </v:line>
            <v:shape style="position:absolute;left:3395;top:4983;width:337;height:116" coordorigin="3396,4984" coordsize="337,116" path="m3396,4984l3486,4984m3688,5099l3688,5099,3688,4997m3643,4997l3733,4997e" filled="false" stroked="true" strokeweight="1pt" strokecolor="#000000">
              <v:path arrowok="t"/>
              <v:stroke dashstyle="solid"/>
            </v:shape>
            <v:line style="position:absolute" from="3925,5221" to="3945,5221" stroked="true" strokeweight="3.21pt" strokecolor="#000000">
              <v:stroke dashstyle="solid"/>
            </v:line>
            <v:line style="position:absolute" from="3890,5189" to="3980,5189" stroked="true" strokeweight="1pt" strokecolor="#000000">
              <v:stroke dashstyle="solid"/>
            </v:line>
            <v:shape style="position:absolute;left:4376;top:923;width:352;height:5100" type="#_x0000_t75" stroked="false">
              <v:imagedata r:id="rId126" o:title=""/>
            </v:shape>
            <v:shape style="position:absolute;left:4608;top:1847;width:382;height:4177" type="#_x0000_t75" stroked="false">
              <v:imagedata r:id="rId127" o:title=""/>
            </v:shape>
            <v:shape style="position:absolute;left:4855;top:2975;width:382;height:3049" type="#_x0000_t75" stroked="false">
              <v:imagedata r:id="rId128" o:title=""/>
            </v:shape>
            <v:shape style="position:absolute;left:5102;top:1230;width:382;height:4794" type="#_x0000_t75" stroked="false">
              <v:imagedata r:id="rId129" o:title=""/>
            </v:shape>
            <v:shape style="position:absolute;left:4380;top:899;width:330;height:5124" type="#_x0000_t75" stroked="false">
              <v:imagedata r:id="rId130" o:title=""/>
            </v:shape>
            <v:shape style="position:absolute;left:4635;top:1829;width:315;height:4194" type="#_x0000_t75" stroked="false">
              <v:imagedata r:id="rId131" o:title=""/>
            </v:shape>
            <v:shape style="position:absolute;left:4875;top:2969;width:330;height:3054" type="#_x0000_t75" stroked="false">
              <v:imagedata r:id="rId132" o:title=""/>
            </v:shape>
            <v:shape style="position:absolute;left:5130;top:1214;width:315;height:4809" type="#_x0000_t75" stroked="false">
              <v:imagedata r:id="rId133" o:title=""/>
            </v:shape>
            <v:shape style="position:absolute;left:4507;top:632;width:832;height:2375" coordorigin="4508,632" coordsize="832,2375" path="m4553,940l4553,940,4553,632m4508,632l4598,632m4800,1877l4800,1877,4800,1775m4755,1775l4845,1775m5047,3007l5047,3007,5047,1479m5002,1479l5092,1479m5294,1261l5294,1261,5294,1056m5249,1056l5339,1056e" filled="false" stroked="true" strokeweight="1pt" strokecolor="#000000">
              <v:path arrowok="t"/>
              <v:stroke dashstyle="solid"/>
            </v:shape>
            <v:shape style="position:absolute;left:5736;top:5442;width:352;height:581" type="#_x0000_t75" stroked="false">
              <v:imagedata r:id="rId134" o:title=""/>
            </v:shape>
            <v:shape style="position:absolute;left:5968;top:5711;width:382;height:313" type="#_x0000_t75" stroked="false">
              <v:imagedata r:id="rId135" o:title=""/>
            </v:shape>
            <v:shape style="position:absolute;left:6216;top:5516;width:382;height:507" type="#_x0000_t75" stroked="false">
              <v:imagedata r:id="rId136" o:title=""/>
            </v:shape>
            <v:shape style="position:absolute;left:6463;top:5620;width:382;height:404" type="#_x0000_t75" stroked="false">
              <v:imagedata r:id="rId137" o:title=""/>
            </v:shape>
            <v:shape style="position:absolute;left:5745;top:5414;width:315;height:609" type="#_x0000_t75" stroked="false">
              <v:imagedata r:id="rId138" o:title=""/>
            </v:shape>
            <v:shape style="position:absolute;left:5985;top:5699;width:330;height:324" type="#_x0000_t75" stroked="false">
              <v:imagedata r:id="rId139" o:title=""/>
            </v:shape>
            <v:shape style="position:absolute;left:6240;top:5504;width:315;height:519" type="#_x0000_t75" stroked="false">
              <v:imagedata r:id="rId140" o:title=""/>
            </v:shape>
            <v:shape style="position:absolute;left:6480;top:5609;width:330;height:414" type="#_x0000_t75" stroked="false">
              <v:imagedata r:id="rId141" o:title=""/>
            </v:shape>
            <v:shape style="position:absolute;left:5867;top:5330;width:337;height:411" coordorigin="5867,5330" coordsize="337,411" path="m5912,5459l5912,5459,5912,5330m5867,5330l5957,5330m6159,5741l6159,5741,6159,5600m6114,5600l6204,5600e" filled="false" stroked="true" strokeweight="1pt" strokecolor="#000000">
              <v:path arrowok="t"/>
              <v:stroke dashstyle="solid"/>
            </v:shape>
            <v:line style="position:absolute" from="6396,5529" to="6416,5529" stroked="true" strokeweight="1.92pt" strokecolor="#000000">
              <v:stroke dashstyle="solid"/>
            </v:line>
            <v:line style="position:absolute" from="6361,5510" to="6451,5510" stroked="true" strokeweight="1pt" strokecolor="#000000">
              <v:stroke dashstyle="solid"/>
            </v:line>
            <v:line style="position:absolute" from="6643,5645" to="6663,5645" stroked="true" strokeweight=".64pt" strokecolor="#000000">
              <v:stroke dashstyle="solid"/>
            </v:line>
            <v:line style="position:absolute" from="6608,5639" to="6698,5639" stroked="true" strokeweight="1pt" strokecolor="#000000">
              <v:stroke dashstyle="solid"/>
            </v:line>
            <v:shape style="position:absolute;left:7095;top:4389;width:352;height:1635" type="#_x0000_t75" stroked="false">
              <v:imagedata r:id="rId142" o:title=""/>
            </v:shape>
            <v:shape style="position:absolute;left:7327;top:4554;width:382;height:1470" type="#_x0000_t75" stroked="false">
              <v:imagedata r:id="rId143" o:title=""/>
            </v:shape>
            <v:shape style="position:absolute;left:7574;top:4554;width:382;height:1470" type="#_x0000_t75" stroked="false">
              <v:imagedata r:id="rId143" o:title=""/>
            </v:shape>
            <v:shape style="position:absolute;left:7821;top:4991;width:382;height:1033" type="#_x0000_t75" stroked="false">
              <v:imagedata r:id="rId144" o:title=""/>
            </v:shape>
            <v:shape style="position:absolute;left:7110;top:4364;width:315;height:1659" type="#_x0000_t75" stroked="false">
              <v:imagedata r:id="rId145" o:title=""/>
            </v:shape>
            <v:shape style="position:absolute;left:7350;top:4544;width:315;height:1479" type="#_x0000_t75" stroked="false">
              <v:imagedata r:id="rId146" o:title=""/>
            </v:shape>
            <v:shape style="position:absolute;left:7590;top:4544;width:330;height:1479" type="#_x0000_t75" stroked="false">
              <v:imagedata r:id="rId147" o:title=""/>
            </v:shape>
            <v:shape style="position:absolute;left:7845;top:4979;width:315;height:1044" type="#_x0000_t75" stroked="false">
              <v:imagedata r:id="rId148" o:title=""/>
            </v:shape>
            <v:shape style="position:absolute;left:7226;top:4175;width:585;height:411" coordorigin="7226,4175" coordsize="585,411" path="m7271,4406l7271,4406,7271,4175m7226,4175l7316,4175m7518,4586l7518,4586,7518,4419m7473,4419l7563,4419m7765,4586l7765,4586,7765,4316m7720,4316l7810,4316e" filled="false" stroked="true" strokeweight="1pt" strokecolor="#000000">
              <v:path arrowok="t"/>
              <v:stroke dashstyle="solid"/>
            </v:shape>
            <v:line style="position:absolute" from="8003,4984" to="8023,4984" stroked="true" strokeweight="3.85pt" strokecolor="#000000">
              <v:stroke dashstyle="solid"/>
            </v:line>
            <v:line style="position:absolute" from="7968,4945" to="8058,4945" stroked="true" strokeweight="1pt" strokecolor="#000000">
              <v:stroke dashstyle="solid"/>
            </v:line>
            <v:shape style="position:absolute;left:8456;top:4427;width:352;height:1596" type="#_x0000_t75" stroked="false">
              <v:imagedata r:id="rId149" o:title=""/>
            </v:shape>
            <v:shape style="position:absolute;left:8688;top:4451;width:380;height:1573" type="#_x0000_t75" stroked="false">
              <v:imagedata r:id="rId150" o:title=""/>
            </v:shape>
            <v:shape style="position:absolute;left:8932;top:4273;width:382;height:1750" type="#_x0000_t75" stroked="false">
              <v:imagedata r:id="rId151" o:title=""/>
            </v:shape>
            <v:shape style="position:absolute;left:9180;top:4170;width:382;height:1854" type="#_x0000_t75" stroked="false">
              <v:imagedata r:id="rId152" o:title=""/>
            </v:shape>
            <v:shape style="position:absolute;left:8460;top:4394;width:330;height:1629" type="#_x0000_t75" stroked="false">
              <v:imagedata r:id="rId153" o:title=""/>
            </v:shape>
            <v:shape style="position:absolute;left:8715;top:4439;width:315;height:1584" type="#_x0000_t75" stroked="false">
              <v:imagedata r:id="rId154" o:title=""/>
            </v:shape>
            <v:shape style="position:absolute;left:8955;top:4259;width:330;height:1764" type="#_x0000_t75" stroked="false">
              <v:imagedata r:id="rId155" o:title=""/>
            </v:shape>
            <v:shape style="position:absolute;left:9210;top:4154;width:315;height:1869" type="#_x0000_t75" stroked="false">
              <v:imagedata r:id="rId156" o:title=""/>
            </v:shape>
            <v:shape style="position:absolute;left:8585;top:3982;width:832;height:501" coordorigin="8585,3983" coordsize="832,501" path="m8630,4445l8630,4445,8630,4214m8585,4214l8675,4214m8878,4483l8878,4483,8878,4124m8833,4124l8923,4124m9125,4303l9125,4303,9125,4034m9080,4034l9170,4034m9372,4201l9372,4201,9372,3983m9327,3983l9417,3983e" filled="false" stroked="true" strokeweight="1pt" strokecolor="#000000">
              <v:path arrowok="t"/>
              <v:stroke dashstyle="solid"/>
            </v:shape>
            <v:shape style="position:absolute;left:9814;top:2978;width:352;height:3046" type="#_x0000_t75" stroked="false">
              <v:imagedata r:id="rId157" o:title=""/>
            </v:shape>
            <v:shape style="position:absolute;left:10046;top:3013;width:382;height:3010" type="#_x0000_t75" stroked="false">
              <v:imagedata r:id="rId158" o:title=""/>
            </v:shape>
            <v:shape style="position:absolute;left:10293;top:2975;width:382;height:3049" type="#_x0000_t75" stroked="false">
              <v:imagedata r:id="rId159" o:title=""/>
            </v:shape>
            <v:shape style="position:absolute;left:10540;top:3028;width:382;height:2996" type="#_x0000_t75" stroked="false">
              <v:imagedata r:id="rId160" o:title=""/>
            </v:shape>
            <v:shape style="position:absolute;left:9825;top:2954;width:315;height:3069" type="#_x0000_t75" stroked="false">
              <v:imagedata r:id="rId161" o:title=""/>
            </v:shape>
            <v:shape style="position:absolute;left:10065;top:2999;width:330;height:3024" type="#_x0000_t75" stroked="false">
              <v:imagedata r:id="rId162" o:title=""/>
            </v:shape>
            <v:shape style="position:absolute;left:10320;top:2969;width:315;height:3054" type="#_x0000_t75" stroked="false">
              <v:imagedata r:id="rId163" o:title=""/>
            </v:shape>
            <v:shape style="position:absolute;left:10560;top:3014;width:330;height:3009" type="#_x0000_t75" stroked="false">
              <v:imagedata r:id="rId164" o:title=""/>
            </v:shape>
            <v:line style="position:absolute" from="9980,2968" to="10000,2968" stroked="true" strokeweight="2.56pt" strokecolor="#000000">
              <v:stroke dashstyle="solid"/>
            </v:line>
            <v:line style="position:absolute" from="9945,2943" to="10035,2943" stroked="true" strokeweight="1pt" strokecolor="#000000">
              <v:stroke dashstyle="solid"/>
            </v:line>
            <v:line style="position:absolute" from="10227,3039" to="10247,3039" stroked="true" strokeweight=".64pt" strokecolor="#000000">
              <v:stroke dashstyle="solid"/>
            </v:line>
            <v:line style="position:absolute" from="10192,3033" to="10282,3033" stroked="true" strokeweight="1pt" strokecolor="#000000">
              <v:stroke dashstyle="solid"/>
            </v:line>
            <v:line style="position:absolute" from="10474,2988" to="10494,2988" stroked="true" strokeweight="1.93pt" strokecolor="#000000">
              <v:stroke dashstyle="solid"/>
            </v:line>
            <v:line style="position:absolute" from="10439,2968" to="10529,2968" stroked="true" strokeweight="1pt" strokecolor="#000000">
              <v:stroke dashstyle="solid"/>
            </v:line>
            <v:line style="position:absolute" from="10721,3045" to="10741,3045" stroked="true" strokeweight="1.28pt" strokecolor="#000000">
              <v:stroke dashstyle="solid"/>
            </v:line>
            <v:line style="position:absolute" from="10686,3033" to="10776,3033" stroked="true" strokeweight="1pt" strokecolor="#000000">
              <v:stroke dashstyle="solid"/>
            </v:line>
            <v:shape style="position:absolute;left:2812;top:246;width:72;height:5777" coordorigin="2813,246" coordsize="72,5777" path="m2885,6023l2885,246m2813,6023l2885,6023m2813,5382l2885,5382m2813,4739l2885,4739m2813,4098l2885,4098m2813,3455l2885,3455m2813,2814l2885,2814m2813,2171l2885,2171m2813,1530l2885,1530m2813,887l2885,887m2813,246l2885,246e" filled="false" stroked="true" strokeweight=".72pt" strokecolor="#858585">
              <v:path arrowok="t"/>
              <v:stroke dashstyle="solid"/>
            </v:shape>
            <v:shape style="position:absolute;left:2884;top:6023;width:8156;height:72" coordorigin="2885,6023" coordsize="8156,72" path="m2885,6023l11040,6023m2885,6023l2885,6095m4243,6023l4243,6095m5604,6023l5604,6095m6962,6023l6962,6095m8321,6023l8321,6095m9682,6023l9682,6095m11040,6023l11040,6095e" filled="false" stroked="true" strokeweight=".72pt" strokecolor="#858585">
              <v:path arrowok="t"/>
              <v:stroke dashstyle="solid"/>
            </v:shape>
            <v:shape style="position:absolute;left:8340;top:314;width:135;height:135" type="#_x0000_t75" stroked="false">
              <v:imagedata r:id="rId165" o:title=""/>
            </v:shape>
            <v:shape style="position:absolute;left:8340;top:569;width:135;height:135" type="#_x0000_t75" stroked="false">
              <v:imagedata r:id="rId166" o:title=""/>
            </v:shape>
            <v:shape style="position:absolute;left:8340;top:839;width:135;height:135" type="#_x0000_t75" stroked="false">
              <v:imagedata r:id="rId167" o:title=""/>
            </v:shape>
            <v:shape style="position:absolute;left:8340;top:1109;width:135;height:135" type="#_x0000_t75" stroked="false">
              <v:imagedata r:id="rId168" o:title=""/>
            </v:shape>
            <v:shape style="position:absolute;left:8532;top:253;width:2141;height:1066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DW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ml/kg)</w:t>
                    </w:r>
                  </w:p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MECH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(250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mg/kg)</w:t>
                    </w:r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MECH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(500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mg/kg)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MECH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(1,000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mg/kg)</w:t>
                    </w:r>
                  </w:p>
                </w:txbxContent>
              </v:textbox>
              <w10:wrap type="none"/>
            </v:shape>
            <v:shape style="position:absolute;left:3624;top:4862;width:477;height:415" type="#_x0000_t202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position w:val="14"/>
                        <w:sz w:val="24"/>
                      </w:rPr>
                      <w:t>*</w:t>
                    </w:r>
                    <w:r>
                      <w:rPr>
                        <w:spacing w:val="36"/>
                        <w:position w:val="1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4.5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right="9019"/>
        <w:jc w:val="right"/>
      </w:pPr>
      <w:r>
        <w:rPr/>
        <w:t>4</w:t>
      </w:r>
    </w:p>
    <w:p>
      <w:pPr>
        <w:pStyle w:val="BodyText"/>
      </w:pPr>
    </w:p>
    <w:p>
      <w:pPr>
        <w:pStyle w:val="BodyText"/>
        <w:spacing w:before="90"/>
        <w:ind w:left="660"/>
      </w:pPr>
      <w:r>
        <w:rPr/>
        <w:pict>
          <v:shape style="position:absolute;margin-left:100.246643pt;margin-top:-7.724621pt;width:15.3pt;height:199.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Mean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Relative organ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to Body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ratio(%)</w:t>
                  </w:r>
                </w:p>
              </w:txbxContent>
            </v:textbox>
            <w10:wrap type="none"/>
          </v:shape>
        </w:pict>
      </w:r>
      <w:r>
        <w:rPr/>
        <w:t>3.5</w:t>
      </w:r>
    </w:p>
    <w:p>
      <w:pPr>
        <w:pStyle w:val="BodyText"/>
      </w:pPr>
    </w:p>
    <w:p>
      <w:pPr>
        <w:pStyle w:val="BodyText"/>
        <w:spacing w:before="90"/>
        <w:ind w:left="838"/>
      </w:pPr>
      <w:r>
        <w:rPr/>
        <w:t>3</w:t>
      </w:r>
    </w:p>
    <w:p>
      <w:pPr>
        <w:pStyle w:val="BodyText"/>
      </w:pPr>
    </w:p>
    <w:p>
      <w:pPr>
        <w:pStyle w:val="BodyText"/>
        <w:spacing w:before="90"/>
        <w:ind w:left="660"/>
      </w:pPr>
      <w:r>
        <w:rPr/>
        <w:t>2.5</w:t>
      </w:r>
    </w:p>
    <w:p>
      <w:pPr>
        <w:pStyle w:val="BodyText"/>
      </w:pPr>
    </w:p>
    <w:p>
      <w:pPr>
        <w:pStyle w:val="BodyText"/>
        <w:spacing w:before="90"/>
        <w:ind w:left="838"/>
      </w:pPr>
      <w:r>
        <w:rPr/>
        <w:t>2</w:t>
      </w:r>
    </w:p>
    <w:p>
      <w:pPr>
        <w:pStyle w:val="BodyText"/>
      </w:pPr>
    </w:p>
    <w:p>
      <w:pPr>
        <w:pStyle w:val="BodyText"/>
        <w:spacing w:before="90"/>
        <w:ind w:left="660"/>
      </w:pPr>
      <w:r>
        <w:rPr/>
        <w:t>1.5</w:t>
      </w:r>
    </w:p>
    <w:p>
      <w:pPr>
        <w:pStyle w:val="BodyText"/>
      </w:pPr>
    </w:p>
    <w:p>
      <w:pPr>
        <w:pStyle w:val="BodyText"/>
        <w:spacing w:before="90"/>
        <w:ind w:left="838"/>
      </w:pPr>
      <w:r>
        <w:rPr/>
        <w:t>1</w:t>
      </w:r>
    </w:p>
    <w:p>
      <w:pPr>
        <w:pStyle w:val="BodyText"/>
      </w:pPr>
    </w:p>
    <w:p>
      <w:pPr>
        <w:pStyle w:val="BodyText"/>
        <w:spacing w:before="90"/>
        <w:ind w:left="660"/>
      </w:pPr>
      <w:r>
        <w:rPr/>
        <w:t>0.5</w:t>
      </w:r>
    </w:p>
    <w:p>
      <w:pPr>
        <w:pStyle w:val="BodyText"/>
      </w:pPr>
    </w:p>
    <w:p>
      <w:pPr>
        <w:pStyle w:val="BodyText"/>
        <w:spacing w:before="90"/>
        <w:ind w:left="838"/>
      </w:pPr>
      <w:r>
        <w:rPr/>
        <w:t>0</w:t>
      </w:r>
    </w:p>
    <w:p>
      <w:pPr>
        <w:pStyle w:val="BodyText"/>
        <w:tabs>
          <w:tab w:pos="2946" w:val="left" w:leader="none"/>
          <w:tab w:pos="4297" w:val="left" w:leader="none"/>
          <w:tab w:pos="5673" w:val="left" w:leader="none"/>
          <w:tab w:pos="6862" w:val="left" w:leader="none"/>
          <w:tab w:pos="8360" w:val="left" w:leader="none"/>
        </w:tabs>
        <w:spacing w:before="73"/>
        <w:ind w:left="1493"/>
      </w:pPr>
      <w:r>
        <w:rPr/>
        <w:t>Kidney</w:t>
        <w:tab/>
        <w:t>Liver</w:t>
        <w:tab/>
        <w:t>Heart</w:t>
        <w:tab/>
        <w:t>Lung</w:t>
        <w:tab/>
        <w:t>Stomach</w:t>
        <w:tab/>
        <w:t>Small</w:t>
      </w:r>
    </w:p>
    <w:p>
      <w:pPr>
        <w:spacing w:after="0"/>
        <w:sectPr>
          <w:pgSz w:w="12240" w:h="15840"/>
          <w:pgMar w:header="0" w:footer="294" w:top="1500" w:bottom="480" w:left="1720" w:right="540"/>
        </w:sectPr>
      </w:pPr>
    </w:p>
    <w:p>
      <w:pPr>
        <w:pStyle w:val="Heading1"/>
        <w:spacing w:before="89"/>
        <w:ind w:left="0"/>
        <w:jc w:val="right"/>
      </w:pPr>
      <w:r>
        <w:rPr/>
        <w:t>Organs</w:t>
      </w:r>
    </w:p>
    <w:p>
      <w:pPr>
        <w:pStyle w:val="BodyText"/>
        <w:ind w:left="2569"/>
      </w:pPr>
      <w:r>
        <w:rPr/>
        <w:br w:type="column"/>
      </w:r>
      <w:r>
        <w:rPr/>
        <w:t>Intestine</w:t>
      </w:r>
    </w:p>
    <w:p>
      <w:pPr>
        <w:spacing w:after="0"/>
        <w:sectPr>
          <w:type w:val="continuous"/>
          <w:pgSz w:w="12240" w:h="15840"/>
          <w:pgMar w:top="1340" w:bottom="280" w:left="1720" w:right="540"/>
          <w:cols w:num="2" w:equalWidth="0">
            <w:col w:w="5622" w:space="40"/>
            <w:col w:w="4318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spacing w:before="90"/>
        <w:ind w:left="265"/>
      </w:pPr>
      <w:r>
        <w:rPr/>
        <w:t>Figure</w:t>
      </w:r>
      <w:r>
        <w:rPr>
          <w:spacing w:val="59"/>
        </w:rPr>
        <w:t> </w:t>
      </w:r>
      <w:r>
        <w:rPr/>
        <w:t>4.10:</w:t>
      </w:r>
      <w:r>
        <w:rPr>
          <w:spacing w:val="60"/>
        </w:rPr>
        <w:t> </w:t>
      </w:r>
      <w:r>
        <w:rPr/>
        <w:t>Effect</w:t>
      </w:r>
      <w:r>
        <w:rPr>
          <w:spacing w:val="3"/>
        </w:rPr>
        <w:t> </w:t>
      </w:r>
      <w:r>
        <w:rPr/>
        <w:t>of</w:t>
      </w:r>
      <w:r>
        <w:rPr>
          <w:spacing w:val="60"/>
        </w:rPr>
        <w:t> </w:t>
      </w:r>
      <w:r>
        <w:rPr/>
        <w:t>28-Days</w:t>
      </w:r>
      <w:r>
        <w:rPr>
          <w:spacing w:val="60"/>
        </w:rPr>
        <w:t> </w:t>
      </w:r>
      <w:r>
        <w:rPr/>
        <w:t>Oral</w:t>
      </w:r>
      <w:r>
        <w:rPr>
          <w:spacing w:val="61"/>
        </w:rPr>
        <w:t> </w:t>
      </w:r>
      <w:r>
        <w:rPr/>
        <w:t>Administration</w:t>
      </w:r>
      <w:r>
        <w:rPr>
          <w:spacing w:val="62"/>
        </w:rPr>
        <w:t> </w:t>
      </w:r>
      <w:r>
        <w:rPr/>
        <w:t>of</w:t>
      </w:r>
      <w:r>
        <w:rPr>
          <w:spacing w:val="63"/>
        </w:rPr>
        <w:t> </w:t>
      </w:r>
      <w:r>
        <w:rPr/>
        <w:t>Methanol</w:t>
      </w:r>
      <w:r>
        <w:rPr>
          <w:spacing w:val="60"/>
        </w:rPr>
        <w:t> </w:t>
      </w:r>
      <w:r>
        <w:rPr/>
        <w:t>Leaf</w:t>
      </w:r>
      <w:r>
        <w:rPr>
          <w:spacing w:val="62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</w:p>
    <w:p>
      <w:pPr>
        <w:spacing w:before="0"/>
        <w:ind w:left="265" w:right="0" w:firstLine="0"/>
        <w:jc w:val="both"/>
        <w:rPr>
          <w:b/>
          <w:sz w:val="24"/>
        </w:rPr>
      </w:pPr>
      <w:r>
        <w:rPr>
          <w:b/>
          <w:i/>
          <w:sz w:val="24"/>
        </w:rPr>
        <w:t>Combretum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Weights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65" w:right="877"/>
        <w:jc w:val="both"/>
      </w:pPr>
      <w:r>
        <w:rPr/>
        <w:t>Data are presented as Mean ± SEM; </w:t>
      </w:r>
      <w:r>
        <w:rPr>
          <w:i/>
        </w:rPr>
        <w:t>* p</w:t>
      </w:r>
      <w:r>
        <w:rPr/>
        <w:t>≤0.05 and ** </w:t>
      </w:r>
      <w:r>
        <w:rPr>
          <w:i/>
        </w:rPr>
        <w:t>p</w:t>
      </w:r>
      <w:r>
        <w:rPr/>
        <w:t>≤0.01 compared to control group</w:t>
      </w:r>
      <w:r>
        <w:rPr>
          <w:spacing w:val="1"/>
        </w:rPr>
        <w:t> </w:t>
      </w:r>
      <w:r>
        <w:rPr/>
        <w:t>(One Way ANOVA followed by Dunnett’s post hoc test), DW= distilled water, MECH=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 of</w:t>
      </w:r>
      <w:r>
        <w:rPr>
          <w:spacing w:val="3"/>
        </w:rPr>
        <w:t> </w:t>
      </w:r>
      <w:r>
        <w:rPr>
          <w:i/>
        </w:rPr>
        <w:t>C. hypopilinum</w:t>
      </w:r>
      <w:r>
        <w:rPr/>
        <w:t>, n=3</w:t>
      </w:r>
    </w:p>
    <w:p>
      <w:pPr>
        <w:spacing w:after="0"/>
        <w:jc w:val="both"/>
        <w:sectPr>
          <w:type w:val="continuous"/>
          <w:pgSz w:w="12240" w:h="15840"/>
          <w:pgMar w:top="1340" w:bottom="280" w:left="1720" w:right="540"/>
        </w:sectPr>
      </w:pPr>
    </w:p>
    <w:p>
      <w:pPr>
        <w:pStyle w:val="Heading1"/>
        <w:numPr>
          <w:ilvl w:val="2"/>
          <w:numId w:val="20"/>
        </w:numPr>
        <w:tabs>
          <w:tab w:pos="825" w:val="left" w:leader="none"/>
        </w:tabs>
        <w:spacing w:line="480" w:lineRule="auto" w:before="75" w:after="0"/>
        <w:ind w:left="265" w:right="875" w:firstLine="0"/>
        <w:jc w:val="both"/>
      </w:pPr>
      <w:bookmarkStart w:name="_TOC_250012" w:id="63"/>
      <w:r>
        <w:rPr/>
        <w:t>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on Hepatic</w:t>
      </w:r>
      <w:r>
        <w:rPr>
          <w:spacing w:val="-4"/>
        </w:rPr>
        <w:t> </w:t>
      </w:r>
      <w:r>
        <w:rPr/>
        <w:t>Parameters of</w:t>
      </w:r>
      <w:r>
        <w:rPr>
          <w:spacing w:val="1"/>
        </w:rPr>
        <w:t> </w:t>
      </w:r>
      <w:bookmarkEnd w:id="63"/>
      <w:r>
        <w:rPr/>
        <w:t>Rats</w:t>
      </w:r>
    </w:p>
    <w:p>
      <w:pPr>
        <w:pStyle w:val="BodyText"/>
        <w:spacing w:line="480" w:lineRule="auto"/>
        <w:ind w:left="265" w:right="874"/>
        <w:jc w:val="both"/>
      </w:pPr>
      <w:r>
        <w:rPr/>
        <w:t>The</w:t>
      </w:r>
      <w:r>
        <w:rPr>
          <w:spacing w:val="16"/>
        </w:rPr>
        <w:t> </w:t>
      </w:r>
      <w:r>
        <w:rPr/>
        <w:t>repeated</w:t>
      </w:r>
      <w:r>
        <w:rPr>
          <w:spacing w:val="18"/>
        </w:rPr>
        <w:t> </w:t>
      </w:r>
      <w:r>
        <w:rPr/>
        <w:t>oral</w:t>
      </w:r>
      <w:r>
        <w:rPr>
          <w:spacing w:val="19"/>
        </w:rPr>
        <w:t> </w:t>
      </w:r>
      <w:r>
        <w:rPr/>
        <w:t>administration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MECH</w:t>
      </w:r>
      <w:r>
        <w:rPr>
          <w:spacing w:val="19"/>
        </w:rPr>
        <w:t> </w:t>
      </w:r>
      <w:r>
        <w:rPr/>
        <w:t>did</w:t>
      </w:r>
      <w:r>
        <w:rPr>
          <w:spacing w:val="20"/>
        </w:rPr>
        <w:t> </w:t>
      </w:r>
      <w:r>
        <w:rPr/>
        <w:t>not</w:t>
      </w:r>
      <w:r>
        <w:rPr>
          <w:spacing w:val="18"/>
        </w:rPr>
        <w:t> </w:t>
      </w:r>
      <w:r>
        <w:rPr/>
        <w:t>show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(</w:t>
      </w:r>
      <w:r>
        <w:rPr>
          <w:i/>
        </w:rPr>
        <w:t>p</w:t>
      </w:r>
      <w:r>
        <w:rPr/>
        <w:t>&gt;0.05)</w:t>
      </w:r>
      <w:r>
        <w:rPr>
          <w:spacing w:val="17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in hepatic biomarkers such as ALT, AST, total protein, albumin, total bilirubin and direct</w:t>
      </w:r>
      <w:r>
        <w:rPr>
          <w:spacing w:val="1"/>
        </w:rPr>
        <w:t> </w:t>
      </w:r>
      <w:r>
        <w:rPr/>
        <w:t>bilirubin.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a 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≤0.01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</w:t>
      </w:r>
      <w:r>
        <w:rPr/>
        <w:t>≤0.001) decrease in</w:t>
      </w:r>
      <w:r>
        <w:rPr>
          <w:spacing w:val="1"/>
        </w:rPr>
        <w:t> </w:t>
      </w:r>
      <w:r>
        <w:rPr/>
        <w:t>ALP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groups treated with 500 and 1,000 mg/kg of the extract, respectively. Also, a 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≤0.01) reduction in glucose was observed in the group treated with the highest dose</w:t>
      </w:r>
      <w:r>
        <w:rPr>
          <w:spacing w:val="1"/>
        </w:rPr>
        <w:t> </w:t>
      </w:r>
      <w:r>
        <w:rPr/>
        <w:t>(1,000</w:t>
      </w:r>
      <w:r>
        <w:rPr>
          <w:spacing w:val="-1"/>
        </w:rPr>
        <w:t> </w:t>
      </w:r>
      <w:r>
        <w:rPr/>
        <w:t>mg/kg)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extract</w:t>
      </w:r>
      <w:r>
        <w:rPr>
          <w:spacing w:val="1"/>
        </w:rPr>
        <w:t> </w:t>
      </w:r>
      <w:r>
        <w:rPr/>
        <w:t>compared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group (Table 4.3).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720" w:right="54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spacing w:line="480" w:lineRule="auto" w:before="90" w:after="9"/>
        <w:ind w:left="543" w:right="590"/>
        <w:jc w:val="left"/>
      </w:pPr>
      <w:r>
        <w:rPr/>
        <w:t>Table</w:t>
      </w:r>
      <w:r>
        <w:rPr>
          <w:spacing w:val="1"/>
        </w:rPr>
        <w:t> </w:t>
      </w:r>
      <w:r>
        <w:rPr/>
        <w:t>4.3: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28-Days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Hepatic</w:t>
      </w:r>
      <w:r>
        <w:rPr>
          <w:spacing w:val="-57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7"/>
        <w:gridCol w:w="1499"/>
        <w:gridCol w:w="1544"/>
        <w:gridCol w:w="1619"/>
        <w:gridCol w:w="1391"/>
        <w:gridCol w:w="1587"/>
        <w:gridCol w:w="1402"/>
        <w:gridCol w:w="1501"/>
        <w:gridCol w:w="1670"/>
      </w:tblGrid>
      <w:tr>
        <w:trPr>
          <w:trHeight w:val="272" w:hRule="atLeast"/>
        </w:trPr>
        <w:tc>
          <w:tcPr>
            <w:tcW w:w="1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31"/>
              <w:rPr>
                <w:sz w:val="24"/>
              </w:rPr>
            </w:pPr>
            <w:r>
              <w:rPr>
                <w:sz w:val="24"/>
              </w:rPr>
              <w:t>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(I.U/L)</w:t>
            </w: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26" w:right="152"/>
              <w:jc w:val="center"/>
              <w:rPr>
                <w:sz w:val="24"/>
              </w:rPr>
            </w:pPr>
            <w:r>
              <w:rPr>
                <w:sz w:val="24"/>
              </w:rPr>
              <w:t>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(I.U/L)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75"/>
              <w:rPr>
                <w:sz w:val="24"/>
              </w:rPr>
            </w:pPr>
            <w:r>
              <w:rPr>
                <w:sz w:val="24"/>
              </w:rPr>
              <w:t>ALP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(I.U/L)</w:t>
            </w:r>
          </w:p>
        </w:tc>
        <w:tc>
          <w:tcPr>
            <w:tcW w:w="1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41"/>
              <w:rPr>
                <w:sz w:val="24"/>
              </w:rPr>
            </w:pPr>
            <w:r>
              <w:rPr>
                <w:sz w:val="24"/>
              </w:rPr>
              <w:t>ALB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96" w:right="102"/>
              <w:jc w:val="center"/>
              <w:rPr>
                <w:sz w:val="24"/>
              </w:rPr>
            </w:pPr>
            <w:r>
              <w:rPr>
                <w:sz w:val="24"/>
              </w:rPr>
              <w:t>TB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29"/>
              <w:rPr>
                <w:sz w:val="24"/>
              </w:rPr>
            </w:pPr>
            <w:r>
              <w:rPr>
                <w:sz w:val="24"/>
              </w:rPr>
              <w:t>DB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  <w:tc>
          <w:tcPr>
            <w:tcW w:w="16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88"/>
              <w:rPr>
                <w:sz w:val="24"/>
              </w:rPr>
            </w:pPr>
            <w:r>
              <w:rPr>
                <w:sz w:val="24"/>
              </w:rPr>
              <w:t>GLU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</w:tr>
      <w:tr>
        <w:trPr>
          <w:trHeight w:val="278" w:hRule="atLeast"/>
        </w:trPr>
        <w:tc>
          <w:tcPr>
            <w:tcW w:w="1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(mg/kg)</w:t>
            </w:r>
          </w:p>
        </w:tc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410" w:hRule="atLeast"/>
        </w:trPr>
        <w:tc>
          <w:tcPr>
            <w:tcW w:w="1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(1ml/kg)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31"/>
              <w:rPr>
                <w:sz w:val="24"/>
              </w:rPr>
            </w:pPr>
            <w:r>
              <w:rPr>
                <w:sz w:val="24"/>
              </w:rPr>
              <w:t>61.17±0.98</w:t>
            </w: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0" w:right="152"/>
              <w:jc w:val="center"/>
              <w:rPr>
                <w:sz w:val="24"/>
              </w:rPr>
            </w:pPr>
            <w:r>
              <w:rPr>
                <w:sz w:val="24"/>
              </w:rPr>
              <w:t>106.33±5.16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75"/>
              <w:rPr>
                <w:sz w:val="24"/>
              </w:rPr>
            </w:pPr>
            <w:r>
              <w:rPr>
                <w:sz w:val="24"/>
              </w:rPr>
              <w:t>49.82±2.94</w:t>
            </w:r>
          </w:p>
        </w:tc>
        <w:tc>
          <w:tcPr>
            <w:tcW w:w="1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11.73±1.14</w:t>
            </w:r>
          </w:p>
        </w:tc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1"/>
              <w:rPr>
                <w:sz w:val="24"/>
              </w:rPr>
            </w:pPr>
            <w:r>
              <w:rPr>
                <w:sz w:val="24"/>
              </w:rPr>
              <w:t>2.98±0.60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4" w:right="102"/>
              <w:jc w:val="center"/>
              <w:rPr>
                <w:sz w:val="24"/>
              </w:rPr>
            </w:pPr>
            <w:r>
              <w:rPr>
                <w:sz w:val="24"/>
              </w:rPr>
              <w:t>11.48±0.46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9"/>
              <w:rPr>
                <w:sz w:val="24"/>
              </w:rPr>
            </w:pPr>
            <w:r>
              <w:rPr>
                <w:sz w:val="24"/>
              </w:rPr>
              <w:t>4.88±0.34</w:t>
            </w:r>
          </w:p>
        </w:tc>
        <w:tc>
          <w:tcPr>
            <w:tcW w:w="16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88"/>
              <w:rPr>
                <w:sz w:val="24"/>
              </w:rPr>
            </w:pPr>
            <w:r>
              <w:rPr>
                <w:sz w:val="24"/>
              </w:rPr>
              <w:t>90.67±5.58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</w:p>
        </w:tc>
        <w:tc>
          <w:tcPr>
            <w:tcW w:w="1499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54.00±2.38</w:t>
            </w:r>
          </w:p>
        </w:tc>
        <w:tc>
          <w:tcPr>
            <w:tcW w:w="1544" w:type="dxa"/>
          </w:tcPr>
          <w:p>
            <w:pPr>
              <w:pStyle w:val="TableParagraph"/>
              <w:ind w:left="140" w:right="152"/>
              <w:jc w:val="center"/>
              <w:rPr>
                <w:sz w:val="24"/>
              </w:rPr>
            </w:pPr>
            <w:r>
              <w:rPr>
                <w:sz w:val="24"/>
              </w:rPr>
              <w:t>105.00±4.68</w:t>
            </w:r>
          </w:p>
        </w:tc>
        <w:tc>
          <w:tcPr>
            <w:tcW w:w="1619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50.55±2.47</w:t>
            </w:r>
          </w:p>
        </w:tc>
        <w:tc>
          <w:tcPr>
            <w:tcW w:w="139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12.30±0.51</w:t>
            </w:r>
          </w:p>
        </w:tc>
        <w:tc>
          <w:tcPr>
            <w:tcW w:w="1587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3.12±0.87</w:t>
            </w:r>
          </w:p>
        </w:tc>
        <w:tc>
          <w:tcPr>
            <w:tcW w:w="1402" w:type="dxa"/>
          </w:tcPr>
          <w:p>
            <w:pPr>
              <w:pStyle w:val="TableParagraph"/>
              <w:ind w:left="24" w:right="102"/>
              <w:jc w:val="center"/>
              <w:rPr>
                <w:sz w:val="24"/>
              </w:rPr>
            </w:pPr>
            <w:r>
              <w:rPr>
                <w:sz w:val="24"/>
              </w:rPr>
              <w:t>11.38±0.66</w:t>
            </w:r>
          </w:p>
        </w:tc>
        <w:tc>
          <w:tcPr>
            <w:tcW w:w="1501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5.68±0.19</w:t>
            </w:r>
          </w:p>
        </w:tc>
        <w:tc>
          <w:tcPr>
            <w:tcW w:w="167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78.33±4.71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  <w:tc>
          <w:tcPr>
            <w:tcW w:w="1499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62.00±3.29</w:t>
            </w:r>
          </w:p>
        </w:tc>
        <w:tc>
          <w:tcPr>
            <w:tcW w:w="1544" w:type="dxa"/>
          </w:tcPr>
          <w:p>
            <w:pPr>
              <w:pStyle w:val="TableParagraph"/>
              <w:ind w:left="140" w:right="152"/>
              <w:jc w:val="center"/>
              <w:rPr>
                <w:sz w:val="24"/>
              </w:rPr>
            </w:pPr>
            <w:r>
              <w:rPr>
                <w:sz w:val="24"/>
              </w:rPr>
              <w:t>89.67±11.02</w:t>
            </w:r>
          </w:p>
        </w:tc>
        <w:tc>
          <w:tcPr>
            <w:tcW w:w="1619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31.67±4.01*</w:t>
            </w:r>
          </w:p>
        </w:tc>
        <w:tc>
          <w:tcPr>
            <w:tcW w:w="139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14.47±0.78</w:t>
            </w:r>
          </w:p>
        </w:tc>
        <w:tc>
          <w:tcPr>
            <w:tcW w:w="1587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2.90±0.93</w:t>
            </w:r>
          </w:p>
        </w:tc>
        <w:tc>
          <w:tcPr>
            <w:tcW w:w="1402" w:type="dxa"/>
          </w:tcPr>
          <w:p>
            <w:pPr>
              <w:pStyle w:val="TableParagraph"/>
              <w:ind w:left="24" w:right="102"/>
              <w:jc w:val="center"/>
              <w:rPr>
                <w:sz w:val="24"/>
              </w:rPr>
            </w:pPr>
            <w:r>
              <w:rPr>
                <w:sz w:val="24"/>
              </w:rPr>
              <w:t>10.58±0.61</w:t>
            </w:r>
          </w:p>
        </w:tc>
        <w:tc>
          <w:tcPr>
            <w:tcW w:w="1501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12.25±6.98</w:t>
            </w:r>
          </w:p>
        </w:tc>
        <w:tc>
          <w:tcPr>
            <w:tcW w:w="167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72.00±6.33</w:t>
            </w:r>
          </w:p>
        </w:tc>
      </w:tr>
      <w:tr>
        <w:trPr>
          <w:trHeight w:val="408" w:hRule="atLeast"/>
        </w:trPr>
        <w:tc>
          <w:tcPr>
            <w:tcW w:w="153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499" w:type="dxa"/>
          </w:tcPr>
          <w:p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54.50±3.23</w:t>
            </w:r>
          </w:p>
        </w:tc>
        <w:tc>
          <w:tcPr>
            <w:tcW w:w="1544" w:type="dxa"/>
          </w:tcPr>
          <w:p>
            <w:pPr>
              <w:pStyle w:val="TableParagraph"/>
              <w:spacing w:line="256" w:lineRule="exact"/>
              <w:ind w:left="140" w:right="152"/>
              <w:jc w:val="center"/>
              <w:rPr>
                <w:sz w:val="24"/>
              </w:rPr>
            </w:pPr>
            <w:r>
              <w:rPr>
                <w:sz w:val="24"/>
              </w:rPr>
              <w:t>87.00±15.39</w:t>
            </w:r>
          </w:p>
        </w:tc>
        <w:tc>
          <w:tcPr>
            <w:tcW w:w="1619" w:type="dxa"/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26.22±3.03**</w:t>
            </w:r>
          </w:p>
        </w:tc>
        <w:tc>
          <w:tcPr>
            <w:tcW w:w="1391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12.28±0.70</w:t>
            </w:r>
          </w:p>
        </w:tc>
        <w:tc>
          <w:tcPr>
            <w:tcW w:w="1587" w:type="dxa"/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3.03±0.61</w:t>
            </w:r>
          </w:p>
        </w:tc>
        <w:tc>
          <w:tcPr>
            <w:tcW w:w="1402" w:type="dxa"/>
          </w:tcPr>
          <w:p>
            <w:pPr>
              <w:pStyle w:val="TableParagraph"/>
              <w:spacing w:line="256" w:lineRule="exact"/>
              <w:ind w:left="24" w:right="102"/>
              <w:jc w:val="center"/>
              <w:rPr>
                <w:sz w:val="24"/>
              </w:rPr>
            </w:pPr>
            <w:r>
              <w:rPr>
                <w:sz w:val="24"/>
              </w:rPr>
              <w:t>11.62±0.55</w:t>
            </w:r>
          </w:p>
        </w:tc>
        <w:tc>
          <w:tcPr>
            <w:tcW w:w="1501" w:type="dxa"/>
          </w:tcPr>
          <w:p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10.28±6.54</w:t>
            </w:r>
          </w:p>
        </w:tc>
        <w:tc>
          <w:tcPr>
            <w:tcW w:w="1670" w:type="dxa"/>
          </w:tcPr>
          <w:p>
            <w:pPr>
              <w:pStyle w:val="TableParagraph"/>
              <w:spacing w:line="256" w:lineRule="exact"/>
              <w:ind w:left="188"/>
              <w:rPr>
                <w:sz w:val="24"/>
              </w:rPr>
            </w:pPr>
            <w:r>
              <w:rPr>
                <w:sz w:val="24"/>
              </w:rPr>
              <w:t>51.83±9.04*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70.080002pt;margin-top:14.204281pt;width:688.444033pt;height:.48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03"/>
        <w:ind w:left="260" w:right="851"/>
        <w:jc w:val="both"/>
      </w:pPr>
      <w:r>
        <w:rPr/>
        <w:t>Data are presented as Mean ± SEM; </w:t>
      </w:r>
      <w:r>
        <w:rPr>
          <w:i/>
        </w:rPr>
        <w:t>* p</w:t>
      </w:r>
      <w:r>
        <w:rPr/>
        <w:t>≤0.01 and ** </w:t>
      </w:r>
      <w:r>
        <w:rPr>
          <w:i/>
        </w:rPr>
        <w:t>p</w:t>
      </w:r>
      <w:r>
        <w:rPr/>
        <w:t>≤0.001 compared to control group (One Way ANOVA followed by Dunnett’s</w:t>
      </w:r>
      <w:r>
        <w:rPr>
          <w:spacing w:val="1"/>
        </w:rPr>
        <w:t> </w:t>
      </w:r>
      <w:r>
        <w:rPr/>
        <w:t>post hoc test), DW= distilled water, MECH= Methanol leaf extract of </w:t>
      </w:r>
      <w:r>
        <w:rPr>
          <w:i/>
        </w:rPr>
        <w:t>C. hypopilinum</w:t>
      </w:r>
      <w:r>
        <w:rPr/>
        <w:t>, ALT= Alanine transaminase, AST= Aspartate</w:t>
      </w:r>
      <w:r>
        <w:rPr>
          <w:spacing w:val="1"/>
        </w:rPr>
        <w:t> </w:t>
      </w:r>
      <w:r>
        <w:rPr/>
        <w:t>transaminase, ALP= Alkaline Phosphatase, TP= Total Protein, ALB= Albumin, TB= Total Bilirubin, DB= Direct Bilirubin, GLU=</w:t>
      </w:r>
      <w:r>
        <w:rPr>
          <w:spacing w:val="1"/>
        </w:rPr>
        <w:t> </w:t>
      </w:r>
      <w:r>
        <w:rPr/>
        <w:t>Glucose,</w:t>
      </w:r>
      <w:r>
        <w:rPr>
          <w:spacing w:val="1"/>
        </w:rPr>
        <w:t> </w:t>
      </w:r>
      <w:r>
        <w:rPr/>
        <w:t>I.U=</w:t>
      </w:r>
      <w:r>
        <w:rPr>
          <w:spacing w:val="1"/>
        </w:rPr>
        <w:t> </w:t>
      </w:r>
      <w:r>
        <w:rPr/>
        <w:t>International Unit, n=6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6704" w:right="701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67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69"/>
          <w:pgSz w:w="15840" w:h="12240" w:orient="landscape"/>
          <w:pgMar w:footer="0" w:header="0" w:top="1140" w:bottom="0" w:left="1300" w:right="560"/>
        </w:sectPr>
      </w:pPr>
    </w:p>
    <w:p>
      <w:pPr>
        <w:pStyle w:val="Heading1"/>
        <w:numPr>
          <w:ilvl w:val="2"/>
          <w:numId w:val="20"/>
        </w:numPr>
        <w:tabs>
          <w:tab w:pos="825" w:val="left" w:leader="none"/>
        </w:tabs>
        <w:spacing w:line="480" w:lineRule="auto" w:before="75" w:after="0"/>
        <w:ind w:left="265" w:right="115" w:firstLine="0"/>
        <w:jc w:val="both"/>
      </w:pPr>
      <w:bookmarkStart w:name="_TOC_250011" w:id="64"/>
      <w:r>
        <w:rPr/>
        <w:t>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on Renal 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bookmarkEnd w:id="64"/>
      <w:r>
        <w:rPr/>
        <w:t>Rats</w:t>
      </w:r>
    </w:p>
    <w:p>
      <w:pPr>
        <w:pStyle w:val="BodyText"/>
        <w:spacing w:line="480" w:lineRule="auto"/>
        <w:ind w:left="265" w:right="114"/>
        <w:jc w:val="both"/>
      </w:pP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&gt;0.05)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renal</w:t>
      </w:r>
      <w:r>
        <w:rPr>
          <w:spacing w:val="-57"/>
        </w:rPr>
        <w:t> </w:t>
      </w:r>
      <w:r>
        <w:rPr/>
        <w:t>parameters</w:t>
      </w:r>
      <w:r>
        <w:rPr>
          <w:spacing w:val="10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urea,</w:t>
      </w:r>
      <w:r>
        <w:rPr>
          <w:spacing w:val="13"/>
        </w:rPr>
        <w:t> </w:t>
      </w:r>
      <w:r>
        <w:rPr/>
        <w:t>creatinine,</w:t>
      </w:r>
      <w:r>
        <w:rPr>
          <w:spacing w:val="10"/>
        </w:rPr>
        <w:t> </w:t>
      </w:r>
      <w:r>
        <w:rPr/>
        <w:t>sodium,</w:t>
      </w:r>
      <w:r>
        <w:rPr>
          <w:spacing w:val="11"/>
        </w:rPr>
        <w:t> </w:t>
      </w:r>
      <w:r>
        <w:rPr/>
        <w:t>chlorine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bicarbonate.</w:t>
      </w:r>
      <w:r>
        <w:rPr>
          <w:spacing w:val="11"/>
        </w:rPr>
        <w:t> </w:t>
      </w:r>
      <w:r>
        <w:rPr/>
        <w:t>However,</w:t>
      </w:r>
      <w:r>
        <w:rPr>
          <w:spacing w:val="11"/>
        </w:rPr>
        <w:t> </w:t>
      </w:r>
      <w:r>
        <w:rPr/>
        <w:t>there</w:t>
      </w:r>
      <w:r>
        <w:rPr>
          <w:spacing w:val="11"/>
        </w:rPr>
        <w:t> </w:t>
      </w:r>
      <w:r>
        <w:rPr/>
        <w:t>was</w:t>
      </w:r>
      <w:r>
        <w:rPr>
          <w:spacing w:val="-57"/>
        </w:rPr>
        <w:t> </w:t>
      </w:r>
      <w:r>
        <w:rPr/>
        <w:t>a significant (p≤0.01 and p≤0.001) and dose-dependent decrease in potassium 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group (Table 4.4).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4552" w:right="44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68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70"/>
          <w:pgSz w:w="12240" w:h="15840"/>
          <w:pgMar w:footer="0" w:header="0" w:top="1340" w:bottom="0" w:left="1720" w:right="1300"/>
        </w:sect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90"/>
        <w:ind w:left="22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28-Days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4"/>
          <w:sz w:val="24"/>
        </w:rPr>
        <w:t> </w:t>
      </w:r>
      <w:r>
        <w:rPr>
          <w:b/>
          <w:i/>
          <w:sz w:val="24"/>
        </w:rPr>
        <w:t>Combretum</w:t>
      </w:r>
      <w:r>
        <w:rPr>
          <w:b/>
          <w:i/>
          <w:spacing w:val="66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66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Renal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2"/>
        <w:gridCol w:w="1970"/>
        <w:gridCol w:w="1486"/>
        <w:gridCol w:w="1939"/>
        <w:gridCol w:w="1729"/>
        <w:gridCol w:w="3674"/>
      </w:tblGrid>
      <w:tr>
        <w:trPr>
          <w:trHeight w:val="544" w:hRule="atLeast"/>
        </w:trPr>
        <w:tc>
          <w:tcPr>
            <w:tcW w:w="2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0"/>
              <w:ind w:left="11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Rats</w:t>
            </w:r>
          </w:p>
        </w:tc>
        <w:tc>
          <w:tcPr>
            <w:tcW w:w="10798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81"/>
              <w:rPr>
                <w:sz w:val="24"/>
              </w:rPr>
            </w:pPr>
            <w:r>
              <w:rPr>
                <w:sz w:val="24"/>
              </w:rPr>
              <w:t>Urea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3"/>
              <w:rPr>
                <w:sz w:val="24"/>
              </w:rPr>
            </w:pPr>
            <w:r>
              <w:rPr>
                <w:sz w:val="24"/>
              </w:rPr>
              <w:t>Creatinine</w:t>
            </w:r>
          </w:p>
          <w:p>
            <w:pPr>
              <w:pStyle w:val="TableParagraph"/>
              <w:spacing w:line="264" w:lineRule="exact" w:before="0"/>
              <w:ind w:left="23"/>
              <w:rPr>
                <w:sz w:val="24"/>
              </w:rPr>
            </w:pPr>
            <w:r>
              <w:rPr>
                <w:sz w:val="24"/>
              </w:rPr>
              <w:t>(mmol/L)</w:t>
            </w:r>
          </w:p>
        </w:tc>
        <w:tc>
          <w:tcPr>
            <w:tcW w:w="19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37"/>
              <w:rPr>
                <w:sz w:val="24"/>
              </w:rPr>
            </w:pPr>
            <w:r>
              <w:rPr>
                <w:sz w:val="24"/>
              </w:rPr>
              <w:t>Sodium</w:t>
            </w:r>
          </w:p>
          <w:p>
            <w:pPr>
              <w:pStyle w:val="TableParagraph"/>
              <w:spacing w:line="264" w:lineRule="exact" w:before="0"/>
              <w:ind w:left="337"/>
              <w:rPr>
                <w:sz w:val="24"/>
              </w:rPr>
            </w:pPr>
            <w:r>
              <w:rPr>
                <w:sz w:val="24"/>
              </w:rPr>
              <w:t>(mmol/L)</w:t>
            </w:r>
          </w:p>
        </w:tc>
        <w:tc>
          <w:tcPr>
            <w:tcW w:w="1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99"/>
              <w:rPr>
                <w:sz w:val="24"/>
              </w:rPr>
            </w:pPr>
            <w:r>
              <w:rPr>
                <w:sz w:val="24"/>
              </w:rPr>
              <w:t>Potassium</w:t>
            </w:r>
          </w:p>
          <w:p>
            <w:pPr>
              <w:pStyle w:val="TableParagraph"/>
              <w:spacing w:line="264" w:lineRule="exact" w:before="0"/>
              <w:ind w:left="199"/>
              <w:rPr>
                <w:sz w:val="24"/>
              </w:rPr>
            </w:pPr>
            <w:r>
              <w:rPr>
                <w:sz w:val="24"/>
              </w:rPr>
              <w:t>(mmol/L)</w:t>
            </w:r>
          </w:p>
        </w:tc>
        <w:tc>
          <w:tcPr>
            <w:tcW w:w="3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10" w:val="left" w:leader="none"/>
              </w:tabs>
              <w:spacing w:line="268" w:lineRule="exact" w:before="0"/>
              <w:ind w:left="178"/>
              <w:rPr>
                <w:sz w:val="24"/>
              </w:rPr>
            </w:pPr>
            <w:r>
              <w:rPr>
                <w:sz w:val="24"/>
              </w:rPr>
              <w:t>Chlorine</w:t>
              <w:tab/>
              <w:t>Bicarbonate</w:t>
            </w:r>
          </w:p>
          <w:p>
            <w:pPr>
              <w:pStyle w:val="TableParagraph"/>
              <w:tabs>
                <w:tab w:pos="1710" w:val="left" w:leader="none"/>
              </w:tabs>
              <w:spacing w:line="264" w:lineRule="exact" w:before="0"/>
              <w:ind w:left="178"/>
              <w:rPr>
                <w:sz w:val="24"/>
              </w:rPr>
            </w:pPr>
            <w:r>
              <w:rPr>
                <w:sz w:val="24"/>
              </w:rPr>
              <w:t>(mmol/L)</w:t>
              <w:tab/>
              <w:t>(mmol/L)</w:t>
            </w:r>
          </w:p>
        </w:tc>
      </w:tr>
      <w:tr>
        <w:trPr>
          <w:trHeight w:val="410" w:hRule="atLeast"/>
        </w:trPr>
        <w:tc>
          <w:tcPr>
            <w:tcW w:w="2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(1ml/kg)</w:t>
            </w:r>
          </w:p>
        </w:tc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81"/>
              <w:rPr>
                <w:sz w:val="24"/>
              </w:rPr>
            </w:pPr>
            <w:r>
              <w:rPr>
                <w:sz w:val="24"/>
              </w:rPr>
              <w:t>37.02 ± 1.74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3"/>
              <w:rPr>
                <w:sz w:val="24"/>
              </w:rPr>
            </w:pPr>
            <w:r>
              <w:rPr>
                <w:sz w:val="24"/>
              </w:rPr>
              <w:t>0.78 ± 0.05</w:t>
            </w:r>
          </w:p>
        </w:tc>
        <w:tc>
          <w:tcPr>
            <w:tcW w:w="19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0" w:right="32"/>
              <w:jc w:val="center"/>
              <w:rPr>
                <w:sz w:val="24"/>
              </w:rPr>
            </w:pPr>
            <w:r>
              <w:rPr>
                <w:sz w:val="24"/>
              </w:rPr>
              <w:t>137.32 ± 1.91</w:t>
            </w:r>
          </w:p>
        </w:tc>
        <w:tc>
          <w:tcPr>
            <w:tcW w:w="1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99"/>
              <w:rPr>
                <w:sz w:val="24"/>
              </w:rPr>
            </w:pPr>
            <w:r>
              <w:rPr>
                <w:sz w:val="24"/>
              </w:rPr>
              <w:t>27.93 ± 1.32</w:t>
            </w:r>
          </w:p>
        </w:tc>
        <w:tc>
          <w:tcPr>
            <w:tcW w:w="367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710" w:val="left" w:leader="none"/>
              </w:tabs>
              <w:spacing w:line="268" w:lineRule="exact" w:before="0"/>
              <w:ind w:left="178"/>
              <w:rPr>
                <w:sz w:val="24"/>
              </w:rPr>
            </w:pPr>
            <w:r>
              <w:rPr>
                <w:sz w:val="24"/>
              </w:rPr>
              <w:t>26.17 ± 1.96</w:t>
              <w:tab/>
              <w:t>89.75 ± 3.21</w:t>
            </w:r>
          </w:p>
        </w:tc>
      </w:tr>
      <w:tr>
        <w:trPr>
          <w:trHeight w:val="552" w:hRule="atLeast"/>
        </w:trPr>
        <w:tc>
          <w:tcPr>
            <w:tcW w:w="2082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(250)</w:t>
            </w:r>
          </w:p>
        </w:tc>
        <w:tc>
          <w:tcPr>
            <w:tcW w:w="1970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33.27 ± 4.02</w:t>
            </w:r>
          </w:p>
        </w:tc>
        <w:tc>
          <w:tcPr>
            <w:tcW w:w="1486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0.80 ± 0.05</w:t>
            </w:r>
          </w:p>
        </w:tc>
        <w:tc>
          <w:tcPr>
            <w:tcW w:w="1939" w:type="dxa"/>
          </w:tcPr>
          <w:p>
            <w:pPr>
              <w:pStyle w:val="TableParagraph"/>
              <w:ind w:left="100" w:right="32"/>
              <w:jc w:val="center"/>
              <w:rPr>
                <w:sz w:val="24"/>
              </w:rPr>
            </w:pPr>
            <w:r>
              <w:rPr>
                <w:sz w:val="24"/>
              </w:rPr>
              <w:t>148.69 ± 6.04</w:t>
            </w:r>
          </w:p>
        </w:tc>
        <w:tc>
          <w:tcPr>
            <w:tcW w:w="1729" w:type="dxa"/>
          </w:tcPr>
          <w:p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22.92 ± 0.67*</w:t>
            </w:r>
          </w:p>
        </w:tc>
        <w:tc>
          <w:tcPr>
            <w:tcW w:w="3674" w:type="dxa"/>
          </w:tcPr>
          <w:p>
            <w:pPr>
              <w:pStyle w:val="TableParagraph"/>
              <w:tabs>
                <w:tab w:pos="1710" w:val="left" w:leader="none"/>
              </w:tabs>
              <w:ind w:left="178"/>
              <w:rPr>
                <w:sz w:val="24"/>
              </w:rPr>
            </w:pPr>
            <w:r>
              <w:rPr>
                <w:sz w:val="24"/>
              </w:rPr>
              <w:t>24.17 ± 1.82</w:t>
              <w:tab/>
              <w:t>82.50 ± 2.06</w:t>
            </w:r>
          </w:p>
        </w:tc>
      </w:tr>
      <w:tr>
        <w:trPr>
          <w:trHeight w:val="552" w:hRule="atLeast"/>
        </w:trPr>
        <w:tc>
          <w:tcPr>
            <w:tcW w:w="2082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(500)</w:t>
            </w:r>
          </w:p>
        </w:tc>
        <w:tc>
          <w:tcPr>
            <w:tcW w:w="1970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33.95 ± 1.16</w:t>
            </w:r>
          </w:p>
        </w:tc>
        <w:tc>
          <w:tcPr>
            <w:tcW w:w="1486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0.78 ± 0.05</w:t>
            </w:r>
          </w:p>
        </w:tc>
        <w:tc>
          <w:tcPr>
            <w:tcW w:w="1939" w:type="dxa"/>
          </w:tcPr>
          <w:p>
            <w:pPr>
              <w:pStyle w:val="TableParagraph"/>
              <w:ind w:left="100" w:right="32"/>
              <w:jc w:val="center"/>
              <w:rPr>
                <w:sz w:val="24"/>
              </w:rPr>
            </w:pPr>
            <w:r>
              <w:rPr>
                <w:sz w:val="24"/>
              </w:rPr>
              <w:t>157.53 ± 2.59</w:t>
            </w:r>
          </w:p>
        </w:tc>
        <w:tc>
          <w:tcPr>
            <w:tcW w:w="1729" w:type="dxa"/>
          </w:tcPr>
          <w:p>
            <w:pPr>
              <w:pStyle w:val="TableParagraph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20.00 ± 0.57**</w:t>
            </w:r>
          </w:p>
        </w:tc>
        <w:tc>
          <w:tcPr>
            <w:tcW w:w="3674" w:type="dxa"/>
          </w:tcPr>
          <w:p>
            <w:pPr>
              <w:pStyle w:val="TableParagraph"/>
              <w:tabs>
                <w:tab w:pos="1710" w:val="left" w:leader="none"/>
              </w:tabs>
              <w:ind w:left="178"/>
              <w:rPr>
                <w:sz w:val="24"/>
              </w:rPr>
            </w:pPr>
            <w:r>
              <w:rPr>
                <w:sz w:val="24"/>
              </w:rPr>
              <w:t>22.17 ± 1.45</w:t>
              <w:tab/>
              <w:t>76.67 ± 2.38</w:t>
            </w:r>
          </w:p>
        </w:tc>
      </w:tr>
      <w:tr>
        <w:trPr>
          <w:trHeight w:val="692" w:hRule="atLeast"/>
        </w:trPr>
        <w:tc>
          <w:tcPr>
            <w:tcW w:w="20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(1,000)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36.07 ± 1.92</w:t>
            </w:r>
          </w:p>
        </w:tc>
        <w:tc>
          <w:tcPr>
            <w:tcW w:w="148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0.85 ± 0.06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32"/>
              <w:jc w:val="center"/>
              <w:rPr>
                <w:sz w:val="24"/>
              </w:rPr>
            </w:pPr>
            <w:r>
              <w:rPr>
                <w:sz w:val="24"/>
              </w:rPr>
              <w:t>160.57 ± 1.20</w:t>
            </w:r>
          </w:p>
        </w:tc>
        <w:tc>
          <w:tcPr>
            <w:tcW w:w="172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19.85 ± 1.01**</w:t>
            </w:r>
          </w:p>
        </w:tc>
        <w:tc>
          <w:tcPr>
            <w:tcW w:w="367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10" w:val="left" w:leader="none"/>
              </w:tabs>
              <w:ind w:left="178"/>
              <w:rPr>
                <w:sz w:val="24"/>
              </w:rPr>
            </w:pPr>
            <w:r>
              <w:rPr>
                <w:sz w:val="24"/>
              </w:rPr>
              <w:t>23.33 ± 1.05</w:t>
              <w:tab/>
              <w:t>87.00 ± 2.84</w:t>
            </w:r>
          </w:p>
        </w:tc>
      </w:tr>
      <w:tr>
        <w:trPr>
          <w:trHeight w:val="267" w:hRule="atLeast"/>
        </w:trPr>
        <w:tc>
          <w:tcPr>
            <w:tcW w:w="2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presented</w:t>
            </w:r>
          </w:p>
        </w:tc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-1"/>
              <w:rPr>
                <w:i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SEM;</w:t>
            </w:r>
            <w:r>
              <w:rPr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*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76"/>
              <w:rPr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sz w:val="24"/>
              </w:rPr>
              <w:t>≤0.01and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**</w:t>
            </w:r>
          </w:p>
        </w:tc>
        <w:tc>
          <w:tcPr>
            <w:tcW w:w="19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31" w:right="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sz w:val="24"/>
              </w:rPr>
              <w:t>≤0.001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compared</w:t>
            </w:r>
          </w:p>
        </w:tc>
        <w:tc>
          <w:tcPr>
            <w:tcW w:w="1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3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49"/>
              <w:rPr>
                <w:sz w:val="24"/>
              </w:rPr>
            </w:pPr>
            <w:r>
              <w:rPr>
                <w:sz w:val="24"/>
              </w:rPr>
              <w:t>(One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ANOVA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followed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</w:tr>
    </w:tbl>
    <w:p>
      <w:pPr>
        <w:pStyle w:val="BodyText"/>
        <w:spacing w:before="2"/>
        <w:ind w:left="225"/>
      </w:pPr>
      <w:r>
        <w:rPr>
          <w:spacing w:val="-1"/>
        </w:rPr>
        <w:t>Dunnett’s</w:t>
      </w:r>
      <w:r>
        <w:rPr/>
        <w:t> </w:t>
      </w:r>
      <w:r>
        <w:rPr>
          <w:spacing w:val="-1"/>
        </w:rPr>
        <w:t>post</w:t>
      </w:r>
      <w:r>
        <w:rPr/>
        <w:t> </w:t>
      </w:r>
      <w:r>
        <w:rPr>
          <w:spacing w:val="-1"/>
        </w:rPr>
        <w:t>hoc </w:t>
      </w:r>
      <w:r>
        <w:rPr/>
        <w:t>test),</w:t>
      </w:r>
      <w:r>
        <w:rPr>
          <w:spacing w:val="1"/>
        </w:rPr>
        <w:t> </w:t>
      </w:r>
      <w:r>
        <w:rPr/>
        <w:t>DW=</w:t>
      </w:r>
      <w:r>
        <w:rPr>
          <w:spacing w:val="-1"/>
        </w:rPr>
        <w:t> </w:t>
      </w:r>
      <w:r>
        <w:rPr/>
        <w:t>distilled water, MECH=</w:t>
      </w:r>
      <w:r>
        <w:rPr>
          <w:spacing w:val="-2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 of</w:t>
      </w:r>
      <w:r>
        <w:rPr>
          <w:spacing w:val="3"/>
        </w:rPr>
        <w:t> </w:t>
      </w:r>
      <w:r>
        <w:rPr>
          <w:i/>
        </w:rPr>
        <w:t>C. hypopilinum</w:t>
      </w:r>
      <w:r>
        <w:rPr/>
        <w:t>,</w:t>
      </w:r>
      <w:r>
        <w:rPr>
          <w:spacing w:val="-20"/>
        </w:rPr>
        <w:t> </w:t>
      </w:r>
      <w:r>
        <w:rPr/>
        <w:t>n=6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56"/>
        <w:ind w:left="6314" w:right="652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69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71"/>
          <w:pgSz w:w="15840" w:h="12240" w:orient="landscape"/>
          <w:pgMar w:footer="0" w:header="0" w:top="1140" w:bottom="0" w:left="1760" w:right="980"/>
        </w:sectPr>
      </w:pPr>
    </w:p>
    <w:p>
      <w:pPr>
        <w:pStyle w:val="Heading1"/>
        <w:numPr>
          <w:ilvl w:val="2"/>
          <w:numId w:val="20"/>
        </w:numPr>
        <w:tabs>
          <w:tab w:pos="945" w:val="left" w:leader="none"/>
        </w:tabs>
        <w:spacing w:line="480" w:lineRule="auto" w:before="75" w:after="0"/>
        <w:ind w:left="385" w:right="955" w:firstLine="0"/>
        <w:jc w:val="both"/>
      </w:pPr>
      <w:bookmarkStart w:name="_TOC_250010" w:id="65"/>
      <w:r>
        <w:rPr/>
        <w:t>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on Haematological</w:t>
      </w:r>
      <w:r>
        <w:rPr>
          <w:spacing w:val="1"/>
        </w:rPr>
        <w:t> </w:t>
      </w:r>
      <w:r>
        <w:rPr/>
        <w:t>Parameters of</w:t>
      </w:r>
      <w:r>
        <w:rPr>
          <w:spacing w:val="1"/>
        </w:rPr>
        <w:t> </w:t>
      </w:r>
      <w:bookmarkEnd w:id="65"/>
      <w:r>
        <w:rPr/>
        <w:t>Rats</w:t>
      </w:r>
    </w:p>
    <w:p>
      <w:pPr>
        <w:pStyle w:val="BodyText"/>
        <w:spacing w:line="480" w:lineRule="auto"/>
        <w:ind w:left="385" w:right="954"/>
        <w:jc w:val="both"/>
      </w:pPr>
      <w:r>
        <w:rPr/>
        <w:t>The administration of MECH did not show a significant (</w:t>
      </w:r>
      <w:r>
        <w:rPr>
          <w:i/>
        </w:rPr>
        <w:t>p</w:t>
      </w:r>
      <w:r>
        <w:rPr/>
        <w:t>&gt;0.05) difference in WBC count,</w:t>
      </w:r>
      <w:r>
        <w:rPr>
          <w:spacing w:val="-57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lymphocytes,</w:t>
      </w:r>
      <w:r>
        <w:rPr>
          <w:spacing w:val="1"/>
        </w:rPr>
        <w:t> </w:t>
      </w:r>
      <w:r>
        <w:rPr/>
        <w:t>RBC,</w:t>
      </w:r>
      <w:r>
        <w:rPr>
          <w:spacing w:val="1"/>
        </w:rPr>
        <w:t> </w:t>
      </w:r>
      <w:r>
        <w:rPr/>
        <w:t>HGB,</w:t>
      </w:r>
      <w:r>
        <w:rPr>
          <w:spacing w:val="1"/>
        </w:rPr>
        <w:t> </w:t>
      </w:r>
      <w:r>
        <w:rPr/>
        <w:t>HCT,</w:t>
      </w:r>
      <w:r>
        <w:rPr>
          <w:spacing w:val="1"/>
        </w:rPr>
        <w:t> </w:t>
      </w:r>
      <w:r>
        <w:rPr/>
        <w:t>MCV,</w:t>
      </w:r>
      <w:r>
        <w:rPr>
          <w:spacing w:val="1"/>
        </w:rPr>
        <w:t> </w:t>
      </w:r>
      <w:r>
        <w:rPr/>
        <w:t>MCH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MCHC.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significant (</w:t>
      </w:r>
      <w:r>
        <w:rPr>
          <w:i/>
        </w:rPr>
        <w:t>p</w:t>
      </w:r>
      <w:r>
        <w:rPr/>
        <w:t>≤0.05) increase in the percentage of eosinophils, basophils and monocytes and</w:t>
      </w:r>
      <w:r>
        <w:rPr>
          <w:spacing w:val="-57"/>
        </w:rPr>
        <w:t> </w:t>
      </w:r>
      <w:r>
        <w:rPr/>
        <w:t>a significant (</w:t>
      </w:r>
      <w:r>
        <w:rPr>
          <w:i/>
        </w:rPr>
        <w:t>p</w:t>
      </w:r>
      <w:r>
        <w:rPr/>
        <w:t>≤0.01) increase in granulocytes were observed in the group treated with the</w:t>
      </w:r>
      <w:r>
        <w:rPr>
          <w:spacing w:val="1"/>
        </w:rPr>
        <w:t> </w:t>
      </w:r>
      <w:r>
        <w:rPr/>
        <w:t>highest dose of the extract (1,000 mg/kg). Also, a significant (</w:t>
      </w:r>
      <w:r>
        <w:rPr>
          <w:i/>
        </w:rPr>
        <w:t>p</w:t>
      </w:r>
      <w:r>
        <w:rPr/>
        <w:t>≤0.01) increase in platelet</w:t>
      </w:r>
      <w:r>
        <w:rPr>
          <w:spacing w:val="1"/>
        </w:rPr>
        <w:t> </w:t>
      </w:r>
      <w:r>
        <w:rPr/>
        <w:t>count was observed in the animals treated with 500 mg/kg of the extract compared with the</w:t>
      </w:r>
      <w:r>
        <w:rPr>
          <w:spacing w:val="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4.5).</w:t>
      </w:r>
    </w:p>
    <w:p>
      <w:pPr>
        <w:spacing w:after="0" w:line="480" w:lineRule="auto"/>
        <w:jc w:val="both"/>
        <w:sectPr>
          <w:footerReference w:type="default" r:id="rId172"/>
          <w:pgSz w:w="12240" w:h="15840"/>
          <w:pgMar w:footer="294" w:header="0" w:top="1340" w:bottom="480" w:left="1600" w:right="460"/>
          <w:pgNumType w:start="70"/>
        </w:sectPr>
      </w:pPr>
    </w:p>
    <w:p>
      <w:pPr>
        <w:pStyle w:val="Heading1"/>
        <w:spacing w:before="77"/>
        <w:jc w:val="left"/>
      </w:pPr>
      <w:r>
        <w:rPr/>
        <w:t>Table</w:t>
      </w:r>
      <w:r>
        <w:rPr>
          <w:spacing w:val="20"/>
        </w:rPr>
        <w:t> </w:t>
      </w:r>
      <w:r>
        <w:rPr/>
        <w:t>4.5:</w:t>
      </w:r>
      <w:r>
        <w:rPr>
          <w:spacing w:val="79"/>
        </w:rPr>
        <w:t> </w:t>
      </w:r>
      <w:r>
        <w:rPr/>
        <w:t>Effect</w:t>
      </w:r>
      <w:r>
        <w:rPr>
          <w:spacing w:val="81"/>
        </w:rPr>
        <w:t> </w:t>
      </w:r>
      <w:r>
        <w:rPr/>
        <w:t>of</w:t>
      </w:r>
      <w:r>
        <w:rPr>
          <w:spacing w:val="79"/>
        </w:rPr>
        <w:t> </w:t>
      </w:r>
      <w:r>
        <w:rPr/>
        <w:t>28-Days</w:t>
      </w:r>
      <w:r>
        <w:rPr>
          <w:spacing w:val="80"/>
        </w:rPr>
        <w:t> </w:t>
      </w:r>
      <w:r>
        <w:rPr/>
        <w:t>Oral</w:t>
      </w:r>
      <w:r>
        <w:rPr>
          <w:spacing w:val="80"/>
        </w:rPr>
        <w:t> </w:t>
      </w:r>
      <w:r>
        <w:rPr/>
        <w:t>Administration</w:t>
      </w:r>
      <w:r>
        <w:rPr>
          <w:spacing w:val="81"/>
        </w:rPr>
        <w:t> </w:t>
      </w:r>
      <w:r>
        <w:rPr/>
        <w:t>of</w:t>
      </w:r>
      <w:r>
        <w:rPr>
          <w:spacing w:val="82"/>
        </w:rPr>
        <w:t> </w:t>
      </w:r>
      <w:r>
        <w:rPr/>
        <w:t>Methanol</w:t>
      </w:r>
      <w:r>
        <w:rPr>
          <w:spacing w:val="79"/>
        </w:rPr>
        <w:t> </w:t>
      </w:r>
      <w:r>
        <w:rPr/>
        <w:t>Leaf</w:t>
      </w:r>
      <w:r>
        <w:rPr>
          <w:spacing w:val="81"/>
        </w:rPr>
        <w:t> </w:t>
      </w:r>
      <w:r>
        <w:rPr/>
        <w:t>Extract</w:t>
      </w:r>
      <w:r>
        <w:rPr>
          <w:spacing w:val="79"/>
        </w:rPr>
        <w:t> </w:t>
      </w:r>
      <w:r>
        <w:rPr/>
        <w:t>of</w:t>
      </w:r>
    </w:p>
    <w:p>
      <w:pPr>
        <w:spacing w:before="137"/>
        <w:ind w:left="385" w:right="0" w:firstLine="0"/>
        <w:jc w:val="left"/>
        <w:rPr>
          <w:b/>
          <w:sz w:val="24"/>
        </w:rPr>
      </w:pPr>
      <w:r>
        <w:rPr>
          <w:b/>
          <w:i/>
          <w:sz w:val="24"/>
        </w:rPr>
        <w:t>Combretum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hypopilinum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Haematological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93.864006pt;margin-top:6.999577pt;width:452.75pt;height:.5pt;mso-position-horizontal-relative:page;mso-position-vertical-relative:paragraph;z-index:-15705600;mso-wrap-distance-left:0;mso-wrap-distance-right:0" coordorigin="1877,140" coordsize="9055,10" path="m10931,140l3694,140,3684,140,1877,140,1877,150,3684,150,3694,150,10931,150,10931,14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1280" w:right="47"/>
        <w:jc w:val="center"/>
      </w:pPr>
      <w:r>
        <w:rPr/>
        <w:t>Treatments</w:t>
      </w:r>
      <w:r>
        <w:rPr>
          <w:spacing w:val="-3"/>
        </w:rPr>
        <w:t> </w:t>
      </w:r>
      <w:r>
        <w:rPr/>
        <w:t>(mg/kg)</w:t>
      </w:r>
    </w:p>
    <w:p>
      <w:pPr>
        <w:pStyle w:val="BodyText"/>
        <w:tabs>
          <w:tab w:pos="9386" w:val="left" w:leader="none"/>
        </w:tabs>
        <w:spacing w:line="253" w:lineRule="exact" w:before="7"/>
        <w:ind w:left="385"/>
      </w:pPr>
      <w:r>
        <w:rPr/>
        <w:t>Haematological  </w:t>
      </w:r>
      <w:r>
        <w:rPr>
          <w:spacing w:val="3"/>
        </w:rPr>
        <w:t> </w:t>
      </w:r>
      <w:r>
        <w:rPr>
          <w:u w:val="single"/>
        </w:rPr>
        <w:t> </w:t>
        <w:tab/>
      </w:r>
    </w:p>
    <w:p>
      <w:pPr>
        <w:spacing w:after="0" w:line="253" w:lineRule="exact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before="64"/>
        <w:ind w:left="385"/>
      </w:pPr>
      <w:r>
        <w:rPr/>
        <w:t>parameters</w:t>
      </w:r>
    </w:p>
    <w:p>
      <w:pPr>
        <w:pStyle w:val="BodyText"/>
        <w:tabs>
          <w:tab w:pos="2255" w:val="left" w:leader="none"/>
          <w:tab w:pos="4043" w:val="left" w:leader="none"/>
          <w:tab w:pos="5923" w:val="left" w:leader="none"/>
        </w:tabs>
        <w:spacing w:line="266" w:lineRule="exact"/>
        <w:ind w:left="385"/>
      </w:pPr>
      <w:r>
        <w:rPr/>
        <w:br w:type="column"/>
      </w:r>
      <w:r>
        <w:rPr/>
        <w:t>DW</w:t>
      </w:r>
      <w:r>
        <w:rPr>
          <w:spacing w:val="-1"/>
        </w:rPr>
        <w:t> </w:t>
      </w:r>
      <w:r>
        <w:rPr/>
        <w:t>(1</w:t>
      </w:r>
      <w:r>
        <w:rPr>
          <w:spacing w:val="-1"/>
        </w:rPr>
        <w:t> </w:t>
      </w:r>
      <w:r>
        <w:rPr/>
        <w:t>ml/kg)</w:t>
        <w:tab/>
        <w:t>MECH</w:t>
      </w:r>
      <w:r>
        <w:rPr>
          <w:spacing w:val="-1"/>
        </w:rPr>
        <w:t> </w:t>
      </w:r>
      <w:r>
        <w:rPr/>
        <w:t>(250)</w:t>
        <w:tab/>
        <w:t>MECH</w:t>
      </w:r>
      <w:r>
        <w:rPr>
          <w:spacing w:val="-2"/>
        </w:rPr>
        <w:t> </w:t>
      </w:r>
      <w:r>
        <w:rPr/>
        <w:t>(500)</w:t>
        <w:tab/>
        <w:t>MECH</w:t>
      </w:r>
      <w:r>
        <w:rPr>
          <w:spacing w:val="-2"/>
        </w:rPr>
        <w:t> </w:t>
      </w:r>
      <w:r>
        <w:rPr/>
        <w:t>(1,000)</w:t>
      </w:r>
    </w:p>
    <w:p>
      <w:pPr>
        <w:spacing w:after="0" w:line="266" w:lineRule="exact"/>
        <w:sectPr>
          <w:type w:val="continuous"/>
          <w:pgSz w:w="12240" w:h="15840"/>
          <w:pgMar w:top="1340" w:bottom="280" w:left="1600" w:right="460"/>
          <w:cols w:num="2" w:equalWidth="0">
            <w:col w:w="1477" w:space="330"/>
            <w:col w:w="8373"/>
          </w:cols>
        </w:sectPr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spacing w:line="20" w:lineRule="exact"/>
        <w:ind w:left="277"/>
        <w:rPr>
          <w:sz w:val="2"/>
        </w:rPr>
      </w:pPr>
      <w:r>
        <w:rPr>
          <w:sz w:val="2"/>
        </w:rPr>
        <w:pict>
          <v:group style="width:452.75pt;height:.5pt;mso-position-horizontal-relative:char;mso-position-vertical-relative:line" coordorigin="0,0" coordsize="9055,10">
            <v:shape style="position:absolute;left:0;top:0;width:9055;height:10" coordorigin="0,0" coordsize="9055,10" path="m3677,0l1817,0,1807,0,1807,0,0,0,0,10,1807,10,1807,10,1817,10,3677,10,3677,0xm5475,0l5466,0,5466,0,3687,0,3677,0,3677,10,3687,10,5466,10,5466,10,5475,10,5475,0xm7345,0l5475,0,5475,10,7345,10,7345,0xm7355,0l7346,0,7346,10,7355,10,7355,0xm9054,0l7355,0,7355,10,9054,10,905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ind w:left="385"/>
      </w:pPr>
      <w:r>
        <w:rPr/>
        <w:t>WBC(x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9</w:t>
      </w:r>
      <w:r>
        <w:rPr>
          <w:vertAlign w:val="baseline"/>
        </w:rPr>
        <w:t>/L)</w:t>
        <w:tab/>
        <w:t>5.70 ± 0.58</w:t>
        <w:tab/>
        <w:t>5.82 ± 1.07</w:t>
        <w:tab/>
        <w:t>6.10 ± 0.74</w:t>
        <w:tab/>
        <w:t>6.88 ± 0.75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spacing w:before="90"/>
        <w:ind w:left="385"/>
      </w:pPr>
      <w:r>
        <w:rPr/>
        <w:t>LYM</w:t>
      </w:r>
      <w:r>
        <w:rPr>
          <w:spacing w:val="-1"/>
        </w:rPr>
        <w:t> </w:t>
      </w:r>
      <w:r>
        <w:rPr/>
        <w:t>(%)</w:t>
        <w:tab/>
        <w:t>31.88 ± 2.17</w:t>
        <w:tab/>
        <w:t>33.68 ± 1.94</w:t>
        <w:tab/>
        <w:t>36.92 ± 2.51</w:t>
        <w:tab/>
        <w:t>32.90 ± 1.86</w:t>
      </w:r>
    </w:p>
    <w:p>
      <w:pPr>
        <w:pStyle w:val="BodyText"/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ind w:left="385"/>
      </w:pPr>
      <w:r>
        <w:rPr/>
        <w:t>MID</w:t>
      </w:r>
      <w:r>
        <w:rPr>
          <w:spacing w:val="-1"/>
        </w:rPr>
        <w:t> </w:t>
      </w:r>
      <w:r>
        <w:rPr/>
        <w:t>(%)</w:t>
        <w:tab/>
        <w:t>5.22 ± 0.59</w:t>
        <w:tab/>
        <w:t>7.23 ± 1.66</w:t>
        <w:tab/>
        <w:t>9.13 ± 1.24</w:t>
        <w:tab/>
        <w:t>10.92 ± 0.78*</w:t>
      </w:r>
    </w:p>
    <w:p>
      <w:pPr>
        <w:pStyle w:val="BodyText"/>
        <w:spacing w:before="1"/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ind w:left="385"/>
      </w:pPr>
      <w:r>
        <w:rPr/>
        <w:t>GRAN</w:t>
      </w:r>
      <w:r>
        <w:rPr>
          <w:spacing w:val="-2"/>
        </w:rPr>
        <w:t> </w:t>
      </w:r>
      <w:r>
        <w:rPr/>
        <w:t>(%)</w:t>
        <w:tab/>
        <w:t>44.03 ± 1.86</w:t>
        <w:tab/>
        <w:t>47.22 ± 3.16</w:t>
        <w:tab/>
        <w:t>53.15 ± 2.36</w:t>
        <w:tab/>
        <w:t>56.13 ± 2.04**</w:t>
      </w:r>
    </w:p>
    <w:p>
      <w:pPr>
        <w:pStyle w:val="BodyText"/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ind w:left="385"/>
      </w:pPr>
      <w:r>
        <w:rPr/>
        <w:t>RBC</w:t>
      </w:r>
      <w:r>
        <w:rPr>
          <w:spacing w:val="-2"/>
        </w:rPr>
        <w:t> </w:t>
      </w:r>
      <w:r>
        <w:rPr/>
        <w:t>(x10</w:t>
      </w:r>
      <w:r>
        <w:rPr>
          <w:vertAlign w:val="superscript"/>
        </w:rPr>
        <w:t>12</w:t>
      </w:r>
      <w:r>
        <w:rPr>
          <w:vertAlign w:val="baseline"/>
        </w:rPr>
        <w:t>/L)</w:t>
        <w:tab/>
        <w:t>4.80 ± 0.06</w:t>
        <w:tab/>
        <w:t>5.08 ± 0.31</w:t>
        <w:tab/>
        <w:t>4.65 ± 0.15</w:t>
        <w:tab/>
        <w:t>4.96 ± 0.12</w:t>
      </w:r>
    </w:p>
    <w:p>
      <w:pPr>
        <w:pStyle w:val="BodyText"/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ind w:left="385"/>
      </w:pPr>
      <w:r>
        <w:rPr/>
        <w:t>HGB</w:t>
      </w:r>
      <w:r>
        <w:rPr>
          <w:spacing w:val="-4"/>
        </w:rPr>
        <w:t> </w:t>
      </w:r>
      <w:r>
        <w:rPr/>
        <w:t>(g/dL)</w:t>
        <w:tab/>
        <w:t>15.14 ± 0.81</w:t>
        <w:tab/>
        <w:t>14.73 ± 0.45</w:t>
        <w:tab/>
        <w:t>13.77 ± 0.32</w:t>
        <w:tab/>
        <w:t>14.58 ± 0.47</w:t>
      </w:r>
    </w:p>
    <w:p>
      <w:pPr>
        <w:pStyle w:val="BodyText"/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ind w:left="385"/>
      </w:pPr>
      <w:r>
        <w:rPr/>
        <w:t>HCT</w:t>
      </w:r>
      <w:r>
        <w:rPr>
          <w:spacing w:val="-1"/>
        </w:rPr>
        <w:t> </w:t>
      </w:r>
      <w:r>
        <w:rPr/>
        <w:t>(%)</w:t>
        <w:tab/>
        <w:t>45.33 ± 2.40</w:t>
        <w:tab/>
        <w:t>42.83 ± 1.99</w:t>
        <w:tab/>
        <w:t>42.00 ± 1.24</w:t>
        <w:tab/>
        <w:t>46.17 ± 2.12</w:t>
      </w:r>
    </w:p>
    <w:p>
      <w:pPr>
        <w:pStyle w:val="BodyText"/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ind w:left="385"/>
      </w:pPr>
      <w:r>
        <w:rPr/>
        <w:t>PLT</w:t>
      </w:r>
      <w:r>
        <w:rPr>
          <w:spacing w:val="-1"/>
        </w:rPr>
        <w:t> </w:t>
      </w:r>
      <w:r>
        <w:rPr/>
        <w:t>(x10</w:t>
      </w:r>
      <w:r>
        <w:rPr>
          <w:vertAlign w:val="superscript"/>
        </w:rPr>
        <w:t>9</w:t>
      </w:r>
      <w:r>
        <w:rPr>
          <w:vertAlign w:val="baseline"/>
        </w:rPr>
        <w:t>/L)</w:t>
        <w:tab/>
        <w:t>222.67 ± 24.17</w:t>
        <w:tab/>
        <w:t>336.80 ± 36.20</w:t>
        <w:tab/>
        <w:t>400.67± 25.72**</w:t>
        <w:tab/>
        <w:t>311.67 ± 25.92</w:t>
      </w:r>
    </w:p>
    <w:p>
      <w:pPr>
        <w:pStyle w:val="BodyText"/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ind w:left="385"/>
      </w:pPr>
      <w:r>
        <w:rPr/>
        <w:t>MCV</w:t>
      </w:r>
      <w:r>
        <w:rPr>
          <w:spacing w:val="-2"/>
        </w:rPr>
        <w:t> </w:t>
      </w:r>
      <w:r>
        <w:rPr/>
        <w:t>(fL)</w:t>
        <w:tab/>
        <w:t>85.11 ± 1.75</w:t>
        <w:tab/>
        <w:t>87.48 ± 1.55</w:t>
        <w:tab/>
        <w:t>86.88 ± 1.48</w:t>
        <w:tab/>
        <w:t>88.08 ± 1.75</w:t>
      </w:r>
    </w:p>
    <w:p>
      <w:pPr>
        <w:pStyle w:val="BodyText"/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spacing w:before="1"/>
        <w:ind w:left="385"/>
      </w:pPr>
      <w:r>
        <w:rPr/>
        <w:t>MCH</w:t>
      </w:r>
      <w:r>
        <w:rPr>
          <w:spacing w:val="-3"/>
        </w:rPr>
        <w:t> </w:t>
      </w:r>
      <w:r>
        <w:rPr/>
        <w:t>(pg)</w:t>
        <w:tab/>
        <w:t>32.48 ± 1.66</w:t>
        <w:tab/>
        <w:t>29.05 ± 0.91</w:t>
        <w:tab/>
        <w:t>30.27 ± 0.48</w:t>
        <w:tab/>
        <w:t>31.12 ± 0.52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192" w:val="left" w:leader="none"/>
          <w:tab w:pos="4062" w:val="left" w:leader="none"/>
          <w:tab w:pos="5850" w:val="left" w:leader="none"/>
          <w:tab w:pos="7730" w:val="left" w:leader="none"/>
        </w:tabs>
        <w:ind w:left="385"/>
      </w:pPr>
      <w:r>
        <w:rPr/>
        <w:t>MCHC</w:t>
      </w:r>
      <w:r>
        <w:rPr>
          <w:spacing w:val="-2"/>
        </w:rPr>
        <w:t> </w:t>
      </w:r>
      <w:r>
        <w:rPr/>
        <w:t>(g/dL)</w:t>
        <w:tab/>
        <w:t>34.96 ± 0.64</w:t>
        <w:tab/>
        <w:t>33.62 ± 0.47</w:t>
        <w:tab/>
        <w:t>33.83 ± 0.35</w:t>
        <w:tab/>
        <w:t>34.22 ± 0.27</w:t>
      </w: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93.144005pt;margin-top:14.230067pt;width:453.435022pt;height:.479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385"/>
        <w:jc w:val="both"/>
      </w:pPr>
      <w:r>
        <w:rPr/>
        <w:t>Data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presented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Mean</w:t>
      </w:r>
      <w:r>
        <w:rPr>
          <w:spacing w:val="27"/>
        </w:rPr>
        <w:t> </w:t>
      </w:r>
      <w:r>
        <w:rPr/>
        <w:t>±</w:t>
      </w:r>
      <w:r>
        <w:rPr>
          <w:spacing w:val="30"/>
        </w:rPr>
        <w:t> </w:t>
      </w:r>
      <w:r>
        <w:rPr/>
        <w:t>SEM;</w:t>
      </w:r>
      <w:r>
        <w:rPr>
          <w:spacing w:val="10"/>
        </w:rPr>
        <w:t> </w:t>
      </w:r>
      <w:r>
        <w:rPr>
          <w:i/>
        </w:rPr>
        <w:t>*</w:t>
      </w:r>
      <w:r>
        <w:rPr>
          <w:i/>
          <w:spacing w:val="27"/>
        </w:rPr>
        <w:t> </w:t>
      </w:r>
      <w:r>
        <w:rPr>
          <w:i/>
        </w:rPr>
        <w:t>p</w:t>
      </w:r>
      <w:r>
        <w:rPr/>
        <w:t>≤0.05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**</w:t>
      </w:r>
      <w:r>
        <w:rPr>
          <w:spacing w:val="27"/>
        </w:rPr>
        <w:t> </w:t>
      </w:r>
      <w:r>
        <w:rPr>
          <w:i/>
        </w:rPr>
        <w:t>p</w:t>
      </w:r>
      <w:r>
        <w:rPr/>
        <w:t>≤0.01</w:t>
      </w:r>
      <w:r>
        <w:rPr>
          <w:spacing w:val="27"/>
        </w:rPr>
        <w:t> </w:t>
      </w:r>
      <w:r>
        <w:rPr/>
        <w:t>compared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control</w:t>
      </w:r>
      <w:r>
        <w:rPr>
          <w:spacing w:val="28"/>
        </w:rPr>
        <w:t> </w:t>
      </w:r>
      <w:r>
        <w:rPr/>
        <w:t>group</w:t>
      </w:r>
    </w:p>
    <w:p>
      <w:pPr>
        <w:pStyle w:val="BodyText"/>
        <w:ind w:left="385" w:right="955"/>
        <w:jc w:val="both"/>
      </w:pPr>
      <w:r>
        <w:rPr/>
        <w:t>(One Way ANOVA followed by Dunnett’s post hoc test), DW= Distilled water, MECH=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/>
        <w:t>,</w:t>
      </w:r>
      <w:r>
        <w:rPr>
          <w:spacing w:val="1"/>
        </w:rPr>
        <w:t> </w:t>
      </w:r>
      <w:r>
        <w:rPr/>
        <w:t>WBC=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count,</w:t>
      </w:r>
      <w:r>
        <w:rPr>
          <w:spacing w:val="1"/>
        </w:rPr>
        <w:t> </w:t>
      </w:r>
      <w:r>
        <w:rPr/>
        <w:t>LYM</w:t>
      </w:r>
      <w:r>
        <w:rPr>
          <w:spacing w:val="1"/>
        </w:rPr>
        <w:t> </w:t>
      </w:r>
      <w:r>
        <w:rPr/>
        <w:t>%=</w:t>
      </w:r>
      <w:r>
        <w:rPr>
          <w:spacing w:val="-57"/>
        </w:rPr>
        <w:t> </w:t>
      </w:r>
      <w:r>
        <w:rPr/>
        <w:t>Percentage of lymphocytes, MID %= Percentage of eosinophils, basophils and monocytes,</w:t>
      </w:r>
      <w:r>
        <w:rPr>
          <w:spacing w:val="1"/>
        </w:rPr>
        <w:t> </w:t>
      </w:r>
      <w:r>
        <w:rPr/>
        <w:t>GRA %=</w:t>
      </w:r>
      <w:r>
        <w:rPr>
          <w:spacing w:val="1"/>
        </w:rPr>
        <w:t> </w:t>
      </w:r>
      <w:r>
        <w:rPr/>
        <w:t>Percentage of granulocytes, RBC= Red blood cell count, HGB= Haemoglobin,</w:t>
      </w:r>
      <w:r>
        <w:rPr>
          <w:spacing w:val="1"/>
        </w:rPr>
        <w:t> </w:t>
      </w:r>
      <w:r>
        <w:rPr/>
        <w:t>HCT=</w:t>
      </w:r>
      <w:r>
        <w:rPr>
          <w:spacing w:val="1"/>
        </w:rPr>
        <w:t> </w:t>
      </w:r>
      <w:r>
        <w:rPr/>
        <w:t>Haematocrit,</w:t>
      </w:r>
      <w:r>
        <w:rPr>
          <w:spacing w:val="1"/>
        </w:rPr>
        <w:t> </w:t>
      </w:r>
      <w:r>
        <w:rPr/>
        <w:t>PLT=</w:t>
      </w:r>
      <w:r>
        <w:rPr>
          <w:spacing w:val="1"/>
        </w:rPr>
        <w:t> </w:t>
      </w:r>
      <w:r>
        <w:rPr/>
        <w:t>Platelet,</w:t>
      </w:r>
      <w:r>
        <w:rPr>
          <w:spacing w:val="1"/>
        </w:rPr>
        <w:t> </w:t>
      </w:r>
      <w:r>
        <w:rPr/>
        <w:t>MCV=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corpuscular</w:t>
      </w:r>
      <w:r>
        <w:rPr>
          <w:spacing w:val="1"/>
        </w:rPr>
        <w:t> </w:t>
      </w:r>
      <w:r>
        <w:rPr/>
        <w:t>volume,</w:t>
      </w:r>
      <w:r>
        <w:rPr>
          <w:spacing w:val="1"/>
        </w:rPr>
        <w:t> </w:t>
      </w:r>
      <w:r>
        <w:rPr/>
        <w:t>MCH=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corpuscular</w:t>
      </w:r>
      <w:r>
        <w:rPr>
          <w:spacing w:val="-3"/>
        </w:rPr>
        <w:t> </w:t>
      </w:r>
      <w:r>
        <w:rPr/>
        <w:t>haemoglobin, MCHC=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corpuscular</w:t>
      </w:r>
      <w:r>
        <w:rPr>
          <w:spacing w:val="-2"/>
        </w:rPr>
        <w:t> </w:t>
      </w:r>
      <w:r>
        <w:rPr/>
        <w:t>haemoglobin concentration, n=6</w:t>
      </w:r>
    </w:p>
    <w:p>
      <w:pPr>
        <w:spacing w:after="0"/>
        <w:jc w:val="both"/>
        <w:sectPr>
          <w:type w:val="continuous"/>
          <w:pgSz w:w="12240" w:h="15840"/>
          <w:pgMar w:top="1340" w:bottom="280" w:left="1600" w:right="460"/>
        </w:sectPr>
      </w:pPr>
    </w:p>
    <w:p>
      <w:pPr>
        <w:pStyle w:val="Heading1"/>
        <w:numPr>
          <w:ilvl w:val="2"/>
          <w:numId w:val="20"/>
        </w:numPr>
        <w:tabs>
          <w:tab w:pos="945" w:val="left" w:leader="none"/>
        </w:tabs>
        <w:spacing w:line="480" w:lineRule="auto" w:before="75" w:after="0"/>
        <w:ind w:left="385" w:right="955" w:firstLine="0"/>
        <w:jc w:val="both"/>
      </w:pPr>
      <w:bookmarkStart w:name="_TOC_250009" w:id="66"/>
      <w:r>
        <w:rPr/>
        <w:t>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on Lipid</w:t>
      </w:r>
      <w:r>
        <w:rPr>
          <w:spacing w:val="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66"/>
      <w:r>
        <w:rPr/>
        <w:t>Rats</w:t>
      </w:r>
    </w:p>
    <w:p>
      <w:pPr>
        <w:pStyle w:val="BodyText"/>
        <w:spacing w:line="480" w:lineRule="auto"/>
        <w:ind w:left="385" w:right="958"/>
        <w:jc w:val="both"/>
      </w:pPr>
      <w:r>
        <w:rPr/>
        <w:t>The administration of MECH did not significantly (</w:t>
      </w:r>
      <w:r>
        <w:rPr>
          <w:i/>
        </w:rPr>
        <w:t>p</w:t>
      </w:r>
      <w:r>
        <w:rPr/>
        <w:t>&gt;0.05) change the level of cholesterol,</w:t>
      </w:r>
      <w:r>
        <w:rPr>
          <w:spacing w:val="1"/>
        </w:rPr>
        <w:t> </w:t>
      </w:r>
      <w:r>
        <w:rPr/>
        <w:t>triglycerides and HDL. However, there was a significant (p≤0.01, p≤0.001 and p≤0.05) and</w:t>
      </w:r>
      <w:r>
        <w:rPr>
          <w:spacing w:val="-57"/>
        </w:rPr>
        <w:t> </w:t>
      </w:r>
      <w:r>
        <w:rPr/>
        <w:t>non-dose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LDL,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mg/kg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control group (Figure</w:t>
      </w:r>
      <w:r>
        <w:rPr>
          <w:spacing w:val="-1"/>
        </w:rPr>
        <w:t> </w:t>
      </w:r>
      <w:r>
        <w:rPr/>
        <w:t>4.11).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90"/>
        <w:ind w:left="578"/>
      </w:pPr>
      <w:r>
        <w:rPr/>
        <w:pict>
          <v:group style="position:absolute;margin-left:133.559998pt;margin-top:3.548381pt;width:411.4pt;height:310.5pt;mso-position-horizontal-relative:page;mso-position-vertical-relative:paragraph;z-index:15753216" coordorigin="2671,71" coordsize="8228,6210">
            <v:shape style="position:absolute;left:2969;top:1715;width:475;height:4493" type="#_x0000_t75" stroked="false">
              <v:imagedata r:id="rId173" o:title=""/>
            </v:shape>
            <v:shape style="position:absolute;left:3324;top:3028;width:504;height:3181" type="#_x0000_t75" stroked="false">
              <v:imagedata r:id="rId174" o:title=""/>
            </v:shape>
            <v:shape style="position:absolute;left:3693;top:2910;width:507;height:3299" type="#_x0000_t75" stroked="false">
              <v:imagedata r:id="rId175" o:title=""/>
            </v:shape>
            <v:shape style="position:absolute;left:4065;top:1792;width:504;height:4417" type="#_x0000_t75" stroked="false">
              <v:imagedata r:id="rId176" o:title=""/>
            </v:shape>
            <v:shape style="position:absolute;left:2970;top:1682;width:450;height:4528" type="#_x0000_t75" stroked="false">
              <v:imagedata r:id="rId177" o:title=""/>
            </v:shape>
            <v:shape style="position:absolute;left:3345;top:3017;width:450;height:3193" type="#_x0000_t75" stroked="false">
              <v:imagedata r:id="rId178" o:title=""/>
            </v:shape>
            <v:shape style="position:absolute;left:3720;top:2897;width:435;height:3313" type="#_x0000_t75" stroked="false">
              <v:imagedata r:id="rId179" o:title=""/>
            </v:shape>
            <v:shape style="position:absolute;left:4080;top:1772;width:450;height:4438" type="#_x0000_t75" stroked="false">
              <v:imagedata r:id="rId180" o:title=""/>
            </v:shape>
            <v:shape style="position:absolute;left:3161;top:1361;width:1201;height:1699" coordorigin="3161,1361" coordsize="1201,1699" path="m3206,1733l3206,1733,3206,1361m3161,1361l3251,1361m3577,3060l3577,3060,3577,2585m3532,2585l3622,2585m3947,2942l3947,2942,3947,2333m3902,2333l3992,2333m4317,1824l4317,1824,4317,1367m4272,1367l4362,1367e" filled="false" stroked="true" strokeweight="1pt" strokecolor="#000000">
              <v:path arrowok="t"/>
              <v:stroke dashstyle="solid"/>
            </v:shape>
            <v:shape style="position:absolute;left:5006;top:3016;width:475;height:3193" type="#_x0000_t75" stroked="false">
              <v:imagedata r:id="rId181" o:title=""/>
            </v:shape>
            <v:shape style="position:absolute;left:5361;top:2512;width:504;height:3697" type="#_x0000_t75" stroked="false">
              <v:imagedata r:id="rId182" o:title=""/>
            </v:shape>
            <v:shape style="position:absolute;left:5731;top:2660;width:504;height:3548" type="#_x0000_t75" stroked="false">
              <v:imagedata r:id="rId183" o:title=""/>
            </v:shape>
            <v:shape style="position:absolute;left:6100;top:1753;width:507;height:4456" type="#_x0000_t75" stroked="false">
              <v:imagedata r:id="rId184" o:title=""/>
            </v:shape>
            <v:shape style="position:absolute;left:5010;top:2987;width:450;height:3223" type="#_x0000_t75" stroked="false">
              <v:imagedata r:id="rId185" o:title=""/>
            </v:shape>
            <v:shape style="position:absolute;left:5385;top:2492;width:450;height:3718" type="#_x0000_t75" stroked="false">
              <v:imagedata r:id="rId186" o:title=""/>
            </v:shape>
            <v:shape style="position:absolute;left:5760;top:2642;width:435;height:3568" type="#_x0000_t75" stroked="false">
              <v:imagedata r:id="rId187" o:title=""/>
            </v:shape>
            <v:shape style="position:absolute;left:6120;top:1742;width:450;height:4468" type="#_x0000_t75" stroked="false">
              <v:imagedata r:id="rId188" o:title=""/>
            </v:shape>
            <v:shape style="position:absolute;left:5198;top:1084;width:1201;height:1949" coordorigin="5198,1084" coordsize="1201,1949" path="m5243,3033l5243,3033,5243,2784m5198,2784l5288,2784m5614,2543l5614,2543,5614,2136m5569,2136l5659,2136m5984,2692l5984,2692,5984,2384m5939,2384l6029,2384m6354,1786l6354,1786,6354,1084m6309,1084l6399,1084e" filled="false" stroked="true" strokeweight="1pt" strokecolor="#000000">
              <v:path arrowok="t"/>
              <v:stroke dashstyle="solid"/>
            </v:shape>
            <v:shape style="position:absolute;left:7042;top:4043;width:477;height:2165" type="#_x0000_t75" stroked="false">
              <v:imagedata r:id="rId189" o:title=""/>
            </v:shape>
            <v:shape style="position:absolute;left:7399;top:5392;width:504;height:817" type="#_x0000_t75" stroked="false">
              <v:imagedata r:id="rId190" o:title=""/>
            </v:shape>
            <v:shape style="position:absolute;left:7768;top:5497;width:504;height:712" type="#_x0000_t75" stroked="false">
              <v:imagedata r:id="rId191" o:title=""/>
            </v:shape>
            <v:shape style="position:absolute;left:8138;top:4904;width:504;height:1304" type="#_x0000_t75" stroked="false">
              <v:imagedata r:id="rId192" o:title=""/>
            </v:shape>
            <v:shape style="position:absolute;left:7050;top:4007;width:450;height:2203" type="#_x0000_t75" stroked="false">
              <v:imagedata r:id="rId193" o:title=""/>
            </v:shape>
            <v:shape style="position:absolute;left:7425;top:5372;width:435;height:838" type="#_x0000_t75" stroked="false">
              <v:imagedata r:id="rId194" o:title=""/>
            </v:shape>
            <v:shape style="position:absolute;left:7785;top:5477;width:450;height:733" type="#_x0000_t75" stroked="false">
              <v:imagedata r:id="rId195" o:title=""/>
            </v:shape>
            <v:shape style="position:absolute;left:8160;top:4892;width:450;height:1318" type="#_x0000_t75" stroked="false">
              <v:imagedata r:id="rId196" o:title=""/>
            </v:shape>
            <v:shape style="position:absolute;left:7235;top:3726;width:1201;height:1801" coordorigin="7235,3726" coordsize="1201,1801" path="m7280,4060l7280,4060,7280,3726m7235,3726l7325,3726m7651,5422l7651,5422,7651,5246m7606,5246l7696,5246m8021,5527l8021,5527,8021,5425m7976,5425l8066,5425m8391,4935l8391,4935,8391,4797m8346,4797l8436,4797e" filled="false" stroked="true" strokeweight="1pt" strokecolor="#000000">
              <v:path arrowok="t"/>
              <v:stroke dashstyle="solid"/>
            </v:shape>
            <v:shape style="position:absolute;left:9079;top:4499;width:475;height:1709" type="#_x0000_t75" stroked="false">
              <v:imagedata r:id="rId197" o:title=""/>
            </v:shape>
            <v:shape style="position:absolute;left:9434;top:4547;width:507;height:1662" type="#_x0000_t75" stroked="false">
              <v:imagedata r:id="rId198" o:title=""/>
            </v:shape>
            <v:shape style="position:absolute;left:9806;top:4300;width:504;height:1909" type="#_x0000_t75" stroked="false">
              <v:imagedata r:id="rId199" o:title=""/>
            </v:shape>
            <v:shape style="position:absolute;left:10176;top:3952;width:504;height:2257" type="#_x0000_t75" stroked="false">
              <v:imagedata r:id="rId200" o:title=""/>
            </v:shape>
            <v:shape style="position:absolute;left:9090;top:4472;width:435;height:1738" type="#_x0000_t75" stroked="false">
              <v:imagedata r:id="rId201" o:title=""/>
            </v:shape>
            <v:shape style="position:absolute;left:9450;top:4532;width:450;height:1678" type="#_x0000_t75" stroked="false">
              <v:imagedata r:id="rId202" o:title=""/>
            </v:shape>
            <v:shape style="position:absolute;left:9825;top:4292;width:450;height:1918" type="#_x0000_t75" stroked="false">
              <v:imagedata r:id="rId203" o:title=""/>
            </v:shape>
            <v:shape style="position:absolute;left:10200;top:3932;width:450;height:2278" type="#_x0000_t75" stroked="false">
              <v:imagedata r:id="rId204" o:title=""/>
            </v:shape>
            <v:shape style="position:absolute;left:9272;top:3620;width:1201;height:959" coordorigin="9272,3621" coordsize="1201,959" path="m9317,4515l9317,4515,9317,4045m9272,4045l9362,4045m9687,4579l9687,4579,9687,4075m9642,4075l9732,4075m10058,4332l10058,4332,10058,3850m10013,3850l10103,3850m10428,3983l10428,3983,10428,3621m10383,3621l10473,3621e" filled="false" stroked="true" strokeweight="1pt" strokecolor="#000000">
              <v:path arrowok="t"/>
              <v:stroke dashstyle="solid"/>
            </v:shape>
            <v:shape style="position:absolute;left:2671;top:234;width:72;height:5976" coordorigin="2671,234" coordsize="72,5976" path="m2743,6210l2743,234m2671,6210l2743,6210m2671,5546l2743,5546m2671,4883l2743,4883m2671,4218l2743,4218m2671,3554l2743,3554m2671,2891l2743,2891m2671,2226l2743,2226m2671,1562l2743,1562m2671,899l2743,899m2671,234l2743,234e" filled="false" stroked="true" strokeweight=".72pt" strokecolor="#858585">
              <v:path arrowok="t"/>
              <v:stroke dashstyle="solid"/>
            </v:shape>
            <v:shape style="position:absolute;left:2743;top:6210;width:8148;height:70" coordorigin="2743,6210" coordsize="8148,70" path="m2743,6210l10891,6210m2743,6210l2743,6280m4781,6210l4781,6280m6818,6210l6818,6280m8854,6210l8854,6280m10891,6210l10891,6280e" filled="false" stroked="true" strokeweight=".72pt" strokecolor="#858585">
              <v:path arrowok="t"/>
              <v:stroke dashstyle="solid"/>
            </v:shape>
            <v:shape style="position:absolute;left:8265;top:122;width:135;height:135" type="#_x0000_t75" stroked="false">
              <v:imagedata r:id="rId205" o:title=""/>
            </v:shape>
            <v:shape style="position:absolute;left:8265;top:407;width:135;height:135" type="#_x0000_t75" stroked="false">
              <v:imagedata r:id="rId206" o:title=""/>
            </v:shape>
            <v:shape style="position:absolute;left:8265;top:707;width:135;height:135" type="#_x0000_t75" stroked="false">
              <v:imagedata r:id="rId207" o:title=""/>
            </v:shape>
            <v:shape style="position:absolute;left:8265;top:992;width:135;height:135" type="#_x0000_t75" stroked="false">
              <v:imagedata r:id="rId208" o:title=""/>
            </v:shape>
            <v:shape style="position:absolute;left:8459;top:70;width:2140;height:113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DW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ml/kg)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MECH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(250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mg/kg)</w:t>
                    </w: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MECH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(500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mg/kg)</w:t>
                    </w: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MECH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(1,000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mg/kg)</w:t>
                    </w:r>
                  </w:p>
                </w:txbxContent>
              </v:textbox>
              <w10:wrap type="none"/>
            </v:shape>
            <v:shape style="position:absolute;left:7560;top:5106;width:2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7830;top:5317;width:35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180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ind w:left="578"/>
      </w:pPr>
      <w:r>
        <w:rPr/>
        <w:t>160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/>
        <w:ind w:left="578"/>
      </w:pPr>
      <w:r>
        <w:rPr/>
        <w:t>140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578"/>
      </w:pPr>
      <w:r>
        <w:rPr/>
        <w:t>120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578"/>
      </w:pPr>
      <w:r>
        <w:rPr/>
        <w:pict>
          <v:shape style="position:absolute;margin-left:100.246643pt;margin-top:15.853137pt;width:15.3pt;height:31.25pt;mso-position-horizontal-relative:page;mso-position-vertical-relative:paragraph;z-index:-18575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mg/dl</w:t>
                  </w:r>
                </w:p>
              </w:txbxContent>
            </v:textbox>
            <w10:wrap type="none"/>
          </v:shape>
        </w:pict>
      </w:r>
      <w:r>
        <w:rPr/>
        <w:t>100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/>
        <w:ind w:left="698"/>
      </w:pPr>
      <w:r>
        <w:rPr/>
        <w:t>80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698"/>
      </w:pPr>
      <w:r>
        <w:rPr/>
        <w:pict>
          <v:shape style="position:absolute;margin-left:417.285675pt;margin-top:25.373083pt;width:5.7pt;height:11.05pt;mso-position-horizontal-relative:page;mso-position-vertical-relative:paragraph;z-index:15753728;rotation:181" type="#_x0000_t136" fillcolor="#000000" stroked="f">
            <o:extrusion v:ext="view" autorotationcenter="t"/>
            <v:textpath style="font-family:&quot;Calibri&quot;;font-size:11pt;v-text-kern:t;mso-text-shadow:auto" string="*"/>
            <w10:wrap type="none"/>
          </v:shape>
        </w:pict>
      </w:r>
      <w:r>
        <w:rPr/>
        <w:t>60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/>
        <w:ind w:left="698"/>
      </w:pPr>
      <w:r>
        <w:rPr/>
        <w:t>40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ind w:left="698"/>
      </w:pPr>
      <w:r>
        <w:rPr/>
        <w:t>20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right="8420"/>
        <w:jc w:val="center"/>
      </w:pPr>
      <w:r>
        <w:rPr/>
        <w:t>0</w:t>
      </w:r>
    </w:p>
    <w:p>
      <w:pPr>
        <w:pStyle w:val="BodyText"/>
        <w:tabs>
          <w:tab w:pos="1960" w:val="left" w:leader="none"/>
          <w:tab w:pos="4401" w:val="left" w:leader="none"/>
          <w:tab w:pos="6421" w:val="left" w:leader="none"/>
        </w:tabs>
        <w:spacing w:before="73"/>
        <w:ind w:right="47"/>
        <w:jc w:val="center"/>
      </w:pPr>
      <w:r>
        <w:rPr/>
        <w:t>Cholesterol</w:t>
        <w:tab/>
        <w:t>Triglycerides</w:t>
        <w:tab/>
        <w:t>LDL</w:t>
        <w:tab/>
        <w:t>HDL</w:t>
      </w:r>
    </w:p>
    <w:p>
      <w:pPr>
        <w:pStyle w:val="Heading1"/>
        <w:spacing w:before="59"/>
        <w:ind w:left="212" w:right="47"/>
        <w:jc w:val="center"/>
      </w:pPr>
      <w:r>
        <w:rPr/>
        <w:t>Lipid</w:t>
      </w:r>
      <w:r>
        <w:rPr>
          <w:spacing w:val="-9"/>
        </w:rPr>
        <w:t> </w:t>
      </w:r>
      <w:r>
        <w:rPr/>
        <w:t>Profile</w:t>
      </w:r>
      <w:r>
        <w:rPr>
          <w:spacing w:val="-7"/>
        </w:rPr>
        <w:t> </w:t>
      </w:r>
      <w:r>
        <w:rPr/>
        <w:t>Parameters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90"/>
        <w:ind w:left="385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28-Days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of</w:t>
      </w:r>
    </w:p>
    <w:p>
      <w:pPr>
        <w:spacing w:before="0"/>
        <w:ind w:left="385" w:right="0" w:firstLine="0"/>
        <w:jc w:val="both"/>
        <w:rPr>
          <w:b/>
          <w:sz w:val="24"/>
        </w:rPr>
      </w:pPr>
      <w:r>
        <w:rPr>
          <w:b/>
          <w:i/>
          <w:sz w:val="24"/>
        </w:rPr>
        <w:t>Combretum hypopilinum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Lipid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85" w:right="953"/>
        <w:jc w:val="both"/>
      </w:pPr>
      <w:r>
        <w:rPr/>
        <w:t>Data are presented as Mean ± SEM; </w:t>
      </w:r>
      <w:r>
        <w:rPr>
          <w:i/>
        </w:rPr>
        <w:t>* p</w:t>
      </w:r>
      <w:r>
        <w:rPr/>
        <w:t>≤0.05, ** </w:t>
      </w:r>
      <w:r>
        <w:rPr>
          <w:i/>
        </w:rPr>
        <w:t>p</w:t>
      </w:r>
      <w:r>
        <w:rPr/>
        <w:t>≤0.01 and *** </w:t>
      </w:r>
      <w:r>
        <w:rPr>
          <w:i/>
        </w:rPr>
        <w:t>p</w:t>
      </w:r>
      <w:r>
        <w:rPr/>
        <w:t>≤0.001 compared to</w:t>
      </w:r>
      <w:r>
        <w:rPr>
          <w:spacing w:val="1"/>
        </w:rPr>
        <w:t> </w:t>
      </w:r>
      <w:r>
        <w:rPr/>
        <w:t>control group (One way ANOVA followed by Dunnett’s post hoc test), DW= distilled</w:t>
      </w:r>
      <w:r>
        <w:rPr>
          <w:spacing w:val="1"/>
        </w:rPr>
        <w:t> </w:t>
      </w:r>
      <w:r>
        <w:rPr/>
        <w:t>water, MECH= Methanol leaf extract of </w:t>
      </w:r>
      <w:r>
        <w:rPr>
          <w:i/>
        </w:rPr>
        <w:t>C. hypopilinum</w:t>
      </w:r>
      <w:r>
        <w:rPr/>
        <w:t>, LDL= Low-Density Lipoprotein,</w:t>
      </w:r>
      <w:r>
        <w:rPr>
          <w:spacing w:val="1"/>
        </w:rPr>
        <w:t> </w:t>
      </w:r>
      <w:r>
        <w:rPr/>
        <w:t>HDL=</w:t>
      </w:r>
      <w:r>
        <w:rPr>
          <w:spacing w:val="-2"/>
        </w:rPr>
        <w:t> </w:t>
      </w:r>
      <w:r>
        <w:rPr/>
        <w:t>High-Density</w:t>
      </w:r>
      <w:r>
        <w:rPr>
          <w:spacing w:val="-2"/>
        </w:rPr>
        <w:t> </w:t>
      </w:r>
      <w:r>
        <w:rPr/>
        <w:t>Lipoprotein, n=6</w:t>
      </w:r>
    </w:p>
    <w:p>
      <w:pPr>
        <w:spacing w:after="0"/>
        <w:jc w:val="both"/>
        <w:sectPr>
          <w:pgSz w:w="12240" w:h="15840"/>
          <w:pgMar w:header="0" w:footer="294" w:top="1500" w:bottom="480" w:left="1600" w:right="460"/>
        </w:sectPr>
      </w:pPr>
    </w:p>
    <w:p>
      <w:pPr>
        <w:pStyle w:val="Heading1"/>
        <w:numPr>
          <w:ilvl w:val="2"/>
          <w:numId w:val="20"/>
        </w:numPr>
        <w:tabs>
          <w:tab w:pos="945" w:val="left" w:leader="none"/>
        </w:tabs>
        <w:spacing w:line="480" w:lineRule="auto" w:before="75" w:after="0"/>
        <w:ind w:left="385" w:right="955" w:firstLine="0"/>
        <w:jc w:val="both"/>
      </w:pPr>
      <w:bookmarkStart w:name="_TOC_250008" w:id="67"/>
      <w:r>
        <w:rPr/>
        <w:t>Effect of 28-Days Oral Administration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on Histology of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Organs of</w:t>
      </w:r>
      <w:r>
        <w:rPr>
          <w:spacing w:val="1"/>
        </w:rPr>
        <w:t> </w:t>
      </w:r>
      <w:bookmarkEnd w:id="67"/>
      <w:r>
        <w:rPr/>
        <w:t>Rats</w:t>
      </w:r>
    </w:p>
    <w:p>
      <w:pPr>
        <w:pStyle w:val="BodyText"/>
        <w:spacing w:line="480" w:lineRule="auto"/>
        <w:ind w:left="385" w:right="953"/>
        <w:jc w:val="both"/>
      </w:pPr>
      <w:r>
        <w:rPr/>
        <w:t>There were no pathological changes on the liver of rats treated with 250 mg/kg of MECH.</w:t>
      </w:r>
      <w:r>
        <w:rPr>
          <w:spacing w:val="1"/>
        </w:rPr>
        <w:t> </w:t>
      </w:r>
      <w:r>
        <w:rPr/>
        <w:t>However, the group treated with 500 mg/kg of the extract showed kupffer cell hyperplasia,</w:t>
      </w:r>
      <w:r>
        <w:rPr>
          <w:spacing w:val="1"/>
        </w:rPr>
        <w:t> </w:t>
      </w:r>
      <w:r>
        <w:rPr/>
        <w:t>while the group treated with the highest dose (1,000 mg/kg) of the extract showed slight</w:t>
      </w:r>
      <w:r>
        <w:rPr>
          <w:spacing w:val="1"/>
        </w:rPr>
        <w:t> </w:t>
      </w:r>
      <w:r>
        <w:rPr/>
        <w:t>hepatic necrosis and kupffer cell hyperplasia (Plate II). There were no pathological changes</w:t>
      </w:r>
      <w:r>
        <w:rPr>
          <w:spacing w:val="-57"/>
        </w:rPr>
        <w:t> </w:t>
      </w:r>
      <w:r>
        <w:rPr/>
        <w:t>in the kidney of the group treated with 250 mg/kg of the extract, while the groups treated</w:t>
      </w:r>
      <w:r>
        <w:rPr>
          <w:spacing w:val="1"/>
        </w:rPr>
        <w:t> </w:t>
      </w:r>
      <w:r>
        <w:rPr/>
        <w:t>with 500 and 1,000 mg/kg both showed moderate tubular necrosis (Plate III). Also, there</w:t>
      </w:r>
      <w:r>
        <w:rPr>
          <w:spacing w:val="1"/>
        </w:rPr>
        <w:t> </w:t>
      </w:r>
      <w:r>
        <w:rPr/>
        <w:t>were no pathological changes in the heart muscles of rats in all treated groups (Plate IV).</w:t>
      </w:r>
      <w:r>
        <w:rPr>
          <w:spacing w:val="1"/>
        </w:rPr>
        <w:t> </w:t>
      </w:r>
      <w:r>
        <w:rPr/>
        <w:t>The groups treated with 250 and 500 mg/kg of the extract showed normal lung features,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(1,000</w:t>
      </w:r>
      <w:r>
        <w:rPr>
          <w:spacing w:val="1"/>
        </w:rPr>
        <w:t> </w:t>
      </w:r>
      <w:r>
        <w:rPr/>
        <w:t>mg/kg)</w:t>
      </w:r>
      <w:r>
        <w:rPr>
          <w:spacing w:val="60"/>
        </w:rPr>
        <w:t> </w:t>
      </w:r>
      <w:r>
        <w:rPr/>
        <w:t>revealed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alveoli congestion and slight</w:t>
      </w:r>
      <w:r>
        <w:rPr>
          <w:spacing w:val="1"/>
        </w:rPr>
        <w:t> </w:t>
      </w:r>
      <w:r>
        <w:rPr/>
        <w:t>alveoli necrosis</w:t>
      </w:r>
      <w:r>
        <w:rPr>
          <w:spacing w:val="1"/>
        </w:rPr>
        <w:t> </w:t>
      </w:r>
      <w:r>
        <w:rPr/>
        <w:t>(Plate V). The</w:t>
      </w:r>
      <w:r>
        <w:rPr>
          <w:spacing w:val="60"/>
        </w:rPr>
        <w:t> </w:t>
      </w:r>
      <w:r>
        <w:rPr/>
        <w:t>group treated with</w:t>
      </w:r>
      <w:r>
        <w:rPr>
          <w:spacing w:val="1"/>
        </w:rPr>
        <w:t> </w:t>
      </w:r>
      <w:r>
        <w:rPr/>
        <w:t>the lowest dose of the extract showed normal gastric mucosa, while the groups treated with</w:t>
      </w:r>
      <w:r>
        <w:rPr>
          <w:spacing w:val="1"/>
        </w:rPr>
        <w:t> </w:t>
      </w:r>
      <w:r>
        <w:rPr/>
        <w:t>500 and 1,000 mg/kg showed slight</w:t>
      </w:r>
      <w:r>
        <w:rPr>
          <w:spacing w:val="1"/>
        </w:rPr>
        <w:t> </w:t>
      </w:r>
      <w:r>
        <w:rPr/>
        <w:t>necrosis of gastric mucosa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VI). The</w:t>
      </w:r>
      <w:r>
        <w:rPr>
          <w:spacing w:val="60"/>
        </w:rPr>
        <w:t> </w:t>
      </w:r>
      <w:r>
        <w:rPr/>
        <w:t>group</w:t>
      </w:r>
      <w:r>
        <w:rPr>
          <w:spacing w:val="1"/>
        </w:rPr>
        <w:t> </w:t>
      </w:r>
      <w:r>
        <w:rPr/>
        <w:t>treated with 500 mg/kg revealed normal intestinal villi, while the group treated with 250</w:t>
      </w:r>
      <w:r>
        <w:rPr>
          <w:spacing w:val="1"/>
        </w:rPr>
        <w:t> </w:t>
      </w:r>
      <w:r>
        <w:rPr/>
        <w:t>mg/kg and 1,000 mg/kg revealed slight small intestinal atrophy and moderate villi atrophy,</w:t>
      </w:r>
      <w:r>
        <w:rPr>
          <w:spacing w:val="1"/>
        </w:rPr>
        <w:t> </w:t>
      </w:r>
      <w:r>
        <w:rPr/>
        <w:t>respectively (Plate VII). There were no pathological changes in the liver, kidney, heart,</w:t>
      </w:r>
      <w:r>
        <w:rPr>
          <w:spacing w:val="1"/>
        </w:rPr>
        <w:t> </w:t>
      </w:r>
      <w:r>
        <w:rPr/>
        <w:t>lung, stomach and small intestine of all the groups treated with distilled water (Plates II to</w:t>
      </w:r>
      <w:r>
        <w:rPr>
          <w:spacing w:val="1"/>
        </w:rPr>
        <w:t> </w:t>
      </w:r>
      <w:r>
        <w:rPr/>
        <w:t>VII).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ind w:left="415"/>
        <w:rPr>
          <w:sz w:val="20"/>
        </w:rPr>
      </w:pPr>
      <w:r>
        <w:rPr>
          <w:sz w:val="20"/>
        </w:rPr>
        <w:pict>
          <v:group style="width:440.3pt;height:206.95pt;mso-position-horizontal-relative:char;mso-position-vertical-relative:line" coordorigin="0,0" coordsize="8806,4139">
            <v:shape style="position:absolute;left:0;top:21;width:4250;height:4100" type="#_x0000_t75" stroked="false">
              <v:imagedata r:id="rId209" o:title=""/>
            </v:shape>
            <v:shape style="position:absolute;left:4290;top:35;width:4516;height:4104" type="#_x0000_t75" stroked="false">
              <v:imagedata r:id="rId210" o:title=""/>
            </v:shape>
            <v:shape style="position:absolute;left:1766;top:1682;width:1225;height:714" coordorigin="1767,1683" coordsize="1225,714" path="m1767,1683l2044,1900,2057,1878,2966,2396,2991,2352,2082,1833,2095,1811,1767,1683xe" filled="true" fillcolor="#ffffff" stroked="false">
              <v:path arrowok="t"/>
              <v:fill type="solid"/>
            </v:shape>
            <v:shape style="position:absolute;left:1766;top:1682;width:1225;height:714" coordorigin="1767,1683" coordsize="1225,714" path="m2095,1811l2082,1833,2991,2352,2966,2396,2057,1878,2044,1900,1767,1683,2095,1811xe" filled="false" stroked="true" strokeweight=".75pt" strokecolor="#000000">
              <v:path arrowok="t"/>
              <v:stroke dashstyle="solid"/>
            </v:shape>
            <v:shape style="position:absolute;left:6394;top:1720;width:1342;height:842" coordorigin="6394,1720" coordsize="1342,842" path="m6394,1720l6700,1969,6713,1947,7709,2562,7736,2519,6740,1904,6753,1882,6394,1720xe" filled="true" fillcolor="#ffffff" stroked="false">
              <v:path arrowok="t"/>
              <v:fill type="solid"/>
            </v:shape>
            <v:shape style="position:absolute;left:6394;top:1720;width:1342;height:842" coordorigin="6394,1720" coordsize="1342,842" path="m6753,1882l6740,1904,7736,2519,7709,2562,6713,1947,6700,1969,6394,1720,6753,1882xe" filled="false" stroked="true" strokeweight=".75pt" strokecolor="#000000">
              <v:path arrowok="t"/>
              <v:stroke dashstyle="solid"/>
            </v:shape>
            <v:rect style="position:absolute;left:17;top:7;width:503;height:463" filled="true" fillcolor="#ffffff" stroked="false">
              <v:fill type="solid"/>
            </v:rect>
            <v:rect style="position:absolute;left:17;top:7;width:503;height:463" filled="false" stroked="true" strokeweight=".75pt" strokecolor="#000000">
              <v:stroke dashstyle="solid"/>
            </v:rect>
            <v:rect style="position:absolute;left:4278;top:7;width:571;height:463" filled="true" fillcolor="#ffffff" stroked="false">
              <v:fill type="solid"/>
            </v:rect>
            <v:shape style="position:absolute;left:2950;top:2329;width:5316;height:497" coordorigin="2950,2329" coordsize="5316,497" path="m7650,2826l8266,2826,8266,2497,7650,2497,7650,2826xm2950,2734l3653,2734,3653,2329,2950,2329,2950,2734xe" filled="false" stroked="true" strokeweight=".75pt" strokecolor="#000000">
              <v:path arrowok="t"/>
              <v:stroke dashstyle="solid"/>
            </v:shape>
            <v:shape style="position:absolute;left:169;top:91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950;top:2412;width:723;height:221" type="#_x0000_t202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NH</w:t>
                      <w:tab/>
                    </w:r>
                  </w:p>
                </w:txbxContent>
              </v:textbox>
              <w10:wrap type="none"/>
            </v:shape>
            <v:shape style="position:absolute;left:7650;top:2580;width:6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NH</w:t>
                    </w:r>
                    <w:r>
                      <w:rPr>
                        <w:spacing w:val="-25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278;top:7;width:571;height:463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5"/>
        </w:rPr>
      </w:pPr>
    </w:p>
    <w:p>
      <w:pPr>
        <w:pStyle w:val="BodyText"/>
        <w:ind w:left="422"/>
        <w:rPr>
          <w:sz w:val="20"/>
        </w:rPr>
      </w:pPr>
      <w:r>
        <w:rPr>
          <w:sz w:val="20"/>
        </w:rPr>
        <w:pict>
          <v:group style="width:440.75pt;height:241.35pt;mso-position-horizontal-relative:char;mso-position-vertical-relative:line" coordorigin="0,0" coordsize="8815,4827">
            <v:shape style="position:absolute;left:53;top:41;width:8762;height:4785" type="#_x0000_t75" stroked="false">
              <v:imagedata r:id="rId211" o:title=""/>
            </v:shape>
            <v:shape style="position:absolute;left:1560;top:2031;width:1380;height:983" coordorigin="1560,2032" coordsize="1380,983" path="m1560,2032l1864,2323,1882,2297,2903,3014,2940,2962,1919,2245,1937,2219,1560,2032xe" filled="true" fillcolor="#ffffff" stroked="false">
              <v:path arrowok="t"/>
              <v:fill type="solid"/>
            </v:shape>
            <v:shape style="position:absolute;left:1560;top:2031;width:1380;height:983" coordorigin="1560,2032" coordsize="1380,983" path="m1937,2219l1919,2245,2940,2962,2903,3014,1882,2297,1864,2323,1560,2032,1937,2219xe" filled="false" stroked="true" strokeweight=".75pt" strokecolor="#000000">
              <v:path arrowok="t"/>
              <v:stroke dashstyle="solid"/>
            </v:shape>
            <v:shape style="position:absolute;left:6454;top:651;width:1268;height:1043" coordorigin="6454,651" coordsize="1268,1043" path="m6454,651l6740,941,6754,924,7694,1694,7722,1660,6781,891,6795,874,6454,651xe" filled="true" fillcolor="#ffffff" stroked="false">
              <v:path arrowok="t"/>
              <v:fill type="solid"/>
            </v:shape>
            <v:shape style="position:absolute;left:6454;top:651;width:1268;height:1043" coordorigin="6454,651" coordsize="1268,1043" path="m6740,941l6754,924,7694,1694,7722,1660,6781,891,6795,874,6454,651,6740,941xe" filled="false" stroked="true" strokeweight=".75pt" strokecolor="#000000">
              <v:path arrowok="t"/>
              <v:stroke dashstyle="solid"/>
            </v:shape>
            <v:shape style="position:absolute;left:6598;top:1914;width:1281;height:887" coordorigin="6599,1915" coordsize="1281,887" path="m6599,1915l6892,2166,6904,2149,7855,2802,7879,2767,6928,2115,6939,2098,6599,1915xe" filled="true" fillcolor="#ffffff" stroked="false">
              <v:path arrowok="t"/>
              <v:fill type="solid"/>
            </v:shape>
            <v:shape style="position:absolute;left:6598;top:1914;width:1281;height:887" coordorigin="6599,1915" coordsize="1281,887" path="m6939,2098l6928,2115,7879,2767,7855,2802,6904,2149,6892,2166,6599,1915,6939,2098xe" filled="false" stroked="true" strokeweight=".75pt" strokecolor="#000000">
              <v:path arrowok="t"/>
              <v:stroke dashstyle="solid"/>
            </v:shape>
            <v:rect style="position:absolute;left:10;top:10;width:530;height:463" filled="true" fillcolor="#ffffff" stroked="false">
              <v:fill type="solid"/>
            </v:rect>
            <v:rect style="position:absolute;left:10;top:10;width:530;height:463" filled="false" stroked="true" strokeweight="1pt" strokecolor="#8063a1">
              <v:stroke dashstyle="shortdash"/>
            </v:rect>
            <v:shape style="position:absolute;left:4271;top:93;width:4332;height:3049" coordorigin="4271,93" coordsize="4332,3049" path="m4271,556l4774,556,4774,93,4271,93,4271,556xm7832,3142l8603,3142,8603,2769,7832,2769,7832,3142xe" filled="false" stroked="true" strokeweight=".75pt" strokecolor="#000000">
              <v:path arrowok="t"/>
              <v:stroke dashstyle="solid"/>
            </v:shape>
            <v:shape style="position:absolute;left:164;top:97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271;top:178;width:52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8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D</w:t>
                    </w:r>
                    <w:r>
                      <w:rPr>
                        <w:spacing w:val="-3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32;top:2853;width:791;height:221" type="#_x0000_t202" filled="false" stroked="false">
              <v:textbox inset="0,0,0,0">
                <w:txbxContent>
                  <w:p>
                    <w:pPr>
                      <w:tabs>
                        <w:tab w:pos="770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SHN</w:t>
                      <w:tab/>
                    </w:r>
                  </w:p>
                </w:txbxContent>
              </v:textbox>
              <w10:wrap type="none"/>
            </v:shape>
            <v:shape style="position:absolute;left:2874;top:2944;width:680;height:367" type="#_x0000_t202" filled="true" fillcolor="#ffffff" stroked="true" strokeweight="1pt" strokecolor="#8063a1">
              <v:textbox inset="0,0,0,0">
                <w:txbxContent>
                  <w:p>
                    <w:pPr>
                      <w:spacing w:before="67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KH</w:t>
                    </w:r>
                  </w:p>
                </w:txbxContent>
              </v:textbox>
              <v:fill type="solid"/>
              <v:stroke dashstyle="shortdash"/>
              <w10:wrap type="none"/>
            </v:shape>
            <v:shape style="position:absolute;left:7652;top:1618;width:607;height:402" type="#_x0000_t202" filled="true" fillcolor="#ffffff" stroked="true" strokeweight="1pt" strokecolor="#8063a1">
              <v:textbox inset="0,0,0,0">
                <w:txbxContent>
                  <w:p>
                    <w:pPr>
                      <w:spacing w:before="66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KH</w:t>
                    </w:r>
                  </w:p>
                </w:txbxContent>
              </v:textbox>
              <v:fill type="solid"/>
              <v:stroke dashstyle="shortdash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</w:pPr>
    </w:p>
    <w:p>
      <w:pPr>
        <w:pStyle w:val="Heading1"/>
        <w:spacing w:before="90"/>
        <w:ind w:right="950"/>
        <w:jc w:val="left"/>
      </w:pPr>
      <w:r>
        <w:rPr/>
        <w:t>Plate</w:t>
      </w:r>
      <w:r>
        <w:rPr>
          <w:spacing w:val="41"/>
        </w:rPr>
        <w:t> </w:t>
      </w:r>
      <w:r>
        <w:rPr/>
        <w:t>II:</w:t>
      </w:r>
      <w:r>
        <w:rPr>
          <w:spacing w:val="43"/>
        </w:rPr>
        <w:t> </w:t>
      </w:r>
      <w:r>
        <w:rPr/>
        <w:t>Photomicrographs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Liver</w:t>
      </w:r>
      <w:r>
        <w:rPr>
          <w:spacing w:val="40"/>
        </w:rPr>
        <w:t> </w:t>
      </w:r>
      <w:r>
        <w:rPr/>
        <w:t>Sections</w:t>
      </w:r>
      <w:r>
        <w:rPr>
          <w:spacing w:val="42"/>
        </w:rPr>
        <w:t> </w:t>
      </w:r>
      <w:r>
        <w:rPr/>
        <w:t>from</w:t>
      </w:r>
      <w:r>
        <w:rPr>
          <w:spacing w:val="41"/>
        </w:rPr>
        <w:t> </w:t>
      </w:r>
      <w:r>
        <w:rPr/>
        <w:t>Rats</w:t>
      </w:r>
      <w:r>
        <w:rPr>
          <w:spacing w:val="41"/>
        </w:rPr>
        <w:t> </w:t>
      </w:r>
      <w:r>
        <w:rPr/>
        <w:t>Orally</w:t>
      </w:r>
      <w:r>
        <w:rPr>
          <w:spacing w:val="44"/>
        </w:rPr>
        <w:t> </w:t>
      </w:r>
      <w:r>
        <w:rPr/>
        <w:t>Treated</w:t>
      </w:r>
      <w:r>
        <w:rPr>
          <w:spacing w:val="42"/>
        </w:rPr>
        <w:t> </w:t>
      </w:r>
      <w:r>
        <w:rPr/>
        <w:t>with</w:t>
      </w:r>
      <w:r>
        <w:rPr>
          <w:spacing w:val="-57"/>
        </w:rPr>
        <w:t> </w:t>
      </w:r>
      <w:r>
        <w:rPr/>
        <w:t>Methanol</w:t>
      </w:r>
      <w:r>
        <w:rPr>
          <w:spacing w:val="22"/>
        </w:rPr>
        <w:t> </w:t>
      </w:r>
      <w:r>
        <w:rPr/>
        <w:t>Leaf</w:t>
      </w:r>
      <w:r>
        <w:rPr>
          <w:spacing w:val="25"/>
        </w:rPr>
        <w:t> </w:t>
      </w:r>
      <w:r>
        <w:rPr/>
        <w:t>Extract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>
          <w:i/>
        </w:rPr>
        <w:t>Combretum</w:t>
      </w:r>
      <w:r>
        <w:rPr>
          <w:i/>
          <w:spacing w:val="24"/>
        </w:rPr>
        <w:t> </w:t>
      </w:r>
      <w:r>
        <w:rPr>
          <w:i/>
        </w:rPr>
        <w:t>hypopilinum</w:t>
      </w:r>
      <w:r>
        <w:rPr>
          <w:i/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28-Days</w:t>
      </w:r>
      <w:r>
        <w:rPr>
          <w:spacing w:val="22"/>
        </w:rPr>
        <w:t> </w:t>
      </w:r>
      <w:r>
        <w:rPr/>
        <w:t>(H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/>
        <w:t>Stained</w:t>
      </w:r>
      <w:r>
        <w:rPr>
          <w:spacing w:val="23"/>
        </w:rPr>
        <w:t> </w:t>
      </w:r>
      <w:r>
        <w:rPr/>
        <w:t>At</w:t>
      </w:r>
    </w:p>
    <w:p>
      <w:pPr>
        <w:spacing w:before="0"/>
        <w:ind w:left="385" w:right="0" w:firstLine="0"/>
        <w:jc w:val="left"/>
        <w:rPr>
          <w:b/>
          <w:sz w:val="24"/>
        </w:rPr>
      </w:pPr>
      <w:r>
        <w:rPr>
          <w:b/>
          <w:sz w:val="24"/>
        </w:rPr>
        <w:t>×250)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385" w:right="956"/>
        <w:jc w:val="both"/>
        <w:rPr>
          <w:i/>
        </w:rPr>
      </w:pPr>
      <w:r>
        <w:rPr/>
        <w:t>A) Control (Distilled water, 1 ml/kg), B) MECH (250 mg/kg), C) MECH (500 mg/kg), D)</w:t>
      </w:r>
      <w:r>
        <w:rPr>
          <w:spacing w:val="1"/>
        </w:rPr>
        <w:t> </w:t>
      </w:r>
      <w:r>
        <w:rPr/>
        <w:t>MECH (1,000 mg/kg), NH= Normal hepatocytes, SHN= Slight hepatic necrosis, KH=</w:t>
      </w:r>
      <w:r>
        <w:rPr>
          <w:spacing w:val="1"/>
        </w:rPr>
        <w:t> </w:t>
      </w:r>
      <w:r>
        <w:rPr/>
        <w:t>Kupffer</w:t>
      </w:r>
      <w:r>
        <w:rPr>
          <w:spacing w:val="-1"/>
        </w:rPr>
        <w:t> </w:t>
      </w:r>
      <w:r>
        <w:rPr/>
        <w:t>cell hyperplasia, MECH=</w:t>
      </w:r>
      <w:r>
        <w:rPr>
          <w:spacing w:val="-2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Combretum hypopilinum</w:t>
      </w:r>
    </w:p>
    <w:p>
      <w:pPr>
        <w:spacing w:after="0"/>
        <w:jc w:val="both"/>
        <w:sectPr>
          <w:pgSz w:w="12240" w:h="15840"/>
          <w:pgMar w:header="0" w:footer="294" w:top="1400" w:bottom="480" w:left="1600" w:right="460"/>
        </w:sectPr>
      </w:pPr>
    </w:p>
    <w:p>
      <w:pPr>
        <w:pStyle w:val="BodyText"/>
        <w:ind w:left="411"/>
        <w:rPr>
          <w:sz w:val="20"/>
        </w:rPr>
      </w:pPr>
      <w:r>
        <w:rPr/>
        <w:pict>
          <v:rect style="position:absolute;margin-left:211.850006pt;margin-top:202.199997pt;width:31.2pt;height:22.65pt;mso-position-horizontal-relative:page;mso-position-vertical-relative:page;z-index:-18572800" filled="true" fillcolor="#ffffff" stroked="false">
            <v:fill type="solid"/>
            <w10:wrap type="none"/>
          </v:rect>
        </w:pict>
      </w:r>
      <w:r>
        <w:rPr>
          <w:sz w:val="20"/>
        </w:rPr>
        <w:pict>
          <v:group style="width:439.05pt;height:227.7pt;mso-position-horizontal-relative:char;mso-position-vertical-relative:line" coordorigin="0,0" coordsize="8781,4554">
            <v:shape style="position:absolute;left:3;top:21;width:8777;height:4532" type="#_x0000_t75" stroked="false">
              <v:imagedata r:id="rId212" o:title=""/>
            </v:shape>
            <v:shape style="position:absolute;left:1279;top:1499;width:966;height:1190" coordorigin="1280,1499" coordsize="966,1190" path="m1280,1499l1478,1824,1497,1808,2207,2689,2245,2658,1536,1777,1555,1762,1280,1499xe" filled="true" fillcolor="#ffffff" stroked="false">
              <v:path arrowok="t"/>
              <v:fill type="solid"/>
            </v:shape>
            <v:shape style="position:absolute;left:1279;top:1499;width:966;height:1190" coordorigin="1280,1499" coordsize="966,1190" path="m1555,1762l1536,1777,2245,2658,2207,2689,1497,1808,1478,1824,1280,1499,1555,1762xe" filled="false" stroked="true" strokeweight=".75pt" strokecolor="#000000">
              <v:path arrowok="t"/>
              <v:stroke dashstyle="solid"/>
            </v:shape>
            <v:shape style="position:absolute;left:1747;top:3079;width:859;height:1109" coordorigin="1747,3080" coordsize="859,1109" path="m1747,3080l1907,3389,1932,3371,2557,4189,2606,4152,1980,3334,2004,3315,1747,3080xe" filled="true" fillcolor="#ffffff" stroked="false">
              <v:path arrowok="t"/>
              <v:fill type="solid"/>
            </v:shape>
            <v:shape style="position:absolute;left:1747;top:3079;width:859;height:1109" coordorigin="1747,3080" coordsize="859,1109" path="m1907,3389l1932,3371,2557,4189,2606,4152,1980,3334,2004,3315,1747,3080,1907,3389xe" filled="false" stroked="true" strokeweight=".75pt" strokecolor="#000000">
              <v:path arrowok="t"/>
              <v:stroke dashstyle="solid"/>
            </v:shape>
            <v:shape style="position:absolute;left:6090;top:1295;width:892;height:1016" coordorigin="6090,1296" coordsize="892,1016" path="m6090,1296l6273,1577,6291,1561,6946,2311,6982,2280,6327,1530,6344,1514,6090,1296xe" filled="true" fillcolor="#ffffff" stroked="false">
              <v:path arrowok="t"/>
              <v:fill type="solid"/>
            </v:shape>
            <v:shape style="position:absolute;left:6090;top:1295;width:892;height:1016" coordorigin="6090,1296" coordsize="892,1016" path="m6344,1514l6327,1530,6982,2280,6946,2311,6291,1561,6273,1577,6090,1296,6344,1514xe" filled="false" stroked="true" strokeweight=".75pt" strokecolor="#000000">
              <v:path arrowok="t"/>
              <v:stroke dashstyle="solid"/>
            </v:shape>
            <v:rect style="position:absolute;left:7;top:7;width:584;height:462" filled="true" fillcolor="#ffffff" stroked="false">
              <v:fill type="solid"/>
            </v:rect>
            <v:rect style="position:absolute;left:4381;top:7;width:516;height:462" filled="true" fillcolor="#ffffff" stroked="false">
              <v:fill type="solid"/>
            </v:rect>
            <v:shape style="position:absolute;left:2225;top:2263;width:5337;height:2146" coordorigin="2226,2264" coordsize="5337,2146" path="m2508,4410l3119,4410,3119,4007,2508,4007,2508,4410xm2226,3101l2850,3101,2850,2648,2226,2648,2226,3101xm6905,2648l7563,2648,7563,2264,6905,2264,6905,2648xe" filled="false" stroked="true" strokeweight=".75pt" strokecolor="#000000">
              <v:path arrowok="t"/>
              <v:stroke dashstyle="solid"/>
            </v:shape>
            <v:shape style="position:absolute;left:6904;top:2345;width:678;height:221" type="#_x0000_t202" filled="false" stroked="false">
              <v:textbox inset="0,0,0,0">
                <w:txbxContent>
                  <w:p>
                    <w:pPr>
                      <w:tabs>
                        <w:tab w:pos="657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2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NF</w:t>
                      <w:tab/>
                    </w:r>
                  </w:p>
                </w:txbxContent>
              </v:textbox>
              <w10:wrap type="none"/>
            </v:shape>
            <v:shape style="position:absolute;left:2507;top:4091;width:6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2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NG</w:t>
                    </w:r>
                    <w:r>
                      <w:rPr>
                        <w:spacing w:val="20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225;top:2647;width:624;height:453" type="#_x0000_t202" filled="false" stroked="false">
              <v:textbox inset="0,0,0,0">
                <w:txbxContent>
                  <w:p>
                    <w:pPr>
                      <w:spacing w:before="73"/>
                      <w:ind w:left="15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NT</w:t>
                    </w:r>
                  </w:p>
                </w:txbxContent>
              </v:textbox>
              <w10:wrap type="none"/>
            </v:shape>
            <v:shape style="position:absolute;left:4381;top:7;width:516;height:462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7;width:584;height:462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i/>
          <w:sz w:val="8"/>
        </w:r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pict>
          <v:group style="width:438.45pt;height:206.55pt;mso-position-horizontal-relative:char;mso-position-vertical-relative:line" coordorigin="0,0" coordsize="8769,4131">
            <v:shape style="position:absolute;left:3;top:0;width:4311;height:4125" type="#_x0000_t75" stroked="false">
              <v:imagedata r:id="rId213" o:title=""/>
            </v:shape>
            <v:shape style="position:absolute;left:4353;top:0;width:4415;height:4131" type="#_x0000_t75" stroked="false">
              <v:imagedata r:id="rId214" o:title=""/>
            </v:shape>
            <v:shape style="position:absolute;left:2028;top:921;width:871;height:972" coordorigin="2028,922" coordsize="871,972" path="m2028,922l2200,1196,2220,1178,2858,1893,2898,1856,2261,1142,2281,1124,2028,922xe" filled="true" fillcolor="#ffffff" stroked="false">
              <v:path arrowok="t"/>
              <v:fill type="solid"/>
            </v:shape>
            <v:shape style="position:absolute;left:2028;top:921;width:871;height:972" coordorigin="2028,922" coordsize="871,972" path="m2200,1196l2220,1178,2858,1893,2898,1856,2261,1142,2281,1124,2028,922,2200,1196xe" filled="false" stroked="true" strokeweight=".75pt" strokecolor="#000000">
              <v:path arrowok="t"/>
              <v:stroke dashstyle="solid"/>
            </v:shape>
            <v:shape style="position:absolute;left:6909;top:1425;width:988;height:924" coordorigin="6910,1426" coordsize="988,924" path="m6910,1426l7125,1682,7139,1668,7869,2349,7897,2320,7167,1638,7181,1623,6910,1426xe" filled="true" fillcolor="#ffffff" stroked="false">
              <v:path arrowok="t"/>
              <v:fill type="solid"/>
            </v:shape>
            <v:shape style="position:absolute;left:6909;top:1425;width:988;height:924" coordorigin="6910,1426" coordsize="988,924" path="m7181,1623l7167,1638,7897,2320,7869,2349,7139,1668,7125,1682,6910,1426,7181,1623xe" filled="false" stroked="true" strokeweight=".75pt" strokecolor="#000000">
              <v:path arrowok="t"/>
              <v:stroke dashstyle="solid"/>
            </v:shape>
            <v:rect style="position:absolute;left:7;top:23;width:516;height:462" filled="true" fillcolor="#ffffff" stroked="false">
              <v:fill type="solid"/>
            </v:rect>
            <v:shape style="position:absolute;left:7;top:23;width:8620;height:2623" coordorigin="8,24" coordsize="8620,2623" path="m8,486l524,486,524,24,8,24,8,486xm4382,486l4898,486,4898,24,4382,24,4382,486xm2758,2200l3524,2200,3524,1840,2758,1840,2758,2200xm7839,2647l8628,2647,8628,2313,7839,2313,7839,2647xe" filled="false" stroked="true" strokeweight=".75pt" strokecolor="#000000">
              <v:path arrowok="t"/>
              <v:stroke dashstyle="solid"/>
            </v:shape>
            <v:shape style="position:absolute;left:160;top:108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381;top:108;width:5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7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D</w:t>
                    </w:r>
                    <w:r>
                      <w:rPr>
                        <w:spacing w:val="9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757;top:1923;width:78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2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MTN</w:t>
                    </w:r>
                    <w:r>
                      <w:rPr>
                        <w:spacing w:val="18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38;top:2396;width:80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MTN</w:t>
                    </w:r>
                    <w:r>
                      <w:rPr>
                        <w:spacing w:val="-13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i/>
          <w:sz w:val="13"/>
        </w:rPr>
      </w:pPr>
    </w:p>
    <w:p>
      <w:pPr>
        <w:pStyle w:val="Heading1"/>
        <w:spacing w:before="90"/>
        <w:ind w:right="951"/>
        <w:jc w:val="left"/>
      </w:pPr>
      <w:r>
        <w:rPr/>
        <w:t>Plate</w:t>
      </w:r>
      <w:r>
        <w:rPr>
          <w:spacing w:val="13"/>
        </w:rPr>
        <w:t> </w:t>
      </w:r>
      <w:r>
        <w:rPr/>
        <w:t>III:</w:t>
      </w:r>
      <w:r>
        <w:rPr>
          <w:spacing w:val="14"/>
        </w:rPr>
        <w:t> </w:t>
      </w:r>
      <w:r>
        <w:rPr/>
        <w:t>Photomicrographs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Kidney</w:t>
      </w:r>
      <w:r>
        <w:rPr>
          <w:spacing w:val="16"/>
        </w:rPr>
        <w:t> </w:t>
      </w:r>
      <w:r>
        <w:rPr/>
        <w:t>Sections</w:t>
      </w:r>
      <w:r>
        <w:rPr>
          <w:spacing w:val="15"/>
        </w:rPr>
        <w:t> </w:t>
      </w:r>
      <w:r>
        <w:rPr/>
        <w:t>from</w:t>
      </w:r>
      <w:r>
        <w:rPr>
          <w:spacing w:val="11"/>
        </w:rPr>
        <w:t> </w:t>
      </w:r>
      <w:r>
        <w:rPr/>
        <w:t>Rats</w:t>
      </w:r>
      <w:r>
        <w:rPr>
          <w:spacing w:val="15"/>
        </w:rPr>
        <w:t> </w:t>
      </w:r>
      <w:r>
        <w:rPr/>
        <w:t>Orally</w:t>
      </w:r>
      <w:r>
        <w:rPr>
          <w:spacing w:val="15"/>
        </w:rPr>
        <w:t> </w:t>
      </w:r>
      <w:r>
        <w:rPr/>
        <w:t>Treated</w:t>
      </w:r>
      <w:r>
        <w:rPr>
          <w:spacing w:val="15"/>
        </w:rPr>
        <w:t> </w:t>
      </w:r>
      <w:r>
        <w:rPr/>
        <w:t>with</w:t>
      </w:r>
      <w:r>
        <w:rPr>
          <w:spacing w:val="-57"/>
        </w:rPr>
        <w:t> </w:t>
      </w:r>
      <w:r>
        <w:rPr/>
        <w:t>Methanol</w:t>
      </w:r>
      <w:r>
        <w:rPr>
          <w:spacing w:val="29"/>
        </w:rPr>
        <w:t> </w:t>
      </w:r>
      <w:r>
        <w:rPr/>
        <w:t>Leaf</w:t>
      </w:r>
      <w:r>
        <w:rPr>
          <w:spacing w:val="31"/>
        </w:rPr>
        <w:t> </w:t>
      </w:r>
      <w:r>
        <w:rPr/>
        <w:t>Extract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Combretum</w:t>
      </w:r>
      <w:r>
        <w:rPr>
          <w:i/>
          <w:spacing w:val="33"/>
        </w:rPr>
        <w:t> </w:t>
      </w:r>
      <w:r>
        <w:rPr>
          <w:i/>
        </w:rPr>
        <w:t>hypopilinum</w:t>
      </w:r>
      <w:r>
        <w:rPr>
          <w:i/>
          <w:spacing w:val="34"/>
        </w:rPr>
        <w:t> </w:t>
      </w:r>
      <w:r>
        <w:rPr/>
        <w:t>for</w:t>
      </w:r>
      <w:r>
        <w:rPr>
          <w:spacing w:val="29"/>
        </w:rPr>
        <w:t> </w:t>
      </w:r>
      <w:r>
        <w:rPr/>
        <w:t>28-Days</w:t>
      </w:r>
      <w:r>
        <w:rPr>
          <w:spacing w:val="29"/>
        </w:rPr>
        <w:t> </w:t>
      </w:r>
      <w:r>
        <w:rPr/>
        <w:t>(H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E</w:t>
      </w:r>
      <w:r>
        <w:rPr>
          <w:spacing w:val="30"/>
        </w:rPr>
        <w:t> </w:t>
      </w:r>
      <w:r>
        <w:rPr/>
        <w:t>stained</w:t>
      </w:r>
      <w:r>
        <w:rPr>
          <w:spacing w:val="30"/>
        </w:rPr>
        <w:t> </w:t>
      </w:r>
      <w:r>
        <w:rPr/>
        <w:t>at</w:t>
      </w:r>
    </w:p>
    <w:p>
      <w:pPr>
        <w:spacing w:before="2"/>
        <w:ind w:left="385" w:right="0" w:firstLine="0"/>
        <w:jc w:val="left"/>
        <w:rPr>
          <w:b/>
          <w:sz w:val="24"/>
        </w:rPr>
      </w:pPr>
      <w:r>
        <w:rPr>
          <w:b/>
          <w:sz w:val="24"/>
        </w:rPr>
        <w:t>×250)</w:t>
      </w:r>
    </w:p>
    <w:p>
      <w:pPr>
        <w:pStyle w:val="BodyText"/>
        <w:spacing w:before="195"/>
        <w:ind w:left="385" w:right="954"/>
        <w:jc w:val="both"/>
        <w:rPr>
          <w:i/>
        </w:rPr>
      </w:pPr>
      <w:r>
        <w:rPr/>
        <w:t>A) Control (Distilled water, 1 ml/kg), B) MECH (250 mg/kg), C) MECH (500 mg/kg), D)</w:t>
      </w:r>
      <w:r>
        <w:rPr>
          <w:spacing w:val="1"/>
        </w:rPr>
        <w:t> </w:t>
      </w:r>
      <w:r>
        <w:rPr/>
        <w:t>MECH (1,000 mg/kg), NG= Normal glomerulus, NT= Normal tubules, NF= Normal renal</w:t>
      </w:r>
      <w:r>
        <w:rPr>
          <w:spacing w:val="1"/>
        </w:rPr>
        <w:t> </w:t>
      </w:r>
      <w:r>
        <w:rPr/>
        <w:t>features, MTN= Moderate tubular necrosis, MECH=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</w:p>
    <w:p>
      <w:pPr>
        <w:spacing w:after="0"/>
        <w:jc w:val="both"/>
        <w:sectPr>
          <w:pgSz w:w="12240" w:h="15840"/>
          <w:pgMar w:header="0" w:footer="294" w:top="1400" w:bottom="480" w:left="1600" w:right="460"/>
        </w:sectPr>
      </w:pPr>
    </w:p>
    <w:p>
      <w:pPr>
        <w:pStyle w:val="BodyText"/>
        <w:ind w:left="415"/>
        <w:rPr>
          <w:sz w:val="20"/>
        </w:rPr>
      </w:pPr>
      <w:r>
        <w:rPr>
          <w:sz w:val="20"/>
        </w:rPr>
        <w:pict>
          <v:group style="width:434.9pt;height:189.8pt;mso-position-horizontal-relative:char;mso-position-vertical-relative:line" coordorigin="0,0" coordsize="8698,3796">
            <v:shape style="position:absolute;left:0;top:0;width:8698;height:3796" type="#_x0000_t75" stroked="false">
              <v:imagedata r:id="rId215" o:title=""/>
            </v:shape>
            <v:shape style="position:absolute;left:1638;top:940;width:1056;height:820" coordorigin="1638,941" coordsize="1056,820" path="m1638,941l1876,1172,1887,1157,2670,1761,2694,1730,1911,1127,1923,1111,1638,941xe" filled="true" fillcolor="#ffffff" stroked="false">
              <v:path arrowok="t"/>
              <v:fill type="solid"/>
            </v:shape>
            <v:shape style="position:absolute;left:1638;top:940;width:1056;height:820" coordorigin="1638,941" coordsize="1056,820" path="m1876,1172l1887,1157,2670,1761,2694,1730,1911,1127,1923,1111,1638,941,1876,1172xe" filled="false" stroked="true" strokeweight=".75pt" strokecolor="#000000">
              <v:path arrowok="t"/>
              <v:stroke dashstyle="solid"/>
            </v:shape>
            <v:shape style="position:absolute;left:6015;top:682;width:955;height:965" coordorigin="6015,682" coordsize="955,965" path="m6015,682l6211,956,6230,937,6932,1647,6970,1610,6268,900,6287,881,6015,682xe" filled="true" fillcolor="#ffffff" stroked="false">
              <v:path arrowok="t"/>
              <v:fill type="solid"/>
            </v:shape>
            <v:shape style="position:absolute;left:6015;top:682;width:955;height:965" coordorigin="6015,682" coordsize="955,965" path="m6287,881l6268,900,6970,1610,6932,1647,6230,937,6211,956,6015,682,6287,881xe" filled="false" stroked="true" strokeweight=".75pt" strokecolor="#000000">
              <v:path arrowok="t"/>
              <v:stroke dashstyle="solid"/>
            </v:shape>
            <v:shape style="position:absolute;left:45;top:7;width:7455;height:2102" coordorigin="45,8" coordsize="7455,2102" path="m45,470l561,470,561,8,45,8,45,470xm4414,470l4930,470,4930,8,4414,8,4414,470xm6901,1967l7500,1967,7500,1576,6901,1576,6901,1967xm2664,2110l3290,2110,3290,1727,2664,1727,2664,2110xe" filled="false" stroked="true" strokeweight=".75pt" strokecolor="#000000">
              <v:path arrowok="t"/>
              <v:stroke dashstyle="solid"/>
            </v:shape>
            <v:shape style="position:absolute;left:45;top:93;width:5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7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A</w:t>
                    </w:r>
                    <w:r>
                      <w:rPr>
                        <w:spacing w:val="9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414;top:93;width:536;height:266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7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B</w:t>
                      <w:tab/>
                    </w:r>
                  </w:p>
                </w:txbxContent>
              </v:textbox>
              <w10:wrap type="none"/>
            </v:shape>
            <v:shape style="position:absolute;left:2664;top:1810;width:6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NM</w:t>
                    </w:r>
                    <w:r>
                      <w:rPr>
                        <w:spacing w:val="1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901;top:1658;width:6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2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NF</w:t>
                    </w:r>
                    <w:r>
                      <w:rPr>
                        <w:spacing w:val="-9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i/>
          <w:sz w:val="8"/>
        </w:rPr>
      </w:pPr>
    </w:p>
    <w:p>
      <w:pPr>
        <w:pStyle w:val="BodyText"/>
        <w:ind w:left="384"/>
        <w:rPr>
          <w:sz w:val="20"/>
        </w:rPr>
      </w:pPr>
      <w:r>
        <w:rPr>
          <w:sz w:val="20"/>
        </w:rPr>
        <w:pict>
          <v:group style="width:438pt;height:206.5pt;mso-position-horizontal-relative:char;mso-position-vertical-relative:line" coordorigin="0,0" coordsize="8760,4130">
            <v:shape style="position:absolute;left:30;top:1;width:4341;height:4124" type="#_x0000_t75" stroked="false">
              <v:imagedata r:id="rId216" o:title=""/>
            </v:shape>
            <v:shape style="position:absolute;left:4410;top:11;width:4350;height:4119" type="#_x0000_t75" stroked="false">
              <v:imagedata r:id="rId217" o:title=""/>
            </v:shape>
            <v:shape style="position:absolute;left:1422;top:924;width:976;height:922" coordorigin="1422,925" coordsize="976,922" path="m1422,925l1629,1185,1646,1168,2365,1846,2397,1812,1678,1134,1694,1116,1422,925xe" filled="true" fillcolor="#ffffff" stroked="false">
              <v:path arrowok="t"/>
              <v:fill type="solid"/>
            </v:shape>
            <v:shape style="position:absolute;left:1422;top:924;width:976;height:922" coordorigin="1422,925" coordsize="976,922" path="m1694,1116l1678,1134,2397,1812,2365,1846,1646,1168,1629,1185,1422,925,1694,1116xe" filled="false" stroked="true" strokeweight=".75pt" strokecolor="#000000">
              <v:path arrowok="t"/>
              <v:stroke dashstyle="solid"/>
            </v:shape>
            <v:shape style="position:absolute;left:5791;top:821;width:963;height:949" coordorigin="5792,822" coordsize="963,949" path="m5792,822l6001,1084,6015,1070,6726,1771,6754,1742,6043,1041,6057,1027,5792,822xe" filled="true" fillcolor="#ffffff" stroked="false">
              <v:path arrowok="t"/>
              <v:fill type="solid"/>
            </v:shape>
            <v:shape style="position:absolute;left:5791;top:821;width:963;height:949" coordorigin="5792,822" coordsize="963,949" path="m6001,1084l6015,1070,6726,1771,6754,1742,6043,1041,6057,1027,5792,822,6001,1084xe" filled="false" stroked="true" strokeweight=".75pt" strokecolor="#000000">
              <v:path arrowok="t"/>
              <v:stroke dashstyle="solid"/>
            </v:shape>
            <v:rect style="position:absolute;left:7;top:7;width:516;height:462" filled="true" fillcolor="#ffffff" stroked="false">
              <v:fill type="solid"/>
            </v:rect>
            <v:rect style="position:absolute;left:7;top:7;width:516;height:462" filled="false" stroked="true" strokeweight=".75pt" strokecolor="#000000">
              <v:stroke dashstyle="solid"/>
            </v:rect>
            <v:rect style="position:absolute;left:4444;top:7;width:516;height:462" filled="true" fillcolor="#ffffff" stroked="false">
              <v:fill type="solid"/>
            </v:rect>
            <v:shape style="position:absolute;left:2317;top:7;width:4924;height:2133" coordorigin="2318,8" coordsize="4924,2133" path="m4445,470l4961,470,4961,8,4445,8,4445,470xm2318,2141l2944,2141,2944,1774,2318,1774,2318,2141xm6678,2074l7241,2074,7241,1694,6678,1694,6678,2074xe" filled="false" stroked="true" strokeweight=".75pt" strokecolor="#000000">
              <v:path arrowok="t"/>
              <v:stroke dashstyle="solid"/>
            </v:shape>
            <v:shape style="position:absolute;left:159;top:93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597;top:93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317;top:1858;width:646;height:221" type="#_x0000_t202" filled="false" stroked="false">
              <v:textbox inset="0,0,0,0">
                <w:txbxContent>
                  <w:p>
                    <w:pPr>
                      <w:tabs>
                        <w:tab w:pos="62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NF</w:t>
                      <w:tab/>
                    </w:r>
                  </w:p>
                </w:txbxContent>
              </v:textbox>
              <w10:wrap type="none"/>
            </v:shape>
            <v:shape style="position:absolute;left:6678;top:1776;width:58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NF</w:t>
                    </w:r>
                    <w:r>
                      <w:rPr>
                        <w:spacing w:val="4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13"/>
        </w:rPr>
      </w:pPr>
    </w:p>
    <w:p>
      <w:pPr>
        <w:pStyle w:val="Heading1"/>
        <w:spacing w:before="90"/>
        <w:ind w:right="951"/>
        <w:jc w:val="left"/>
      </w:pPr>
      <w:r>
        <w:rPr/>
        <w:t>Plate</w:t>
      </w:r>
      <w:r>
        <w:rPr>
          <w:spacing w:val="29"/>
        </w:rPr>
        <w:t> </w:t>
      </w:r>
      <w:r>
        <w:rPr/>
        <w:t>IV:</w:t>
      </w:r>
      <w:r>
        <w:rPr>
          <w:spacing w:val="34"/>
        </w:rPr>
        <w:t> </w:t>
      </w:r>
      <w:r>
        <w:rPr/>
        <w:t>Photomicrographs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Heart</w:t>
      </w:r>
      <w:r>
        <w:rPr>
          <w:spacing w:val="29"/>
        </w:rPr>
        <w:t> </w:t>
      </w:r>
      <w:r>
        <w:rPr/>
        <w:t>Sections</w:t>
      </w:r>
      <w:r>
        <w:rPr>
          <w:spacing w:val="31"/>
        </w:rPr>
        <w:t> </w:t>
      </w:r>
      <w:r>
        <w:rPr/>
        <w:t>from</w:t>
      </w:r>
      <w:r>
        <w:rPr>
          <w:spacing w:val="27"/>
        </w:rPr>
        <w:t> </w:t>
      </w:r>
      <w:r>
        <w:rPr/>
        <w:t>Rats</w:t>
      </w:r>
      <w:r>
        <w:rPr>
          <w:spacing w:val="29"/>
        </w:rPr>
        <w:t> </w:t>
      </w:r>
      <w:r>
        <w:rPr/>
        <w:t>Orally</w:t>
      </w:r>
      <w:r>
        <w:rPr>
          <w:spacing w:val="32"/>
        </w:rPr>
        <w:t> </w:t>
      </w:r>
      <w:r>
        <w:rPr/>
        <w:t>Treated</w:t>
      </w:r>
      <w:r>
        <w:rPr>
          <w:spacing w:val="30"/>
        </w:rPr>
        <w:t> </w:t>
      </w:r>
      <w:r>
        <w:rPr/>
        <w:t>with</w:t>
      </w:r>
      <w:r>
        <w:rPr>
          <w:spacing w:val="-57"/>
        </w:rPr>
        <w:t> </w:t>
      </w:r>
      <w:r>
        <w:rPr/>
        <w:t>Methanol</w:t>
      </w:r>
      <w:r>
        <w:rPr>
          <w:spacing w:val="29"/>
        </w:rPr>
        <w:t> </w:t>
      </w:r>
      <w:r>
        <w:rPr/>
        <w:t>Leaf</w:t>
      </w:r>
      <w:r>
        <w:rPr>
          <w:spacing w:val="31"/>
        </w:rPr>
        <w:t> </w:t>
      </w:r>
      <w:r>
        <w:rPr/>
        <w:t>Extract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Combretum</w:t>
      </w:r>
      <w:r>
        <w:rPr>
          <w:i/>
          <w:spacing w:val="33"/>
        </w:rPr>
        <w:t> </w:t>
      </w:r>
      <w:r>
        <w:rPr>
          <w:i/>
        </w:rPr>
        <w:t>hypopilinum</w:t>
      </w:r>
      <w:r>
        <w:rPr>
          <w:i/>
          <w:spacing w:val="34"/>
        </w:rPr>
        <w:t> </w:t>
      </w:r>
      <w:r>
        <w:rPr/>
        <w:t>for</w:t>
      </w:r>
      <w:r>
        <w:rPr>
          <w:spacing w:val="29"/>
        </w:rPr>
        <w:t> </w:t>
      </w:r>
      <w:r>
        <w:rPr/>
        <w:t>28-Days</w:t>
      </w:r>
      <w:r>
        <w:rPr>
          <w:spacing w:val="29"/>
        </w:rPr>
        <w:t> </w:t>
      </w:r>
      <w:r>
        <w:rPr/>
        <w:t>(H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E</w:t>
      </w:r>
      <w:r>
        <w:rPr>
          <w:spacing w:val="30"/>
        </w:rPr>
        <w:t> </w:t>
      </w:r>
      <w:r>
        <w:rPr/>
        <w:t>stained</w:t>
      </w:r>
      <w:r>
        <w:rPr>
          <w:spacing w:val="30"/>
        </w:rPr>
        <w:t> </w:t>
      </w:r>
      <w:r>
        <w:rPr/>
        <w:t>at</w:t>
      </w:r>
    </w:p>
    <w:p>
      <w:pPr>
        <w:spacing w:before="2"/>
        <w:ind w:left="385" w:right="0" w:firstLine="0"/>
        <w:jc w:val="left"/>
        <w:rPr>
          <w:b/>
          <w:sz w:val="24"/>
        </w:rPr>
      </w:pPr>
      <w:r>
        <w:rPr>
          <w:b/>
          <w:sz w:val="24"/>
        </w:rPr>
        <w:t>×250)</w:t>
      </w:r>
    </w:p>
    <w:p>
      <w:pPr>
        <w:pStyle w:val="BodyText"/>
        <w:spacing w:before="192"/>
        <w:ind w:left="385" w:right="957"/>
        <w:jc w:val="both"/>
        <w:rPr>
          <w:i/>
        </w:rPr>
      </w:pPr>
      <w:r>
        <w:rPr/>
        <w:t>A) Control (Distilled water, 1 ml/kg), B) MECH (250 mg/kg), C) MECH (500 mg/kg), D)</w:t>
      </w:r>
      <w:r>
        <w:rPr>
          <w:spacing w:val="1"/>
        </w:rPr>
        <w:t> </w:t>
      </w:r>
      <w:r>
        <w:rPr/>
        <w:t>MECH</w:t>
      </w:r>
      <w:r>
        <w:rPr>
          <w:spacing w:val="1"/>
        </w:rPr>
        <w:t> </w:t>
      </w:r>
      <w:r>
        <w:rPr/>
        <w:t>(1,000</w:t>
      </w:r>
      <w:r>
        <w:rPr>
          <w:spacing w:val="1"/>
        </w:rPr>
        <w:t> </w:t>
      </w:r>
      <w:r>
        <w:rPr/>
        <w:t>mg/kg),</w:t>
      </w:r>
      <w:r>
        <w:rPr>
          <w:spacing w:val="1"/>
        </w:rPr>
        <w:t> </w:t>
      </w:r>
      <w:r>
        <w:rPr/>
        <w:t>NM=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myocardium,</w:t>
      </w:r>
      <w:r>
        <w:rPr>
          <w:spacing w:val="1"/>
        </w:rPr>
        <w:t> </w:t>
      </w:r>
      <w:r>
        <w:rPr/>
        <w:t>NF=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feature,</w:t>
      </w:r>
      <w:r>
        <w:rPr>
          <w:spacing w:val="60"/>
        </w:rPr>
        <w:t> </w:t>
      </w:r>
      <w:r>
        <w:rPr/>
        <w:t>MECH=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 of</w:t>
      </w:r>
      <w:r>
        <w:rPr>
          <w:spacing w:val="3"/>
        </w:rPr>
        <w:t> </w:t>
      </w:r>
      <w:r>
        <w:rPr>
          <w:i/>
        </w:rPr>
        <w:t>Combretum hypopilinum</w:t>
      </w:r>
    </w:p>
    <w:p>
      <w:pPr>
        <w:spacing w:after="0"/>
        <w:jc w:val="both"/>
        <w:sectPr>
          <w:pgSz w:w="12240" w:h="15840"/>
          <w:pgMar w:header="0" w:footer="294" w:top="1420" w:bottom="480" w:left="1600" w:right="460"/>
        </w:sectPr>
      </w:pPr>
    </w:p>
    <w:p>
      <w:pPr>
        <w:pStyle w:val="BodyText"/>
        <w:ind w:left="415"/>
        <w:rPr>
          <w:sz w:val="20"/>
        </w:rPr>
      </w:pPr>
      <w:r>
        <w:rPr>
          <w:sz w:val="20"/>
        </w:rPr>
        <w:pict>
          <v:group style="width:433.05pt;height:212.25pt;mso-position-horizontal-relative:char;mso-position-vertical-relative:line" coordorigin="0,0" coordsize="8661,4245">
            <v:shape style="position:absolute;left:0;top:0;width:8661;height:4245" type="#_x0000_t75" stroked="false">
              <v:imagedata r:id="rId218" o:title=""/>
            </v:shape>
            <v:shape style="position:absolute;left:2179;top:1608;width:941;height:956" coordorigin="2179,1608" coordsize="941,956" path="m2179,1608l2381,1872,2396,1858,3090,2563,3120,2535,2425,1829,2440,1815,2179,1608xe" filled="true" fillcolor="#ffffff" stroked="false">
              <v:path arrowok="t"/>
              <v:fill type="solid"/>
            </v:shape>
            <v:shape style="position:absolute;left:2179;top:1608;width:941;height:956" coordorigin="2179,1608" coordsize="941,956" path="m2381,1872l2396,1858,3090,2563,3120,2535,2425,1829,2440,1815,2179,1608,2381,1872xe" filled="false" stroked="true" strokeweight=".75pt" strokecolor="#000000">
              <v:path arrowok="t"/>
              <v:stroke dashstyle="solid"/>
            </v:shape>
            <v:shape style="position:absolute;left:6350;top:1044;width:979;height:916" coordorigin="6351,1044" coordsize="979,916" path="m6351,1044l6564,1299,6578,1284,7302,1960,7329,1930,6606,1254,6620,1239,6351,1044xe" filled="true" fillcolor="#ffffff" stroked="false">
              <v:path arrowok="t"/>
              <v:fill type="solid"/>
            </v:shape>
            <v:shape style="position:absolute;left:6350;top:1044;width:979;height:916" coordorigin="6351,1044" coordsize="979,916" path="m6564,1299l6578,1284,7302,1960,7329,1930,6606,1254,6620,1239,6351,1044,6564,1299xe" filled="false" stroked="true" strokeweight=".75pt" strokecolor="#000000">
              <v:path arrowok="t"/>
              <v:stroke dashstyle="solid"/>
            </v:shape>
            <v:shape style="position:absolute;left:31;top:26;width:7882;height:2879" coordorigin="31,27" coordsize="7882,2879" path="m4387,489l4903,489,4903,27,4387,27,4387,489xm31,489l547,489,547,27,31,27,31,489xm3045,2906l3526,2906,3526,2522,3045,2522,3045,2906xm7316,2272l7913,2272,7913,1888,7316,1888,7316,2272xe" filled="false" stroked="true" strokeweight=".75pt" strokecolor="#000000">
              <v:path arrowok="t"/>
              <v:stroke dashstyle="solid"/>
            </v:shape>
            <v:shape style="position:absolute;left:31;top:110;width:5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8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A</w:t>
                    </w:r>
                    <w:r>
                      <w:rPr>
                        <w:spacing w:val="9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387;top:110;width:536;height:266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7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B</w:t>
                      <w:tab/>
                    </w:r>
                  </w:p>
                </w:txbxContent>
              </v:textbox>
              <w10:wrap type="none"/>
            </v:shape>
            <v:shape style="position:absolute;left:7316;top:1970;width:61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NF</w:t>
                    </w:r>
                    <w:r>
                      <w:rPr>
                        <w:spacing w:val="-12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045;top:2604;width:50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A</w:t>
                    </w:r>
                    <w:r>
                      <w:rPr>
                        <w:spacing w:val="-17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i/>
          <w:sz w:val="9"/>
        </w:rPr>
      </w:pPr>
    </w:p>
    <w:p>
      <w:pPr>
        <w:pStyle w:val="BodyText"/>
        <w:ind w:left="415"/>
        <w:rPr>
          <w:sz w:val="20"/>
        </w:rPr>
      </w:pPr>
      <w:r>
        <w:rPr>
          <w:sz w:val="20"/>
        </w:rPr>
        <w:pict>
          <v:group style="width:432.8pt;height:222.95pt;mso-position-horizontal-relative:char;mso-position-vertical-relative:line" coordorigin="0,0" coordsize="8656,4459">
            <v:shape style="position:absolute;left:0;top:0;width:8656;height:4459" type="#_x0000_t75" stroked="false">
              <v:imagedata r:id="rId219" o:title=""/>
            </v:shape>
            <v:shape style="position:absolute;left:6308;top:505;width:1078;height:824" coordorigin="6309,505" coordsize="1078,824" path="m6309,505l6550,739,6562,723,7361,1328,7386,1295,6587,690,6600,674,6309,505xe" filled="true" fillcolor="#ffffff" stroked="false">
              <v:path arrowok="t"/>
              <v:fill type="solid"/>
            </v:shape>
            <v:shape style="position:absolute;left:6308;top:505;width:1078;height:824" coordorigin="6309,505" coordsize="1078,824" path="m6600,674l6587,690,7386,1295,7361,1328,6562,723,6550,739,6309,505,6600,674xe" filled="false" stroked="true" strokeweight=".75pt" strokecolor="#000000">
              <v:path arrowok="t"/>
              <v:stroke dashstyle="solid"/>
            </v:shape>
            <v:shape style="position:absolute;left:1681;top:1210;width:965;height:927" coordorigin="1682,1211" coordsize="965,927" path="m1682,1211l1895,1465,1908,1452,2622,2138,2646,2112,1932,1427,1945,1414,1682,1211xe" filled="true" fillcolor="#ffffff" stroked="false">
              <v:path arrowok="t"/>
              <v:fill type="solid"/>
            </v:shape>
            <v:shape style="position:absolute;left:1681;top:1210;width:965;height:927" coordorigin="1682,1211" coordsize="965,927" path="m1945,1414l1932,1427,2646,2112,2622,2138,1908,1452,1895,1465,1682,1211,1945,1414xe" filled="false" stroked="true" strokeweight=".75pt" strokecolor="#000000">
              <v:path arrowok="t"/>
              <v:stroke dashstyle="solid"/>
            </v:shape>
            <v:shape style="position:absolute;left:31;top:20;width:8002;height:2431" coordorigin="31,20" coordsize="8002,2431" path="m4319,482l4835,482,4835,20,4319,20,4319,482xm31,482l547,482,547,20,31,20,31,482xm2601,2451l3195,2451,3195,2096,2601,2096,2601,2451xm7381,1685l8033,1685,8033,1300,7381,1300,7381,1685xe" filled="false" stroked="true" strokeweight=".75pt" strokecolor="#000000">
              <v:path arrowok="t"/>
              <v:stroke dashstyle="solid"/>
            </v:shape>
            <v:shape style="position:absolute;left:5868;top:1253;width:1067;height:807" coordorigin="5868,1254" coordsize="1067,807" path="m5868,1254l6111,1480,6121,1466,6913,2060,6935,2032,6143,1438,6153,1423,5868,1254xe" filled="true" fillcolor="#ffffff" stroked="false">
              <v:path arrowok="t"/>
              <v:fill type="solid"/>
            </v:shape>
            <v:shape style="position:absolute;left:5868;top:1253;width:1067;height:807" coordorigin="5868,1254" coordsize="1067,807" path="m6153,1423l6143,1438,6935,2032,6913,2060,6121,1466,6111,1480,5868,1254,6153,1423xe" filled="false" stroked="true" strokeweight=".75pt" strokecolor="#000000">
              <v:path arrowok="t"/>
              <v:stroke dashstyle="solid"/>
            </v:shape>
            <v:rect style="position:absolute;left:6857;top:1993;width:652;height:385" filled="false" stroked="true" strokeweight=".75pt" strokecolor="#000000">
              <v:stroke dashstyle="solid"/>
            </v:rect>
            <v:shape style="position:absolute;left:31;top:105;width:536;height:266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8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C</w:t>
                      <w:tab/>
                    </w:r>
                  </w:p>
                </w:txbxContent>
              </v:textbox>
              <w10:wrap type="none"/>
            </v:shape>
            <v:shape style="position:absolute;left:4319;top:105;width:5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6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D</w:t>
                    </w:r>
                    <w:r>
                      <w:rPr>
                        <w:spacing w:val="8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381;top:1384;width:672;height:221" type="#_x0000_t202" filled="false" stroked="false">
              <v:textbox inset="0,0,0,0">
                <w:txbxContent>
                  <w:p>
                    <w:pPr>
                      <w:tabs>
                        <w:tab w:pos="651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AN</w:t>
                      <w:tab/>
                    </w:r>
                  </w:p>
                </w:txbxContent>
              </v:textbox>
              <w10:wrap type="none"/>
            </v:shape>
            <v:shape style="position:absolute;left:2601;top:2179;width:6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NF</w:t>
                    </w:r>
                    <w:r>
                      <w:rPr>
                        <w:spacing w:val="-15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857;top:2076;width:672;height:221" type="#_x0000_t202" filled="false" stroked="false">
              <v:textbox inset="0,0,0,0">
                <w:txbxContent>
                  <w:p>
                    <w:pPr>
                      <w:tabs>
                        <w:tab w:pos="651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AC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i/>
          <w:sz w:val="25"/>
        </w:rPr>
      </w:pPr>
    </w:p>
    <w:p>
      <w:pPr>
        <w:pStyle w:val="Heading1"/>
        <w:spacing w:line="278" w:lineRule="auto" w:before="90"/>
        <w:ind w:right="950"/>
        <w:jc w:val="left"/>
      </w:pPr>
      <w:r>
        <w:rPr/>
        <w:t>Plate</w:t>
      </w:r>
      <w:r>
        <w:rPr>
          <w:spacing w:val="-1"/>
        </w:rPr>
        <w:t> </w:t>
      </w:r>
      <w:r>
        <w:rPr/>
        <w:t>V:</w:t>
      </w:r>
      <w:r>
        <w:rPr>
          <w:spacing w:val="2"/>
        </w:rPr>
        <w:t> </w:t>
      </w:r>
      <w:r>
        <w:rPr/>
        <w:t>Photomicrographs of</w:t>
      </w:r>
      <w:r>
        <w:rPr>
          <w:spacing w:val="2"/>
        </w:rPr>
        <w:t> </w:t>
      </w:r>
      <w:r>
        <w:rPr/>
        <w:t>Lung</w:t>
      </w:r>
      <w:r>
        <w:rPr>
          <w:spacing w:val="-1"/>
        </w:rPr>
        <w:t> </w:t>
      </w:r>
      <w:r>
        <w:rPr/>
        <w:t>Sections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Rats</w:t>
      </w:r>
      <w:r>
        <w:rPr>
          <w:spacing w:val="1"/>
        </w:rPr>
        <w:t> </w:t>
      </w:r>
      <w:r>
        <w:rPr/>
        <w:t>Orally Treated</w:t>
      </w:r>
      <w:r>
        <w:rPr>
          <w:spacing w:val="1"/>
        </w:rPr>
        <w:t> </w:t>
      </w:r>
      <w:r>
        <w:rPr/>
        <w:t>with Methanol</w:t>
      </w:r>
      <w:r>
        <w:rPr>
          <w:spacing w:val="-57"/>
        </w:rPr>
        <w:t> </w:t>
      </w:r>
      <w:r>
        <w:rPr/>
        <w:t>Leaf Extract of </w:t>
      </w:r>
      <w:r>
        <w:rPr>
          <w:i/>
        </w:rPr>
        <w:t>Combretum</w:t>
      </w:r>
      <w:r>
        <w:rPr>
          <w:i/>
          <w:spacing w:val="2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28-Days</w:t>
      </w:r>
      <w:r>
        <w:rPr>
          <w:spacing w:val="-2"/>
        </w:rPr>
        <w:t> </w:t>
      </w:r>
      <w:r>
        <w:rPr/>
        <w:t>(H and E stained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×250)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76" w:lineRule="auto"/>
        <w:ind w:left="385" w:right="954"/>
        <w:jc w:val="both"/>
        <w:rPr>
          <w:i/>
        </w:rPr>
      </w:pPr>
      <w:r>
        <w:rPr/>
        <w:t>A) Control (Distilled water, 1 ml/kg), B) MECH (250 mg/kg), C) MECH (500 mg/kg), D)</w:t>
      </w:r>
      <w:r>
        <w:rPr>
          <w:spacing w:val="1"/>
        </w:rPr>
        <w:t> </w:t>
      </w:r>
      <w:r>
        <w:rPr/>
        <w:t>MECH (1,000 mg/kg), A= Normal alveoli, NF= Normal feature, AC= Moderate alveoli</w:t>
      </w:r>
      <w:r>
        <w:rPr>
          <w:spacing w:val="1"/>
        </w:rPr>
        <w:t> </w:t>
      </w:r>
      <w:r>
        <w:rPr/>
        <w:t>congestion, AN= Slight alveoli necrosis, MECH=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</w:p>
    <w:p>
      <w:pPr>
        <w:spacing w:after="0" w:line="276" w:lineRule="auto"/>
        <w:jc w:val="both"/>
        <w:sectPr>
          <w:pgSz w:w="12240" w:h="15840"/>
          <w:pgMar w:header="0" w:footer="294" w:top="1420" w:bottom="480" w:left="1600" w:right="460"/>
        </w:sectPr>
      </w:pPr>
    </w:p>
    <w:p>
      <w:pPr>
        <w:pStyle w:val="BodyText"/>
        <w:ind w:left="415"/>
        <w:rPr>
          <w:sz w:val="20"/>
        </w:rPr>
      </w:pPr>
      <w:r>
        <w:rPr>
          <w:sz w:val="20"/>
        </w:rPr>
        <w:pict>
          <v:group style="width:437.3pt;height:194.7pt;mso-position-horizontal-relative:char;mso-position-vertical-relative:line" coordorigin="0,0" coordsize="8746,3894">
            <v:shape style="position:absolute;left:0;top:21;width:8746;height:3872" type="#_x0000_t75" stroked="false">
              <v:imagedata r:id="rId220" o:title=""/>
            </v:shape>
            <v:shape style="position:absolute;left:1109;top:520;width:996;height:819" coordorigin="1109,520" coordsize="996,819" path="m1109,520l1321,760,1337,740,2071,1339,2104,1298,1370,700,1387,680,1109,520xe" filled="true" fillcolor="#ffffff" stroked="false">
              <v:path arrowok="t"/>
              <v:fill type="solid"/>
            </v:shape>
            <v:shape style="position:absolute;left:1109;top:520;width:996;height:819" coordorigin="1109,520" coordsize="996,819" path="m1321,760l1337,740,2071,1339,2104,1298,1370,700,1387,680,1109,520,1321,760xe" filled="false" stroked="true" strokeweight=".75pt" strokecolor="#000000">
              <v:path arrowok="t"/>
              <v:stroke dashstyle="solid"/>
            </v:shape>
            <v:shape style="position:absolute;left:6704;top:900;width:1014;height:695" coordorigin="6704,900" coordsize="1014,695" path="m6704,900l6935,1100,6945,1085,7697,1595,7718,1565,6965,1055,6976,1040,6704,900xe" filled="true" fillcolor="#ffffff" stroked="false">
              <v:path arrowok="t"/>
              <v:fill type="solid"/>
            </v:shape>
            <v:shape style="position:absolute;left:6704;top:900;width:1014;height:695" coordorigin="6704,900" coordsize="1014,695" path="m6976,1040l6965,1055,7718,1565,7697,1595,6945,1085,6935,1100,6704,900,6976,1040xe" filled="false" stroked="true" strokeweight=".75pt" strokecolor="#000000">
              <v:path arrowok="t"/>
              <v:stroke dashstyle="solid"/>
            </v:shape>
            <v:rect style="position:absolute;left:4305;top:7;width:516;height:462" filled="true" fillcolor="#ffffff" stroked="false">
              <v:fill type="solid"/>
            </v:rect>
            <v:rect style="position:absolute;left:4305;top:7;width:516;height:462" filled="false" stroked="true" strokeweight=".75pt" strokecolor="#000000">
              <v:stroke dashstyle="solid"/>
            </v:rect>
            <v:rect style="position:absolute;left:31;top:7;width:516;height:462" filled="true" fillcolor="#ffffff" stroked="false">
              <v:fill type="solid"/>
            </v:rect>
            <v:shape style="position:absolute;left:31;top:7;width:8158;height:1915" coordorigin="31,8" coordsize="8158,1915" path="m31,470l547,470,547,8,31,8,31,470xm2034,1639l2550,1639,2550,1277,2034,1277,2034,1639xm7673,1923l8189,1923,8189,1557,7673,1557,7673,1923xe" filled="false" stroked="true" strokeweight=".75pt" strokecolor="#000000">
              <v:path arrowok="t"/>
              <v:stroke dashstyle="solid"/>
            </v:shape>
            <v:shape style="position:absolute;left:183;top:91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58;top:91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034;top:1359;width:5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2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M</w:t>
                    </w:r>
                    <w:r>
                      <w:rPr>
                        <w:spacing w:val="-14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673;top:1640;width:5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M</w:t>
                    </w:r>
                    <w:r>
                      <w:rPr>
                        <w:spacing w:val="-16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i/>
          <w:sz w:val="9"/>
        </w:rPr>
      </w:pPr>
    </w:p>
    <w:p>
      <w:pPr>
        <w:pStyle w:val="BodyText"/>
        <w:ind w:left="415"/>
        <w:rPr>
          <w:sz w:val="20"/>
        </w:rPr>
      </w:pPr>
      <w:r>
        <w:rPr>
          <w:sz w:val="20"/>
        </w:rPr>
        <w:pict>
          <v:group style="width:437.3pt;height:193.9pt;mso-position-horizontal-relative:char;mso-position-vertical-relative:line" coordorigin="0,0" coordsize="8746,3878">
            <v:shape style="position:absolute;left:0;top:0;width:8746;height:3878" type="#_x0000_t75" stroked="false">
              <v:imagedata r:id="rId221" o:title=""/>
            </v:shape>
            <v:shape style="position:absolute;left:2466;top:614;width:964;height:763" coordorigin="2466,615" coordsize="964,763" path="m2466,615l2683,830,2694,816,3409,1377,3430,1350,2716,788,2727,774,2466,615xe" filled="true" fillcolor="#ffffff" stroked="false">
              <v:path arrowok="t"/>
              <v:fill type="solid"/>
            </v:shape>
            <v:shape style="position:absolute;left:2466;top:614;width:964;height:763" coordorigin="2466,615" coordsize="964,763" path="m2727,774l2716,788,3430,1350,3409,1377,2694,816,2683,830,2466,615,2727,774xe" filled="false" stroked="true" strokeweight=".75pt" strokecolor="#000000">
              <v:path arrowok="t"/>
              <v:stroke dashstyle="solid"/>
            </v:shape>
            <v:shape style="position:absolute;left:6817;top:998;width:948;height:783" coordorigin="6818,998" coordsize="948,783" path="m6818,998l7029,1218,7041,1204,7743,1781,7766,1754,7063,1177,7074,1163,6818,998xe" filled="true" fillcolor="#ffffff" stroked="false">
              <v:path arrowok="t"/>
              <v:fill type="solid"/>
            </v:shape>
            <v:shape style="position:absolute;left:6817;top:998;width:948;height:783" coordorigin="6818,998" coordsize="948,783" path="m7074,1163l7063,1177,7766,1754,7743,1781,7041,1204,7029,1218,6818,998,7074,1163xe" filled="false" stroked="true" strokeweight=".75pt" strokecolor="#000000">
              <v:path arrowok="t"/>
              <v:stroke dashstyle="solid"/>
            </v:shape>
            <v:shape style="position:absolute;left:31;top:31;width:8513;height:2039" coordorigin="31,32" coordsize="8513,2039" path="m4305,494l4821,494,4821,32,4305,32,4305,494xm31,494l547,494,547,32,31,32,31,494xm3353,1645l4133,1645,4133,1290,3353,1290,3353,1645xm7731,2071l8544,2071,8544,1716,7731,1716,7731,2071xe" filled="false" stroked="true" strokeweight=".75pt" strokecolor="#000000">
              <v:path arrowok="t"/>
              <v:stroke dashstyle="solid"/>
            </v:shape>
            <v:shape style="position:absolute;left:31;top:115;width:536;height:266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8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C</w:t>
                      <w:tab/>
                    </w:r>
                  </w:p>
                </w:txbxContent>
              </v:textbox>
              <w10:wrap type="none"/>
            </v:shape>
            <v:shape style="position:absolute;left:4305;top:115;width:5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spacing w:val="-27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D</w:t>
                    </w:r>
                    <w:r>
                      <w:rPr>
                        <w:spacing w:val="8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353;top:1373;width:80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SMN</w:t>
                    </w:r>
                    <w:r>
                      <w:rPr>
                        <w:spacing w:val="-5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31;top:1798;width:833;height:221" type="#_x0000_t202" filled="false" stroked="false">
              <v:textbox inset="0,0,0,0">
                <w:txbxContent>
                  <w:p>
                    <w:pPr>
                      <w:tabs>
                        <w:tab w:pos="812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SMN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i/>
        </w:rPr>
      </w:pPr>
    </w:p>
    <w:p>
      <w:pPr>
        <w:pStyle w:val="Heading1"/>
        <w:spacing w:line="276" w:lineRule="auto" w:before="90"/>
        <w:ind w:right="951"/>
        <w:jc w:val="left"/>
      </w:pPr>
      <w:r>
        <w:rPr/>
        <w:t>Plate</w:t>
      </w:r>
      <w:r>
        <w:rPr>
          <w:spacing w:val="59"/>
        </w:rPr>
        <w:t> </w:t>
      </w:r>
      <w:r>
        <w:rPr/>
        <w:t>VI:</w:t>
      </w:r>
      <w:r>
        <w:rPr>
          <w:spacing w:val="4"/>
        </w:rPr>
        <w:t> </w:t>
      </w:r>
      <w:r>
        <w:rPr/>
        <w:t>Photomicrographs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Stomach</w:t>
      </w:r>
      <w:r>
        <w:rPr>
          <w:spacing w:val="2"/>
        </w:rPr>
        <w:t> </w:t>
      </w:r>
      <w:r>
        <w:rPr/>
        <w:t>Sections</w:t>
      </w:r>
      <w:r>
        <w:rPr>
          <w:spacing w:val="1"/>
        </w:rPr>
        <w:t> </w:t>
      </w:r>
      <w:r>
        <w:rPr/>
        <w:t>from</w:t>
      </w:r>
      <w:r>
        <w:rPr>
          <w:spacing w:val="59"/>
        </w:rPr>
        <w:t> </w:t>
      </w:r>
      <w:r>
        <w:rPr/>
        <w:t>Rats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Methanol</w:t>
      </w:r>
      <w:r>
        <w:rPr>
          <w:spacing w:val="29"/>
        </w:rPr>
        <w:t> </w:t>
      </w:r>
      <w:r>
        <w:rPr/>
        <w:t>Leaf</w:t>
      </w:r>
      <w:r>
        <w:rPr>
          <w:spacing w:val="31"/>
        </w:rPr>
        <w:t> </w:t>
      </w:r>
      <w:r>
        <w:rPr/>
        <w:t>Extract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Combretum</w:t>
      </w:r>
      <w:r>
        <w:rPr>
          <w:i/>
          <w:spacing w:val="32"/>
        </w:rPr>
        <w:t> </w:t>
      </w:r>
      <w:r>
        <w:rPr>
          <w:i/>
        </w:rPr>
        <w:t>hypopilinum</w:t>
      </w:r>
      <w:r>
        <w:rPr>
          <w:i/>
          <w:spacing w:val="35"/>
        </w:rPr>
        <w:t> </w:t>
      </w:r>
      <w:r>
        <w:rPr/>
        <w:t>for</w:t>
      </w:r>
      <w:r>
        <w:rPr>
          <w:spacing w:val="29"/>
        </w:rPr>
        <w:t> </w:t>
      </w:r>
      <w:r>
        <w:rPr/>
        <w:t>28-Days</w:t>
      </w:r>
      <w:r>
        <w:rPr>
          <w:spacing w:val="29"/>
        </w:rPr>
        <w:t> </w:t>
      </w:r>
      <w:r>
        <w:rPr/>
        <w:t>(H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E</w:t>
      </w:r>
      <w:r>
        <w:rPr>
          <w:spacing w:val="30"/>
        </w:rPr>
        <w:t> </w:t>
      </w:r>
      <w:r>
        <w:rPr/>
        <w:t>stained</w:t>
      </w:r>
      <w:r>
        <w:rPr>
          <w:spacing w:val="30"/>
        </w:rPr>
        <w:t> </w:t>
      </w:r>
      <w:r>
        <w:rPr/>
        <w:t>at</w:t>
      </w:r>
    </w:p>
    <w:p>
      <w:pPr>
        <w:spacing w:before="2"/>
        <w:ind w:left="385" w:right="0" w:firstLine="0"/>
        <w:jc w:val="left"/>
        <w:rPr>
          <w:b/>
          <w:sz w:val="24"/>
        </w:rPr>
      </w:pPr>
      <w:r>
        <w:rPr>
          <w:b/>
          <w:sz w:val="24"/>
        </w:rPr>
        <w:t>×250)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ind w:left="385" w:right="956"/>
        <w:jc w:val="both"/>
        <w:rPr>
          <w:i/>
        </w:rPr>
      </w:pPr>
      <w:r>
        <w:rPr/>
        <w:t>A) Control (Distilled water, 1 ml/kg), B) MECH (250 mg/kg), C) MECH (500 mg/kg), D)</w:t>
      </w:r>
      <w:r>
        <w:rPr>
          <w:spacing w:val="1"/>
        </w:rPr>
        <w:t> </w:t>
      </w:r>
      <w:r>
        <w:rPr/>
        <w:t>MECH</w:t>
      </w:r>
      <w:r>
        <w:rPr>
          <w:spacing w:val="1"/>
        </w:rPr>
        <w:t> </w:t>
      </w:r>
      <w:r>
        <w:rPr/>
        <w:t>(1,000</w:t>
      </w:r>
      <w:r>
        <w:rPr>
          <w:spacing w:val="1"/>
        </w:rPr>
        <w:t> </w:t>
      </w:r>
      <w:r>
        <w:rPr/>
        <w:t>mg/kg),</w:t>
      </w:r>
      <w:r>
        <w:rPr>
          <w:spacing w:val="1"/>
        </w:rPr>
        <w:t> </w:t>
      </w:r>
      <w:r>
        <w:rPr/>
        <w:t>M=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mucosa,</w:t>
      </w:r>
      <w:r>
        <w:rPr>
          <w:spacing w:val="1"/>
        </w:rPr>
        <w:t> </w:t>
      </w:r>
      <w:r>
        <w:rPr/>
        <w:t>SMN=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mucosa</w:t>
      </w:r>
      <w:r>
        <w:rPr>
          <w:spacing w:val="60"/>
        </w:rPr>
        <w:t> </w:t>
      </w:r>
      <w:r>
        <w:rPr/>
        <w:t>necrosis,</w:t>
      </w:r>
      <w:r>
        <w:rPr>
          <w:spacing w:val="1"/>
        </w:rPr>
        <w:t> </w:t>
      </w:r>
      <w:r>
        <w:rPr/>
        <w:t>MECH=</w:t>
      </w:r>
      <w:r>
        <w:rPr>
          <w:spacing w:val="-3"/>
        </w:rPr>
        <w:t> </w:t>
      </w:r>
      <w:r>
        <w:rPr/>
        <w:t>Methanol leaf</w:t>
      </w:r>
      <w:r>
        <w:rPr>
          <w:spacing w:val="1"/>
        </w:rPr>
        <w:t> </w:t>
      </w:r>
      <w:r>
        <w:rPr/>
        <w:t>extract of</w:t>
      </w:r>
      <w:r>
        <w:rPr>
          <w:spacing w:val="1"/>
        </w:rPr>
        <w:t> </w:t>
      </w:r>
      <w:r>
        <w:rPr>
          <w:i/>
        </w:rPr>
        <w:t>Combretum hypopilinum</w:t>
      </w:r>
    </w:p>
    <w:p>
      <w:pPr>
        <w:spacing w:after="0"/>
        <w:jc w:val="both"/>
        <w:sectPr>
          <w:pgSz w:w="12240" w:h="15840"/>
          <w:pgMar w:header="0" w:footer="294" w:top="1400" w:bottom="480" w:left="1600" w:right="460"/>
        </w:sectPr>
      </w:pPr>
    </w:p>
    <w:p>
      <w:pPr>
        <w:pStyle w:val="BodyText"/>
        <w:ind w:left="415"/>
        <w:rPr>
          <w:sz w:val="20"/>
        </w:rPr>
      </w:pPr>
      <w:r>
        <w:rPr>
          <w:sz w:val="20"/>
        </w:rPr>
        <w:pict>
          <v:group style="width:432.15pt;height:180.8pt;mso-position-horizontal-relative:char;mso-position-vertical-relative:line" coordorigin="0,0" coordsize="8643,3616">
            <v:shape style="position:absolute;left:0;top:34;width:8643;height:3581" type="#_x0000_t75" stroked="false">
              <v:imagedata r:id="rId222" o:title=""/>
            </v:shape>
            <v:shape style="position:absolute;left:859;top:905;width:856;height:966" coordorigin="860,905" coordsize="856,966" path="m860,905l1028,1178,1048,1160,1675,1871,1716,1835,1089,1124,1110,1106,860,905xe" filled="true" fillcolor="#ffffff" stroked="false">
              <v:path arrowok="t"/>
              <v:fill type="solid"/>
            </v:shape>
            <v:shape style="position:absolute;left:859;top:905;width:856;height:966" coordorigin="860,905" coordsize="856,966" path="m1110,1106l1089,1124,1716,1835,1675,1871,1048,1160,1028,1178,860,905,1110,1106xe" filled="false" stroked="true" strokeweight=".75pt" strokecolor="#000000">
              <v:path arrowok="t"/>
              <v:stroke dashstyle="solid"/>
            </v:shape>
            <v:shape style="position:absolute;left:5583;top:1839;width:899;height:913" coordorigin="5584,1840" coordsize="899,913" path="m5584,1840l5780,2090,5792,2077,6457,2753,6482,2728,5818,2053,5830,2040,5584,1840xe" filled="true" fillcolor="#ffffff" stroked="false">
              <v:path arrowok="t"/>
              <v:fill type="solid"/>
            </v:shape>
            <v:shape style="position:absolute;left:5583;top:1839;width:899;height:913" coordorigin="5584,1840" coordsize="899,913" path="m5830,2040l5818,2053,6482,2728,6457,2753,5792,2077,5780,2090,5584,1840,5830,2040xe" filled="false" stroked="true" strokeweight=".75pt" strokecolor="#000000">
              <v:path arrowok="t"/>
              <v:stroke dashstyle="solid"/>
            </v:shape>
            <v:rect style="position:absolute;left:18;top:7;width:516;height:462" filled="true" fillcolor="#ffffff" stroked="false">
              <v:fill type="solid"/>
            </v:rect>
            <v:rect style="position:absolute;left:18;top:7;width:516;height:462" filled="false" stroked="true" strokeweight=".75pt" strokecolor="#000000">
              <v:stroke dashstyle="solid"/>
            </v:rect>
            <v:rect style="position:absolute;left:4180;top:7;width:516;height:462" filled="true" fillcolor="#ffffff" stroked="false">
              <v:fill type="solid"/>
            </v:rect>
            <v:shape style="position:absolute;left:1683;top:7;width:5239;height:3039" coordorigin="1683,8" coordsize="5239,3039" path="m4180,470l4696,470,4696,8,4180,8,4180,470xm1683,2197l2199,2197,2199,1843,1683,1843,1683,2197xm6406,3047l6922,3047,6922,2694,6406,2694,6406,3047xe" filled="false" stroked="true" strokeweight=".75pt" strokecolor="#000000">
              <v:path arrowok="t"/>
              <v:stroke dashstyle="solid"/>
            </v:shape>
            <v:shape style="position:absolute;left:169;top:92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334;top:92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683;top:1926;width:536;height:221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2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V</w:t>
                      <w:tab/>
                    </w:r>
                  </w:p>
                </w:txbxContent>
              </v:textbox>
              <w10:wrap type="none"/>
            </v:shape>
            <v:shape style="position:absolute;left:6406;top:2776;width:5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IA</w:t>
                    </w:r>
                    <w:r>
                      <w:rPr>
                        <w:spacing w:val="1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6"/>
        </w:rPr>
      </w:pPr>
      <w:r>
        <w:rPr/>
        <w:pict>
          <v:group style="position:absolute;margin-left:100.75pt;margin-top:11.676953pt;width:432.9pt;height:187.5pt;mso-position-horizontal-relative:page;mso-position-vertical-relative:paragraph;z-index:-15696384;mso-wrap-distance-left:0;mso-wrap-distance-right:0" coordorigin="2015,234" coordsize="8658,3750">
            <v:shape style="position:absolute;left:2015;top:247;width:8658;height:3736" type="#_x0000_t75" stroked="false">
              <v:imagedata r:id="rId223" o:title=""/>
            </v:shape>
            <v:shape style="position:absolute;left:7687;top:2679;width:863;height:947" coordorigin="7688,2679" coordsize="863,947" path="m7688,2679l7874,2937,7887,2925,8524,3626,8551,3602,7913,2901,7926,2889,7688,2679xe" filled="true" fillcolor="#ffffff" stroked="false">
              <v:path arrowok="t"/>
              <v:fill type="solid"/>
            </v:shape>
            <v:shape style="position:absolute;left:7687;top:2679;width:863;height:947" coordorigin="7688,2679" coordsize="863,947" path="m7926,2889l7913,2901,8551,3602,8524,3626,7887,2925,7874,2937,7688,2679,7926,2889xe" filled="false" stroked="true" strokeweight=".75pt" strokecolor="#000000">
              <v:path arrowok="t"/>
              <v:stroke dashstyle="solid"/>
            </v:shape>
            <v:shape style="position:absolute;left:3884;top:1824;width:885;height:920" coordorigin="3885,1825" coordsize="885,920" path="m3885,1825l4077,2076,4090,2064,4744,2744,4769,2719,4115,2039,4128,2027,3885,1825xe" filled="true" fillcolor="#ffffff" stroked="false">
              <v:path arrowok="t"/>
              <v:fill type="solid"/>
            </v:shape>
            <v:shape style="position:absolute;left:3884;top:1824;width:885;height:920" coordorigin="3885,1825" coordsize="885,920" path="m4128,2027l4115,2039,4769,2719,4744,2744,4090,2064,4077,2076,3885,1825,4128,2027xe" filled="false" stroked="true" strokeweight=".75pt" strokecolor="#000000">
              <v:path arrowok="t"/>
              <v:stroke dashstyle="solid"/>
            </v:shape>
            <v:rect style="position:absolute;left:6195;top:241;width:516;height:462" filled="true" fillcolor="#ffffff" stroked="false">
              <v:fill type="solid"/>
            </v:rect>
            <v:rect style="position:absolute;left:6195;top:241;width:516;height:462" filled="false" stroked="true" strokeweight=".75pt" strokecolor="#000000">
              <v:stroke dashstyle="solid"/>
            </v:rect>
            <v:rect style="position:absolute;left:2033;top:241;width:516;height:462" filled="true" fillcolor="#ffffff" stroked="false">
              <v:fill type="solid"/>
            </v:rect>
            <v:shape style="position:absolute;left:2033;top:241;width:7101;height:3710" coordorigin="2033,241" coordsize="7101,3710" path="m2033,703l2549,703,2549,241,2033,241,2033,703xm4677,3048l5193,3048,5193,2662,4677,2662,4677,3048xm8513,3951l9134,3951,9134,3576,8513,3576,8513,3951xe" filled="false" stroked="true" strokeweight=".75pt" strokecolor="#000000">
              <v:path arrowok="t"/>
              <v:stroke dashstyle="solid"/>
            </v:shape>
            <v:shape style="position:absolute;left:2184;top:325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349;top:325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677;top:2745;width:536;height:221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V</w:t>
                      <w:tab/>
                    </w:r>
                  </w:p>
                </w:txbxContent>
              </v:textbox>
              <w10:wrap type="none"/>
            </v:shape>
            <v:shape style="position:absolute;left:8513;top:3660;width:6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2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VA</w:t>
                    </w:r>
                    <w:r>
                      <w:rPr>
                        <w:spacing w:val="-20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i/>
          <w:sz w:val="13"/>
        </w:rPr>
      </w:pPr>
    </w:p>
    <w:p>
      <w:pPr>
        <w:pStyle w:val="Heading1"/>
        <w:spacing w:line="360" w:lineRule="auto" w:before="90"/>
        <w:ind w:right="953"/>
      </w:pPr>
      <w:r>
        <w:rPr/>
        <w:t>Plate VII: Photomicrographs of Small Intestine Sections from Rats Orally Treated</w:t>
      </w:r>
      <w:r>
        <w:rPr>
          <w:spacing w:val="1"/>
        </w:rPr>
        <w:t> </w:t>
      </w:r>
      <w:r>
        <w:rPr/>
        <w:t>with Methanol Leaf Extract of </w:t>
      </w:r>
      <w:r>
        <w:rPr>
          <w:i/>
        </w:rPr>
        <w:t>Combretum hypopilinum </w:t>
      </w:r>
      <w:r>
        <w:rPr/>
        <w:t>for 28-Days (H and E stained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×250)</w:t>
      </w:r>
    </w:p>
    <w:p>
      <w:pPr>
        <w:pStyle w:val="ListParagraph"/>
        <w:numPr>
          <w:ilvl w:val="0"/>
          <w:numId w:val="21"/>
        </w:numPr>
        <w:tabs>
          <w:tab w:pos="710" w:val="left" w:leader="none"/>
        </w:tabs>
        <w:spacing w:line="240" w:lineRule="auto" w:before="193" w:after="0"/>
        <w:ind w:left="385" w:right="961" w:firstLine="0"/>
        <w:jc w:val="both"/>
        <w:rPr>
          <w:i/>
          <w:sz w:val="24"/>
        </w:rPr>
      </w:pPr>
      <w:r>
        <w:rPr>
          <w:sz w:val="24"/>
        </w:rPr>
        <w:t>Control (Distilled water, 1 ml/kg), B) MECH (250 mg/kg), C) MECH (500 mg/kg), D)</w:t>
      </w:r>
      <w:r>
        <w:rPr>
          <w:spacing w:val="1"/>
          <w:sz w:val="24"/>
        </w:rPr>
        <w:t> </w:t>
      </w:r>
      <w:r>
        <w:rPr>
          <w:sz w:val="24"/>
        </w:rPr>
        <w:t>MECH (1,000 mg/kg), V= Normal villi, IA= slight small intestinal atrophy, VA= moderate</w:t>
      </w:r>
      <w:r>
        <w:rPr>
          <w:spacing w:val="1"/>
          <w:sz w:val="24"/>
        </w:rPr>
        <w:t> </w:t>
      </w:r>
      <w:r>
        <w:rPr>
          <w:sz w:val="24"/>
        </w:rPr>
        <w:t>villi</w:t>
      </w:r>
      <w:r>
        <w:rPr>
          <w:spacing w:val="-1"/>
          <w:sz w:val="24"/>
        </w:rPr>
        <w:t> </w:t>
      </w:r>
      <w:r>
        <w:rPr>
          <w:sz w:val="24"/>
        </w:rPr>
        <w:t>atrophy</w:t>
      </w:r>
      <w:r>
        <w:rPr>
          <w:spacing w:val="-5"/>
          <w:sz w:val="24"/>
        </w:rPr>
        <w:t> </w:t>
      </w:r>
      <w:r>
        <w:rPr>
          <w:sz w:val="24"/>
        </w:rPr>
        <w:t>MECH=</w:t>
      </w:r>
      <w:r>
        <w:rPr>
          <w:spacing w:val="-2"/>
          <w:sz w:val="24"/>
        </w:rPr>
        <w:t> </w:t>
      </w:r>
      <w:r>
        <w:rPr>
          <w:sz w:val="24"/>
        </w:rPr>
        <w:t>Methanol leaf extract of</w:t>
      </w:r>
      <w:r>
        <w:rPr>
          <w:spacing w:val="2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hypopilinum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294" w:top="1380" w:bottom="480" w:left="1600" w:right="460"/>
        </w:sectPr>
      </w:pPr>
    </w:p>
    <w:p>
      <w:pPr>
        <w:pStyle w:val="Heading1"/>
        <w:spacing w:before="75"/>
        <w:ind w:left="3880" w:right="4162"/>
        <w:jc w:val="center"/>
      </w:pPr>
      <w:bookmarkStart w:name="_TOC_250007" w:id="68"/>
      <w:r>
        <w:rPr/>
        <w:t>CHAPTER</w:t>
      </w:r>
      <w:r>
        <w:rPr>
          <w:spacing w:val="-7"/>
        </w:rPr>
        <w:t> </w:t>
      </w:r>
      <w:bookmarkEnd w:id="68"/>
      <w:r>
        <w:rPr/>
        <w:t>FIVE</w:t>
      </w:r>
    </w:p>
    <w:p>
      <w:pPr>
        <w:pStyle w:val="BodyText"/>
        <w:rPr>
          <w:b/>
        </w:rPr>
      </w:pPr>
    </w:p>
    <w:p>
      <w:pPr>
        <w:pStyle w:val="Heading1"/>
        <w:ind w:left="4045"/>
        <w:jc w:val="left"/>
      </w:pPr>
      <w:bookmarkStart w:name="_TOC_250006" w:id="69"/>
      <w:r>
        <w:rPr/>
        <w:t>5.0</w:t>
      </w:r>
      <w:r>
        <w:rPr>
          <w:spacing w:val="-2"/>
        </w:rPr>
        <w:t> </w:t>
      </w:r>
      <w:bookmarkEnd w:id="69"/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5" w:right="950"/>
        <w:jc w:val="both"/>
      </w:pPr>
      <w:r>
        <w:rPr/>
        <w:t>Several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scientifically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motility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hypersecretion</w:t>
      </w:r>
      <w:r>
        <w:rPr>
          <w:spacing w:val="1"/>
        </w:rPr>
        <w:t> </w:t>
      </w:r>
      <w:r>
        <w:rPr/>
        <w:t>(Mekonnen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assertion,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 the antidiarrhoeal activity of MECH and its sub-acute toxicity effects. The</w:t>
      </w:r>
      <w:r>
        <w:rPr>
          <w:spacing w:val="1"/>
        </w:rPr>
        <w:t> </w:t>
      </w:r>
      <w:r>
        <w:rPr/>
        <w:t>possible involvement of opioidergic, adrenergic (α</w:t>
      </w:r>
      <w:r>
        <w:rPr>
          <w:vertAlign w:val="subscript"/>
        </w:rPr>
        <w:t>1</w:t>
      </w:r>
      <w:r>
        <w:rPr>
          <w:vertAlign w:val="baseline"/>
        </w:rPr>
        <w:t>, α</w:t>
      </w:r>
      <w:r>
        <w:rPr>
          <w:vertAlign w:val="subscript"/>
        </w:rPr>
        <w:t>2</w:t>
      </w:r>
      <w:r>
        <w:rPr>
          <w:vertAlign w:val="baseline"/>
        </w:rPr>
        <w:t> and β), cholinergic, and nitric oxide</w:t>
      </w:r>
      <w:r>
        <w:rPr>
          <w:spacing w:val="1"/>
          <w:vertAlign w:val="baseline"/>
        </w:rPr>
        <w:t> </w:t>
      </w:r>
      <w:r>
        <w:rPr>
          <w:vertAlign w:val="baseline"/>
        </w:rPr>
        <w:t>pathways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extract's</w:t>
      </w:r>
      <w:r>
        <w:rPr>
          <w:spacing w:val="2"/>
          <w:vertAlign w:val="baseline"/>
        </w:rPr>
        <w:t> </w:t>
      </w:r>
      <w:r>
        <w:rPr>
          <w:vertAlign w:val="baseline"/>
        </w:rPr>
        <w:t>antidiarrhoeal activity</w:t>
      </w:r>
      <w:r>
        <w:rPr>
          <w:spacing w:val="-2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investigated.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85" w:right="954"/>
        <w:jc w:val="both"/>
      </w:pPr>
      <w:r>
        <w:rPr/>
        <w:t>Acute toxicity study of a chemical substance is used to evaluate the likely clinical signs that</w:t>
      </w:r>
      <w:r>
        <w:rPr>
          <w:spacing w:val="-57"/>
        </w:rPr>
        <w:t> </w:t>
      </w:r>
      <w:r>
        <w:rPr/>
        <w:t>can result from administration of the chemical substance and gives a range of doses to be</w:t>
      </w:r>
      <w:r>
        <w:rPr>
          <w:spacing w:val="1"/>
        </w:rPr>
        <w:t> </w:t>
      </w:r>
      <w:r>
        <w:rPr/>
        <w:t>used in subsequent experiments. It is also important in estimating a therapeutic index of a</w:t>
      </w:r>
      <w:r>
        <w:rPr>
          <w:spacing w:val="1"/>
        </w:rPr>
        <w:t> </w:t>
      </w:r>
      <w:r>
        <w:rPr/>
        <w:t>drug (Mbiri </w:t>
      </w:r>
      <w:r>
        <w:rPr>
          <w:i/>
        </w:rPr>
        <w:t>et al</w:t>
      </w:r>
      <w:r>
        <w:rPr/>
        <w:t>., 2017). From the acute toxicity test conducted in this study, there was no</w:t>
      </w:r>
      <w:r>
        <w:rPr>
          <w:spacing w:val="1"/>
        </w:rPr>
        <w:t> </w:t>
      </w:r>
      <w:r>
        <w:rPr/>
        <w:t>death, and no physical signs of toxicity in both mice and rats treated orally with 5,000</w:t>
      </w:r>
      <w:r>
        <w:rPr>
          <w:spacing w:val="1"/>
        </w:rPr>
        <w:t> </w:t>
      </w:r>
      <w:r>
        <w:rPr/>
        <w:t>mg/kg of MECH throughout the observation period of 14 days. These findings suggested</w:t>
      </w:r>
      <w:r>
        <w:rPr>
          <w:spacing w:val="1"/>
        </w:rPr>
        <w:t> </w:t>
      </w:r>
      <w:r>
        <w:rPr/>
        <w:t>that the LD</w:t>
      </w:r>
      <w:r>
        <w:rPr>
          <w:vertAlign w:val="subscript"/>
        </w:rPr>
        <w:t>50</w:t>
      </w:r>
      <w:r>
        <w:rPr>
          <w:vertAlign w:val="baseline"/>
        </w:rPr>
        <w:t> of the extract is greater than 5,000 mg/kg and may be relatively safe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acute oral administration in mice and rats. After acute oral administration of a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substance for 14 days, if there is no death and any signs of toxicity at</w:t>
      </w:r>
      <w:r>
        <w:rPr>
          <w:spacing w:val="60"/>
          <w:vertAlign w:val="baseline"/>
        </w:rPr>
        <w:t> </w:t>
      </w:r>
      <w:r>
        <w:rPr>
          <w:vertAlign w:val="baseline"/>
        </w:rPr>
        <w:t>a dose of 5,000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mg/kg,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substance</w:t>
      </w:r>
      <w:r>
        <w:rPr>
          <w:spacing w:val="-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considered safe</w:t>
      </w:r>
      <w:r>
        <w:rPr>
          <w:spacing w:val="1"/>
          <w:vertAlign w:val="baseline"/>
        </w:rPr>
        <w:t> </w:t>
      </w:r>
      <w:r>
        <w:rPr>
          <w:vertAlign w:val="baseline"/>
        </w:rPr>
        <w:t>(OECD, 2001).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385" w:right="953"/>
        <w:jc w:val="both"/>
      </w:pPr>
      <w:r>
        <w:rPr/>
        <w:t>Diarrhoea is a common disease that has been causing illness and deaths in children and</w:t>
      </w:r>
      <w:r>
        <w:rPr>
          <w:spacing w:val="1"/>
        </w:rPr>
        <w:t> </w:t>
      </w:r>
      <w:r>
        <w:rPr/>
        <w:t>infants,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four</w:t>
      </w:r>
      <w:r>
        <w:rPr>
          <w:spacing w:val="-57"/>
        </w:rPr>
        <w:t> </w:t>
      </w:r>
      <w:r>
        <w:rPr/>
        <w:t>pathophysiological</w:t>
      </w:r>
      <w:r>
        <w:rPr>
          <w:spacing w:val="1"/>
        </w:rPr>
        <w:t> </w:t>
      </w:r>
      <w:r>
        <w:rPr/>
        <w:t>mechanisms: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osmolarity,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electrolytes</w:t>
      </w:r>
      <w:r>
        <w:rPr>
          <w:spacing w:val="14"/>
        </w:rPr>
        <w:t> </w:t>
      </w:r>
      <w:r>
        <w:rPr/>
        <w:t>secretion,</w:t>
      </w:r>
      <w:r>
        <w:rPr>
          <w:spacing w:val="16"/>
        </w:rPr>
        <w:t> </w:t>
      </w:r>
      <w:r>
        <w:rPr/>
        <w:t>decreased</w:t>
      </w:r>
      <w:r>
        <w:rPr>
          <w:spacing w:val="14"/>
        </w:rPr>
        <w:t> </w:t>
      </w:r>
      <w:r>
        <w:rPr/>
        <w:t>water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electrolytes</w:t>
      </w:r>
      <w:r>
        <w:rPr>
          <w:spacing w:val="14"/>
        </w:rPr>
        <w:t> </w:t>
      </w:r>
      <w:r>
        <w:rPr/>
        <w:t>absorption,</w:t>
      </w:r>
      <w:r>
        <w:rPr>
          <w:spacing w:val="20"/>
        </w:rPr>
        <w:t> </w:t>
      </w:r>
      <w:r>
        <w:rPr/>
        <w:t>and</w:t>
      </w:r>
      <w:r>
        <w:rPr>
          <w:spacing w:val="14"/>
        </w:rPr>
        <w:t> </w:t>
      </w:r>
      <w:r>
        <w:rPr/>
        <w:t>intestinal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7"/>
        <w:jc w:val="both"/>
      </w:pPr>
      <w:r>
        <w:rPr/>
        <w:t>hypermotility that cause decreased intestinal residence time. In diarrhoea treatment, drugs</w:t>
      </w:r>
      <w:r>
        <w:rPr>
          <w:spacing w:val="1"/>
        </w:rPr>
        <w:t> </w:t>
      </w:r>
      <w:r>
        <w:rPr/>
        <w:t>that possess antimotility and antisecretory activities are mainly used to alleviate the disease</w:t>
      </w:r>
      <w:r>
        <w:rPr>
          <w:spacing w:val="1"/>
        </w:rPr>
        <w:t> </w:t>
      </w:r>
      <w:r>
        <w:rPr/>
        <w:t>(Mekonnen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4"/>
        <w:jc w:val="both"/>
      </w:pPr>
      <w:r>
        <w:rPr/>
        <w:t>Going by the safety of </w:t>
      </w:r>
      <w:r>
        <w:rPr>
          <w:i/>
        </w:rPr>
        <w:t>C. hypopilinum </w:t>
      </w:r>
      <w:r>
        <w:rPr/>
        <w:t>on acute administration, it is therefore important to</w:t>
      </w:r>
      <w:r>
        <w:rPr>
          <w:spacing w:val="1"/>
        </w:rPr>
        <w:t> </w:t>
      </w:r>
      <w:r>
        <w:rPr/>
        <w:t>investigate its antidiarrhoeal potential in an attempt to discover novel compounds to treat</w:t>
      </w:r>
      <w:r>
        <w:rPr>
          <w:spacing w:val="1"/>
        </w:rPr>
        <w:t> </w:t>
      </w:r>
      <w:r>
        <w:rPr/>
        <w:t>diarrhoea.</w:t>
      </w:r>
      <w:r>
        <w:rPr>
          <w:spacing w:val="1"/>
        </w:rPr>
        <w:t> </w:t>
      </w:r>
      <w:r>
        <w:rPr/>
        <w:t>In this study, the antidiarrhoeal activity of MECH was evaluated using castor</w:t>
      </w:r>
      <w:r>
        <w:rPr>
          <w:spacing w:val="1"/>
        </w:rPr>
        <w:t> </w:t>
      </w:r>
      <w:r>
        <w:rPr/>
        <w:t>oil-induced diarrhoea, castor oil-induced enteropooling and gastrointestinal motility test in</w:t>
      </w:r>
      <w:r>
        <w:rPr>
          <w:spacing w:val="1"/>
        </w:rPr>
        <w:t> </w:t>
      </w:r>
      <w:r>
        <w:rPr/>
        <w:t>mice. The choice of these models results from the evidence that there is a predominantly</w:t>
      </w:r>
      <w:r>
        <w:rPr>
          <w:spacing w:val="1"/>
        </w:rPr>
        <w:t> </w:t>
      </w:r>
      <w:r>
        <w:rPr/>
        <w:t>increased fluid secretion in some forms of diarrhoea, while another type of diarrhoea is</w:t>
      </w:r>
      <w:r>
        <w:rPr>
          <w:spacing w:val="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gastrointestinal hypermotility</w:t>
      </w:r>
      <w:r>
        <w:rPr>
          <w:spacing w:val="-6"/>
        </w:rPr>
        <w:t> </w:t>
      </w:r>
      <w:r>
        <w:rPr/>
        <w:t>(Ezeja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1"/>
        <w:jc w:val="both"/>
      </w:pPr>
      <w:r>
        <w:rPr/>
        <w:t>Castor oil-induced diarrhoea is an effective model for evaluating both secretory diarrhoea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motility 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electrolytes secretion and causes intestinal hypermotility (Taqvi </w:t>
      </w:r>
      <w:r>
        <w:rPr>
          <w:i/>
        </w:rPr>
        <w:t>et al</w:t>
      </w:r>
      <w:r>
        <w:rPr/>
        <w:t>., 2018). Castor oil is</w:t>
      </w:r>
      <w:r>
        <w:rPr>
          <w:spacing w:val="1"/>
        </w:rPr>
        <w:t> </w:t>
      </w:r>
      <w:r>
        <w:rPr/>
        <w:t>metabolized to ricinoleic acid in the duodenum by intestinal lipases. The ricinoleic acid is</w:t>
      </w:r>
      <w:r>
        <w:rPr>
          <w:spacing w:val="1"/>
        </w:rPr>
        <w:t> </w:t>
      </w:r>
      <w:r>
        <w:rPr/>
        <w:t>poorly absorbed in the small intestine. It causes irritation and inflammation of the intestinal</w:t>
      </w:r>
      <w:r>
        <w:rPr>
          <w:spacing w:val="1"/>
        </w:rPr>
        <w:t> </w:t>
      </w:r>
      <w:r>
        <w:rPr/>
        <w:t>mucosa,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autocoids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prostaglandins that stimulate intestinal motility, changes electrolyte permeability of the</w:t>
      </w:r>
      <w:r>
        <w:rPr>
          <w:spacing w:val="1"/>
        </w:rPr>
        <w:t> </w:t>
      </w:r>
      <w:r>
        <w:rPr/>
        <w:t>intestinal mucosa and increased fluid and electrolytes secretion (Mehesare </w:t>
      </w:r>
      <w:r>
        <w:rPr>
          <w:i/>
        </w:rPr>
        <w:t>et al</w:t>
      </w:r>
      <w:r>
        <w:rPr/>
        <w:t>., 2019).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dose-dependent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diarrhoea and significant inhibition of diarrhoea stools, thereby inhibiting the castor oil-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diarrhoea.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antidiarrhoeal</w:t>
      </w:r>
      <w:r>
        <w:rPr>
          <w:spacing w:val="25"/>
        </w:rPr>
        <w:t> </w:t>
      </w:r>
      <w:r>
        <w:rPr/>
        <w:t>activity</w:t>
      </w:r>
      <w:r>
        <w:rPr>
          <w:spacing w:val="22"/>
        </w:rPr>
        <w:t> </w:t>
      </w:r>
      <w:r>
        <w:rPr/>
        <w:t>by</w:t>
      </w:r>
      <w:r>
        <w:rPr>
          <w:spacing w:val="22"/>
        </w:rPr>
        <w:t> </w:t>
      </w:r>
      <w:r>
        <w:rPr/>
        <w:t>stimulating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re-absorption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water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electrolytes</w:t>
      </w:r>
      <w:r>
        <w:rPr>
          <w:spacing w:val="27"/>
        </w:rPr>
        <w:t> </w:t>
      </w:r>
      <w:r>
        <w:rPr/>
        <w:t>from</w:t>
      </w:r>
      <w:r>
        <w:rPr>
          <w:spacing w:val="2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3"/>
        <w:jc w:val="both"/>
      </w:pPr>
      <w:r>
        <w:rPr/>
        <w:t>intestinal lumen and antagonizing prostaglandin, which plays a role in the pathophysiology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diarrhoea.</w:t>
      </w:r>
      <w:r>
        <w:rPr>
          <w:spacing w:val="1"/>
        </w:rPr>
        <w:t> </w:t>
      </w:r>
      <w:r>
        <w:rPr/>
        <w:t>Nwabunike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plants in castor</w:t>
      </w:r>
      <w:r>
        <w:rPr>
          <w:spacing w:val="-1"/>
        </w:rPr>
        <w:t> </w:t>
      </w:r>
      <w:r>
        <w:rPr/>
        <w:t>oil-induced diarrhoea</w:t>
      </w:r>
      <w:r>
        <w:rPr>
          <w:spacing w:val="2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antisecretory</w:t>
      </w:r>
      <w:r>
        <w:rPr>
          <w:spacing w:val="-4"/>
        </w:rPr>
        <w:t> </w:t>
      </w:r>
      <w:r>
        <w:rPr/>
        <w:t>activity.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6"/>
        <w:jc w:val="both"/>
      </w:pPr>
      <w:r>
        <w:rPr/>
        <w:t>The intraluminal fluid accumulation was evaluated by castor oil-induced enteropooling.</w:t>
      </w:r>
      <w:r>
        <w:rPr>
          <w:spacing w:val="1"/>
        </w:rPr>
        <w:t> </w:t>
      </w:r>
      <w:r>
        <w:rPr/>
        <w:t>Castor oil and its active metabolite ricinoleic acid alter electrolytes and water movement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mucosa,</w:t>
      </w:r>
      <w:r>
        <w:rPr>
          <w:spacing w:val="1"/>
        </w:rPr>
        <w:t> </w:t>
      </w:r>
      <w:r>
        <w:rPr/>
        <w:t>thereby enhance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intestine (Saheed and Tom, 2016). The fluid accumulation</w:t>
      </w:r>
      <w:r>
        <w:rPr>
          <w:spacing w:val="1"/>
        </w:rPr>
        <w:t> </w:t>
      </w:r>
      <w:r>
        <w:rPr/>
        <w:t>results from the release of</w:t>
      </w:r>
      <w:r>
        <w:rPr>
          <w:spacing w:val="1"/>
        </w:rPr>
        <w:t> </w:t>
      </w:r>
      <w:r>
        <w:rPr/>
        <w:t>platelet-activating</w:t>
      </w:r>
      <w:r>
        <w:rPr>
          <w:spacing w:val="-4"/>
        </w:rPr>
        <w:t> </w:t>
      </w:r>
      <w:r>
        <w:rPr/>
        <w:t>factor,</w:t>
      </w:r>
      <w:r>
        <w:rPr>
          <w:spacing w:val="1"/>
        </w:rPr>
        <w:t> </w:t>
      </w:r>
      <w:r>
        <w:rPr/>
        <w:t>nitric</w:t>
      </w:r>
      <w:r>
        <w:rPr>
          <w:spacing w:val="-3"/>
        </w:rPr>
        <w:t> </w:t>
      </w:r>
      <w:r>
        <w:rPr/>
        <w:t>oxide, tachykinins, and</w:t>
      </w:r>
      <w:r>
        <w:rPr>
          <w:spacing w:val="-1"/>
        </w:rPr>
        <w:t> </w:t>
      </w:r>
      <w:r>
        <w:rPr/>
        <w:t>cAMP (de</w:t>
      </w:r>
      <w:r>
        <w:rPr>
          <w:spacing w:val="-1"/>
        </w:rPr>
        <w:t> </w:t>
      </w:r>
      <w:r>
        <w:rPr/>
        <w:t>Oliveira </w:t>
      </w:r>
      <w:r>
        <w:rPr>
          <w:i/>
        </w:rPr>
        <w:t>et al</w:t>
      </w:r>
      <w:r>
        <w:rPr/>
        <w:t>., 2017).</w:t>
      </w:r>
    </w:p>
    <w:p>
      <w:pPr>
        <w:pStyle w:val="BodyText"/>
        <w:spacing w:line="480" w:lineRule="auto"/>
        <w:ind w:left="385" w:right="950"/>
        <w:jc w:val="both"/>
      </w:pPr>
      <w:r>
        <w:rPr/>
        <w:t>This study also showed that the MECH at the doses of 500 and 1,000 mg/kg significantly</w:t>
      </w:r>
      <w:r>
        <w:rPr>
          <w:spacing w:val="1"/>
        </w:rPr>
        <w:t> </w:t>
      </w:r>
      <w:r>
        <w:rPr/>
        <w:t>reduced intestinal fluid volume in mice. The reduction in intestinal fluid volume could be</w:t>
      </w:r>
      <w:r>
        <w:rPr>
          <w:spacing w:val="1"/>
        </w:rPr>
        <w:t> </w:t>
      </w:r>
      <w:r>
        <w:rPr/>
        <w:t>due to prostaglandin inhibition,</w:t>
      </w:r>
      <w:r>
        <w:rPr>
          <w:spacing w:val="1"/>
        </w:rPr>
        <w:t> </w:t>
      </w:r>
      <w:r>
        <w:rPr/>
        <w:t>platelet-activating factor, nitric oxide, tachykinins,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cAMP biosynthesis that eventually inhibit fluid hypersecretion, reduced intestinal motility,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absorption,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intraluminal</w:t>
      </w:r>
      <w:r>
        <w:rPr>
          <w:spacing w:val="61"/>
        </w:rPr>
        <w:t> </w:t>
      </w:r>
      <w:r>
        <w:rPr/>
        <w:t>fluid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 inhibit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(Saheed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Tom,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via</w:t>
      </w:r>
      <w:r>
        <w:rPr>
          <w:spacing w:val="-57"/>
        </w:rPr>
        <w:t> </w:t>
      </w:r>
      <w:r>
        <w:rPr/>
        <w:t>antisecretory</w:t>
      </w:r>
      <w:r>
        <w:rPr>
          <w:spacing w:val="-4"/>
        </w:rPr>
        <w:t> </w:t>
      </w:r>
      <w:r>
        <w:rPr/>
        <w:t>activity.</w:t>
      </w:r>
    </w:p>
    <w:p>
      <w:pPr>
        <w:pStyle w:val="BodyText"/>
        <w:spacing w:line="480" w:lineRule="auto" w:before="200"/>
        <w:ind w:left="385" w:right="952"/>
        <w:jc w:val="both"/>
      </w:pPr>
      <w:r>
        <w:rPr/>
        <w:t>Diarrhoea also develops due to change in the intestinal motility and fluid accumulation</w:t>
      </w:r>
      <w:r>
        <w:rPr>
          <w:spacing w:val="1"/>
        </w:rPr>
        <w:t> </w:t>
      </w:r>
      <w:r>
        <w:rPr/>
        <w:t>(Rahman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motility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 of a compound to retard the intestinal smooth muscle movement (Shoba and</w:t>
      </w:r>
      <w:r>
        <w:rPr>
          <w:spacing w:val="1"/>
        </w:rPr>
        <w:t> </w:t>
      </w:r>
      <w:r>
        <w:rPr/>
        <w:t>Thomas, 2014). Going by the present finding, the MECH reduced the intestinal movement</w:t>
      </w:r>
      <w:r>
        <w:rPr>
          <w:spacing w:val="1"/>
        </w:rPr>
        <w:t> </w:t>
      </w:r>
      <w:r>
        <w:rPr/>
        <w:t>of the charcoal meal along the length of the small intestine. This decrease in the movement</w:t>
      </w:r>
      <w:r>
        <w:rPr>
          <w:spacing w:val="1"/>
        </w:rPr>
        <w:t> </w:t>
      </w:r>
      <w:r>
        <w:rPr/>
        <w:t>of the charcoal meal by the extract suggested its antimotility effect, which may prolong</w:t>
      </w:r>
      <w:r>
        <w:rPr>
          <w:spacing w:val="1"/>
        </w:rPr>
        <w:t> </w:t>
      </w:r>
      <w:r>
        <w:rPr/>
        <w:t>small</w:t>
      </w:r>
      <w:r>
        <w:rPr>
          <w:spacing w:val="-1"/>
        </w:rPr>
        <w:t> </w:t>
      </w:r>
      <w:r>
        <w:rPr/>
        <w:t>intestinal residence time and</w:t>
      </w:r>
      <w:r>
        <w:rPr>
          <w:spacing w:val="1"/>
        </w:rPr>
        <w:t> </w:t>
      </w:r>
      <w:r>
        <w:rPr/>
        <w:t>promote</w:t>
      </w:r>
      <w:r>
        <w:rPr>
          <w:spacing w:val="-2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absorption.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32"/>
        <w:ind w:left="385" w:right="952"/>
        <w:jc w:val="both"/>
      </w:pPr>
      <w:r>
        <w:rPr/>
        <w:t>Loperamide is an antidiarrhoeal drug that decreases intestinal motility by acting at the</w:t>
      </w:r>
      <w:r>
        <w:rPr>
          <w:spacing w:val="1"/>
        </w:rPr>
        <w:t> </w:t>
      </w:r>
      <w:r>
        <w:rPr/>
        <w:t>myenteric plexus and increases small intestinal residence time, allowing adequate time for</w:t>
      </w:r>
      <w:r>
        <w:rPr>
          <w:spacing w:val="1"/>
        </w:rPr>
        <w:t> </w:t>
      </w:r>
      <w:r>
        <w:rPr/>
        <w:t>water absorption (Emudainohwo </w:t>
      </w:r>
      <w:r>
        <w:rPr>
          <w:i/>
        </w:rPr>
        <w:t>et al</w:t>
      </w:r>
      <w:r>
        <w:rPr/>
        <w:t>., 2015). In this study, loperamide also significantly</w:t>
      </w:r>
      <w:r>
        <w:rPr>
          <w:spacing w:val="1"/>
        </w:rPr>
        <w:t> </w:t>
      </w:r>
      <w:r>
        <w:rPr/>
        <w:t>inhibited the castor oil-induced diarrhoea, castor oil-induced enteropooling and intestinal</w:t>
      </w:r>
      <w:r>
        <w:rPr>
          <w:spacing w:val="1"/>
        </w:rPr>
        <w:t> </w:t>
      </w:r>
      <w:r>
        <w:rPr/>
        <w:t>movement, showing that it possesses antisecretory and antimotility effects. Similarly, the</w:t>
      </w:r>
      <w:r>
        <w:rPr>
          <w:spacing w:val="1"/>
        </w:rPr>
        <w:t> </w:t>
      </w:r>
      <w:r>
        <w:rPr/>
        <w:t>MECH produced antisecretory and antimotility effects. Therefore, the extract could possess</w:t>
      </w:r>
      <w:r>
        <w:rPr>
          <w:spacing w:val="-57"/>
        </w:rPr>
        <w:t> </w:t>
      </w:r>
      <w:r>
        <w:rPr/>
        <w:t>its</w:t>
      </w:r>
      <w:r>
        <w:rPr>
          <w:spacing w:val="-1"/>
        </w:rPr>
        <w:t> </w:t>
      </w:r>
      <w:r>
        <w:rPr/>
        <w:t>antidiarrhoeal activity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actions to loperamide.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85" w:right="949"/>
        <w:jc w:val="both"/>
      </w:pPr>
      <w:r>
        <w:rPr/>
        <w:t>The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many signalling</w:t>
      </w:r>
      <w:r>
        <w:rPr>
          <w:spacing w:val="-57"/>
        </w:rPr>
        <w:t> </w:t>
      </w:r>
      <w:r>
        <w:rPr/>
        <w:t>pathways,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gastrin,</w:t>
      </w:r>
      <w:r>
        <w:rPr>
          <w:spacing w:val="1"/>
        </w:rPr>
        <w:t> </w:t>
      </w:r>
      <w:r>
        <w:rPr/>
        <w:t>5-hydroxytryptamine,</w:t>
      </w:r>
      <w:r>
        <w:rPr>
          <w:spacing w:val="1"/>
        </w:rPr>
        <w:t> </w:t>
      </w:r>
      <w:r>
        <w:rPr/>
        <w:t>dopamine,</w:t>
      </w:r>
      <w:r>
        <w:rPr>
          <w:spacing w:val="1"/>
        </w:rPr>
        <w:t> </w:t>
      </w:r>
      <w:r>
        <w:rPr/>
        <w:t>opioids,</w:t>
      </w:r>
      <w:r>
        <w:rPr>
          <w:spacing w:val="1"/>
        </w:rPr>
        <w:t> </w:t>
      </w:r>
      <w:r>
        <w:rPr/>
        <w:t>catecholamines,</w:t>
      </w:r>
      <w:r>
        <w:rPr>
          <w:spacing w:val="1"/>
        </w:rPr>
        <w:t> </w:t>
      </w:r>
      <w:r>
        <w:rPr/>
        <w:t>acetylcholine and nitric oxide (de Oliveira </w:t>
      </w:r>
      <w:r>
        <w:rPr>
          <w:i/>
        </w:rPr>
        <w:t>et al</w:t>
      </w:r>
      <w:r>
        <w:rPr/>
        <w:t>., 2017). Therefore, in the present work; the</w:t>
      </w:r>
      <w:r>
        <w:rPr>
          <w:spacing w:val="1"/>
        </w:rPr>
        <w:t> </w:t>
      </w:r>
      <w:r>
        <w:rPr/>
        <w:t>mechanistic studies targeting µ opioidergic, (α</w:t>
      </w:r>
      <w:r>
        <w:rPr>
          <w:vertAlign w:val="subscript"/>
        </w:rPr>
        <w:t>1,</w:t>
      </w:r>
      <w:r>
        <w:rPr>
          <w:vertAlign w:val="baseline"/>
        </w:rPr>
        <w:t> α</w:t>
      </w:r>
      <w:r>
        <w:rPr>
          <w:vertAlign w:val="subscript"/>
        </w:rPr>
        <w:t>2</w:t>
      </w:r>
      <w:r>
        <w:rPr>
          <w:vertAlign w:val="baseline"/>
        </w:rPr>
        <w:t> and β)-adrenergic, cholinergic and nitric</w:t>
      </w:r>
      <w:r>
        <w:rPr>
          <w:spacing w:val="1"/>
          <w:vertAlign w:val="baseline"/>
        </w:rPr>
        <w:t> </w:t>
      </w:r>
      <w:r>
        <w:rPr>
          <w:vertAlign w:val="baseline"/>
        </w:rPr>
        <w:t>oxide pathways likely to be involved in the antidiarrhoeal activity of the extract were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investigated. For the mechanistic studies, drugs with established mechanisms for blocking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pathways were employed to elucidate the mechanism of action of MECH, namely;</w:t>
      </w:r>
      <w:r>
        <w:rPr>
          <w:spacing w:val="1"/>
          <w:vertAlign w:val="baseline"/>
        </w:rPr>
        <w:t> </w:t>
      </w:r>
      <w:r>
        <w:rPr>
          <w:vertAlign w:val="baseline"/>
        </w:rPr>
        <w:t>naloxone (a non-selective opioid receptor antagonist), prazosin (a selective α</w:t>
      </w:r>
      <w:r>
        <w:rPr>
          <w:vertAlign w:val="subscript"/>
        </w:rPr>
        <w:t>1</w:t>
      </w:r>
      <w:r>
        <w:rPr>
          <w:vertAlign w:val="baseline"/>
        </w:rPr>
        <w:t>-adrenoceptor</w:t>
      </w:r>
      <w:r>
        <w:rPr>
          <w:spacing w:val="-57"/>
          <w:vertAlign w:val="baseline"/>
        </w:rPr>
        <w:t> </w:t>
      </w:r>
      <w:r>
        <w:rPr>
          <w:vertAlign w:val="baseline"/>
        </w:rPr>
        <w:t>antagonist),</w:t>
      </w:r>
      <w:r>
        <w:rPr>
          <w:spacing w:val="1"/>
          <w:vertAlign w:val="baseline"/>
        </w:rPr>
        <w:t> </w:t>
      </w:r>
      <w:r>
        <w:rPr>
          <w:vertAlign w:val="baseline"/>
        </w:rPr>
        <w:t>yohimbine</w:t>
      </w:r>
      <w:r>
        <w:rPr>
          <w:spacing w:val="1"/>
          <w:vertAlign w:val="baseline"/>
        </w:rPr>
        <w:t> </w:t>
      </w:r>
      <w:r>
        <w:rPr>
          <w:vertAlign w:val="baseline"/>
        </w:rPr>
        <w:t>(a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α</w:t>
      </w:r>
      <w:r>
        <w:rPr>
          <w:vertAlign w:val="subscript"/>
        </w:rPr>
        <w:t>2</w:t>
      </w:r>
      <w:r>
        <w:rPr>
          <w:vertAlign w:val="baseline"/>
        </w:rPr>
        <w:t>-adrenoceptor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antagonist),</w:t>
      </w:r>
      <w:r>
        <w:rPr>
          <w:spacing w:val="1"/>
          <w:vertAlign w:val="baseline"/>
        </w:rPr>
        <w:t> </w:t>
      </w:r>
      <w:r>
        <w:rPr>
          <w:vertAlign w:val="baseline"/>
        </w:rPr>
        <w:t>propranolol</w:t>
      </w:r>
      <w:r>
        <w:rPr>
          <w:spacing w:val="1"/>
          <w:vertAlign w:val="baseline"/>
        </w:rPr>
        <w:t> </w:t>
      </w:r>
      <w:r>
        <w:rPr>
          <w:vertAlign w:val="baseline"/>
        </w:rPr>
        <w:t>(a</w:t>
      </w:r>
      <w:r>
        <w:rPr>
          <w:spacing w:val="1"/>
          <w:vertAlign w:val="baseline"/>
        </w:rPr>
        <w:t> </w:t>
      </w:r>
      <w:r>
        <w:rPr>
          <w:vertAlign w:val="baseline"/>
        </w:rPr>
        <w:t>non-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β-adrenoceptor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antagonist),</w:t>
      </w:r>
      <w:r>
        <w:rPr>
          <w:spacing w:val="1"/>
          <w:vertAlign w:val="baseline"/>
        </w:rPr>
        <w:t> </w:t>
      </w:r>
      <w:r>
        <w:rPr>
          <w:vertAlign w:val="baseline"/>
        </w:rPr>
        <w:t>pilocarpine</w:t>
      </w:r>
      <w:r>
        <w:rPr>
          <w:spacing w:val="1"/>
          <w:vertAlign w:val="baseline"/>
        </w:rPr>
        <w:t> </w:t>
      </w:r>
      <w:r>
        <w:rPr>
          <w:vertAlign w:val="baseline"/>
        </w:rPr>
        <w:t>(a</w:t>
      </w:r>
      <w:r>
        <w:rPr>
          <w:spacing w:val="1"/>
          <w:vertAlign w:val="baseline"/>
        </w:rPr>
        <w:t> </w:t>
      </w:r>
      <w:r>
        <w:rPr>
          <w:vertAlign w:val="baseline"/>
        </w:rPr>
        <w:t>non-selective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muscarinic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agonist) and isosorbide</w:t>
      </w:r>
      <w:r>
        <w:rPr>
          <w:spacing w:val="-1"/>
          <w:vertAlign w:val="baseline"/>
        </w:rPr>
        <w:t> </w:t>
      </w:r>
      <w:r>
        <w:rPr>
          <w:vertAlign w:val="baseline"/>
        </w:rPr>
        <w:t>dinitrate (a</w:t>
      </w:r>
      <w:r>
        <w:rPr>
          <w:spacing w:val="-1"/>
          <w:vertAlign w:val="baseline"/>
        </w:rPr>
        <w:t> </w:t>
      </w:r>
      <w:r>
        <w:rPr>
          <w:vertAlign w:val="baseline"/>
        </w:rPr>
        <w:t>nitric</w:t>
      </w:r>
      <w:r>
        <w:rPr>
          <w:spacing w:val="-2"/>
          <w:vertAlign w:val="baseline"/>
        </w:rPr>
        <w:t> </w:t>
      </w:r>
      <w:r>
        <w:rPr>
          <w:vertAlign w:val="baseline"/>
        </w:rPr>
        <w:t>oxide donor).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385" w:right="952"/>
        <w:jc w:val="both"/>
      </w:pPr>
      <w:r>
        <w:rPr/>
        <w:t>The pretreatment of animals with naloxone, prazosin and propranolol each attenuated the</w:t>
      </w:r>
      <w:r>
        <w:rPr>
          <w:spacing w:val="1"/>
        </w:rPr>
        <w:t> </w:t>
      </w:r>
      <w:r>
        <w:rPr/>
        <w:t>observed antidiarrhoeal activity of MECH compared with the negative control group. The</w:t>
      </w:r>
      <w:r>
        <w:rPr>
          <w:spacing w:val="1"/>
        </w:rPr>
        <w:t> </w:t>
      </w:r>
      <w:r>
        <w:rPr/>
        <w:t>attenuation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activity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extract</w:t>
      </w:r>
      <w:r>
        <w:rPr>
          <w:spacing w:val="14"/>
        </w:rPr>
        <w:t> </w:t>
      </w:r>
      <w:r>
        <w:rPr/>
        <w:t>by</w:t>
      </w:r>
      <w:r>
        <w:rPr>
          <w:spacing w:val="6"/>
        </w:rPr>
        <w:t> </w:t>
      </w:r>
      <w:r>
        <w:rPr/>
        <w:t>these</w:t>
      </w:r>
      <w:r>
        <w:rPr>
          <w:spacing w:val="14"/>
        </w:rPr>
        <w:t> </w:t>
      </w:r>
      <w:r>
        <w:rPr/>
        <w:t>antagonists</w:t>
      </w:r>
      <w:r>
        <w:rPr>
          <w:spacing w:val="15"/>
        </w:rPr>
        <w:t> </w:t>
      </w:r>
      <w:r>
        <w:rPr/>
        <w:t>suggested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involvement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294" w:top="1500" w:bottom="480" w:left="1600" w:right="460"/>
        </w:sectPr>
      </w:pPr>
    </w:p>
    <w:p>
      <w:pPr>
        <w:pStyle w:val="BodyText"/>
        <w:spacing w:line="480" w:lineRule="auto" w:before="70"/>
        <w:ind w:left="385" w:right="952"/>
        <w:jc w:val="both"/>
      </w:pPr>
      <w:r>
        <w:rPr/>
        <w:t>the µ opioidergic and adrenergic (α</w:t>
      </w:r>
      <w:r>
        <w:rPr>
          <w:vertAlign w:val="subscript"/>
        </w:rPr>
        <w:t>1</w:t>
      </w:r>
      <w:r>
        <w:rPr>
          <w:vertAlign w:val="baseline"/>
        </w:rPr>
        <w:t> and β) systems in the antidiarrhoeal activity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extract. In contrast, pretreatment of mice with yohimbine, pilocarpine, and isosorbide failed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 reverse the antidiarrhoeal activity produced by the extract compared with the distilled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group. The lack of reversal of the activity of the extract by these antagonists suggests</w:t>
      </w:r>
      <w:r>
        <w:rPr>
          <w:spacing w:val="1"/>
          <w:vertAlign w:val="baseline"/>
        </w:rPr>
        <w:t> </w:t>
      </w:r>
      <w:r>
        <w:rPr>
          <w:vertAlign w:val="baseline"/>
        </w:rPr>
        <w:t>the non-involvement of the α</w:t>
      </w:r>
      <w:r>
        <w:rPr>
          <w:vertAlign w:val="subscript"/>
        </w:rPr>
        <w:t>2</w:t>
      </w:r>
      <w:r>
        <w:rPr>
          <w:vertAlign w:val="baseline"/>
        </w:rPr>
        <w:t>-adrenergic, cholinergic and nitric oxide pathways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antidiarrhoeal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extract.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85" w:right="953"/>
        <w:jc w:val="both"/>
      </w:pPr>
      <w:r>
        <w:rPr/>
        <w:t>The finding in this study suggested the involvement of the µ opioidergic system in the</w:t>
      </w:r>
      <w:r>
        <w:rPr>
          <w:spacing w:val="1"/>
        </w:rPr>
        <w:t> </w:t>
      </w:r>
      <w:r>
        <w:rPr/>
        <w:t>antidiarrhoeal action of MECH as revealed by the fact that pretreatment of the animals with</w:t>
      </w:r>
      <w:r>
        <w:rPr>
          <w:spacing w:val="-57"/>
        </w:rPr>
        <w:t> </w:t>
      </w:r>
      <w:r>
        <w:rPr/>
        <w:t>naloxone</w:t>
      </w:r>
      <w:r>
        <w:rPr>
          <w:spacing w:val="1"/>
        </w:rPr>
        <w:t> </w:t>
      </w:r>
      <w:r>
        <w:rPr/>
        <w:t>reversed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loperamide.</w:t>
      </w:r>
      <w:r>
        <w:rPr>
          <w:spacing w:val="1"/>
        </w:rPr>
        <w:t> </w:t>
      </w:r>
      <w:r>
        <w:rPr/>
        <w:t>Morphine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opiates</w:t>
      </w:r>
      <w:r>
        <w:rPr>
          <w:spacing w:val="1"/>
        </w:rPr>
        <w:t> </w:t>
      </w:r>
      <w:r>
        <w:rPr/>
        <w:t>agonist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loperamide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-57"/>
        </w:rPr>
        <w:t> </w:t>
      </w:r>
      <w:r>
        <w:rPr/>
        <w:t>intestinal movement </w:t>
      </w:r>
      <w:r>
        <w:rPr>
          <w:i/>
        </w:rPr>
        <w:t>in vivo </w:t>
      </w:r>
      <w:r>
        <w:rPr/>
        <w:t>and have antispasmodic effect in vitro by interfering with</w:t>
      </w:r>
      <w:r>
        <w:rPr>
          <w:spacing w:val="1"/>
        </w:rPr>
        <w:t> </w:t>
      </w:r>
      <w:r>
        <w:rPr/>
        <w:t>neurotransmitters' release. Additionally, opiates inhibit intestinal movement through central</w:t>
      </w:r>
      <w:r>
        <w:rPr>
          <w:spacing w:val="-57"/>
        </w:rPr>
        <w:t> </w:t>
      </w:r>
      <w:r>
        <w:rPr/>
        <w:t>and peripheral mechanisms to attenuate the pathophysiological mechanism of diarrhoea</w:t>
      </w:r>
      <w:r>
        <w:rPr>
          <w:spacing w:val="1"/>
        </w:rPr>
        <w:t> </w:t>
      </w:r>
      <w:r>
        <w:rPr/>
        <w:t>(Paredes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naloxone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</w:t>
      </w:r>
      <w:r>
        <w:rPr>
          <w:spacing w:val="60"/>
        </w:rPr>
        <w:t> </w:t>
      </w:r>
      <w:r>
        <w:rPr/>
        <w:t>activity</w:t>
      </w:r>
      <w:r>
        <w:rPr>
          <w:spacing w:val="1"/>
        </w:rPr>
        <w:t> </w:t>
      </w:r>
      <w:r>
        <w:rPr/>
        <w:t>produced by loperamide has been reported (Besra </w:t>
      </w:r>
      <w:r>
        <w:rPr>
          <w:i/>
        </w:rPr>
        <w:t>et al</w:t>
      </w:r>
      <w:r>
        <w:rPr/>
        <w:t>., 2003). The findings in this work</w:t>
      </w:r>
      <w:r>
        <w:rPr>
          <w:spacing w:val="1"/>
        </w:rPr>
        <w:t> </w:t>
      </w:r>
      <w:r>
        <w:rPr/>
        <w:t>have established that the extract reduced small intestinal transit and enhanced intestinal</w:t>
      </w:r>
      <w:r>
        <w:rPr>
          <w:spacing w:val="1"/>
        </w:rPr>
        <w:t> </w:t>
      </w:r>
      <w:r>
        <w:rPr/>
        <w:t>residence time for effective absorption of fluids and electrolytes similar to loperamide,</w:t>
      </w:r>
      <w:r>
        <w:rPr>
          <w:spacing w:val="1"/>
        </w:rPr>
        <w:t> </w:t>
      </w:r>
      <w:r>
        <w:rPr/>
        <w:t>possibly</w:t>
      </w:r>
      <w:r>
        <w:rPr>
          <w:spacing w:val="-9"/>
        </w:rPr>
        <w:t> </w:t>
      </w:r>
      <w:r>
        <w:rPr/>
        <w:t>interacting</w:t>
      </w:r>
      <w:r>
        <w:rPr>
          <w:spacing w:val="-3"/>
        </w:rPr>
        <w:t> </w:t>
      </w:r>
      <w:r>
        <w:rPr/>
        <w:t>with</w:t>
      </w:r>
      <w:r>
        <w:rPr>
          <w:spacing w:val="2"/>
        </w:rPr>
        <w:t> </w:t>
      </w:r>
      <w:r>
        <w:rPr/>
        <w:t>opioid receptors</w:t>
      </w:r>
      <w:r>
        <w:rPr>
          <w:spacing w:val="2"/>
        </w:rPr>
        <w:t> </w:t>
      </w:r>
      <w:r>
        <w:rPr/>
        <w:t>found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 gastrointestinal wall.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385" w:right="952"/>
        <w:jc w:val="both"/>
      </w:pPr>
      <w:r>
        <w:rPr/>
        <w:t>Interestingly, the finding of the present study also suggested that (α</w:t>
      </w:r>
      <w:r>
        <w:rPr>
          <w:vertAlign w:val="subscript"/>
        </w:rPr>
        <w:t>1</w:t>
      </w:r>
      <w:r>
        <w:rPr>
          <w:vertAlign w:val="baseline"/>
        </w:rPr>
        <w:t> and β)-adrenergic</w:t>
      </w:r>
      <w:r>
        <w:rPr>
          <w:spacing w:val="1"/>
          <w:vertAlign w:val="baseline"/>
        </w:rPr>
        <w:t> </w:t>
      </w:r>
      <w:r>
        <w:rPr>
          <w:vertAlign w:val="baseline"/>
        </w:rPr>
        <w:t>pathways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likely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antidiarrhoeal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MECH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stimulating</w:t>
      </w:r>
      <w:r>
        <w:rPr>
          <w:spacing w:val="39"/>
          <w:vertAlign w:val="baseline"/>
        </w:rPr>
        <w:t> </w:t>
      </w:r>
      <w:r>
        <w:rPr>
          <w:vertAlign w:val="baseline"/>
        </w:rPr>
        <w:t>(α</w:t>
      </w:r>
      <w:r>
        <w:rPr>
          <w:vertAlign w:val="subscript"/>
        </w:rPr>
        <w:t>1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β)-adrenergic</w:t>
      </w:r>
      <w:r>
        <w:rPr>
          <w:spacing w:val="41"/>
          <w:vertAlign w:val="baseline"/>
        </w:rPr>
        <w:t> </w:t>
      </w:r>
      <w:r>
        <w:rPr>
          <w:vertAlign w:val="baseline"/>
        </w:rPr>
        <w:t>receptor.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41"/>
          <w:vertAlign w:val="baseline"/>
        </w:rPr>
        <w:t> </w:t>
      </w:r>
      <w:r>
        <w:rPr>
          <w:vertAlign w:val="baseline"/>
        </w:rPr>
        <w:t>participation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3"/>
          <w:vertAlign w:val="baseline"/>
        </w:rPr>
        <w:t> </w:t>
      </w:r>
      <w:r>
        <w:rPr>
          <w:vertAlign w:val="baseline"/>
        </w:rPr>
        <w:t>these</w:t>
      </w:r>
      <w:r>
        <w:rPr>
          <w:spacing w:val="40"/>
          <w:vertAlign w:val="baseline"/>
        </w:rPr>
        <w:t> </w:t>
      </w:r>
      <w:r>
        <w:rPr>
          <w:vertAlign w:val="baseline"/>
        </w:rPr>
        <w:t>pathways</w:t>
      </w:r>
      <w:r>
        <w:rPr>
          <w:spacing w:val="-57"/>
          <w:vertAlign w:val="baseline"/>
        </w:rPr>
        <w:t> </w:t>
      </w:r>
      <w:r>
        <w:rPr>
          <w:vertAlign w:val="baseline"/>
        </w:rPr>
        <w:t>was</w:t>
      </w:r>
      <w:r>
        <w:rPr>
          <w:spacing w:val="55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55"/>
          <w:vertAlign w:val="baseline"/>
        </w:rPr>
        <w:t> </w:t>
      </w:r>
      <w:r>
        <w:rPr>
          <w:vertAlign w:val="baseline"/>
        </w:rPr>
        <w:t>from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fact</w:t>
      </w:r>
      <w:r>
        <w:rPr>
          <w:spacing w:val="55"/>
          <w:vertAlign w:val="baseline"/>
        </w:rPr>
        <w:t> </w:t>
      </w:r>
      <w:r>
        <w:rPr>
          <w:vertAlign w:val="baseline"/>
        </w:rPr>
        <w:t>that</w:t>
      </w:r>
      <w:r>
        <w:rPr>
          <w:spacing w:val="56"/>
          <w:vertAlign w:val="baseline"/>
        </w:rPr>
        <w:t> </w:t>
      </w:r>
      <w:r>
        <w:rPr>
          <w:vertAlign w:val="baseline"/>
        </w:rPr>
        <w:t>pretreatment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56"/>
          <w:vertAlign w:val="baseline"/>
        </w:rPr>
        <w:t> </w:t>
      </w:r>
      <w:r>
        <w:rPr>
          <w:vertAlign w:val="baseline"/>
        </w:rPr>
        <w:t>with</w:t>
      </w:r>
      <w:r>
        <w:rPr>
          <w:spacing w:val="58"/>
          <w:vertAlign w:val="baseline"/>
        </w:rPr>
        <w:t> </w:t>
      </w:r>
      <w:r>
        <w:rPr>
          <w:vertAlign w:val="baseline"/>
        </w:rPr>
        <w:t>prazosin</w:t>
      </w:r>
      <w:r>
        <w:rPr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propranolol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4"/>
        <w:jc w:val="both"/>
      </w:pPr>
      <w:r>
        <w:rPr/>
        <w:t>abolished the antidiarrhoeal action produced by MECH compared with the negative 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pretreatment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propranolol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attenuated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 activity of morphine. Activation or inhibition of intestinal receptors accounts</w:t>
      </w:r>
      <w:r>
        <w:rPr>
          <w:spacing w:val="1"/>
        </w:rPr>
        <w:t> </w:t>
      </w:r>
      <w:r>
        <w:rPr/>
        <w:t>for different biological effects in the intestine, such as secretion and peristaltic movement.</w:t>
      </w:r>
      <w:r>
        <w:rPr>
          <w:spacing w:val="1"/>
        </w:rPr>
        <w:t> </w:t>
      </w:r>
      <w:r>
        <w:rPr/>
        <w:t>Stimulation of intestinal (α and β)-adrenoceptors attenuates the rate and force of intestinal</w:t>
      </w:r>
      <w:r>
        <w:rPr>
          <w:spacing w:val="1"/>
        </w:rPr>
        <w:t> </w:t>
      </w:r>
      <w:r>
        <w:rPr/>
        <w:t>contraction</w:t>
      </w:r>
      <w:r>
        <w:rPr>
          <w:spacing w:val="-1"/>
        </w:rPr>
        <w:t> </w:t>
      </w:r>
      <w:r>
        <w:rPr/>
        <w:t>and inhibits intestinal</w:t>
      </w:r>
      <w:r>
        <w:rPr>
          <w:spacing w:val="-1"/>
        </w:rPr>
        <w:t> </w:t>
      </w:r>
      <w:r>
        <w:rPr/>
        <w:t>fluid secretion (Adeniyi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85" w:right="952"/>
        <w:jc w:val="both"/>
      </w:pPr>
      <w:r>
        <w:rPr/>
        <w:t>Another interesting finding in this work showed that the antidiarrhoeal activity of morphine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(α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β)-adrenergic</w:t>
      </w:r>
      <w:r>
        <w:rPr>
          <w:spacing w:val="60"/>
          <w:vertAlign w:val="baseline"/>
        </w:rPr>
        <w:t> </w:t>
      </w:r>
      <w:r>
        <w:rPr>
          <w:vertAlign w:val="baseline"/>
        </w:rPr>
        <w:t>receptors</w:t>
      </w:r>
      <w:r>
        <w:rPr>
          <w:spacing w:val="60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yohimbine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propranolol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reversed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antidiarrhoeal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antidiarrhoeal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morphine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α</w:t>
      </w:r>
      <w:r>
        <w:rPr>
          <w:vertAlign w:val="subscript"/>
        </w:rPr>
        <w:t>1</w:t>
      </w:r>
      <w:r>
        <w:rPr>
          <w:vertAlign w:val="baseline"/>
        </w:rPr>
        <w:t>-adrenergic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nitric</w:t>
      </w:r>
      <w:r>
        <w:rPr>
          <w:spacing w:val="1"/>
          <w:vertAlign w:val="baseline"/>
        </w:rPr>
        <w:t> </w:t>
      </w:r>
      <w:r>
        <w:rPr>
          <w:vertAlign w:val="baseline"/>
        </w:rPr>
        <w:t>oxide</w:t>
      </w:r>
      <w:r>
        <w:rPr>
          <w:spacing w:val="-57"/>
          <w:vertAlign w:val="baseline"/>
        </w:rPr>
        <w:t> </w:t>
      </w:r>
      <w:r>
        <w:rPr>
          <w:vertAlign w:val="baseline"/>
        </w:rPr>
        <w:t>pathway due to the fact that pretreatment of the animals with prazosin and isosorbide</w:t>
      </w:r>
      <w:r>
        <w:rPr>
          <w:spacing w:val="1"/>
          <w:vertAlign w:val="baseline"/>
        </w:rPr>
        <w:t> </w:t>
      </w:r>
      <w:r>
        <w:rPr>
          <w:vertAlign w:val="baseline"/>
        </w:rPr>
        <w:t>dinitrate each did not reverse its antidiarrhoeal activity. Wong, (1984) reported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antimotility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morphine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abolished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yohimbine which preferentially blocks α</w:t>
      </w:r>
      <w:r>
        <w:rPr>
          <w:vertAlign w:val="subscript"/>
        </w:rPr>
        <w:t>2</w:t>
      </w:r>
      <w:r>
        <w:rPr>
          <w:vertAlign w:val="baseline"/>
        </w:rPr>
        <w:t>-adrenergic receptors. Conversely, in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research, prazosin failed to attenuate the effect of morphine, as clearly confirmed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study. Stimulation of α</w:t>
      </w:r>
      <w:r>
        <w:rPr>
          <w:vertAlign w:val="subscript"/>
        </w:rPr>
        <w:t>2</w:t>
      </w:r>
      <w:r>
        <w:rPr>
          <w:vertAlign w:val="baseline"/>
        </w:rPr>
        <w:t>-adrenoceptors delay intestinal movement and elicit absorption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and electrolytes. Therefore, α</w:t>
      </w:r>
      <w:r>
        <w:rPr>
          <w:vertAlign w:val="subscript"/>
        </w:rPr>
        <w:t>2</w:t>
      </w:r>
      <w:r>
        <w:rPr>
          <w:vertAlign w:val="baseline"/>
        </w:rPr>
        <w:t>-adrenergic antagonists such as yohimbine can promote</w:t>
      </w:r>
      <w:r>
        <w:rPr>
          <w:spacing w:val="-57"/>
          <w:vertAlign w:val="baseline"/>
        </w:rPr>
        <w:t> </w:t>
      </w:r>
      <w:r>
        <w:rPr>
          <w:vertAlign w:val="baseline"/>
        </w:rPr>
        <w:t>diarrhoea</w:t>
      </w:r>
      <w:r>
        <w:rPr>
          <w:spacing w:val="-2"/>
          <w:vertAlign w:val="baseline"/>
        </w:rPr>
        <w:t> </w:t>
      </w:r>
      <w:r>
        <w:rPr>
          <w:vertAlign w:val="baseline"/>
        </w:rPr>
        <w:t>(Adeyemi and</w:t>
      </w:r>
      <w:r>
        <w:rPr>
          <w:spacing w:val="2"/>
          <w:vertAlign w:val="baseline"/>
        </w:rPr>
        <w:t> </w:t>
      </w:r>
      <w:r>
        <w:rPr>
          <w:vertAlign w:val="baseline"/>
        </w:rPr>
        <w:t>Akindele,</w:t>
      </w:r>
      <w:r>
        <w:rPr>
          <w:spacing w:val="-1"/>
          <w:vertAlign w:val="baseline"/>
        </w:rPr>
        <w:t> </w:t>
      </w:r>
      <w:r>
        <w:rPr>
          <w:vertAlign w:val="baseline"/>
        </w:rPr>
        <w:t>2008; Mbagwu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Adeyemi, 2008).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385" w:right="952"/>
        <w:jc w:val="both"/>
      </w:pPr>
      <w:r>
        <w:rPr/>
        <w:t>Also, atropine sulphate showed an intestinal spasmolytic effect in the present work,</w:t>
      </w:r>
      <w:r>
        <w:rPr>
          <w:spacing w:val="60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propulsive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pretreatment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pilocarpine.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prevents</w:t>
      </w:r>
      <w:r>
        <w:rPr>
          <w:spacing w:val="2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propulsive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decreases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5"/>
        <w:jc w:val="both"/>
      </w:pPr>
      <w:r>
        <w:rPr/>
        <w:t>water and electrolytes secretion, and retard gastric emptying, leading to the antidiarrhoeal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(Adeyemi and Akindele, 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2"/>
        <w:jc w:val="both"/>
      </w:pP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biological and harmful effects of the plants (Pandey </w:t>
      </w:r>
      <w:r>
        <w:rPr>
          <w:i/>
        </w:rPr>
        <w:t>et al</w:t>
      </w:r>
      <w:r>
        <w:rPr/>
        <w:t>., 2013). Therefore, it is important</w:t>
      </w:r>
      <w:r>
        <w:rPr>
          <w:spacing w:val="1"/>
        </w:rPr>
        <w:t> </w:t>
      </w:r>
      <w:r>
        <w:rPr/>
        <w:t>to test the presence of phytochemicals responsible for biological activities in 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(Pandey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 such as flavonoids, saponins, tannins, alkaloids, steroids and triterpenes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MECH.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extract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spasmolytic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relaxant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prevent intestinal secretion caused by prostaglandin E</w:t>
      </w:r>
      <w:r>
        <w:rPr>
          <w:vertAlign w:val="subscript"/>
        </w:rPr>
        <w:t>2</w:t>
      </w:r>
      <w:r>
        <w:rPr>
          <w:vertAlign w:val="baseline"/>
        </w:rPr>
        <w:t>, saponins inhibit histamine release,</w:t>
      </w:r>
      <w:r>
        <w:rPr>
          <w:spacing w:val="1"/>
          <w:vertAlign w:val="baseline"/>
        </w:rPr>
        <w:t> </w:t>
      </w:r>
      <w:r>
        <w:rPr>
          <w:vertAlign w:val="baseline"/>
        </w:rPr>
        <w:t>and terpenoids inhibit prostaglandin release and phenols inhibit intestinal secretion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motility.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metabolites'</w:t>
      </w:r>
      <w:r>
        <w:rPr>
          <w:spacing w:val="1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lead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intestinal</w:t>
      </w:r>
      <w:r>
        <w:rPr>
          <w:spacing w:val="1"/>
          <w:vertAlign w:val="baseline"/>
        </w:rPr>
        <w:t> </w:t>
      </w:r>
      <w:r>
        <w:rPr>
          <w:vertAlign w:val="baseline"/>
        </w:rPr>
        <w:t>hypersecretion,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antimotility, 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diarrhoea</w:t>
      </w:r>
      <w:r>
        <w:rPr>
          <w:spacing w:val="-1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3"/>
          <w:vertAlign w:val="baseline"/>
        </w:rPr>
        <w:t> </w:t>
      </w:r>
      <w:r>
        <w:rPr>
          <w:vertAlign w:val="baseline"/>
        </w:rPr>
        <w:t>(Mekonnen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2018).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85" w:right="949"/>
        <w:jc w:val="both"/>
      </w:pPr>
      <w:r>
        <w:rPr/>
        <w:t>A change in the body weight of an animal indicates the animals' general health condition</w:t>
      </w:r>
      <w:r>
        <w:rPr>
          <w:spacing w:val="1"/>
        </w:rPr>
        <w:t> </w:t>
      </w:r>
      <w:r>
        <w:rPr/>
        <w:t>(Yuet Ping </w:t>
      </w:r>
      <w:r>
        <w:rPr>
          <w:i/>
        </w:rPr>
        <w:t>et al</w:t>
      </w:r>
      <w:r>
        <w:rPr/>
        <w:t>., 2013). There are usually changes in body weight gain and internal organ</w:t>
      </w:r>
      <w:r>
        <w:rPr>
          <w:spacing w:val="1"/>
        </w:rPr>
        <w:t> </w:t>
      </w:r>
      <w:r>
        <w:rPr/>
        <w:t>weights in animals after exposure to potentially toxic substances, which indicate toxicity</w:t>
      </w:r>
      <w:r>
        <w:rPr>
          <w:spacing w:val="1"/>
        </w:rPr>
        <w:t> </w:t>
      </w:r>
      <w:r>
        <w:rPr/>
        <w:t>(Prasanth</w:t>
      </w:r>
      <w:r>
        <w:rPr>
          <w:spacing w:val="59"/>
        </w:rPr>
        <w:t> </w:t>
      </w:r>
      <w:r>
        <w:rPr>
          <w:i/>
        </w:rPr>
        <w:t>et</w:t>
      </w:r>
      <w:r>
        <w:rPr>
          <w:i/>
          <w:spacing w:val="56"/>
        </w:rPr>
        <w:t> </w:t>
      </w:r>
      <w:r>
        <w:rPr>
          <w:i/>
        </w:rPr>
        <w:t>al</w:t>
      </w:r>
      <w:r>
        <w:rPr/>
        <w:t>.,</w:t>
      </w:r>
      <w:r>
        <w:rPr>
          <w:spacing w:val="56"/>
        </w:rPr>
        <w:t> </w:t>
      </w:r>
      <w:r>
        <w:rPr/>
        <w:t>2015).</w:t>
      </w:r>
      <w:r>
        <w:rPr>
          <w:spacing w:val="59"/>
        </w:rPr>
        <w:t> </w:t>
      </w:r>
      <w:r>
        <w:rPr/>
        <w:t>However,</w:t>
      </w:r>
      <w:r>
        <w:rPr>
          <w:spacing w:val="57"/>
        </w:rPr>
        <w:t> </w:t>
      </w:r>
      <w:r>
        <w:rPr/>
        <w:t>scientific</w:t>
      </w:r>
      <w:r>
        <w:rPr>
          <w:spacing w:val="58"/>
        </w:rPr>
        <w:t> </w:t>
      </w:r>
      <w:r>
        <w:rPr/>
        <w:t>evaluations</w:t>
      </w:r>
      <w:r>
        <w:rPr>
          <w:spacing w:val="56"/>
        </w:rPr>
        <w:t> </w:t>
      </w:r>
      <w:r>
        <w:rPr/>
        <w:t>revealed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changes</w:t>
      </w:r>
      <w:r>
        <w:rPr>
          <w:spacing w:val="58"/>
        </w:rPr>
        <w:t> </w:t>
      </w:r>
      <w:r>
        <w:rPr/>
        <w:t>in</w:t>
      </w:r>
      <w:r>
        <w:rPr>
          <w:spacing w:val="56"/>
        </w:rPr>
        <w:t> </w:t>
      </w:r>
      <w:r>
        <w:rPr/>
        <w:t>body</w:t>
      </w:r>
      <w:r>
        <w:rPr>
          <w:spacing w:val="-57"/>
        </w:rPr>
        <w:t> </w:t>
      </w:r>
      <w:r>
        <w:rPr/>
        <w:t>weight of animals might occur due to accumulation of fat and physiological response to the</w:t>
      </w:r>
      <w:r>
        <w:rPr>
          <w:spacing w:val="1"/>
        </w:rPr>
        <w:t> </w:t>
      </w:r>
      <w:r>
        <w:rPr/>
        <w:t>plant extract instead of an indication of toxic effects of the chemical substances that cause a</w:t>
      </w:r>
      <w:r>
        <w:rPr>
          <w:spacing w:val="-57"/>
        </w:rPr>
        <w:t> </w:t>
      </w:r>
      <w:r>
        <w:rPr/>
        <w:t>reduction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appetite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low</w:t>
      </w:r>
      <w:r>
        <w:rPr>
          <w:spacing w:val="6"/>
        </w:rPr>
        <w:t> </w:t>
      </w:r>
      <w:r>
        <w:rPr/>
        <w:t>energy</w:t>
      </w:r>
      <w:r>
        <w:rPr>
          <w:spacing w:val="2"/>
        </w:rPr>
        <w:t> </w:t>
      </w:r>
      <w:r>
        <w:rPr/>
        <w:t>consumption</w:t>
      </w:r>
      <w:r>
        <w:rPr>
          <w:spacing w:val="6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6"/>
        </w:rPr>
        <w:t> </w:t>
      </w:r>
      <w:r>
        <w:rPr/>
        <w:t>animal</w:t>
      </w:r>
      <w:r>
        <w:rPr>
          <w:spacing w:val="6"/>
        </w:rPr>
        <w:t> </w:t>
      </w:r>
      <w:r>
        <w:rPr/>
        <w:t>(Nfozon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2019).</w:t>
      </w:r>
      <w:r>
        <w:rPr>
          <w:spacing w:val="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7"/>
        <w:jc w:val="both"/>
      </w:pPr>
      <w:r>
        <w:rPr/>
        <w:t>decrease in body weight in groups treated with 500 mg/kg of MECH in the first and second</w:t>
      </w:r>
      <w:r>
        <w:rPr>
          <w:spacing w:val="1"/>
        </w:rPr>
        <w:t> </w:t>
      </w:r>
      <w:r>
        <w:rPr/>
        <w:t>week may not indicate the extract's toxic effect. This decrease in body weight could be due</w:t>
      </w:r>
      <w:r>
        <w:rPr>
          <w:spacing w:val="1"/>
        </w:rPr>
        <w:t> </w:t>
      </w:r>
      <w:r>
        <w:rPr/>
        <w:t>to the animals' physiological adjustment in response to the extract, which caused decreased</w:t>
      </w:r>
      <w:r>
        <w:rPr>
          <w:spacing w:val="1"/>
        </w:rPr>
        <w:t> </w:t>
      </w:r>
      <w:r>
        <w:rPr/>
        <w:t>appetite and, hence, low caloric intake as the animals regained their normal body weight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subsequent weeks.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85" w:right="953"/>
        <w:jc w:val="both"/>
      </w:pPr>
      <w:r>
        <w:rPr/>
        <w:t>The organ weight of an animal is useful to reveal the healthy and diseased condition of the</w:t>
      </w:r>
      <w:r>
        <w:rPr>
          <w:spacing w:val="1"/>
        </w:rPr>
        <w:t> </w:t>
      </w:r>
      <w:r>
        <w:rPr/>
        <w:t>animals. It is also important to ascertain the exposure of the organ to injury. The liver and</w:t>
      </w:r>
      <w:r>
        <w:rPr>
          <w:spacing w:val="1"/>
        </w:rPr>
        <w:t> </w:t>
      </w:r>
      <w:r>
        <w:rPr/>
        <w:t>kidney weights are vital in evaluating toxic substances due to their sensitivity in predicting</w:t>
      </w:r>
      <w:r>
        <w:rPr>
          <w:spacing w:val="1"/>
        </w:rPr>
        <w:t> </w:t>
      </w:r>
      <w:r>
        <w:rPr/>
        <w:t>toxicity which corroborates with histopathological changes (Amna </w:t>
      </w:r>
      <w:r>
        <w:rPr>
          <w:i/>
        </w:rPr>
        <w:t>et al</w:t>
      </w:r>
      <w:r>
        <w:rPr/>
        <w:t>., 2013). Based on</w:t>
      </w:r>
      <w:r>
        <w:rPr>
          <w:spacing w:val="1"/>
        </w:rPr>
        <w:t> </w:t>
      </w:r>
      <w:r>
        <w:rPr/>
        <w:t>the present findings, there was a significant decrease in relative kidney weight in groups</w:t>
      </w:r>
      <w:r>
        <w:rPr>
          <w:spacing w:val="1"/>
        </w:rPr>
        <w:t> </w:t>
      </w:r>
      <w:r>
        <w:rPr/>
        <w:t>treated with 500 and 1,000 mg/kg of MECH, which indicated that the kidney might be</w:t>
      </w:r>
      <w:r>
        <w:rPr>
          <w:spacing w:val="1"/>
        </w:rPr>
        <w:t> </w:t>
      </w:r>
      <w:r>
        <w:rPr/>
        <w:t>adversely exposed to the extract's toxic effect. The decrease in relative kidney weight</w:t>
      </w:r>
      <w:r>
        <w:rPr>
          <w:spacing w:val="1"/>
        </w:rPr>
        <w:t> </w:t>
      </w:r>
      <w:r>
        <w:rPr/>
        <w:t>correlates with moderate tubular necrosis observed in groups treated with 500 and 1,000</w:t>
      </w:r>
      <w:r>
        <w:rPr>
          <w:spacing w:val="1"/>
        </w:rPr>
        <w:t> </w:t>
      </w:r>
      <w:r>
        <w:rPr/>
        <w:t>mg/kg of the extract. The renal tubular necrosis could</w:t>
      </w:r>
      <w:r>
        <w:rPr>
          <w:spacing w:val="60"/>
        </w:rPr>
        <w:t> </w:t>
      </w:r>
      <w:r>
        <w:rPr/>
        <w:t>indicate damage to renal tubular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impairing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reabsorption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substances,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electrolytes.</w:t>
      </w:r>
      <w:r>
        <w:rPr>
          <w:spacing w:val="1"/>
        </w:rPr>
        <w:t> </w:t>
      </w:r>
      <w:r>
        <w:rPr/>
        <w:t>Therefore, renal function may have to be monitored on long term administration of the</w:t>
      </w:r>
      <w:r>
        <w:rPr>
          <w:spacing w:val="1"/>
        </w:rPr>
        <w:t> </w:t>
      </w:r>
      <w:r>
        <w:rPr/>
        <w:t>extract. However, there were no significant differences in relative weights of liver, heart,</w:t>
      </w:r>
      <w:r>
        <w:rPr>
          <w:spacing w:val="1"/>
        </w:rPr>
        <w:t> </w:t>
      </w:r>
      <w:r>
        <w:rPr/>
        <w:t>lung,</w:t>
      </w:r>
      <w:r>
        <w:rPr>
          <w:spacing w:val="-1"/>
        </w:rPr>
        <w:t> </w:t>
      </w:r>
      <w:r>
        <w:rPr/>
        <w:t>stomach and small intestine</w:t>
      </w:r>
      <w:r>
        <w:rPr>
          <w:spacing w:val="-1"/>
        </w:rPr>
        <w:t> </w:t>
      </w:r>
      <w:r>
        <w:rPr/>
        <w:t>in all</w:t>
      </w:r>
      <w:r>
        <w:rPr>
          <w:spacing w:val="-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385" w:right="953"/>
        <w:jc w:val="both"/>
      </w:pPr>
      <w:r>
        <w:rPr/>
        <w:t>Analysis of biochemical parameters on experimental animals helps evaluate toxic effects on</w:t>
      </w:r>
      <w:r>
        <w:rPr>
          <w:spacing w:val="-57"/>
        </w:rPr>
        <w:t> </w:t>
      </w:r>
      <w:r>
        <w:rPr/>
        <w:t>different tissues, especially the liver and kidney (Traesel </w:t>
      </w:r>
      <w:r>
        <w:rPr>
          <w:i/>
        </w:rPr>
        <w:t>et al</w:t>
      </w:r>
      <w:r>
        <w:rPr/>
        <w:t>., 2016). The liver's normal</w:t>
      </w:r>
      <w:r>
        <w:rPr>
          <w:spacing w:val="1"/>
        </w:rPr>
        <w:t> </w:t>
      </w:r>
      <w:r>
        <w:rPr/>
        <w:t>metabolic function is determined by serum hepatic biomarkers (El Kabbaoui </w:t>
      </w:r>
      <w:r>
        <w:rPr>
          <w:i/>
        </w:rPr>
        <w:t>et al</w:t>
      </w:r>
      <w:r>
        <w:rPr/>
        <w:t>., 2017).</w:t>
      </w:r>
      <w:r>
        <w:rPr>
          <w:spacing w:val="1"/>
        </w:rPr>
        <w:t> </w:t>
      </w:r>
      <w:r>
        <w:rPr/>
        <w:t>ALT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AST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important</w:t>
      </w:r>
      <w:r>
        <w:rPr>
          <w:spacing w:val="9"/>
        </w:rPr>
        <w:t> </w:t>
      </w:r>
      <w:r>
        <w:rPr/>
        <w:t>markers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hepatic</w:t>
      </w:r>
      <w:r>
        <w:rPr>
          <w:spacing w:val="9"/>
        </w:rPr>
        <w:t> </w:t>
      </w:r>
      <w:r>
        <w:rPr/>
        <w:t>function.</w:t>
      </w:r>
      <w:r>
        <w:rPr>
          <w:spacing w:val="10"/>
        </w:rPr>
        <w:t> </w:t>
      </w:r>
      <w:r>
        <w:rPr/>
        <w:t>ALT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an</w:t>
      </w:r>
      <w:r>
        <w:rPr>
          <w:spacing w:val="8"/>
        </w:rPr>
        <w:t> </w:t>
      </w:r>
      <w:r>
        <w:rPr/>
        <w:t>enzyme</w:t>
      </w:r>
      <w:r>
        <w:rPr>
          <w:spacing w:val="7"/>
        </w:rPr>
        <w:t> </w:t>
      </w:r>
      <w:r>
        <w:rPr/>
        <w:t>present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0"/>
        <w:jc w:val="both"/>
      </w:pPr>
      <w:r>
        <w:rPr/>
        <w:t>hepatic cytoplasm which significantly increases during hepatocellular toxicity. AST is an</w:t>
      </w:r>
      <w:r>
        <w:rPr>
          <w:spacing w:val="1"/>
        </w:rPr>
        <w:t> </w:t>
      </w:r>
      <w:r>
        <w:rPr/>
        <w:t>extracellular enzyme in various tissues such as the heart, skeletal muscles, liver, kidneys,</w:t>
      </w:r>
      <w:r>
        <w:rPr>
          <w:spacing w:val="1"/>
        </w:rPr>
        <w:t> </w:t>
      </w:r>
      <w:r>
        <w:rPr/>
        <w:t>pancreas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red</w:t>
      </w:r>
      <w:r>
        <w:rPr>
          <w:spacing w:val="13"/>
        </w:rPr>
        <w:t> </w:t>
      </w:r>
      <w:r>
        <w:rPr/>
        <w:t>blood</w:t>
      </w:r>
      <w:r>
        <w:rPr>
          <w:spacing w:val="13"/>
        </w:rPr>
        <w:t> </w:t>
      </w:r>
      <w:r>
        <w:rPr/>
        <w:t>cells</w:t>
      </w:r>
      <w:r>
        <w:rPr>
          <w:spacing w:val="14"/>
        </w:rPr>
        <w:t> </w:t>
      </w:r>
      <w:r>
        <w:rPr/>
        <w:t>released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these</w:t>
      </w:r>
      <w:r>
        <w:rPr>
          <w:spacing w:val="11"/>
        </w:rPr>
        <w:t> </w:t>
      </w:r>
      <w:r>
        <w:rPr/>
        <w:t>tissues</w:t>
      </w:r>
      <w:r>
        <w:rPr>
          <w:spacing w:val="12"/>
        </w:rPr>
        <w:t> </w:t>
      </w:r>
      <w:r>
        <w:rPr/>
        <w:t>after</w:t>
      </w:r>
      <w:r>
        <w:rPr>
          <w:spacing w:val="13"/>
        </w:rPr>
        <w:t> </w:t>
      </w:r>
      <w:r>
        <w:rPr/>
        <w:t>cellular</w:t>
      </w:r>
      <w:r>
        <w:rPr>
          <w:spacing w:val="12"/>
        </w:rPr>
        <w:t> </w:t>
      </w:r>
      <w:r>
        <w:rPr/>
        <w:t>damage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alteration</w:t>
      </w:r>
      <w:r>
        <w:rPr>
          <w:spacing w:val="-58"/>
        </w:rPr>
        <w:t> </w:t>
      </w:r>
      <w:r>
        <w:rPr/>
        <w:t>in cell membrane permeability (Li </w:t>
      </w:r>
      <w:r>
        <w:rPr>
          <w:i/>
        </w:rPr>
        <w:t>et al</w:t>
      </w:r>
      <w:r>
        <w:rPr/>
        <w:t>., 2019). ALT and AST are proportionately released</w:t>
      </w:r>
      <w:r>
        <w:rPr>
          <w:spacing w:val="1"/>
        </w:rPr>
        <w:t> </w:t>
      </w:r>
      <w:r>
        <w:rPr/>
        <w:t>into the systemic circulation after cellular injury (Mbiri </w:t>
      </w:r>
      <w:r>
        <w:rPr>
          <w:i/>
        </w:rPr>
        <w:t>et al</w:t>
      </w:r>
      <w:r>
        <w:rPr/>
        <w:t>., 2017). ALP is present in the</w:t>
      </w:r>
      <w:r>
        <w:rPr>
          <w:spacing w:val="1"/>
        </w:rPr>
        <w:t> </w:t>
      </w:r>
      <w:r>
        <w:rPr/>
        <w:t>cells lining the liver's biliary duct and is important in evaluating the</w:t>
      </w:r>
      <w:r>
        <w:rPr>
          <w:spacing w:val="60"/>
        </w:rPr>
        <w:t> </w:t>
      </w:r>
      <w:r>
        <w:rPr/>
        <w:t>biliary duct's disease</w:t>
      </w:r>
      <w:r>
        <w:rPr>
          <w:spacing w:val="1"/>
        </w:rPr>
        <w:t> </w:t>
      </w:r>
      <w:r>
        <w:rPr/>
        <w:t>(El Kabbaoui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2017). Based on liver</w:t>
      </w:r>
      <w:r>
        <w:rPr>
          <w:spacing w:val="1"/>
        </w:rPr>
        <w:t> </w:t>
      </w:r>
      <w:r>
        <w:rPr/>
        <w:t>function in this study, the</w:t>
      </w:r>
      <w:r>
        <w:rPr>
          <w:spacing w:val="1"/>
        </w:rPr>
        <w:t> </w:t>
      </w:r>
      <w:r>
        <w:rPr/>
        <w:t>MECH did not</w:t>
      </w:r>
      <w:r>
        <w:rPr>
          <w:spacing w:val="1"/>
        </w:rPr>
        <w:t> </w:t>
      </w:r>
      <w:r>
        <w:rPr/>
        <w:t>significantly change the serum level of ALT and AST in all treated groups. The non-</w:t>
      </w:r>
      <w:r>
        <w:rPr>
          <w:spacing w:val="1"/>
        </w:rPr>
        <w:t> </w:t>
      </w:r>
      <w:r>
        <w:rPr/>
        <w:t>significant differences in serum level of ALT and AST</w:t>
      </w:r>
      <w:r>
        <w:rPr>
          <w:spacing w:val="60"/>
        </w:rPr>
        <w:t> </w:t>
      </w:r>
      <w:r>
        <w:rPr/>
        <w:t>suggested that the extract may not</w:t>
      </w:r>
      <w:r>
        <w:rPr>
          <w:spacing w:val="1"/>
        </w:rPr>
        <w:t> </w:t>
      </w:r>
      <w:r>
        <w:rPr/>
        <w:t>be hepatotoxic.</w:t>
      </w:r>
      <w:r>
        <w:rPr>
          <w:spacing w:val="1"/>
        </w:rPr>
        <w:t> </w:t>
      </w:r>
      <w:r>
        <w:rPr/>
        <w:t>However, a significant reduction in ALP was observed in groups treated</w:t>
      </w:r>
      <w:r>
        <w:rPr>
          <w:spacing w:val="1"/>
        </w:rPr>
        <w:t> </w:t>
      </w:r>
      <w:r>
        <w:rPr/>
        <w:t>with 500 and 1,000 mg/kg of the extract. Previous researches have shown that reduction in</w:t>
      </w:r>
      <w:r>
        <w:rPr>
          <w:spacing w:val="1"/>
        </w:rPr>
        <w:t> </w:t>
      </w:r>
      <w:r>
        <w:rPr/>
        <w:t>the ALP level is associated with zinc deficiency, hypothyroidism, vitamin (C and B</w:t>
      </w:r>
      <w:r>
        <w:rPr>
          <w:vertAlign w:val="subscript"/>
        </w:rPr>
        <w:t>12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deficiency,</w:t>
      </w:r>
      <w:r>
        <w:rPr>
          <w:spacing w:val="22"/>
          <w:vertAlign w:val="baseline"/>
        </w:rPr>
        <w:t> </w:t>
      </w:r>
      <w:r>
        <w:rPr>
          <w:vertAlign w:val="baseline"/>
        </w:rPr>
        <w:t>protein-energy</w:t>
      </w:r>
      <w:r>
        <w:rPr>
          <w:spacing w:val="18"/>
          <w:vertAlign w:val="baseline"/>
        </w:rPr>
        <w:t> </w:t>
      </w:r>
      <w:r>
        <w:rPr>
          <w:vertAlign w:val="baseline"/>
        </w:rPr>
        <w:t>malnutrition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magnesium</w:t>
      </w:r>
      <w:r>
        <w:rPr>
          <w:spacing w:val="23"/>
          <w:vertAlign w:val="baseline"/>
        </w:rPr>
        <w:t> </w:t>
      </w:r>
      <w:r>
        <w:rPr>
          <w:vertAlign w:val="baseline"/>
        </w:rPr>
        <w:t>deficiency</w:t>
      </w:r>
      <w:r>
        <w:rPr>
          <w:spacing w:val="20"/>
          <w:vertAlign w:val="baseline"/>
        </w:rPr>
        <w:t> </w:t>
      </w:r>
      <w:r>
        <w:rPr>
          <w:vertAlign w:val="baseline"/>
        </w:rPr>
        <w:t>(Cho</w:t>
      </w:r>
      <w:r>
        <w:rPr>
          <w:spacing w:val="24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4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23"/>
          <w:vertAlign w:val="baseline"/>
        </w:rPr>
        <w:t> </w:t>
      </w:r>
      <w:r>
        <w:rPr>
          <w:vertAlign w:val="baseline"/>
        </w:rPr>
        <w:t>2007;</w:t>
      </w:r>
      <w:r>
        <w:rPr>
          <w:spacing w:val="20"/>
          <w:vertAlign w:val="baseline"/>
        </w:rPr>
        <w:t> </w:t>
      </w:r>
      <w:r>
        <w:rPr>
          <w:vertAlign w:val="baseline"/>
        </w:rPr>
        <w:t>Ray</w:t>
      </w:r>
      <w:r>
        <w:rPr>
          <w:spacing w:val="-57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2017). Therefore, the finding of the present study suggested that the extract could</w:t>
      </w:r>
      <w:r>
        <w:rPr>
          <w:spacing w:val="1"/>
          <w:vertAlign w:val="baseline"/>
        </w:rPr>
        <w:t> </w:t>
      </w:r>
      <w:r>
        <w:rPr>
          <w:vertAlign w:val="baseline"/>
        </w:rPr>
        <w:t>cause</w:t>
      </w:r>
      <w:r>
        <w:rPr>
          <w:spacing w:val="-1"/>
          <w:vertAlign w:val="baseline"/>
        </w:rPr>
        <w:t> </w:t>
      </w:r>
      <w:r>
        <w:rPr>
          <w:vertAlign w:val="baseline"/>
        </w:rPr>
        <w:t>malnutrition and interfere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metabolic activities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body.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85" w:right="952"/>
        <w:jc w:val="both"/>
      </w:pPr>
      <w:r>
        <w:rPr/>
        <w:t>Bilirubin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bye</w:t>
      </w:r>
      <w:r>
        <w:rPr>
          <w:spacing w:val="20"/>
        </w:rPr>
        <w:t> </w:t>
      </w:r>
      <w:r>
        <w:rPr/>
        <w:t>product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haemoglobin</w:t>
      </w:r>
      <w:r>
        <w:rPr>
          <w:spacing w:val="17"/>
        </w:rPr>
        <w:t> </w:t>
      </w:r>
      <w:r>
        <w:rPr/>
        <w:t>degradation</w:t>
      </w:r>
      <w:r>
        <w:rPr>
          <w:spacing w:val="21"/>
        </w:rPr>
        <w:t> </w:t>
      </w:r>
      <w:r>
        <w:rPr/>
        <w:t>associated</w:t>
      </w:r>
      <w:r>
        <w:rPr>
          <w:spacing w:val="19"/>
        </w:rPr>
        <w:t> </w:t>
      </w:r>
      <w:r>
        <w:rPr/>
        <w:t>with</w:t>
      </w:r>
      <w:r>
        <w:rPr>
          <w:spacing w:val="18"/>
        </w:rPr>
        <w:t> </w:t>
      </w:r>
      <w:r>
        <w:rPr/>
        <w:t>liver</w:t>
      </w:r>
      <w:r>
        <w:rPr>
          <w:spacing w:val="17"/>
        </w:rPr>
        <w:t> </w:t>
      </w:r>
      <w:r>
        <w:rPr/>
        <w:t>diseases</w:t>
      </w:r>
      <w:r>
        <w:rPr>
          <w:spacing w:val="19"/>
        </w:rPr>
        <w:t> </w:t>
      </w:r>
      <w:r>
        <w:rPr/>
        <w:t>such</w:t>
      </w:r>
      <w:r>
        <w:rPr>
          <w:spacing w:val="-58"/>
        </w:rPr>
        <w:t> </w:t>
      </w:r>
      <w:r>
        <w:rPr/>
        <w:t>as jaundice, defective erythropoiesis and cholestasis (Reena </w:t>
      </w:r>
      <w:r>
        <w:rPr>
          <w:i/>
        </w:rPr>
        <w:t>et al</w:t>
      </w:r>
      <w:r>
        <w:rPr/>
        <w:t>., 2012). Total plasma</w:t>
      </w:r>
      <w:r>
        <w:rPr>
          <w:spacing w:val="1"/>
        </w:rPr>
        <w:t> </w:t>
      </w:r>
      <w:r>
        <w:rPr/>
        <w:t>protein is used to assess the changes in renal and hepatic functions. Abnormal level of total</w:t>
      </w:r>
      <w:r>
        <w:rPr>
          <w:spacing w:val="1"/>
        </w:rPr>
        <w:t> </w:t>
      </w:r>
      <w:r>
        <w:rPr/>
        <w:t>proteins is related to liver infections or chronic hepatic inflammation (El Kabbaoui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2017). Albumin is a protein synthesized in the liver, which when decreased, may be 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dehydration</w:t>
      </w:r>
      <w:r>
        <w:rPr>
          <w:spacing w:val="1"/>
        </w:rPr>
        <w:t> </w:t>
      </w:r>
      <w:r>
        <w:rPr/>
        <w:t>(Donkor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20"/>
        </w:rPr>
        <w:t> </w:t>
      </w:r>
      <w:r>
        <w:rPr/>
        <w:t>alter</w:t>
      </w:r>
      <w:r>
        <w:rPr>
          <w:spacing w:val="23"/>
        </w:rPr>
        <w:t> </w:t>
      </w:r>
      <w:r>
        <w:rPr/>
        <w:t>total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direct</w:t>
      </w:r>
      <w:r>
        <w:rPr>
          <w:spacing w:val="23"/>
        </w:rPr>
        <w:t> </w:t>
      </w:r>
      <w:r>
        <w:rPr/>
        <w:t>bilirubin,</w:t>
      </w:r>
      <w:r>
        <w:rPr>
          <w:spacing w:val="23"/>
        </w:rPr>
        <w:t> </w:t>
      </w:r>
      <w:r>
        <w:rPr/>
        <w:t>serum</w:t>
      </w:r>
      <w:r>
        <w:rPr>
          <w:spacing w:val="23"/>
        </w:rPr>
        <w:t> </w:t>
      </w:r>
      <w:r>
        <w:rPr/>
        <w:t>total</w:t>
      </w:r>
      <w:r>
        <w:rPr>
          <w:spacing w:val="23"/>
        </w:rPr>
        <w:t> </w:t>
      </w:r>
      <w:r>
        <w:rPr/>
        <w:t>protein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albumin</w:t>
      </w:r>
      <w:r>
        <w:rPr>
          <w:spacing w:val="26"/>
        </w:rPr>
        <w:t> </w:t>
      </w:r>
      <w:r>
        <w:rPr/>
        <w:t>in</w:t>
      </w:r>
      <w:r>
        <w:rPr>
          <w:spacing w:val="23"/>
        </w:rPr>
        <w:t> </w:t>
      </w:r>
      <w:r>
        <w:rPr/>
        <w:t>all</w:t>
      </w:r>
      <w:r>
        <w:rPr>
          <w:spacing w:val="24"/>
        </w:rPr>
        <w:t> </w:t>
      </w:r>
      <w:r>
        <w:rPr/>
        <w:t>treated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6"/>
        <w:jc w:val="both"/>
      </w:pPr>
      <w:r>
        <w:rPr/>
        <w:t>groups. These results further suggested that the extract may not have adverse effects on the</w:t>
      </w:r>
      <w:r>
        <w:rPr>
          <w:spacing w:val="1"/>
        </w:rPr>
        <w:t> </w:t>
      </w:r>
      <w:r>
        <w:rPr/>
        <w:t>liver and red blood cell production, which corroborate its possible lack of toxic effects on</w:t>
      </w:r>
      <w:r>
        <w:rPr>
          <w:spacing w:val="1"/>
        </w:rPr>
        <w:t> </w:t>
      </w:r>
      <w:r>
        <w:rPr/>
        <w:t>erythropoiesis</w:t>
      </w:r>
      <w:r>
        <w:rPr>
          <w:spacing w:val="-1"/>
        </w:rPr>
        <w:t> </w:t>
      </w:r>
      <w:r>
        <w:rPr/>
        <w:t>and the liver</w:t>
      </w:r>
      <w:r>
        <w:rPr>
          <w:spacing w:val="-1"/>
        </w:rPr>
        <w:t> </w:t>
      </w:r>
      <w:r>
        <w:rPr/>
        <w:t>observed in this study.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49"/>
        <w:jc w:val="both"/>
      </w:pPr>
      <w:r>
        <w:rPr/>
        <w:t>Several medicinal plants affect glucose metabolism (Mbiri </w:t>
      </w:r>
      <w:r>
        <w:rPr>
          <w:i/>
        </w:rPr>
        <w:t>et al</w:t>
      </w:r>
      <w:r>
        <w:rPr/>
        <w:t>., 2017). Studies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polyphenols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elicit</w:t>
      </w:r>
      <w:r>
        <w:rPr>
          <w:spacing w:val="1"/>
        </w:rPr>
        <w:t> </w:t>
      </w:r>
      <w:r>
        <w:rPr/>
        <w:t>hypoglycemic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 α-amylase and α-glucosidase, increasing glucose uptake by peripheral tissues and</w:t>
      </w:r>
      <w:r>
        <w:rPr>
          <w:spacing w:val="-57"/>
        </w:rPr>
        <w:t> </w:t>
      </w:r>
      <w:r>
        <w:rPr/>
        <w:t>stimulating the release of insulin from pancreatic β cell (El Kabbaoui </w:t>
      </w:r>
      <w:r>
        <w:rPr>
          <w:i/>
        </w:rPr>
        <w:t>et al</w:t>
      </w:r>
      <w:r>
        <w:rPr/>
        <w:t>., 2017). In this</w:t>
      </w:r>
      <w:r>
        <w:rPr>
          <w:spacing w:val="1"/>
        </w:rPr>
        <w:t> </w:t>
      </w:r>
      <w:r>
        <w:rPr/>
        <w:t>study, the MECH caused a significant decrease in plasma glucose level in the group treated</w:t>
      </w:r>
      <w:r>
        <w:rPr>
          <w:spacing w:val="1"/>
        </w:rPr>
        <w:t> </w:t>
      </w:r>
      <w:r>
        <w:rPr/>
        <w:t>with the highest dose of the extract (1,000 mg/kg), which showed that the extract may</w:t>
      </w:r>
      <w:r>
        <w:rPr>
          <w:spacing w:val="1"/>
        </w:rPr>
        <w:t> </w:t>
      </w:r>
      <w:r>
        <w:rPr/>
        <w:t>possess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hypoglycemic</w:t>
      </w:r>
      <w:r>
        <w:rPr>
          <w:spacing w:val="1"/>
        </w:rPr>
        <w:t> </w:t>
      </w:r>
      <w:r>
        <w:rPr/>
        <w:t>effect.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4"/>
        <w:jc w:val="both"/>
      </w:pPr>
      <w:r>
        <w:rPr/>
        <w:t>The kidney plays an important function in maintaining homeostatic balance by reabsorbing</w:t>
      </w:r>
      <w:r>
        <w:rPr>
          <w:spacing w:val="1"/>
        </w:rPr>
        <w:t> </w:t>
      </w:r>
      <w:r>
        <w:rPr/>
        <w:t>essential substances and excretion of waste products (Donkor </w:t>
      </w:r>
      <w:r>
        <w:rPr>
          <w:i/>
        </w:rPr>
        <w:t>et al</w:t>
      </w:r>
      <w:r>
        <w:rPr/>
        <w:t>., 2014). Evaluation of</w:t>
      </w:r>
      <w:r>
        <w:rPr>
          <w:spacing w:val="1"/>
        </w:rPr>
        <w:t> </w:t>
      </w:r>
      <w:r>
        <w:rPr/>
        <w:t>urea and creatinine in the blood is used to assess renal function. In acute and chronic</w:t>
      </w:r>
      <w:r>
        <w:rPr>
          <w:spacing w:val="1"/>
        </w:rPr>
        <w:t> </w:t>
      </w:r>
      <w:r>
        <w:rPr/>
        <w:t>toxicity, the urea and creatinine significantly increase four to five times higher than in 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(Arsad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urea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creatinine</w:t>
      </w:r>
      <w:r>
        <w:rPr>
          <w:spacing w:val="-1"/>
        </w:rPr>
        <w:t> </w:t>
      </w:r>
      <w:r>
        <w:rPr/>
        <w:t>level in all the groups treated</w:t>
      </w:r>
      <w:r>
        <w:rPr>
          <w:spacing w:val="1"/>
        </w:rPr>
        <w:t> </w:t>
      </w:r>
      <w:r>
        <w:rPr/>
        <w:t>with MECH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85" w:right="955"/>
        <w:jc w:val="both"/>
      </w:pPr>
      <w:r>
        <w:rPr/>
        <w:t>Additionally, the serum levels of electrolytes such as sodium, chloride and bicarbonates,</w:t>
      </w:r>
      <w:r>
        <w:rPr>
          <w:spacing w:val="1"/>
        </w:rPr>
        <w:t> </w:t>
      </w:r>
      <w:r>
        <w:rPr/>
        <w:t>were not significantly altered. However, a remarkable reduction in potassium was observed</w:t>
      </w:r>
      <w:r>
        <w:rPr>
          <w:spacing w:val="1"/>
        </w:rPr>
        <w:t> </w:t>
      </w:r>
      <w:r>
        <w:rPr/>
        <w:t>in a dose-dependent manner. Yang </w:t>
      </w:r>
      <w:r>
        <w:rPr>
          <w:i/>
        </w:rPr>
        <w:t>et al</w:t>
      </w:r>
      <w:r>
        <w:rPr/>
        <w:t>. (2019) suggested that severe damage to glomeruli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reabsorption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filtration</w:t>
      </w:r>
      <w:r>
        <w:rPr>
          <w:spacing w:val="13"/>
        </w:rPr>
        <w:t> </w:t>
      </w:r>
      <w:r>
        <w:rPr/>
        <w:t>mechanisms</w:t>
      </w:r>
      <w:r>
        <w:rPr>
          <w:spacing w:val="13"/>
        </w:rPr>
        <w:t> </w:t>
      </w:r>
      <w:r>
        <w:rPr/>
        <w:t>or</w:t>
      </w:r>
      <w:r>
        <w:rPr>
          <w:spacing w:val="14"/>
        </w:rPr>
        <w:t> </w:t>
      </w:r>
      <w:r>
        <w:rPr/>
        <w:t>high</w:t>
      </w:r>
      <w:r>
        <w:rPr>
          <w:spacing w:val="14"/>
        </w:rPr>
        <w:t> </w:t>
      </w:r>
      <w:r>
        <w:rPr/>
        <w:t>secretion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aldosterone</w:t>
      </w:r>
      <w:r>
        <w:rPr>
          <w:spacing w:val="16"/>
        </w:rPr>
        <w:t> </w:t>
      </w:r>
      <w:r>
        <w:rPr/>
        <w:t>impair</w:t>
      </w:r>
      <w:r>
        <w:rPr>
          <w:spacing w:val="16"/>
        </w:rPr>
        <w:t> </w:t>
      </w:r>
      <w:r>
        <w:rPr/>
        <w:t>absorption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ions.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6"/>
        <w:jc w:val="both"/>
      </w:pPr>
      <w:r>
        <w:rPr/>
        <w:t>present study, the significant decrease in potassium may indicate renal tubular damage,</w:t>
      </w:r>
      <w:r>
        <w:rPr>
          <w:spacing w:val="1"/>
        </w:rPr>
        <w:t> </w:t>
      </w:r>
      <w:r>
        <w:rPr/>
        <w:t>which is consistent with the reduction in relative organ weight of kidney and renal tubular</w:t>
      </w:r>
      <w:r>
        <w:rPr>
          <w:spacing w:val="1"/>
        </w:rPr>
        <w:t> </w:t>
      </w:r>
      <w:r>
        <w:rPr/>
        <w:t>necrosis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groups treated</w:t>
      </w:r>
      <w:r>
        <w:rPr>
          <w:spacing w:val="-1"/>
        </w:rPr>
        <w:t> </w:t>
      </w:r>
      <w:r>
        <w:rPr/>
        <w:t>with 500 and 1,000</w:t>
      </w:r>
      <w:r>
        <w:rPr>
          <w:spacing w:val="2"/>
        </w:rPr>
        <w:t> </w:t>
      </w:r>
      <w:r>
        <w:rPr/>
        <w:t>mg/kg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extract.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2"/>
        <w:jc w:val="both"/>
      </w:pPr>
      <w:r>
        <w:rPr/>
        <w:t>The</w:t>
      </w:r>
      <w:r>
        <w:rPr>
          <w:spacing w:val="1"/>
        </w:rPr>
        <w:t> </w:t>
      </w:r>
      <w:r>
        <w:rPr/>
        <w:t>hematopoietic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indicator of the</w:t>
      </w:r>
      <w:r>
        <w:rPr>
          <w:spacing w:val="1"/>
        </w:rPr>
        <w:t> </w:t>
      </w:r>
      <w:r>
        <w:rPr/>
        <w:t>normal physiological and disease state</w:t>
      </w:r>
      <w:r>
        <w:rPr>
          <w:spacing w:val="60"/>
        </w:rPr>
        <w:t> </w:t>
      </w:r>
      <w:r>
        <w:rPr/>
        <w:t>in animals (El Kabbaoui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2017). Reduction in the level of blood parameters such as RBC, MCV, MCH, MCHC</w:t>
      </w:r>
      <w:r>
        <w:rPr>
          <w:spacing w:val="-57"/>
        </w:rPr>
        <w:t> </w:t>
      </w:r>
      <w:r>
        <w:rPr/>
        <w:t>and</w:t>
      </w:r>
      <w:r>
        <w:rPr>
          <w:spacing w:val="23"/>
        </w:rPr>
        <w:t> </w:t>
      </w:r>
      <w:r>
        <w:rPr/>
        <w:t>HGB</w:t>
      </w:r>
      <w:r>
        <w:rPr>
          <w:spacing w:val="22"/>
        </w:rPr>
        <w:t> </w:t>
      </w:r>
      <w:r>
        <w:rPr/>
        <w:t>can</w:t>
      </w:r>
      <w:r>
        <w:rPr>
          <w:spacing w:val="24"/>
        </w:rPr>
        <w:t> </w:t>
      </w:r>
      <w:r>
        <w:rPr/>
        <w:t>cause</w:t>
      </w:r>
      <w:r>
        <w:rPr>
          <w:spacing w:val="22"/>
        </w:rPr>
        <w:t> </w:t>
      </w:r>
      <w:r>
        <w:rPr/>
        <w:t>anaemia</w:t>
      </w:r>
      <w:r>
        <w:rPr>
          <w:spacing w:val="22"/>
        </w:rPr>
        <w:t> </w:t>
      </w:r>
      <w:r>
        <w:rPr/>
        <w:t>(Olorunnisola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.,</w:t>
      </w:r>
      <w:r>
        <w:rPr>
          <w:spacing w:val="23"/>
        </w:rPr>
        <w:t> </w:t>
      </w:r>
      <w:r>
        <w:rPr/>
        <w:t>2012).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present</w:t>
      </w:r>
      <w:r>
        <w:rPr>
          <w:spacing w:val="24"/>
        </w:rPr>
        <w:t> </w:t>
      </w:r>
      <w:r>
        <w:rPr/>
        <w:t>study</w:t>
      </w:r>
      <w:r>
        <w:rPr>
          <w:spacing w:val="-57"/>
        </w:rPr>
        <w:t> </w:t>
      </w:r>
      <w:r>
        <w:rPr/>
        <w:t>did not show significant changes in haematological parameters in all groups treated with</w:t>
      </w:r>
      <w:r>
        <w:rPr>
          <w:spacing w:val="1"/>
        </w:rPr>
        <w:t> </w:t>
      </w:r>
      <w:r>
        <w:rPr/>
        <w:t>MECH, which suggested that the extract may not interfere with the normal production of</w:t>
      </w:r>
      <w:r>
        <w:rPr>
          <w:spacing w:val="1"/>
        </w:rPr>
        <w:t> </w:t>
      </w:r>
      <w:r>
        <w:rPr/>
        <w:t>RBC</w:t>
      </w:r>
      <w:r>
        <w:rPr>
          <w:spacing w:val="-1"/>
        </w:rPr>
        <w:t> </w:t>
      </w:r>
      <w:r>
        <w:rPr/>
        <w:t>and may</w:t>
      </w:r>
      <w:r>
        <w:rPr>
          <w:spacing w:val="-5"/>
        </w:rPr>
        <w:t> </w:t>
      </w:r>
      <w:r>
        <w:rPr/>
        <w:t>not induce</w:t>
      </w:r>
      <w:r>
        <w:rPr>
          <w:spacing w:val="2"/>
        </w:rPr>
        <w:t> </w:t>
      </w:r>
      <w:r>
        <w:rPr/>
        <w:t>anaemia.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2"/>
        <w:jc w:val="both"/>
      </w:pPr>
      <w:r>
        <w:rPr/>
        <w:t>WBC plays an important role in cellular defensive mechanisms in the body's response to</w:t>
      </w:r>
      <w:r>
        <w:rPr>
          <w:spacing w:val="1"/>
        </w:rPr>
        <w:t> </w:t>
      </w:r>
      <w:r>
        <w:rPr/>
        <w:t>infectious agents, tissue damage and inflammatory mechanism (Yuet Ping </w:t>
      </w:r>
      <w:r>
        <w:rPr>
          <w:i/>
        </w:rPr>
        <w:t>et al</w:t>
      </w:r>
      <w:r>
        <w:rPr/>
        <w:t>., 2013).</w:t>
      </w:r>
      <w:r>
        <w:rPr>
          <w:spacing w:val="1"/>
        </w:rPr>
        <w:t> </w:t>
      </w:r>
      <w:r>
        <w:rPr/>
        <w:t>Reduction in RBC, WBC and platelets count if associated with signs of acute toxicity 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suppression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anaemia,</w:t>
      </w:r>
      <w:r>
        <w:rPr>
          <w:spacing w:val="1"/>
        </w:rPr>
        <w:t> </w:t>
      </w:r>
      <w:r>
        <w:rPr/>
        <w:t>leucopenia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thrombocytopenia, respectively (Arsad </w:t>
      </w:r>
      <w:r>
        <w:rPr>
          <w:i/>
        </w:rPr>
        <w:t>et al</w:t>
      </w:r>
      <w:r>
        <w:rPr/>
        <w:t>., 2013). Based on the results of this study, total</w:t>
      </w:r>
      <w:r>
        <w:rPr>
          <w:spacing w:val="-57"/>
        </w:rPr>
        <w:t> </w:t>
      </w:r>
      <w:r>
        <w:rPr/>
        <w:t>WBC and lymphocytes in all treated groups showed no significant difference with the</w:t>
      </w:r>
      <w:r>
        <w:rPr>
          <w:spacing w:val="1"/>
        </w:rPr>
        <w:t> </w:t>
      </w:r>
      <w:r>
        <w:rPr/>
        <w:t>control group. These findings indicated that the MECH might not cause leucopenia, bone</w:t>
      </w:r>
      <w:r>
        <w:rPr>
          <w:spacing w:val="1"/>
        </w:rPr>
        <w:t> </w:t>
      </w:r>
      <w:r>
        <w:rPr/>
        <w:t>marrow</w:t>
      </w:r>
      <w:r>
        <w:rPr>
          <w:spacing w:val="-3"/>
        </w:rPr>
        <w:t> </w:t>
      </w:r>
      <w:r>
        <w:rPr/>
        <w:t>and immune system suppression.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85" w:right="957"/>
        <w:jc w:val="both"/>
      </w:pPr>
      <w:r>
        <w:rPr/>
        <w:t>In addition, Nfozon </w:t>
      </w:r>
      <w:r>
        <w:rPr>
          <w:i/>
        </w:rPr>
        <w:t>et al</w:t>
      </w:r>
      <w:r>
        <w:rPr/>
        <w:t>. (2019) suggested that when the haematological investigation of</w:t>
      </w:r>
      <w:r>
        <w:rPr>
          <w:spacing w:val="1"/>
        </w:rPr>
        <w:t> </w:t>
      </w:r>
      <w:r>
        <w:rPr/>
        <w:t>animals revealed a significant increase in granulocyte, the plant may be involved in innate</w:t>
      </w:r>
      <w:r>
        <w:rPr>
          <w:spacing w:val="1"/>
        </w:rPr>
        <w:t> </w:t>
      </w:r>
      <w:r>
        <w:rPr/>
        <w:t>immune</w:t>
      </w:r>
      <w:r>
        <w:rPr>
          <w:spacing w:val="7"/>
        </w:rPr>
        <w:t> </w:t>
      </w:r>
      <w:r>
        <w:rPr/>
        <w:t>response,</w:t>
      </w:r>
      <w:r>
        <w:rPr>
          <w:spacing w:val="8"/>
        </w:rPr>
        <w:t> </w:t>
      </w:r>
      <w:r>
        <w:rPr/>
        <w:t>especially</w:t>
      </w:r>
      <w:r>
        <w:rPr>
          <w:spacing w:val="3"/>
        </w:rPr>
        <w:t> </w:t>
      </w:r>
      <w:r>
        <w:rPr/>
        <w:t>phagocytosis.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present</w:t>
      </w:r>
      <w:r>
        <w:rPr>
          <w:spacing w:val="9"/>
        </w:rPr>
        <w:t> </w:t>
      </w:r>
      <w:r>
        <w:rPr/>
        <w:t>study,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increase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3"/>
        <w:jc w:val="both"/>
      </w:pPr>
      <w:r>
        <w:rPr/>
        <w:t>in granulocytes in the group treated with the highest dose (1,000 mg/kg) of MECH showed</w:t>
      </w:r>
      <w:r>
        <w:rPr>
          <w:spacing w:val="1"/>
        </w:rPr>
        <w:t> </w:t>
      </w:r>
      <w:r>
        <w:rPr/>
        <w:t>that it could boost immune response.</w:t>
      </w:r>
      <w:r>
        <w:rPr>
          <w:spacing w:val="1"/>
        </w:rPr>
        <w:t> </w:t>
      </w:r>
      <w:r>
        <w:rPr/>
        <w:t>Furthermore, a significant increase in</w:t>
      </w:r>
      <w:r>
        <w:rPr>
          <w:spacing w:val="60"/>
        </w:rPr>
        <w:t> </w:t>
      </w:r>
      <w:r>
        <w:rPr/>
        <w:t>the percentage</w:t>
      </w:r>
      <w:r>
        <w:rPr>
          <w:spacing w:val="1"/>
        </w:rPr>
        <w:t> </w:t>
      </w:r>
      <w:r>
        <w:rPr/>
        <w:t>of eosinophils, basophils and monocytes was also observed in the group treated with the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dose</w:t>
      </w:r>
      <w:r>
        <w:rPr>
          <w:spacing w:val="1"/>
        </w:rPr>
        <w:t> </w:t>
      </w:r>
      <w:r>
        <w:rPr/>
        <w:t>(1,000 mg/kg) of the</w:t>
      </w:r>
      <w:r>
        <w:rPr>
          <w:spacing w:val="-2"/>
        </w:rPr>
        <w:t> </w:t>
      </w:r>
      <w:r>
        <w:rPr/>
        <w:t>extract.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2"/>
        <w:jc w:val="both"/>
      </w:pP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platelet</w:t>
      </w:r>
      <w:r>
        <w:rPr>
          <w:spacing w:val="1"/>
        </w:rPr>
        <w:t> </w:t>
      </w:r>
      <w:r>
        <w:rPr/>
        <w:t>antibodies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destroy platelet, which could cause thrombocytopenia (Nfozon </w:t>
      </w:r>
      <w:r>
        <w:rPr>
          <w:i/>
        </w:rPr>
        <w:t>et al</w:t>
      </w:r>
      <w:r>
        <w:rPr/>
        <w:t>., 2019). In the present</w:t>
      </w:r>
      <w:r>
        <w:rPr>
          <w:spacing w:val="1"/>
        </w:rPr>
        <w:t> </w:t>
      </w:r>
      <w:r>
        <w:rPr/>
        <w:t>study, the MECH produced a non-dose dependent increase in platelet level, which was</w:t>
      </w:r>
      <w:r>
        <w:rPr>
          <w:spacing w:val="1"/>
        </w:rPr>
        <w:t> </w:t>
      </w:r>
      <w:r>
        <w:rPr/>
        <w:t>significant at the dose of</w:t>
      </w:r>
      <w:r>
        <w:rPr>
          <w:spacing w:val="60"/>
        </w:rPr>
        <w:t> </w:t>
      </w:r>
      <w:r>
        <w:rPr/>
        <w:t>500 mg/kg. The significant elevation in the platelet showed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 could stimulate</w:t>
      </w:r>
      <w:r>
        <w:rPr>
          <w:spacing w:val="-1"/>
        </w:rPr>
        <w:t> </w:t>
      </w:r>
      <w:r>
        <w:rPr/>
        <w:t>thrombopoietin production and</w:t>
      </w:r>
      <w:r>
        <w:rPr>
          <w:spacing w:val="-1"/>
        </w:rPr>
        <w:t> </w:t>
      </w:r>
      <w:r>
        <w:rPr/>
        <w:t>prevent haemorrhages.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2"/>
        <w:jc w:val="both"/>
      </w:pPr>
      <w:r>
        <w:rPr/>
        <w:t>Hyperlipidemia is considered among the main predisposing factors of atherosclerosis which</w:t>
      </w:r>
      <w:r>
        <w:rPr>
          <w:spacing w:val="-57"/>
        </w:rPr>
        <w:t> </w:t>
      </w:r>
      <w:r>
        <w:rPr/>
        <w:t>causes coronary artery diseases. A high level of cholesterol and triglycerides in the blood is</w:t>
      </w:r>
      <w:r>
        <w:rPr>
          <w:spacing w:val="1"/>
        </w:rPr>
        <w:t> </w:t>
      </w:r>
      <w:r>
        <w:rPr/>
        <w:t>related to heart and vascular diseases such as atherosclerosis (Reena </w:t>
      </w:r>
      <w:r>
        <w:rPr>
          <w:i/>
        </w:rPr>
        <w:t>et al</w:t>
      </w:r>
      <w:r>
        <w:rPr/>
        <w:t>., 2012). During</w:t>
      </w:r>
      <w:r>
        <w:rPr>
          <w:spacing w:val="1"/>
        </w:rPr>
        <w:t> </w:t>
      </w:r>
      <w:r>
        <w:rPr/>
        <w:t>the circulation of LDL in the blood, it is deposited within the arterial walls, causing arterial</w:t>
      </w:r>
      <w:r>
        <w:rPr>
          <w:spacing w:val="1"/>
        </w:rPr>
        <w:t> </w:t>
      </w:r>
      <w:r>
        <w:rPr/>
        <w:t>plaques,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atherosclerosis.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HDL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HDL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 diseases, while increase LDL level is a risk factor of cardiovascular diseases</w:t>
      </w:r>
      <w:r>
        <w:rPr>
          <w:spacing w:val="-57"/>
        </w:rPr>
        <w:t> </w:t>
      </w:r>
      <w:r>
        <w:rPr/>
        <w:t>(Jatsa </w:t>
      </w:r>
      <w:r>
        <w:rPr>
          <w:i/>
        </w:rPr>
        <w:t>et al</w:t>
      </w:r>
      <w:r>
        <w:rPr/>
        <w:t>., 2018). Based on this study, the MECH did not show significant alteration in</w:t>
      </w:r>
      <w:r>
        <w:rPr>
          <w:spacing w:val="1"/>
        </w:rPr>
        <w:t> </w:t>
      </w:r>
      <w:r>
        <w:rPr/>
        <w:t>serum level of cholesterol, triglycerides, and HDL but revealed a significant and non-dose-</w:t>
      </w:r>
      <w:r>
        <w:rPr>
          <w:spacing w:val="1"/>
        </w:rPr>
        <w:t> </w:t>
      </w:r>
      <w:r>
        <w:rPr/>
        <w:t>dependent decrease in LDL, suggesting that the extract may not adversely affect lipid</w:t>
      </w:r>
      <w:r>
        <w:rPr>
          <w:spacing w:val="1"/>
        </w:rPr>
        <w:t> </w:t>
      </w:r>
      <w:r>
        <w:rPr/>
        <w:t>metabolism.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non-toxic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histopathological examination of the heart, which revealed normal cardiac muscles devoid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histopathological</w:t>
      </w:r>
      <w:r>
        <w:rPr>
          <w:spacing w:val="2"/>
        </w:rPr>
        <w:t> </w:t>
      </w:r>
      <w:r>
        <w:rPr/>
        <w:t>abnormality</w:t>
      </w:r>
      <w:r>
        <w:rPr>
          <w:spacing w:val="-3"/>
        </w:rPr>
        <w:t> </w:t>
      </w:r>
      <w:r>
        <w:rPr/>
        <w:t>in all treated</w:t>
      </w:r>
      <w:r>
        <w:rPr>
          <w:spacing w:val="1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3"/>
        <w:jc w:val="both"/>
      </w:pPr>
      <w:r>
        <w:rPr/>
        <w:t>The safety investigation of substance involves macroscopic and microscopic evaluation of</w:t>
      </w:r>
      <w:r>
        <w:rPr>
          <w:spacing w:val="1"/>
        </w:rPr>
        <w:t> </w:t>
      </w:r>
      <w:r>
        <w:rPr/>
        <w:t>pathological changes of the treated animals' organs (Traesel </w:t>
      </w:r>
      <w:r>
        <w:rPr>
          <w:i/>
        </w:rPr>
        <w:t>et al</w:t>
      </w:r>
      <w:r>
        <w:rPr/>
        <w:t>., 2016). Kupffer cells are</w:t>
      </w:r>
      <w:r>
        <w:rPr>
          <w:spacing w:val="1"/>
        </w:rPr>
        <w:t> </w:t>
      </w:r>
      <w:r>
        <w:rPr/>
        <w:t>situated in liver sinusoids and have an essential role in host defence mechanisms. They</w:t>
      </w:r>
      <w:r>
        <w:rPr>
          <w:spacing w:val="1"/>
        </w:rPr>
        <w:t> </w:t>
      </w:r>
      <w:r>
        <w:rPr/>
        <w:t>prevent pathogens derived from the portal and systemic circulation from getting into 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phagocytosis.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specialization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hepatocytes in new liver cells regeneration (Dixon </w:t>
      </w:r>
      <w:r>
        <w:rPr>
          <w:i/>
        </w:rPr>
        <w:t>et al</w:t>
      </w:r>
      <w:r>
        <w:rPr/>
        <w:t>., 2013). Stimulation of kupffer cells</w:t>
      </w:r>
      <w:r>
        <w:rPr>
          <w:spacing w:val="-57"/>
        </w:rPr>
        <w:t> </w:t>
      </w:r>
      <w:r>
        <w:rPr/>
        <w:t>is critical in the liver protective response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infection or injury by activating the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response,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restraining</w:t>
      </w:r>
      <w:r>
        <w:rPr>
          <w:spacing w:val="1"/>
        </w:rPr>
        <w:t> </w:t>
      </w:r>
      <w:r>
        <w:rPr/>
        <w:t>hepatocellular and liver damage (Helmy </w:t>
      </w:r>
      <w:r>
        <w:rPr>
          <w:i/>
        </w:rPr>
        <w:t>et al</w:t>
      </w:r>
      <w:r>
        <w:rPr/>
        <w:t>., 2006). The results of histopathological</w:t>
      </w:r>
      <w:r>
        <w:rPr>
          <w:spacing w:val="1"/>
        </w:rPr>
        <w:t> </w:t>
      </w:r>
      <w:r>
        <w:rPr/>
        <w:t>examination of the liver revealed kupffer cells hyperplasia in groups treated with 500 and</w:t>
      </w:r>
      <w:r>
        <w:rPr>
          <w:spacing w:val="1"/>
        </w:rPr>
        <w:t> </w:t>
      </w:r>
      <w:r>
        <w:rPr/>
        <w:t>1,000 mg/kg of MECH. Besides, there was mild hepatic necrosis in the highest dose group.</w:t>
      </w:r>
      <w:r>
        <w:rPr>
          <w:spacing w:val="1"/>
        </w:rPr>
        <w:t> </w:t>
      </w:r>
      <w:r>
        <w:rPr/>
        <w:t>These results further suggested the non-toxic effects of the extract on the liver. The extract</w:t>
      </w:r>
      <w:r>
        <w:rPr>
          <w:spacing w:val="1"/>
        </w:rPr>
        <w:t> </w:t>
      </w:r>
      <w:r>
        <w:rPr/>
        <w:t>revealed slight hepatic necrosis, which may not be considered toxic because it did not cause</w:t>
      </w:r>
      <w:r>
        <w:rPr>
          <w:spacing w:val="-57"/>
        </w:rPr>
        <w:t> </w:t>
      </w:r>
      <w:r>
        <w:rPr/>
        <w:t>any malfunction associated with hepatic biomarkers and the liver's synthetic ability. The</w:t>
      </w:r>
      <w:r>
        <w:rPr>
          <w:spacing w:val="1"/>
        </w:rPr>
        <w:t> </w:t>
      </w:r>
      <w:r>
        <w:rPr/>
        <w:t>liver can form new cells and clear necrotic cells and restore normal hepatic structure and</w:t>
      </w:r>
      <w:r>
        <w:rPr>
          <w:spacing w:val="1"/>
        </w:rPr>
        <w:t> </w:t>
      </w:r>
      <w:r>
        <w:rPr/>
        <w:t>functions, making it tolerant to moderate zonal and extended necrosis (Olaniyan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85" w:right="954"/>
        <w:jc w:val="both"/>
      </w:pPr>
      <w:r>
        <w:rPr/>
        <w:t>The kidney is an organ majorly exposed to toxic substances due to its vascularity (El</w:t>
      </w:r>
      <w:r>
        <w:rPr>
          <w:spacing w:val="1"/>
        </w:rPr>
        <w:t> </w:t>
      </w:r>
      <w:r>
        <w:rPr/>
        <w:t>Kabbaoui </w:t>
      </w:r>
      <w:r>
        <w:rPr>
          <w:i/>
        </w:rPr>
        <w:t>et al</w:t>
      </w:r>
      <w:r>
        <w:rPr/>
        <w:t>., 2017). The histopathological analysis of the kidney observed in the present</w:t>
      </w:r>
      <w:r>
        <w:rPr>
          <w:spacing w:val="-57"/>
        </w:rPr>
        <w:t> </w:t>
      </w:r>
      <w:r>
        <w:rPr/>
        <w:t>work showed moderate tubular necrosis resulting from delivery of toxic substances to the</w:t>
      </w:r>
      <w:r>
        <w:rPr>
          <w:spacing w:val="1"/>
        </w:rPr>
        <w:t> </w:t>
      </w:r>
      <w:r>
        <w:rPr/>
        <w:t>kidney from</w:t>
      </w:r>
      <w:r>
        <w:rPr>
          <w:spacing w:val="1"/>
        </w:rPr>
        <w:t> </w:t>
      </w:r>
      <w:r>
        <w:rPr/>
        <w:t>systemic circulation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 cause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 integrity of</w:t>
      </w:r>
      <w:r>
        <w:rPr>
          <w:spacing w:val="1"/>
        </w:rPr>
        <w:t> </w:t>
      </w:r>
      <w:r>
        <w:rPr/>
        <w:t>the renal</w:t>
      </w:r>
      <w:r>
        <w:rPr>
          <w:spacing w:val="60"/>
        </w:rPr>
        <w:t> </w:t>
      </w:r>
      <w:r>
        <w:rPr/>
        <w:t>tubular</w:t>
      </w:r>
      <w:r>
        <w:rPr>
          <w:spacing w:val="1"/>
        </w:rPr>
        <w:t> </w:t>
      </w:r>
      <w:r>
        <w:rPr/>
        <w:t>system. This histopathological change concurs with the reduction in relative kidney weight,</w:t>
      </w:r>
      <w:r>
        <w:rPr>
          <w:spacing w:val="-57"/>
        </w:rPr>
        <w:t> </w:t>
      </w:r>
      <w:r>
        <w:rPr/>
        <w:t>which</w:t>
      </w:r>
      <w:r>
        <w:rPr>
          <w:spacing w:val="49"/>
        </w:rPr>
        <w:t> </w:t>
      </w:r>
      <w:r>
        <w:rPr/>
        <w:t>reveals</w:t>
      </w:r>
      <w:r>
        <w:rPr>
          <w:spacing w:val="51"/>
        </w:rPr>
        <w:t> </w:t>
      </w:r>
      <w:r>
        <w:rPr/>
        <w:t>possible</w:t>
      </w:r>
      <w:r>
        <w:rPr>
          <w:spacing w:val="51"/>
        </w:rPr>
        <w:t> </w:t>
      </w:r>
      <w:r>
        <w:rPr/>
        <w:t>nephrotoxic</w:t>
      </w:r>
      <w:r>
        <w:rPr>
          <w:spacing w:val="49"/>
        </w:rPr>
        <w:t> </w:t>
      </w:r>
      <w:r>
        <w:rPr/>
        <w:t>effects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extract.</w:t>
      </w:r>
      <w:r>
        <w:rPr>
          <w:spacing w:val="50"/>
        </w:rPr>
        <w:t> </w:t>
      </w:r>
      <w:r>
        <w:rPr/>
        <w:t>There</w:t>
      </w:r>
      <w:r>
        <w:rPr>
          <w:spacing w:val="48"/>
        </w:rPr>
        <w:t> </w:t>
      </w:r>
      <w:r>
        <w:rPr/>
        <w:t>was</w:t>
      </w:r>
      <w:r>
        <w:rPr>
          <w:spacing w:val="49"/>
        </w:rPr>
        <w:t> </w:t>
      </w:r>
      <w:r>
        <w:rPr/>
        <w:t>no</w:t>
      </w:r>
      <w:r>
        <w:rPr>
          <w:spacing w:val="50"/>
        </w:rPr>
        <w:t> </w:t>
      </w:r>
      <w:r>
        <w:rPr/>
        <w:t>morphological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480" w:lineRule="auto" w:before="70"/>
        <w:ind w:left="385" w:right="951"/>
        <w:jc w:val="both"/>
      </w:pPr>
      <w:r>
        <w:rPr/>
        <w:t>alteration on the myocardium in all treated groups, which suggested the extract's non-toxic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heart.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85" w:right="953"/>
        <w:jc w:val="both"/>
      </w:pPr>
      <w:r>
        <w:rPr/>
        <w:t>The alveoli are tiny air sacs present in the lungs where the exchange of oxygen and carbon</w:t>
      </w:r>
      <w:r>
        <w:rPr>
          <w:spacing w:val="1"/>
        </w:rPr>
        <w:t> </w:t>
      </w:r>
      <w:r>
        <w:rPr/>
        <w:t>dioxide takes place. Alveoli congestion and mild necrosis</w:t>
      </w:r>
      <w:r>
        <w:rPr>
          <w:spacing w:val="1"/>
        </w:rPr>
        <w:t> </w:t>
      </w:r>
      <w:r>
        <w:rPr/>
        <w:t>were observed in the group</w:t>
      </w:r>
      <w:r>
        <w:rPr>
          <w:spacing w:val="1"/>
        </w:rPr>
        <w:t> </w:t>
      </w:r>
      <w:r>
        <w:rPr/>
        <w:t>treated with the highest dose of the extract (1,000 mg/kg), which may interfere with the</w:t>
      </w:r>
      <w:r>
        <w:rPr>
          <w:spacing w:val="1"/>
        </w:rPr>
        <w:t> </w:t>
      </w:r>
      <w:r>
        <w:rPr/>
        <w:t>diffusion of oxygen and other gaseous substances across the alveoli epithelium into the</w:t>
      </w:r>
      <w:r>
        <w:rPr>
          <w:spacing w:val="1"/>
        </w:rPr>
        <w:t> </w:t>
      </w:r>
      <w:r>
        <w:rPr/>
        <w:t>pulmonary</w:t>
      </w:r>
      <w:r>
        <w:rPr>
          <w:spacing w:val="-4"/>
        </w:rPr>
        <w:t> </w:t>
      </w:r>
      <w:r>
        <w:rPr/>
        <w:t>circulation</w:t>
      </w:r>
      <w:r>
        <w:rPr>
          <w:spacing w:val="2"/>
        </w:rPr>
        <w:t> </w:t>
      </w:r>
      <w:r>
        <w:rPr/>
        <w:t>and impair</w:t>
      </w:r>
      <w:r>
        <w:rPr>
          <w:spacing w:val="-1"/>
        </w:rPr>
        <w:t> </w:t>
      </w:r>
      <w:r>
        <w:rPr/>
        <w:t>physiological functions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85" w:right="952"/>
        <w:jc w:val="both"/>
      </w:pPr>
      <w:r>
        <w:rPr/>
        <w:t>The stomach plays critical functions in the digestion of food and secretion of gastric juice.</w:t>
      </w:r>
      <w:r>
        <w:rPr>
          <w:spacing w:val="1"/>
        </w:rPr>
        <w:t> </w:t>
      </w:r>
      <w:r>
        <w:rPr/>
        <w:t>There is also secretion of mucus which inhibits gastric erosion caused by gastric juices and</w:t>
      </w:r>
      <w:r>
        <w:rPr>
          <w:spacing w:val="1"/>
        </w:rPr>
        <w:t> </w:t>
      </w:r>
      <w:r>
        <w:rPr/>
        <w:t>gastric hormones. In this study, the histopathological examination demonstrated a mild</w:t>
      </w:r>
      <w:r>
        <w:rPr>
          <w:spacing w:val="1"/>
        </w:rPr>
        <w:t> </w:t>
      </w:r>
      <w:r>
        <w:rPr/>
        <w:t>gastric</w:t>
      </w:r>
      <w:r>
        <w:rPr>
          <w:spacing w:val="38"/>
        </w:rPr>
        <w:t> </w:t>
      </w:r>
      <w:r>
        <w:rPr/>
        <w:t>mucosal</w:t>
      </w:r>
      <w:r>
        <w:rPr>
          <w:spacing w:val="41"/>
        </w:rPr>
        <w:t> </w:t>
      </w:r>
      <w:r>
        <w:rPr/>
        <w:t>necrosis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group</w:t>
      </w:r>
      <w:r>
        <w:rPr>
          <w:spacing w:val="40"/>
        </w:rPr>
        <w:t> </w:t>
      </w:r>
      <w:r>
        <w:rPr/>
        <w:t>treated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500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1,000</w:t>
      </w:r>
      <w:r>
        <w:rPr>
          <w:spacing w:val="39"/>
        </w:rPr>
        <w:t> </w:t>
      </w:r>
      <w:r>
        <w:rPr/>
        <w:t>mg/kg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extract,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indicated the</w:t>
      </w:r>
      <w:r>
        <w:rPr>
          <w:spacing w:val="1"/>
        </w:rPr>
        <w:t> </w:t>
      </w:r>
      <w:r>
        <w:rPr/>
        <w:t>extract's possible</w:t>
      </w:r>
      <w:r>
        <w:rPr>
          <w:spacing w:val="1"/>
        </w:rPr>
        <w:t> </w:t>
      </w:r>
      <w:r>
        <w:rPr/>
        <w:t>gastro-toxic effect.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85" w:right="953"/>
        <w:jc w:val="both"/>
      </w:pPr>
      <w:r>
        <w:rPr/>
        <w:t>The intestinal mucosa is essential for survival and biological roles such as absorption of</w:t>
      </w:r>
      <w:r>
        <w:rPr>
          <w:spacing w:val="1"/>
        </w:rPr>
        <w:t> </w:t>
      </w:r>
      <w:r>
        <w:rPr/>
        <w:t>nutrients, protection against injury and immunological functions. The atrophy of intestinal</w:t>
      </w:r>
      <w:r>
        <w:rPr>
          <w:spacing w:val="1"/>
        </w:rPr>
        <w:t> </w:t>
      </w:r>
      <w:r>
        <w:rPr/>
        <w:t>mucosa shows intestinal</w:t>
      </w:r>
      <w:r>
        <w:rPr>
          <w:spacing w:val="1"/>
        </w:rPr>
        <w:t> </w:t>
      </w:r>
      <w:r>
        <w:rPr/>
        <w:t>malfunction and structural</w:t>
      </w:r>
      <w:r>
        <w:rPr>
          <w:spacing w:val="1"/>
        </w:rPr>
        <w:t> </w:t>
      </w:r>
      <w:r>
        <w:rPr/>
        <w:t>alterations</w:t>
      </w:r>
      <w:r>
        <w:rPr>
          <w:spacing w:val="60"/>
        </w:rPr>
        <w:t> </w:t>
      </w:r>
      <w:r>
        <w:rPr/>
        <w:t>such as</w:t>
      </w:r>
      <w:r>
        <w:rPr>
          <w:spacing w:val="60"/>
        </w:rPr>
        <w:t> </w:t>
      </w:r>
      <w:r>
        <w:rPr/>
        <w:t>the reduced height</w:t>
      </w:r>
      <w:r>
        <w:rPr>
          <w:spacing w:val="-57"/>
        </w:rPr>
        <w:t> </w:t>
      </w:r>
      <w:r>
        <w:rPr/>
        <w:t>of intestinal villi, crypt depth and surface area (Shaw </w:t>
      </w:r>
      <w:r>
        <w:rPr>
          <w:i/>
        </w:rPr>
        <w:t>et al</w:t>
      </w:r>
      <w:r>
        <w:rPr/>
        <w:t>., 2002). There were intestinal</w:t>
      </w:r>
      <w:r>
        <w:rPr>
          <w:spacing w:val="1"/>
        </w:rPr>
        <w:t> </w:t>
      </w:r>
      <w:r>
        <w:rPr/>
        <w:t>atrophy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villi</w:t>
      </w:r>
      <w:r>
        <w:rPr>
          <w:spacing w:val="1"/>
        </w:rPr>
        <w:t> </w:t>
      </w:r>
      <w:r>
        <w:rPr/>
        <w:t>atrophy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1,000</w:t>
      </w:r>
      <w:r>
        <w:rPr>
          <w:spacing w:val="1"/>
        </w:rPr>
        <w:t> </w:t>
      </w:r>
      <w:r>
        <w:rPr/>
        <w:t>mg/kg,</w:t>
      </w:r>
      <w:r>
        <w:rPr>
          <w:spacing w:val="60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showing that 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may interfere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 absorption of nutrients.</w:t>
      </w:r>
      <w:r>
        <w:rPr>
          <w:spacing w:val="60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GIT effects</w:t>
      </w:r>
      <w:r>
        <w:rPr>
          <w:spacing w:val="1"/>
        </w:rPr>
        <w:t> </w:t>
      </w:r>
      <w:r>
        <w:rPr/>
        <w:t>observed</w:t>
      </w:r>
      <w:r>
        <w:rPr>
          <w:spacing w:val="3"/>
        </w:rPr>
        <w:t> </w:t>
      </w:r>
      <w:r>
        <w:rPr/>
        <w:t>were</w:t>
      </w:r>
      <w:r>
        <w:rPr>
          <w:spacing w:val="-2"/>
        </w:rPr>
        <w:t> </w:t>
      </w:r>
      <w:r>
        <w:rPr/>
        <w:t>not dose-dependent.</w:t>
      </w:r>
    </w:p>
    <w:p>
      <w:pPr>
        <w:spacing w:after="0" w:line="480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before="75"/>
        <w:ind w:left="3856" w:right="4311"/>
        <w:jc w:val="center"/>
      </w:pPr>
      <w:bookmarkStart w:name="_TOC_250005" w:id="70"/>
      <w:r>
        <w:rPr/>
        <w:t>CHAPTER</w:t>
      </w:r>
      <w:r>
        <w:rPr>
          <w:spacing w:val="-2"/>
        </w:rPr>
        <w:t> </w:t>
      </w:r>
      <w:bookmarkEnd w:id="70"/>
      <w:r>
        <w:rPr/>
        <w:t>SIX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2"/>
        </w:numPr>
        <w:tabs>
          <w:tab w:pos="1946" w:val="left" w:leader="none"/>
        </w:tabs>
        <w:spacing w:line="240" w:lineRule="auto" w:before="0" w:after="0"/>
        <w:ind w:left="1945" w:right="0" w:hanging="361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2"/>
        </w:numPr>
        <w:tabs>
          <w:tab w:pos="4598" w:val="left" w:leader="none"/>
        </w:tabs>
        <w:spacing w:line="240" w:lineRule="auto" w:before="0" w:after="0"/>
        <w:ind w:left="4597" w:right="0" w:hanging="361"/>
        <w:jc w:val="both"/>
      </w:pPr>
      <w:bookmarkStart w:name="_TOC_250004" w:id="71"/>
      <w:bookmarkEnd w:id="71"/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5" w:right="951"/>
        <w:jc w:val="both"/>
      </w:pPr>
      <w:r>
        <w:rPr/>
        <w:t>The powdered leaves of </w:t>
      </w:r>
      <w:r>
        <w:rPr>
          <w:i/>
        </w:rPr>
        <w:t>Combretum hypopilinum </w:t>
      </w:r>
      <w:r>
        <w:rPr/>
        <w:t>yielded 12.62 % of MECH. The extract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saponins,</w:t>
      </w:r>
      <w:r>
        <w:rPr>
          <w:spacing w:val="-57"/>
        </w:rPr>
        <w:t> </w:t>
      </w:r>
      <w:r>
        <w:rPr/>
        <w:t>tannins, steroids, triterpenes and alkaloids. The acute toxicity study showed that the oral</w:t>
      </w:r>
      <w:r>
        <w:rPr>
          <w:spacing w:val="1"/>
        </w:rPr>
        <w:t> </w:t>
      </w:r>
      <w:r>
        <w:rPr/>
        <w:t>median lethal dose (LD</w:t>
      </w:r>
      <w:r>
        <w:rPr>
          <w:vertAlign w:val="subscript"/>
        </w:rPr>
        <w:t>50</w:t>
      </w:r>
      <w:r>
        <w:rPr>
          <w:vertAlign w:val="baseline"/>
        </w:rPr>
        <w:t>) of MECH was greater than 5,000 mg/kg in</w:t>
      </w:r>
      <w:r>
        <w:rPr>
          <w:spacing w:val="1"/>
          <w:vertAlign w:val="baseline"/>
        </w:rPr>
        <w:t> </w:t>
      </w:r>
      <w:r>
        <w:rPr>
          <w:vertAlign w:val="baseline"/>
        </w:rPr>
        <w:t>mice and rats.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 the extract could be relatively safe for acute oral consumption. The study also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demonstrated that the MECH possesses antidiarrhoeal activity at doses of 500 and 1,000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 due to its inhibitory effects on</w:t>
      </w:r>
      <w:r>
        <w:rPr>
          <w:spacing w:val="60"/>
          <w:vertAlign w:val="baseline"/>
        </w:rPr>
        <w:t> </w:t>
      </w:r>
      <w:r>
        <w:rPr>
          <w:vertAlign w:val="baseline"/>
        </w:rPr>
        <w:t>fluid secretion and intestinal propulsion, supporting</w:t>
      </w:r>
      <w:r>
        <w:rPr>
          <w:spacing w:val="1"/>
          <w:vertAlign w:val="baseline"/>
        </w:rPr>
        <w:t> </w:t>
      </w:r>
      <w:r>
        <w:rPr>
          <w:vertAlign w:val="baseline"/>
        </w:rPr>
        <w:t>its traditional use in the treatment of diarrhoea. The investigation of the mechanisms of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antidiarrhoeal activity of MECH revealed the involvement of opioidergic and (α</w:t>
      </w:r>
      <w:r>
        <w:rPr>
          <w:vertAlign w:val="subscript"/>
        </w:rPr>
        <w:t>1</w:t>
      </w:r>
      <w:r>
        <w:rPr>
          <w:vertAlign w:val="baseline"/>
        </w:rPr>
        <w:t> and β)-</w:t>
      </w:r>
      <w:r>
        <w:rPr>
          <w:spacing w:val="1"/>
          <w:vertAlign w:val="baseline"/>
        </w:rPr>
        <w:t> </w:t>
      </w:r>
      <w:r>
        <w:rPr>
          <w:vertAlign w:val="baseline"/>
        </w:rPr>
        <w:t>adrenergic</w:t>
      </w:r>
      <w:r>
        <w:rPr>
          <w:spacing w:val="-1"/>
          <w:vertAlign w:val="baseline"/>
        </w:rPr>
        <w:t> </w:t>
      </w:r>
      <w:r>
        <w:rPr>
          <w:vertAlign w:val="baseline"/>
        </w:rPr>
        <w:t>pathways in its</w:t>
      </w:r>
      <w:r>
        <w:rPr>
          <w:spacing w:val="2"/>
          <w:vertAlign w:val="baseline"/>
        </w:rPr>
        <w:t> </w:t>
      </w:r>
      <w:r>
        <w:rPr>
          <w:vertAlign w:val="baseline"/>
        </w:rPr>
        <w:t>antidiarrhoeal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activity.</w:t>
      </w:r>
    </w:p>
    <w:p>
      <w:pPr>
        <w:pStyle w:val="BodyText"/>
        <w:spacing w:line="480" w:lineRule="auto" w:before="201"/>
        <w:ind w:left="385" w:right="954"/>
        <w:jc w:val="both"/>
      </w:pPr>
      <w:r>
        <w:rPr/>
        <w:t>The extract has no toxic effects on body weight, relative organ weight of liver, heart, lung,</w:t>
      </w:r>
      <w:r>
        <w:rPr>
          <w:spacing w:val="1"/>
        </w:rPr>
        <w:t> </w:t>
      </w:r>
      <w:r>
        <w:rPr/>
        <w:t>stomach and intestine; liver and heart functions; blood formation and lipid metabolism on</w:t>
      </w:r>
      <w:r>
        <w:rPr>
          <w:spacing w:val="1"/>
        </w:rPr>
        <w:t> </w:t>
      </w:r>
      <w:r>
        <w:rPr/>
        <w:t>sub-acute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nephrotoxic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demonstrated by the significant reduction in relative kidney weight and serum potassium</w:t>
      </w:r>
      <w:r>
        <w:rPr>
          <w:spacing w:val="1"/>
        </w:rPr>
        <w:t> </w:t>
      </w:r>
      <w:r>
        <w:rPr/>
        <w:t>level and renal tubular damage associated with moderate tubular necrosis. The extract also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histopathological</w:t>
      </w:r>
      <w:r>
        <w:rPr>
          <w:spacing w:val="-1"/>
        </w:rPr>
        <w:t> </w:t>
      </w:r>
      <w:r>
        <w:rPr/>
        <w:t>abnormalities on the</w:t>
      </w:r>
      <w:r>
        <w:rPr>
          <w:spacing w:val="-1"/>
        </w:rPr>
        <w:t> </w:t>
      </w:r>
      <w:r>
        <w:rPr/>
        <w:t>lung,</w:t>
      </w:r>
      <w:r>
        <w:rPr>
          <w:spacing w:val="-1"/>
        </w:rPr>
        <w:t> </w:t>
      </w:r>
      <w:r>
        <w:rPr/>
        <w:t>stomach</w:t>
      </w:r>
      <w:r>
        <w:rPr>
          <w:spacing w:val="1"/>
        </w:rPr>
        <w:t> </w:t>
      </w:r>
      <w:r>
        <w:rPr/>
        <w:t>and small intestine.</w:t>
      </w:r>
    </w:p>
    <w:p>
      <w:pPr>
        <w:pStyle w:val="Heading1"/>
        <w:numPr>
          <w:ilvl w:val="1"/>
          <w:numId w:val="22"/>
        </w:numPr>
        <w:tabs>
          <w:tab w:pos="4411" w:val="left" w:leader="none"/>
        </w:tabs>
        <w:spacing w:line="240" w:lineRule="auto" w:before="205" w:after="0"/>
        <w:ind w:left="4410" w:right="0" w:hanging="361"/>
        <w:jc w:val="both"/>
      </w:pPr>
      <w:bookmarkStart w:name="_TOC_250003" w:id="72"/>
      <w:bookmarkEnd w:id="72"/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77" w:lineRule="auto"/>
        <w:ind w:left="385" w:right="955"/>
        <w:jc w:val="both"/>
      </w:pPr>
      <w:r>
        <w:rPr/>
        <w:t>It may be concluded from the results of this study that the MECH possesses antidiarrhoeal</w:t>
      </w:r>
      <w:r>
        <w:rPr>
          <w:spacing w:val="1"/>
        </w:rPr>
        <w:t> </w:t>
      </w:r>
      <w:r>
        <w:rPr/>
        <w:t>activity. The results suggested that the extract is relatively safe on acute exposure and at a</w:t>
      </w:r>
      <w:r>
        <w:rPr>
          <w:spacing w:val="1"/>
        </w:rPr>
        <w:t> </w:t>
      </w:r>
      <w:r>
        <w:rPr/>
        <w:t>lower dose on sub-acute administration but moderately toxic at higher doses on sub-acute</w:t>
      </w:r>
      <w:r>
        <w:rPr>
          <w:spacing w:val="1"/>
        </w:rPr>
        <w:t> </w:t>
      </w:r>
      <w:r>
        <w:rPr/>
        <w:t>administration,</w:t>
      </w:r>
      <w:r>
        <w:rPr>
          <w:spacing w:val="-1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kidney</w:t>
      </w:r>
      <w:r>
        <w:rPr>
          <w:spacing w:val="-3"/>
        </w:rPr>
        <w:t> </w:t>
      </w:r>
      <w:r>
        <w:rPr/>
        <w:t>function.</w:t>
      </w:r>
    </w:p>
    <w:p>
      <w:pPr>
        <w:spacing w:after="0" w:line="477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numPr>
          <w:ilvl w:val="1"/>
          <w:numId w:val="22"/>
        </w:numPr>
        <w:tabs>
          <w:tab w:pos="4037" w:val="left" w:leader="none"/>
        </w:tabs>
        <w:spacing w:line="240" w:lineRule="auto" w:before="75" w:after="0"/>
        <w:ind w:left="4036" w:right="0" w:hanging="361"/>
        <w:jc w:val="both"/>
      </w:pPr>
      <w:bookmarkStart w:name="_TOC_250002" w:id="73"/>
      <w:bookmarkEnd w:id="73"/>
      <w:r>
        <w:rPr/>
        <w:t>Recommendations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1106" w:val="left" w:leader="none"/>
        </w:tabs>
        <w:spacing w:line="480" w:lineRule="auto" w:before="0" w:after="0"/>
        <w:ind w:left="1105" w:right="958" w:hanging="488"/>
        <w:jc w:val="both"/>
        <w:rPr>
          <w:sz w:val="24"/>
        </w:rPr>
      </w:pP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fractionate,</w:t>
      </w:r>
      <w:r>
        <w:rPr>
          <w:spacing w:val="1"/>
          <w:sz w:val="24"/>
        </w:rPr>
        <w:t> </w:t>
      </w:r>
      <w:r>
        <w:rPr>
          <w:sz w:val="24"/>
        </w:rPr>
        <w:t>isolate,</w:t>
      </w:r>
      <w:r>
        <w:rPr>
          <w:spacing w:val="1"/>
          <w:sz w:val="24"/>
        </w:rPr>
        <w:t> </w:t>
      </w:r>
      <w:r>
        <w:rPr>
          <w:sz w:val="24"/>
        </w:rPr>
        <w:t>characterize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elucidate the structure of the bioactive compounds responsible for the observed</w:t>
      </w:r>
      <w:r>
        <w:rPr>
          <w:spacing w:val="1"/>
          <w:sz w:val="24"/>
        </w:rPr>
        <w:t> </w:t>
      </w:r>
      <w:r>
        <w:rPr>
          <w:sz w:val="24"/>
        </w:rPr>
        <w:t>pharmacological activities.</w:t>
      </w:r>
    </w:p>
    <w:p>
      <w:pPr>
        <w:pStyle w:val="ListParagraph"/>
        <w:numPr>
          <w:ilvl w:val="1"/>
          <w:numId w:val="21"/>
        </w:numPr>
        <w:tabs>
          <w:tab w:pos="1106" w:val="left" w:leader="none"/>
        </w:tabs>
        <w:spacing w:line="480" w:lineRule="auto" w:before="0" w:after="0"/>
        <w:ind w:left="1105" w:right="956" w:hanging="555"/>
        <w:jc w:val="both"/>
        <w:rPr>
          <w:sz w:val="24"/>
        </w:rPr>
      </w:pPr>
      <w:r>
        <w:rPr>
          <w:sz w:val="24"/>
        </w:rPr>
        <w:t>Further studies should also be done to evaluate the molecular basis of its opioidergic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adrenergic</w:t>
      </w:r>
      <w:r>
        <w:rPr>
          <w:spacing w:val="1"/>
          <w:sz w:val="24"/>
        </w:rPr>
        <w:t> </w:t>
      </w:r>
      <w:r>
        <w:rPr>
          <w:sz w:val="24"/>
        </w:rPr>
        <w:t>actions.</w:t>
      </w:r>
    </w:p>
    <w:p>
      <w:pPr>
        <w:pStyle w:val="ListParagraph"/>
        <w:numPr>
          <w:ilvl w:val="1"/>
          <w:numId w:val="21"/>
        </w:numPr>
        <w:tabs>
          <w:tab w:pos="1106" w:val="left" w:leader="none"/>
        </w:tabs>
        <w:spacing w:line="480" w:lineRule="auto" w:before="0" w:after="0"/>
        <w:ind w:left="1105" w:right="958" w:hanging="620"/>
        <w:jc w:val="both"/>
        <w:rPr>
          <w:i/>
          <w:sz w:val="24"/>
        </w:rPr>
      </w:pPr>
      <w:r>
        <w:rPr>
          <w:sz w:val="24"/>
        </w:rPr>
        <w:t>Chronic toxicity studies should be carried out to investigate the toxicological profile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Combretum hypopilinum</w:t>
      </w:r>
      <w:r>
        <w:rPr>
          <w:i/>
          <w:spacing w:val="1"/>
          <w:sz w:val="24"/>
        </w:rPr>
        <w:t> </w:t>
      </w:r>
      <w:r>
        <w:rPr>
          <w:sz w:val="24"/>
        </w:rPr>
        <w:t>further</w:t>
      </w:r>
      <w:r>
        <w:rPr>
          <w:i/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before="75"/>
        <w:ind w:left="3716" w:right="4311"/>
        <w:jc w:val="center"/>
      </w:pPr>
      <w:bookmarkStart w:name="_TOC_250001" w:id="74"/>
      <w:bookmarkEnd w:id="74"/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05" w:right="950" w:hanging="720"/>
      </w:pPr>
      <w:r>
        <w:rPr/>
        <w:t>Abreu, P. M., Martins, E. S., Kayser, O., Bindseil, K. U., Siems, K., Seemann, A., and</w:t>
      </w:r>
      <w:r>
        <w:rPr>
          <w:spacing w:val="1"/>
        </w:rPr>
        <w:t> </w:t>
      </w:r>
      <w:r>
        <w:rPr/>
        <w:t>Frevert,</w:t>
      </w:r>
      <w:r>
        <w:rPr>
          <w:spacing w:val="42"/>
        </w:rPr>
        <w:t> </w:t>
      </w:r>
      <w:r>
        <w:rPr/>
        <w:t>J.</w:t>
      </w:r>
      <w:r>
        <w:rPr>
          <w:spacing w:val="42"/>
        </w:rPr>
        <w:t> </w:t>
      </w:r>
      <w:r>
        <w:rPr/>
        <w:t>(1999).</w:t>
      </w:r>
      <w:r>
        <w:rPr>
          <w:spacing w:val="42"/>
        </w:rPr>
        <w:t> </w:t>
      </w:r>
      <w:r>
        <w:rPr/>
        <w:t>Antimicrobial,</w:t>
      </w:r>
      <w:r>
        <w:rPr>
          <w:spacing w:val="42"/>
        </w:rPr>
        <w:t> </w:t>
      </w:r>
      <w:r>
        <w:rPr/>
        <w:t>antitumor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antileishmania</w:t>
      </w:r>
      <w:r>
        <w:rPr>
          <w:spacing w:val="47"/>
        </w:rPr>
        <w:t> </w:t>
      </w:r>
      <w:r>
        <w:rPr/>
        <w:t>screening</w:t>
      </w:r>
      <w:r>
        <w:rPr>
          <w:spacing w:val="41"/>
        </w:rPr>
        <w:t> </w:t>
      </w:r>
      <w:r>
        <w:rPr/>
        <w:t>of</w:t>
      </w:r>
      <w:r>
        <w:rPr>
          <w:spacing w:val="-57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plants from Guinea-Bissau.</w:t>
      </w:r>
      <w:r>
        <w:rPr>
          <w:spacing w:val="-1"/>
        </w:rPr>
        <w:t> </w:t>
      </w:r>
      <w:r>
        <w:rPr>
          <w:i/>
        </w:rPr>
        <w:t>Phytomedicine</w:t>
      </w:r>
      <w:r>
        <w:rPr/>
        <w:t>, 6(3): 187-195.</w:t>
      </w:r>
    </w:p>
    <w:p>
      <w:pPr>
        <w:pStyle w:val="BodyText"/>
      </w:pPr>
    </w:p>
    <w:p>
      <w:pPr>
        <w:pStyle w:val="BodyText"/>
        <w:ind w:left="1105" w:right="953" w:hanging="720"/>
        <w:jc w:val="both"/>
      </w:pPr>
      <w:r>
        <w:rPr>
          <w:color w:val="212121"/>
        </w:rPr>
        <w:t>Adamu, H. M., Abayeh, O. J., Agho, M. O., Abdullahi, A. L., Uba, A., Dukku, H. U., and</w:t>
      </w:r>
      <w:r>
        <w:rPr>
          <w:color w:val="212121"/>
          <w:spacing w:val="1"/>
        </w:rPr>
        <w:t> </w:t>
      </w:r>
      <w:r>
        <w:rPr>
          <w:color w:val="212121"/>
        </w:rPr>
        <w:t>Wufem, B. M. (2005). An ethnobotanical survey of Bauchi State herbal plants and</w:t>
      </w:r>
      <w:r>
        <w:rPr>
          <w:color w:val="212121"/>
          <w:spacing w:val="1"/>
        </w:rPr>
        <w:t> </w:t>
      </w:r>
      <w:r>
        <w:rPr>
          <w:color w:val="212121"/>
        </w:rPr>
        <w:t>their</w:t>
      </w:r>
      <w:r>
        <w:rPr>
          <w:color w:val="212121"/>
          <w:spacing w:val="1"/>
        </w:rPr>
        <w:t> </w:t>
      </w:r>
      <w:r>
        <w:rPr>
          <w:color w:val="212121"/>
        </w:rPr>
        <w:t>antimicrobial</w:t>
      </w:r>
      <w:r>
        <w:rPr>
          <w:color w:val="212121"/>
          <w:spacing w:val="1"/>
        </w:rPr>
        <w:t> </w:t>
      </w:r>
      <w:r>
        <w:rPr>
          <w:color w:val="212121"/>
        </w:rPr>
        <w:t>activity.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ethnopharmacology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99(1):</w:t>
      </w:r>
      <w:r>
        <w:rPr>
          <w:color w:val="212121"/>
          <w:spacing w:val="1"/>
        </w:rPr>
        <w:t> </w:t>
      </w:r>
      <w:r>
        <w:rPr>
          <w:color w:val="212121"/>
        </w:rPr>
        <w:t>1-4.</w:t>
      </w:r>
      <w:r>
        <w:rPr>
          <w:color w:val="212121"/>
          <w:spacing w:val="1"/>
        </w:rPr>
        <w:t> </w:t>
      </w:r>
      <w:hyperlink r:id="rId224">
        <w:r>
          <w:rPr>
            <w:color w:val="E9701C"/>
            <w:u w:val="single" w:color="E9701C"/>
          </w:rPr>
          <w:t>https://doi.org/10.1016/j.jep.2004.12.025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05" w:right="947" w:hanging="720"/>
        <w:jc w:val="left"/>
        <w:rPr>
          <w:sz w:val="24"/>
        </w:rPr>
      </w:pPr>
      <w:r>
        <w:rPr>
          <w:sz w:val="24"/>
        </w:rPr>
        <w:t>Adeniyi, O. S., Omale, J., Omeje, S. C., and Edino, V. O. (2017). Antidiarrheal activity of</w:t>
      </w:r>
      <w:r>
        <w:rPr>
          <w:spacing w:val="1"/>
          <w:sz w:val="24"/>
        </w:rPr>
        <w:t> </w:t>
      </w:r>
      <w:r>
        <w:rPr>
          <w:sz w:val="24"/>
        </w:rPr>
        <w:t>hexane</w:t>
      </w:r>
      <w:r>
        <w:rPr>
          <w:spacing w:val="33"/>
          <w:sz w:val="24"/>
        </w:rPr>
        <w:t> </w:t>
      </w:r>
      <w:r>
        <w:rPr>
          <w:sz w:val="24"/>
        </w:rPr>
        <w:t>extract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i/>
          <w:sz w:val="24"/>
        </w:rPr>
        <w:t>Citrus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limon</w:t>
      </w:r>
      <w:r>
        <w:rPr>
          <w:i/>
          <w:spacing w:val="36"/>
          <w:sz w:val="24"/>
        </w:rPr>
        <w:t> </w:t>
      </w:r>
      <w:r>
        <w:rPr>
          <w:sz w:val="24"/>
        </w:rPr>
        <w:t>peel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an</w:t>
      </w:r>
      <w:r>
        <w:rPr>
          <w:spacing w:val="38"/>
          <w:sz w:val="24"/>
        </w:rPr>
        <w:t> </w:t>
      </w:r>
      <w:r>
        <w:rPr>
          <w:sz w:val="24"/>
        </w:rPr>
        <w:t>experimental</w:t>
      </w:r>
      <w:r>
        <w:rPr>
          <w:spacing w:val="34"/>
          <w:sz w:val="24"/>
        </w:rPr>
        <w:t> </w:t>
      </w:r>
      <w:r>
        <w:rPr>
          <w:sz w:val="24"/>
        </w:rPr>
        <w:t>animal</w:t>
      </w:r>
      <w:r>
        <w:rPr>
          <w:spacing w:val="36"/>
          <w:sz w:val="24"/>
        </w:rPr>
        <w:t> </w:t>
      </w:r>
      <w:r>
        <w:rPr>
          <w:sz w:val="24"/>
        </w:rPr>
        <w:t>model.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integrative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15(2): 158-164.</w:t>
      </w:r>
    </w:p>
    <w:p>
      <w:pPr>
        <w:spacing w:before="231"/>
        <w:ind w:left="1105" w:right="957" w:hanging="720"/>
        <w:jc w:val="left"/>
        <w:rPr>
          <w:sz w:val="24"/>
        </w:rPr>
      </w:pPr>
      <w:r>
        <w:rPr>
          <w:sz w:val="24"/>
        </w:rPr>
        <w:t>Adeyemi, O. O., and Akindele, A. J. (2008). Antidiarrhoeal activity of the ethyl acetate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i/>
          <w:sz w:val="24"/>
        </w:rPr>
        <w:t>Baphia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nitida</w:t>
      </w:r>
      <w:r>
        <w:rPr>
          <w:i/>
          <w:spacing w:val="58"/>
          <w:sz w:val="24"/>
        </w:rPr>
        <w:t> </w:t>
      </w:r>
      <w:r>
        <w:rPr>
          <w:sz w:val="24"/>
        </w:rPr>
        <w:t>(Papilionaceae).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116(3):</w:t>
      </w:r>
      <w:r>
        <w:rPr>
          <w:spacing w:val="-57"/>
          <w:sz w:val="24"/>
        </w:rPr>
        <w:t> </w:t>
      </w:r>
      <w:r>
        <w:rPr>
          <w:sz w:val="24"/>
        </w:rPr>
        <w:t>407-412.</w:t>
      </w:r>
    </w:p>
    <w:p>
      <w:pPr>
        <w:pStyle w:val="BodyText"/>
        <w:spacing w:before="228"/>
        <w:ind w:left="1105" w:right="952" w:hanging="720"/>
        <w:jc w:val="both"/>
      </w:pPr>
      <w:r>
        <w:rPr/>
        <w:t>Aggarwal, R., Sentz, J., and Miller, M. A. (2007). Role of zinc administration in prevention</w:t>
      </w:r>
      <w:r>
        <w:rPr>
          <w:spacing w:val="-57"/>
        </w:rPr>
        <w:t> </w:t>
      </w:r>
      <w:r>
        <w:rPr/>
        <w:t>of childhood diarrhea and respiratory illnesses: a meta-analysis. </w:t>
      </w:r>
      <w:r>
        <w:rPr>
          <w:i/>
        </w:rPr>
        <w:t>Pediatrics</w:t>
      </w:r>
      <w:r>
        <w:rPr/>
        <w:t>, 119(6):</w:t>
      </w:r>
      <w:r>
        <w:rPr>
          <w:spacing w:val="1"/>
        </w:rPr>
        <w:t> </w:t>
      </w:r>
      <w:r>
        <w:rPr/>
        <w:t>1120-</w:t>
      </w:r>
      <w:r>
        <w:rPr>
          <w:spacing w:val="41"/>
        </w:rPr>
        <w:t> </w:t>
      </w:r>
      <w:r>
        <w:rPr/>
        <w:t>1130.</w:t>
      </w:r>
    </w:p>
    <w:p>
      <w:pPr>
        <w:tabs>
          <w:tab w:pos="1738" w:val="left" w:leader="none"/>
          <w:tab w:pos="2983" w:val="left" w:leader="none"/>
          <w:tab w:pos="4422" w:val="left" w:leader="none"/>
          <w:tab w:pos="5307" w:val="left" w:leader="none"/>
          <w:tab w:pos="6303" w:val="left" w:leader="none"/>
          <w:tab w:pos="8005" w:val="left" w:leader="none"/>
          <w:tab w:pos="9041" w:val="left" w:leader="none"/>
        </w:tabs>
        <w:spacing w:before="231"/>
        <w:ind w:left="1105" w:right="952" w:hanging="720"/>
        <w:jc w:val="left"/>
        <w:rPr>
          <w:sz w:val="24"/>
        </w:rPr>
      </w:pPr>
      <w:r>
        <w:rPr>
          <w:sz w:val="24"/>
        </w:rPr>
        <w:t>Agung Fitri, K. S., Mustarichie, R., and Ramdhani, D. (2017). Comparative study on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 anti</w:t>
      </w:r>
      <w:r>
        <w:rPr>
          <w:spacing w:val="1"/>
          <w:sz w:val="24"/>
        </w:rPr>
        <w:t> </w:t>
      </w:r>
      <w:r>
        <w:rPr>
          <w:sz w:val="24"/>
        </w:rPr>
        <w:t>bacillary dysentery </w:t>
      </w:r>
      <w:r>
        <w:rPr>
          <w:i/>
          <w:sz w:val="24"/>
        </w:rPr>
        <w:t>Shigella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dysenterie</w:t>
      </w:r>
      <w:r>
        <w:rPr>
          <w:i/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Syzygium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polyanthum</w:t>
      </w:r>
      <w:r>
        <w:rPr>
          <w:i/>
          <w:spacing w:val="-57"/>
          <w:sz w:val="24"/>
        </w:rPr>
        <w:t> </w:t>
      </w:r>
      <w:r>
        <w:rPr>
          <w:sz w:val="24"/>
        </w:rPr>
        <w:t>and</w:t>
        <w:tab/>
      </w:r>
      <w:r>
        <w:rPr>
          <w:i/>
          <w:sz w:val="24"/>
        </w:rPr>
        <w:t>Dracaena</w:t>
        <w:tab/>
        <w:t>angustifolia</w:t>
        <w:tab/>
      </w:r>
      <w:r>
        <w:rPr>
          <w:sz w:val="24"/>
        </w:rPr>
        <w:t>leaves</w:t>
        <w:tab/>
        <w:t>ethanol</w:t>
        <w:tab/>
        <w:t>extracts.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  <w:tab/>
        <w:t>Journal</w:t>
        <w:tab/>
      </w:r>
      <w:r>
        <w:rPr>
          <w:i/>
          <w:spacing w:val="-4"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10(2): 348-352.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05" w:right="952" w:hanging="720"/>
      </w:pPr>
      <w:r>
        <w:rPr/>
        <w:t>Ahmadi, E., Mortazavian, A. M., Fazeli, M. R., Ezzatpanah, H., and Mohammadi, R.</w:t>
      </w:r>
      <w:r>
        <w:rPr>
          <w:spacing w:val="1"/>
        </w:rPr>
        <w:t> </w:t>
      </w:r>
      <w:r>
        <w:rPr/>
        <w:t>(2012).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effects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inoculant</w:t>
      </w:r>
      <w:r>
        <w:rPr>
          <w:spacing w:val="13"/>
        </w:rPr>
        <w:t> </w:t>
      </w:r>
      <w:r>
        <w:rPr/>
        <w:t>variables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physicochemical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organoleptic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Doogh.</w:t>
      </w:r>
      <w:r>
        <w:rPr>
          <w:spacing w:val="3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dairy</w:t>
      </w:r>
      <w:r>
        <w:rPr>
          <w:i/>
          <w:spacing w:val="-2"/>
        </w:rPr>
        <w:t> </w:t>
      </w:r>
      <w:r>
        <w:rPr>
          <w:i/>
        </w:rPr>
        <w:t>Technology</w:t>
      </w:r>
      <w:r>
        <w:rPr/>
        <w:t>, 65(2):</w:t>
      </w:r>
      <w:r>
        <w:rPr>
          <w:spacing w:val="-1"/>
        </w:rPr>
        <w:t> </w:t>
      </w:r>
      <w:r>
        <w:rPr/>
        <w:t>274-281.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105" w:right="949" w:hanging="720"/>
      </w:pPr>
      <w:r>
        <w:rPr/>
        <w:t>Ahs, J. W., Tao, W., Lofgren, J., and Forsberg, B. C. (2010). Diarrheal diseases in low and</w:t>
      </w:r>
      <w:r>
        <w:rPr>
          <w:spacing w:val="1"/>
        </w:rPr>
        <w:t> </w:t>
      </w:r>
      <w:r>
        <w:rPr/>
        <w:t>middle</w:t>
      </w:r>
      <w:r>
        <w:rPr>
          <w:spacing w:val="28"/>
        </w:rPr>
        <w:t> </w:t>
      </w:r>
      <w:r>
        <w:rPr/>
        <w:t>income</w:t>
      </w:r>
      <w:r>
        <w:rPr>
          <w:spacing w:val="28"/>
        </w:rPr>
        <w:t> </w:t>
      </w:r>
      <w:r>
        <w:rPr/>
        <w:t>countries:</w:t>
      </w:r>
      <w:r>
        <w:rPr>
          <w:spacing w:val="30"/>
        </w:rPr>
        <w:t> </w:t>
      </w:r>
      <w:r>
        <w:rPr/>
        <w:t>incidence,</w:t>
      </w:r>
      <w:r>
        <w:rPr>
          <w:spacing w:val="28"/>
        </w:rPr>
        <w:t> </w:t>
      </w:r>
      <w:r>
        <w:rPr/>
        <w:t>prevention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management.</w:t>
      </w:r>
      <w:r>
        <w:rPr>
          <w:spacing w:val="1"/>
        </w:rPr>
        <w:t> </w:t>
      </w:r>
      <w:r>
        <w:rPr>
          <w:i/>
        </w:rPr>
        <w:t>Open</w:t>
      </w:r>
      <w:r>
        <w:rPr>
          <w:i/>
          <w:spacing w:val="29"/>
        </w:rPr>
        <w:t> </w:t>
      </w:r>
      <w:r>
        <w:rPr>
          <w:i/>
        </w:rPr>
        <w:t>Infectious</w:t>
      </w:r>
      <w:r>
        <w:rPr>
          <w:i/>
          <w:spacing w:val="-57"/>
        </w:rPr>
        <w:t> </w:t>
      </w:r>
      <w:r>
        <w:rPr>
          <w:i/>
        </w:rPr>
        <w:t>Disease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, 4(1): 113-24.</w:t>
      </w:r>
    </w:p>
    <w:p>
      <w:pPr>
        <w:pStyle w:val="BodyText"/>
        <w:spacing w:before="207"/>
        <w:ind w:left="1105" w:right="954" w:hanging="720"/>
        <w:jc w:val="both"/>
      </w:pPr>
      <w:r>
        <w:rPr/>
        <w:t>Akindele,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Salako,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Ohonbamu,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 activity of the hydroethanolic leaf extract of </w:t>
      </w:r>
      <w:r>
        <w:rPr>
          <w:i/>
        </w:rPr>
        <w:t>Pupalia lappacea </w:t>
      </w:r>
      <w:r>
        <w:rPr/>
        <w:t>Linn.</w:t>
      </w:r>
      <w:r>
        <w:rPr>
          <w:spacing w:val="1"/>
        </w:rPr>
        <w:t> </w:t>
      </w:r>
      <w:r>
        <w:rPr/>
        <w:t>Juss.</w:t>
      </w:r>
      <w:r>
        <w:rPr>
          <w:spacing w:val="-1"/>
        </w:rPr>
        <w:t> </w:t>
      </w:r>
      <w:r>
        <w:rPr/>
        <w:t>(Amaranthaceae).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Ethnopharmacology</w:t>
      </w:r>
      <w:r>
        <w:rPr/>
        <w:t>,</w:t>
      </w:r>
      <w:r>
        <w:rPr>
          <w:spacing w:val="-1"/>
        </w:rPr>
        <w:t> </w:t>
      </w:r>
      <w:r>
        <w:rPr/>
        <w:t>151(2): 984-989.</w:t>
      </w:r>
    </w:p>
    <w:p>
      <w:pPr>
        <w:pStyle w:val="BodyText"/>
        <w:spacing w:before="11"/>
        <w:rPr>
          <w:sz w:val="21"/>
        </w:rPr>
      </w:pPr>
    </w:p>
    <w:p>
      <w:pPr>
        <w:spacing w:line="240" w:lineRule="auto" w:before="0"/>
        <w:ind w:left="1105" w:right="955" w:hanging="720"/>
        <w:jc w:val="both"/>
        <w:rPr>
          <w:sz w:val="24"/>
        </w:rPr>
      </w:pPr>
      <w:r>
        <w:rPr>
          <w:sz w:val="24"/>
        </w:rPr>
        <w:t>Alam, K., Poudel, A., Palaian, S., Koirala, B., and Shankar, P. R. (2017). Role of Zinc in</w:t>
      </w:r>
      <w:r>
        <w:rPr>
          <w:spacing w:val="1"/>
          <w:sz w:val="24"/>
        </w:rPr>
        <w:t> </w:t>
      </w:r>
      <w:r>
        <w:rPr>
          <w:sz w:val="24"/>
        </w:rPr>
        <w:t>childhood</w:t>
      </w:r>
      <w:r>
        <w:rPr>
          <w:spacing w:val="41"/>
          <w:sz w:val="24"/>
        </w:rPr>
        <w:t> </w:t>
      </w:r>
      <w:r>
        <w:rPr>
          <w:sz w:val="24"/>
        </w:rPr>
        <w:t>diarrhea</w:t>
      </w:r>
      <w:r>
        <w:rPr>
          <w:spacing w:val="41"/>
          <w:sz w:val="24"/>
        </w:rPr>
        <w:t> </w:t>
      </w:r>
      <w:r>
        <w:rPr>
          <w:sz w:val="24"/>
        </w:rPr>
        <w:t>management: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case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Nepal.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3(1): 34-36.</w:t>
      </w:r>
    </w:p>
    <w:p>
      <w:pPr>
        <w:pStyle w:val="BodyText"/>
        <w:spacing w:before="202"/>
        <w:ind w:left="1105" w:right="950" w:hanging="720"/>
      </w:pPr>
      <w:r>
        <w:rPr/>
        <w:t>Alam, N. H., Yunus, M., Faruque, A. S., Gyr, N., Sattar, S., Parvin, S., ... and Sack, D. A.</w:t>
      </w:r>
      <w:r>
        <w:rPr>
          <w:spacing w:val="1"/>
        </w:rPr>
        <w:t> </w:t>
      </w:r>
      <w:r>
        <w:rPr/>
        <w:t>(2006).</w:t>
      </w:r>
      <w:r>
        <w:rPr>
          <w:spacing w:val="33"/>
        </w:rPr>
        <w:t> </w:t>
      </w:r>
      <w:r>
        <w:rPr/>
        <w:t>Symptomatic</w:t>
      </w:r>
      <w:r>
        <w:rPr>
          <w:spacing w:val="33"/>
        </w:rPr>
        <w:t> </w:t>
      </w:r>
      <w:r>
        <w:rPr/>
        <w:t>hyponatremia</w:t>
      </w:r>
      <w:r>
        <w:rPr>
          <w:spacing w:val="32"/>
        </w:rPr>
        <w:t> </w:t>
      </w:r>
      <w:r>
        <w:rPr/>
        <w:t>during</w:t>
      </w:r>
      <w:r>
        <w:rPr>
          <w:spacing w:val="31"/>
        </w:rPr>
        <w:t> </w:t>
      </w:r>
      <w:r>
        <w:rPr/>
        <w:t>treatment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dehydrating</w:t>
      </w:r>
      <w:r>
        <w:rPr>
          <w:spacing w:val="33"/>
        </w:rPr>
        <w:t> </w:t>
      </w:r>
      <w:r>
        <w:rPr/>
        <w:t>diarrheal</w:t>
      </w:r>
      <w:r>
        <w:rPr>
          <w:spacing w:val="-57"/>
        </w:rPr>
        <w:t> </w:t>
      </w:r>
      <w:r>
        <w:rPr/>
        <w:t>disease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osmolarity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rehydration</w:t>
      </w:r>
      <w:r>
        <w:rPr>
          <w:spacing w:val="1"/>
        </w:rPr>
        <w:t> </w:t>
      </w:r>
      <w:r>
        <w:rPr/>
        <w:t>solution.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-57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Association</w:t>
      </w:r>
      <w:r>
        <w:rPr/>
        <w:t>, 296(5): 567-573.</w:t>
      </w:r>
    </w:p>
    <w:p>
      <w:pPr>
        <w:spacing w:after="0"/>
        <w:sectPr>
          <w:pgSz w:w="12240" w:h="15840"/>
          <w:pgMar w:header="0" w:footer="294" w:top="1340" w:bottom="480" w:left="1600" w:right="460"/>
        </w:sectPr>
      </w:pPr>
    </w:p>
    <w:p>
      <w:pPr>
        <w:spacing w:line="237" w:lineRule="auto" w:before="76"/>
        <w:ind w:left="1105" w:right="956" w:hanging="720"/>
        <w:jc w:val="both"/>
        <w:rPr>
          <w:sz w:val="24"/>
        </w:rPr>
      </w:pPr>
      <w:r>
        <w:rPr>
          <w:sz w:val="24"/>
        </w:rPr>
        <w:t>Ali, B. H., and Bashir, A. A. (1993). The effect of some α</w:t>
      </w:r>
      <w:r>
        <w:rPr>
          <w:sz w:val="24"/>
          <w:vertAlign w:val="subscript"/>
        </w:rPr>
        <w:t>2</w:t>
      </w:r>
      <w:r>
        <w:rPr>
          <w:rFonts w:ascii="Cambria Math" w:hAnsi="Cambria Math"/>
          <w:sz w:val="24"/>
          <w:vertAlign w:val="baseline"/>
        </w:rPr>
        <w:t>‐</w:t>
      </w:r>
      <w:r>
        <w:rPr>
          <w:sz w:val="24"/>
          <w:vertAlign w:val="baseline"/>
        </w:rPr>
        <w:t>adrenoceptor agonists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antagonists on gastrointestinal transit in mice: influence of morphine, castor pil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glucose.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Clinical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experimental pharmacology and physiology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20(1): 1-6.</w:t>
      </w:r>
    </w:p>
    <w:p>
      <w:pPr>
        <w:pStyle w:val="BodyText"/>
        <w:spacing w:before="209"/>
        <w:ind w:left="1105" w:right="953" w:hanging="720"/>
      </w:pPr>
      <w:r>
        <w:rPr/>
        <w:t>Aluisio, A. R., Maroof, Z., Chandramohan, D., Bruce, J., Mughal, M. Z., Bhutta, Z., ... and</w:t>
      </w:r>
      <w:r>
        <w:rPr>
          <w:spacing w:val="1"/>
        </w:rPr>
        <w:t> </w:t>
      </w:r>
      <w:r>
        <w:rPr/>
        <w:t>Manaseki-Holland,</w:t>
      </w:r>
      <w:r>
        <w:rPr>
          <w:spacing w:val="6"/>
        </w:rPr>
        <w:t> </w:t>
      </w:r>
      <w:r>
        <w:rPr/>
        <w:t>S.</w:t>
      </w:r>
      <w:r>
        <w:rPr>
          <w:spacing w:val="8"/>
        </w:rPr>
        <w:t> </w:t>
      </w:r>
      <w:r>
        <w:rPr/>
        <w:t>(2013).</w:t>
      </w:r>
      <w:r>
        <w:rPr>
          <w:spacing w:val="6"/>
        </w:rPr>
        <w:t> </w:t>
      </w:r>
      <w:r>
        <w:rPr/>
        <w:t>Vitamin</w:t>
      </w:r>
      <w:r>
        <w:rPr>
          <w:spacing w:val="8"/>
        </w:rPr>
        <w:t> </w:t>
      </w:r>
      <w:r>
        <w:rPr/>
        <w:t>D3</w:t>
      </w:r>
      <w:r>
        <w:rPr>
          <w:spacing w:val="6"/>
        </w:rPr>
        <w:t> </w:t>
      </w:r>
      <w:r>
        <w:rPr/>
        <w:t>supplementation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childhood</w:t>
      </w:r>
      <w:r>
        <w:rPr>
          <w:spacing w:val="8"/>
        </w:rPr>
        <w:t> </w:t>
      </w:r>
      <w:r>
        <w:rPr/>
        <w:t>diarrhea:</w:t>
      </w:r>
      <w:r>
        <w:rPr>
          <w:spacing w:val="-57"/>
        </w:rPr>
        <w:t> </w:t>
      </w:r>
      <w:r>
        <w:rPr/>
        <w:t>a</w:t>
      </w:r>
      <w:r>
        <w:rPr>
          <w:spacing w:val="7"/>
        </w:rPr>
        <w:t> </w:t>
      </w:r>
      <w:r>
        <w:rPr/>
        <w:t>randomized</w:t>
      </w:r>
      <w:r>
        <w:rPr>
          <w:spacing w:val="9"/>
        </w:rPr>
        <w:t> </w:t>
      </w:r>
      <w:r>
        <w:rPr/>
        <w:t>controlled</w:t>
      </w:r>
      <w:r>
        <w:rPr>
          <w:spacing w:val="9"/>
        </w:rPr>
        <w:t> </w:t>
      </w:r>
      <w:r>
        <w:rPr/>
        <w:t>trial.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the</w:t>
      </w:r>
      <w:r>
        <w:rPr>
          <w:i/>
          <w:spacing w:val="11"/>
        </w:rPr>
        <w:t> </w:t>
      </w:r>
      <w:r>
        <w:rPr>
          <w:i/>
        </w:rPr>
        <w:t>American</w:t>
      </w:r>
      <w:r>
        <w:rPr>
          <w:i/>
          <w:spacing w:val="6"/>
        </w:rPr>
        <w:t> </w:t>
      </w:r>
      <w:r>
        <w:rPr>
          <w:i/>
        </w:rPr>
        <w:t>academy</w:t>
      </w:r>
      <w:r>
        <w:rPr>
          <w:i/>
          <w:spacing w:val="6"/>
        </w:rPr>
        <w:t> </w:t>
      </w:r>
      <w:r>
        <w:rPr>
          <w:i/>
        </w:rPr>
        <w:t>of</w:t>
      </w:r>
      <w:r>
        <w:rPr>
          <w:i/>
          <w:spacing w:val="13"/>
        </w:rPr>
        <w:t> </w:t>
      </w:r>
      <w:r>
        <w:rPr>
          <w:i/>
        </w:rPr>
        <w:t>Pediatrics</w:t>
      </w:r>
      <w:r>
        <w:rPr/>
        <w:t>,</w:t>
      </w:r>
      <w:r>
        <w:rPr>
          <w:spacing w:val="-57"/>
        </w:rPr>
        <w:t> </w:t>
      </w:r>
      <w:r>
        <w:rPr/>
        <w:t>132(4):</w:t>
      </w:r>
      <w:r>
        <w:rPr>
          <w:spacing w:val="-2"/>
        </w:rPr>
        <w:t> </w:t>
      </w:r>
      <w:r>
        <w:rPr/>
        <w:t>832–840. Doi:</w:t>
      </w:r>
      <w:hyperlink r:id="rId225">
        <w:r>
          <w:rPr/>
          <w:t>10.1542/peds.2012-3986.</w:t>
        </w:r>
      </w:hyperlink>
    </w:p>
    <w:p>
      <w:pPr>
        <w:pStyle w:val="BodyText"/>
        <w:spacing w:before="230"/>
        <w:ind w:left="1105" w:right="957" w:hanging="720"/>
        <w:jc w:val="both"/>
      </w:pPr>
      <w:r>
        <w:rPr/>
        <w:t>Aluisio, A. R., Maroof, Z., Chandramohan, D., Bruce, J., Masher, M. I., Manaseki-Holland,</w:t>
      </w:r>
      <w:r>
        <w:rPr>
          <w:spacing w:val="-57"/>
        </w:rPr>
        <w:t> </w:t>
      </w:r>
      <w:r>
        <w:rPr/>
        <w:t>S.,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Ensink,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recurrent</w:t>
      </w:r>
      <w:r>
        <w:rPr>
          <w:spacing w:val="60"/>
        </w:rPr>
        <w:t> </w:t>
      </w:r>
      <w:r>
        <w:rPr/>
        <w:t>diarrheal</w:t>
      </w:r>
      <w:r>
        <w:rPr>
          <w:spacing w:val="1"/>
        </w:rPr>
        <w:t> </w:t>
      </w:r>
      <w:r>
        <w:rPr/>
        <w:t>illnesses among children in Kabul, Afghanistan: a prospective cohort study. </w:t>
      </w:r>
      <w:r>
        <w:rPr>
          <w:i/>
        </w:rPr>
        <w:t>PLoS</w:t>
      </w:r>
      <w:r>
        <w:rPr>
          <w:i/>
          <w:spacing w:val="1"/>
        </w:rPr>
        <w:t> </w:t>
      </w:r>
      <w:r>
        <w:rPr>
          <w:i/>
        </w:rPr>
        <w:t>One</w:t>
      </w:r>
      <w:r>
        <w:rPr/>
        <w:t>,</w:t>
      </w:r>
      <w:r>
        <w:rPr>
          <w:spacing w:val="-1"/>
        </w:rPr>
        <w:t> </w:t>
      </w:r>
      <w:r>
        <w:rPr/>
        <w:t>10(2): e0116342.</w:t>
      </w:r>
    </w:p>
    <w:p>
      <w:pPr>
        <w:pStyle w:val="BodyText"/>
        <w:spacing w:before="231"/>
        <w:ind w:left="1105" w:right="1214" w:hanging="720"/>
      </w:pPr>
      <w:r>
        <w:rPr/>
        <w:t>Amiebenomo,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Osaghae, D.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(2017).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Acute Diarrhoea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Children.</w:t>
      </w:r>
      <w:r>
        <w:rPr>
          <w:spacing w:val="-1"/>
        </w:rPr>
        <w:t> </w:t>
      </w:r>
      <w:r>
        <w:rPr/>
        <w:t>Annals of medical and practice,</w:t>
      </w:r>
      <w:r>
        <w:rPr>
          <w:spacing w:val="2"/>
        </w:rPr>
        <w:t> </w:t>
      </w:r>
      <w:r>
        <w:rPr/>
        <w:t>2(2):</w:t>
      </w:r>
      <w:r>
        <w:rPr>
          <w:spacing w:val="-1"/>
        </w:rPr>
        <w:t> </w:t>
      </w:r>
      <w:r>
        <w:rPr/>
        <w:t>114-119.</w:t>
      </w:r>
    </w:p>
    <w:p>
      <w:pPr>
        <w:spacing w:before="231"/>
        <w:ind w:left="1105" w:right="955" w:hanging="720"/>
        <w:jc w:val="both"/>
        <w:rPr>
          <w:sz w:val="24"/>
        </w:rPr>
      </w:pPr>
      <w:r>
        <w:rPr>
          <w:sz w:val="24"/>
        </w:rPr>
        <w:t>Amna, O. F., Nooraain, H., Noriham, A., Azizah, A. H., and Husna, R. N. (2013). Acute</w:t>
      </w:r>
      <w:r>
        <w:rPr>
          <w:spacing w:val="1"/>
          <w:sz w:val="24"/>
        </w:rPr>
        <w:t> </w:t>
      </w:r>
      <w:r>
        <w:rPr>
          <w:sz w:val="24"/>
        </w:rPr>
        <w:t>and oral subacute toxicity study of ethanolic extract of </w:t>
      </w:r>
      <w:r>
        <w:rPr>
          <w:i/>
          <w:sz w:val="24"/>
        </w:rPr>
        <w:t>Cosmos caudatus </w:t>
      </w:r>
      <w:r>
        <w:rPr>
          <w:sz w:val="24"/>
        </w:rPr>
        <w:t>leaf in</w:t>
      </w:r>
      <w:r>
        <w:rPr>
          <w:spacing w:val="1"/>
          <w:sz w:val="24"/>
        </w:rPr>
        <w:t> </w:t>
      </w:r>
      <w:r>
        <w:rPr>
          <w:sz w:val="24"/>
        </w:rPr>
        <w:t>Sprague</w:t>
      </w:r>
      <w:r>
        <w:rPr>
          <w:spacing w:val="1"/>
          <w:sz w:val="24"/>
        </w:rPr>
        <w:t> </w:t>
      </w:r>
      <w:r>
        <w:rPr>
          <w:sz w:val="24"/>
        </w:rPr>
        <w:t>Dawley</w:t>
      </w:r>
      <w:r>
        <w:rPr>
          <w:spacing w:val="1"/>
          <w:sz w:val="24"/>
        </w:rPr>
        <w:t> </w:t>
      </w:r>
      <w:r>
        <w:rPr>
          <w:sz w:val="24"/>
        </w:rPr>
        <w:t>rats.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Bioinformatics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3(4): 301-305.</w:t>
      </w:r>
    </w:p>
    <w:p>
      <w:pPr>
        <w:spacing w:before="228"/>
        <w:ind w:left="1105" w:right="951" w:hanging="720"/>
        <w:jc w:val="left"/>
        <w:rPr>
          <w:sz w:val="24"/>
        </w:rPr>
      </w:pPr>
      <w:r>
        <w:rPr>
          <w:sz w:val="24"/>
        </w:rPr>
        <w:t>Anderson, D. W. W., Howlett, J. F., andMcNab, C. A. A. (1987). Amino acid 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gum</w:t>
      </w:r>
      <w:r>
        <w:rPr>
          <w:spacing w:val="16"/>
          <w:sz w:val="24"/>
        </w:rPr>
        <w:t> </w:t>
      </w:r>
      <w:r>
        <w:rPr>
          <w:sz w:val="24"/>
        </w:rPr>
        <w:t>exudates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some</w:t>
      </w:r>
      <w:r>
        <w:rPr>
          <w:spacing w:val="15"/>
          <w:sz w:val="24"/>
        </w:rPr>
        <w:t> </w:t>
      </w:r>
      <w:r>
        <w:rPr>
          <w:sz w:val="24"/>
        </w:rPr>
        <w:t>African</w:t>
      </w:r>
      <w:r>
        <w:rPr>
          <w:spacing w:val="18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terminalia</w:t>
      </w:r>
      <w:r>
        <w:rPr>
          <w:i/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i/>
          <w:sz w:val="24"/>
        </w:rPr>
        <w:t>angeissus</w:t>
      </w:r>
      <w:r>
        <w:rPr>
          <w:i/>
          <w:spacing w:val="17"/>
          <w:sz w:val="24"/>
        </w:rPr>
        <w:t> </w:t>
      </w:r>
      <w:r>
        <w:rPr>
          <w:sz w:val="24"/>
        </w:rPr>
        <w:t>species.</w:t>
      </w:r>
      <w:r>
        <w:rPr>
          <w:spacing w:val="-57"/>
          <w:sz w:val="24"/>
        </w:rPr>
        <w:t> </w:t>
      </w:r>
      <w:r>
        <w:rPr>
          <w:i/>
          <w:sz w:val="24"/>
        </w:rPr>
        <w:t>Phytochemistry,</w:t>
      </w:r>
      <w:r>
        <w:rPr>
          <w:i/>
          <w:spacing w:val="-1"/>
          <w:sz w:val="24"/>
        </w:rPr>
        <w:t> </w:t>
      </w:r>
      <w:r>
        <w:rPr>
          <w:sz w:val="24"/>
        </w:rPr>
        <w:t>26(3): 837-839.</w:t>
      </w:r>
    </w:p>
    <w:p>
      <w:pPr>
        <w:pStyle w:val="BodyText"/>
        <w:spacing w:before="231"/>
        <w:ind w:left="1105" w:right="952" w:hanging="720"/>
      </w:pPr>
      <w:r>
        <w:rPr/>
        <w:t>Apata, I. W., Averhoff, F., Pitman, J., Bjork, A., Yu, J., Amin, N. A., ... and Marfin, A.</w:t>
      </w:r>
      <w:r>
        <w:rPr>
          <w:spacing w:val="1"/>
        </w:rPr>
        <w:t> </w:t>
      </w:r>
      <w:r>
        <w:rPr/>
        <w:t>(2014).</w:t>
      </w:r>
      <w:r>
        <w:rPr>
          <w:spacing w:val="32"/>
        </w:rPr>
        <w:t> </w:t>
      </w:r>
      <w:r>
        <w:rPr/>
        <w:t>Centers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Disease</w:t>
      </w:r>
      <w:r>
        <w:rPr>
          <w:spacing w:val="32"/>
        </w:rPr>
        <w:t> </w:t>
      </w:r>
      <w:r>
        <w:rPr/>
        <w:t>Control</w:t>
      </w:r>
      <w:r>
        <w:rPr>
          <w:spacing w:val="36"/>
        </w:rPr>
        <w:t> </w:t>
      </w:r>
      <w:r>
        <w:rPr/>
        <w:t>and</w:t>
      </w:r>
      <w:r>
        <w:rPr>
          <w:spacing w:val="33"/>
        </w:rPr>
        <w:t> </w:t>
      </w:r>
      <w:r>
        <w:rPr/>
        <w:t>Prevention</w:t>
      </w:r>
      <w:r>
        <w:rPr>
          <w:spacing w:val="33"/>
        </w:rPr>
        <w:t> </w:t>
      </w:r>
      <w:r>
        <w:rPr/>
        <w:t>(CDC)</w:t>
      </w:r>
      <w:r>
        <w:rPr>
          <w:spacing w:val="39"/>
        </w:rPr>
        <w:t> </w:t>
      </w:r>
      <w:r>
        <w:rPr/>
        <w:t>Progress</w:t>
      </w:r>
      <w:r>
        <w:rPr>
          <w:spacing w:val="33"/>
        </w:rPr>
        <w:t> </w:t>
      </w:r>
      <w:r>
        <w:rPr/>
        <w:t>toward</w:t>
      </w:r>
      <w:r>
        <w:rPr>
          <w:spacing w:val="-57"/>
        </w:rPr>
        <w:t> </w:t>
      </w:r>
      <w:r>
        <w:rPr/>
        <w:t>prevention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transfusion-transmitted</w:t>
      </w:r>
      <w:r>
        <w:rPr>
          <w:spacing w:val="56"/>
        </w:rPr>
        <w:t> </w:t>
      </w:r>
      <w:r>
        <w:rPr/>
        <w:t>hepatitis</w:t>
      </w:r>
      <w:r>
        <w:rPr>
          <w:spacing w:val="59"/>
        </w:rPr>
        <w:t> </w:t>
      </w:r>
      <w:r>
        <w:rPr/>
        <w:t>B</w:t>
      </w:r>
      <w:r>
        <w:rPr>
          <w:spacing w:val="54"/>
        </w:rPr>
        <w:t> </w:t>
      </w:r>
      <w:r>
        <w:rPr/>
        <w:t>and</w:t>
      </w:r>
      <w:r>
        <w:rPr>
          <w:spacing w:val="58"/>
        </w:rPr>
        <w:t> </w:t>
      </w:r>
      <w:r>
        <w:rPr/>
        <w:t>hepatitis</w:t>
      </w:r>
      <w:r>
        <w:rPr>
          <w:spacing w:val="56"/>
        </w:rPr>
        <w:t> </w:t>
      </w:r>
      <w:r>
        <w:rPr/>
        <w:t>C</w:t>
      </w:r>
      <w:r>
        <w:rPr>
          <w:spacing w:val="56"/>
        </w:rPr>
        <w:t> </w:t>
      </w:r>
      <w:r>
        <w:rPr/>
        <w:t>infection--sub-</w:t>
      </w:r>
      <w:r>
        <w:rPr>
          <w:spacing w:val="-57"/>
        </w:rPr>
        <w:t> </w:t>
      </w:r>
      <w:r>
        <w:rPr/>
        <w:t>Saharan</w:t>
      </w:r>
      <w:r>
        <w:rPr>
          <w:spacing w:val="-1"/>
        </w:rPr>
        <w:t> </w:t>
      </w:r>
      <w:r>
        <w:rPr/>
        <w:t>Africa,</w:t>
      </w:r>
      <w:r>
        <w:rPr>
          <w:spacing w:val="-1"/>
        </w:rPr>
        <w:t> </w:t>
      </w:r>
      <w:r>
        <w:rPr/>
        <w:t>2000-2011.</w:t>
      </w:r>
      <w:r>
        <w:rPr>
          <w:spacing w:val="58"/>
        </w:rPr>
        <w:t> </w:t>
      </w:r>
      <w:r>
        <w:rPr>
          <w:i/>
        </w:rPr>
        <w:t>Morbidity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Mortality</w:t>
      </w:r>
      <w:r>
        <w:rPr>
          <w:i/>
          <w:spacing w:val="1"/>
        </w:rPr>
        <w:t> </w:t>
      </w:r>
      <w:r>
        <w:rPr>
          <w:i/>
        </w:rPr>
        <w:t>Weekly</w:t>
      </w:r>
      <w:r>
        <w:rPr>
          <w:i/>
          <w:spacing w:val="-1"/>
        </w:rPr>
        <w:t> </w:t>
      </w:r>
      <w:r>
        <w:rPr>
          <w:i/>
        </w:rPr>
        <w:t>Report</w:t>
      </w:r>
      <w:r>
        <w:rPr/>
        <w:t>,</w:t>
      </w:r>
      <w:r>
        <w:rPr>
          <w:spacing w:val="-1"/>
        </w:rPr>
        <w:t> </w:t>
      </w:r>
      <w:r>
        <w:rPr/>
        <w:t>63:</w:t>
      </w:r>
      <w:r>
        <w:rPr>
          <w:spacing w:val="-1"/>
        </w:rPr>
        <w:t> </w:t>
      </w:r>
      <w:r>
        <w:rPr/>
        <w:t>613-619.</w:t>
      </w:r>
    </w:p>
    <w:p>
      <w:pPr>
        <w:pStyle w:val="BodyText"/>
        <w:spacing w:before="230"/>
        <w:ind w:left="1105" w:right="959" w:hanging="720"/>
      </w:pPr>
      <w:r>
        <w:rPr/>
        <w:t>Applegate, J. A., Walker, C. L. F., Ambikapathi, R., and Black, R. E. (2013). Systematic</w:t>
      </w:r>
      <w:r>
        <w:rPr>
          <w:spacing w:val="1"/>
        </w:rPr>
        <w:t> </w:t>
      </w:r>
      <w:r>
        <w:rPr/>
        <w:t>review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probiotic</w:t>
      </w:r>
      <w:r>
        <w:rPr>
          <w:spacing w:val="46"/>
        </w:rPr>
        <w:t> </w:t>
      </w:r>
      <w:r>
        <w:rPr/>
        <w:t>for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treatment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community</w:t>
      </w:r>
      <w:r>
        <w:rPr>
          <w:spacing w:val="42"/>
        </w:rPr>
        <w:t> </w:t>
      </w:r>
      <w:r>
        <w:rPr/>
        <w:t>acquired</w:t>
      </w:r>
      <w:r>
        <w:rPr>
          <w:spacing w:val="49"/>
        </w:rPr>
        <w:t> </w:t>
      </w:r>
      <w:r>
        <w:rPr/>
        <w:t>acute</w:t>
      </w:r>
      <w:r>
        <w:rPr>
          <w:spacing w:val="47"/>
        </w:rPr>
        <w:t> </w:t>
      </w:r>
      <w:r>
        <w:rPr/>
        <w:t>diarrhoea</w:t>
      </w:r>
      <w:r>
        <w:rPr>
          <w:spacing w:val="48"/>
        </w:rPr>
        <w:t> </w:t>
      </w:r>
      <w:r>
        <w:rPr/>
        <w:t>in</w:t>
      </w:r>
      <w:r>
        <w:rPr>
          <w:spacing w:val="-57"/>
        </w:rPr>
        <w:t> </w:t>
      </w:r>
      <w:r>
        <w:rPr/>
        <w:t>children.</w:t>
      </w:r>
      <w:r>
        <w:rPr>
          <w:spacing w:val="-1"/>
        </w:rPr>
        <w:t> </w:t>
      </w:r>
      <w:r>
        <w:rPr>
          <w:i/>
        </w:rPr>
        <w:t>Biorganic and</w:t>
      </w:r>
      <w:r>
        <w:rPr>
          <w:i/>
          <w:spacing w:val="1"/>
        </w:rPr>
        <w:t> </w:t>
      </w:r>
      <w:r>
        <w:rPr>
          <w:i/>
        </w:rPr>
        <w:t>Medicinal Chemistry</w:t>
      </w:r>
      <w:r>
        <w:rPr>
          <w:i/>
          <w:spacing w:val="-2"/>
        </w:rPr>
        <w:t> </w:t>
      </w:r>
      <w:r>
        <w:rPr>
          <w:i/>
        </w:rPr>
        <w:t>Public</w:t>
      </w:r>
      <w:r>
        <w:rPr>
          <w:i/>
          <w:spacing w:val="-1"/>
        </w:rPr>
        <w:t> </w:t>
      </w:r>
      <w:r>
        <w:rPr>
          <w:i/>
        </w:rPr>
        <w:t>Health</w:t>
      </w:r>
      <w:r>
        <w:rPr/>
        <w:t>, 13(3): 16.</w:t>
      </w:r>
    </w:p>
    <w:p>
      <w:pPr>
        <w:spacing w:before="231"/>
        <w:ind w:left="1105" w:right="957" w:hanging="720"/>
        <w:jc w:val="both"/>
        <w:rPr>
          <w:sz w:val="24"/>
        </w:rPr>
      </w:pPr>
      <w:r>
        <w:rPr>
          <w:sz w:val="24"/>
        </w:rPr>
        <w:t>Arsad, S. S., Esa, N. M., Hamzah, H., and Othman, F. (2013). Evaluation of acute, subacute</w:t>
      </w:r>
      <w:r>
        <w:rPr>
          <w:spacing w:val="-57"/>
          <w:sz w:val="24"/>
        </w:rPr>
        <w:t> </w:t>
      </w:r>
      <w:r>
        <w:rPr>
          <w:sz w:val="24"/>
        </w:rPr>
        <w:t>and subchronic oral toxicity of </w:t>
      </w:r>
      <w:r>
        <w:rPr>
          <w:i/>
          <w:sz w:val="24"/>
        </w:rPr>
        <w:t>Rhaphidophora decursiva </w:t>
      </w:r>
      <w:r>
        <w:rPr>
          <w:sz w:val="24"/>
        </w:rPr>
        <w:t>(Roxb.) Schott extract in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Sprague</w:t>
      </w:r>
      <w:r>
        <w:rPr>
          <w:spacing w:val="-1"/>
          <w:sz w:val="24"/>
        </w:rPr>
        <w:t> </w:t>
      </w:r>
      <w:r>
        <w:rPr>
          <w:sz w:val="24"/>
        </w:rPr>
        <w:t>Dawley</w:t>
      </w:r>
      <w:r>
        <w:rPr>
          <w:spacing w:val="-6"/>
          <w:sz w:val="24"/>
        </w:rPr>
        <w:t> </w:t>
      </w:r>
      <w:r>
        <w:rPr>
          <w:sz w:val="24"/>
        </w:rPr>
        <w:t>rats.</w:t>
      </w:r>
      <w:r>
        <w:rPr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Medicinal 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7(41), 3030-3040.</w:t>
      </w:r>
    </w:p>
    <w:p>
      <w:pPr>
        <w:pStyle w:val="BodyText"/>
      </w:pPr>
    </w:p>
    <w:p>
      <w:pPr>
        <w:pStyle w:val="BodyText"/>
        <w:ind w:left="1105" w:right="950" w:hanging="720"/>
      </w:pPr>
      <w:r>
        <w:rPr/>
        <w:t>Awouters, F., Niemegeers, C. J. E., Lenaerts, F. M., and Janssen, P. A. J. (1978). Delay of</w:t>
      </w:r>
      <w:r>
        <w:rPr>
          <w:spacing w:val="1"/>
        </w:rPr>
        <w:t> </w:t>
      </w:r>
      <w:r>
        <w:rPr/>
        <w:t>castor</w:t>
      </w:r>
      <w:r>
        <w:rPr>
          <w:spacing w:val="3"/>
        </w:rPr>
        <w:t> </w:t>
      </w:r>
      <w:r>
        <w:rPr/>
        <w:t>oil</w:t>
      </w:r>
      <w:r>
        <w:rPr>
          <w:spacing w:val="2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rats: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way</w:t>
      </w:r>
      <w:r>
        <w:rPr>
          <w:spacing w:val="53"/>
        </w:rPr>
        <w:t> </w:t>
      </w:r>
      <w:r>
        <w:rPr/>
        <w:t>to</w:t>
      </w:r>
      <w:r>
        <w:rPr>
          <w:spacing w:val="2"/>
        </w:rPr>
        <w:t> </w:t>
      </w:r>
      <w:r>
        <w:rPr/>
        <w:t>evaluate</w:t>
      </w:r>
      <w:r>
        <w:rPr>
          <w:spacing w:val="1"/>
        </w:rPr>
        <w:t> </w:t>
      </w:r>
      <w:r>
        <w:rPr/>
        <w:t>inhibitors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prostaglandin</w:t>
      </w:r>
      <w:r>
        <w:rPr>
          <w:spacing w:val="-57"/>
        </w:rPr>
        <w:t> </w:t>
      </w:r>
      <w:r>
        <w:rPr/>
        <w:t>biosynthesis.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Pharmacy</w:t>
      </w:r>
      <w:r>
        <w:rPr>
          <w:i/>
          <w:spacing w:val="-1"/>
        </w:rPr>
        <w:t> </w:t>
      </w:r>
      <w:r>
        <w:rPr>
          <w:i/>
        </w:rPr>
        <w:t>and Pharmacology</w:t>
      </w:r>
      <w:r>
        <w:rPr/>
        <w:t>,</w:t>
      </w:r>
      <w:r>
        <w:rPr>
          <w:spacing w:val="-1"/>
        </w:rPr>
        <w:t> </w:t>
      </w:r>
      <w:r>
        <w:rPr/>
        <w:t>30(1): 41-45.</w:t>
      </w:r>
    </w:p>
    <w:p>
      <w:pPr>
        <w:pStyle w:val="BodyText"/>
      </w:pPr>
    </w:p>
    <w:p>
      <w:pPr>
        <w:pStyle w:val="BodyText"/>
        <w:ind w:left="1105" w:right="946" w:hanging="720"/>
      </w:pPr>
      <w:r>
        <w:rPr/>
        <w:t>Azage, M., Kumie, A., Worku, A., and</w:t>
      </w:r>
      <w:r>
        <w:rPr>
          <w:spacing w:val="1"/>
        </w:rPr>
        <w:t> </w:t>
      </w:r>
      <w:r>
        <w:rPr/>
        <w:t>Bagtzoglou, A. C. (2016). Childhood diarrhea in</w:t>
      </w:r>
      <w:r>
        <w:rPr>
          <w:spacing w:val="1"/>
        </w:rPr>
        <w:t> </w:t>
      </w:r>
      <w:r>
        <w:rPr/>
        <w:t>high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low</w:t>
      </w:r>
      <w:r>
        <w:rPr>
          <w:spacing w:val="20"/>
        </w:rPr>
        <w:t> </w:t>
      </w:r>
      <w:r>
        <w:rPr/>
        <w:t>hotspot</w:t>
      </w:r>
      <w:r>
        <w:rPr>
          <w:spacing w:val="20"/>
        </w:rPr>
        <w:t> </w:t>
      </w:r>
      <w:r>
        <w:rPr/>
        <w:t>districts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Amhara</w:t>
      </w:r>
      <w:r>
        <w:rPr>
          <w:spacing w:val="18"/>
        </w:rPr>
        <w:t> </w:t>
      </w:r>
      <w:r>
        <w:rPr/>
        <w:t>Region,</w:t>
      </w:r>
      <w:r>
        <w:rPr>
          <w:spacing w:val="23"/>
        </w:rPr>
        <w:t> </w:t>
      </w:r>
      <w:r>
        <w:rPr/>
        <w:t>northwest</w:t>
      </w:r>
      <w:r>
        <w:rPr>
          <w:spacing w:val="21"/>
        </w:rPr>
        <w:t> </w:t>
      </w:r>
      <w:r>
        <w:rPr/>
        <w:t>Ethiopia:</w:t>
      </w:r>
      <w:r>
        <w:rPr>
          <w:spacing w:val="20"/>
        </w:rPr>
        <w:t> </w:t>
      </w:r>
      <w:r>
        <w:rPr/>
        <w:t>a</w:t>
      </w:r>
      <w:r>
        <w:rPr>
          <w:spacing w:val="17"/>
        </w:rPr>
        <w:t> </w:t>
      </w:r>
      <w:r>
        <w:rPr/>
        <w:t>multilevel</w:t>
      </w:r>
      <w:r>
        <w:rPr>
          <w:spacing w:val="-57"/>
        </w:rPr>
        <w:t> </w:t>
      </w:r>
      <w:r>
        <w:rPr/>
        <w:t>modeling.</w:t>
      </w:r>
      <w:r>
        <w:rPr>
          <w:spacing w:val="-1"/>
        </w:rPr>
        <w:t> </w:t>
      </w:r>
      <w:r>
        <w:rPr>
          <w:i/>
        </w:rPr>
        <w:t>Journal of Health, Population and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 35(1): 13-20.</w:t>
      </w:r>
    </w:p>
    <w:p>
      <w:pPr>
        <w:pStyle w:val="BodyText"/>
      </w:pPr>
    </w:p>
    <w:p>
      <w:pPr>
        <w:spacing w:before="0"/>
        <w:ind w:left="1105" w:right="1082" w:hanging="720"/>
        <w:jc w:val="both"/>
        <w:rPr>
          <w:sz w:val="24"/>
        </w:rPr>
      </w:pPr>
      <w:r>
        <w:rPr>
          <w:sz w:val="24"/>
        </w:rPr>
        <w:t>Baldi, F., Bianco, M. A., Nardone, G., Pilotto, A., and Zamparo, E. (2009). Focus on acute</w:t>
      </w:r>
      <w:r>
        <w:rPr>
          <w:spacing w:val="-58"/>
          <w:sz w:val="24"/>
        </w:rPr>
        <w:t> </w:t>
      </w:r>
      <w:r>
        <w:rPr>
          <w:sz w:val="24"/>
        </w:rPr>
        <w:t>diarrhoeal</w:t>
      </w:r>
      <w:r>
        <w:rPr>
          <w:spacing w:val="-1"/>
          <w:sz w:val="24"/>
        </w:rPr>
        <w:t> </w:t>
      </w:r>
      <w:r>
        <w:rPr>
          <w:sz w:val="24"/>
        </w:rPr>
        <w:t>disease.</w:t>
      </w:r>
      <w:r>
        <w:rPr>
          <w:spacing w:val="2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gastroenterology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15(27):</w:t>
      </w:r>
      <w:r>
        <w:rPr>
          <w:spacing w:val="-1"/>
          <w:sz w:val="24"/>
        </w:rPr>
        <w:t> </w:t>
      </w:r>
      <w:r>
        <w:rPr>
          <w:sz w:val="24"/>
        </w:rPr>
        <w:t>3341–3348.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294" w:top="1340" w:bottom="480" w:left="1600" w:right="460"/>
        </w:sectPr>
      </w:pPr>
    </w:p>
    <w:p>
      <w:pPr>
        <w:spacing w:before="72"/>
        <w:ind w:left="385" w:right="0" w:firstLine="0"/>
        <w:jc w:val="both"/>
        <w:rPr>
          <w:sz w:val="24"/>
        </w:rPr>
      </w:pPr>
      <w:r>
        <w:rPr>
          <w:sz w:val="24"/>
        </w:rPr>
        <w:t>Barr,</w:t>
      </w:r>
      <w:r>
        <w:rPr>
          <w:spacing w:val="-1"/>
          <w:sz w:val="24"/>
        </w:rPr>
        <w:t> </w:t>
      </w:r>
      <w:r>
        <w:rPr>
          <w:sz w:val="24"/>
        </w:rPr>
        <w:t>W.,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Smith,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-1"/>
          <w:sz w:val="24"/>
        </w:rPr>
        <w:t> </w:t>
      </w: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diarrhea.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Physician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89(3):</w:t>
      </w:r>
      <w:r>
        <w:rPr>
          <w:spacing w:val="-1"/>
          <w:sz w:val="24"/>
        </w:rPr>
        <w:t> </w:t>
      </w:r>
      <w:r>
        <w:rPr>
          <w:sz w:val="24"/>
        </w:rPr>
        <w:t>12-19.</w:t>
      </w:r>
    </w:p>
    <w:p>
      <w:pPr>
        <w:pStyle w:val="BodyText"/>
        <w:spacing w:before="198"/>
        <w:ind w:left="1105" w:right="954" w:hanging="720"/>
        <w:jc w:val="both"/>
      </w:pPr>
      <w:r>
        <w:rPr/>
        <w:t>Bello, F. H. (2015). The effect of methanol rhizome extract of</w:t>
      </w:r>
      <w:r>
        <w:rPr>
          <w:spacing w:val="1"/>
        </w:rPr>
        <w:t> </w:t>
      </w:r>
      <w:r>
        <w:rPr>
          <w:i/>
        </w:rPr>
        <w:t>Nymphaea lotus</w:t>
      </w:r>
      <w:r>
        <w:rPr>
          <w:i/>
          <w:spacing w:val="1"/>
        </w:rPr>
        <w:t> </w:t>
      </w:r>
      <w:r>
        <w:rPr/>
        <w:t>Linn.</w:t>
      </w:r>
      <w:r>
        <w:rPr>
          <w:spacing w:val="1"/>
        </w:rPr>
        <w:t> </w:t>
      </w:r>
      <w:r>
        <w:rPr/>
        <w:t>(Nymphaeaceae)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diarrhoea.</w:t>
      </w:r>
      <w:r>
        <w:rPr>
          <w:spacing w:val="1"/>
        </w:rPr>
        <w:t> </w:t>
      </w:r>
      <w:r>
        <w:rPr/>
        <w:t>(Msc.</w:t>
      </w:r>
      <w:r>
        <w:rPr>
          <w:spacing w:val="1"/>
        </w:rPr>
        <w:t> </w:t>
      </w:r>
      <w:r>
        <w:rPr/>
        <w:t>Thesis).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-57"/>
        </w:rPr>
        <w:t> </w:t>
      </w:r>
      <w:r>
        <w:rPr/>
        <w:t>University, Zaria,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http:/kubanni.abu.edu.ng/jspui/bitstream.</w:t>
      </w:r>
    </w:p>
    <w:p>
      <w:pPr>
        <w:spacing w:line="240" w:lineRule="auto" w:before="199"/>
        <w:ind w:left="1105" w:right="954" w:hanging="720"/>
        <w:jc w:val="both"/>
        <w:rPr>
          <w:rFonts w:ascii="Arial MT"/>
          <w:sz w:val="18"/>
        </w:rPr>
      </w:pPr>
      <w:r>
        <w:rPr>
          <w:sz w:val="24"/>
        </w:rPr>
        <w:t>Besra, S. E., Gomes, A., Ganguly, D. K., and Vedasiromoni, J. R. (2003). Antidiarrhoeal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hot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black</w:t>
      </w:r>
      <w:r>
        <w:rPr>
          <w:spacing w:val="1"/>
          <w:sz w:val="24"/>
        </w:rPr>
        <w:t> </w:t>
      </w:r>
      <w:r>
        <w:rPr>
          <w:sz w:val="24"/>
        </w:rPr>
        <w:t>tea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Camellia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sinensis</w:t>
      </w:r>
      <w:r>
        <w:rPr>
          <w:sz w:val="24"/>
        </w:rPr>
        <w:t>). </w:t>
      </w:r>
      <w:r>
        <w:rPr>
          <w:i/>
          <w:sz w:val="24"/>
        </w:rPr>
        <w:t>Phytotherapy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17(4): 380-384</w:t>
      </w:r>
      <w:r>
        <w:rPr>
          <w:rFonts w:ascii="Arial MT"/>
          <w:sz w:val="18"/>
        </w:rPr>
        <w:t>.</w:t>
      </w:r>
    </w:p>
    <w:p>
      <w:pPr>
        <w:pStyle w:val="BodyText"/>
        <w:spacing w:before="202"/>
        <w:ind w:left="1105" w:right="952" w:hanging="720"/>
      </w:pPr>
      <w:r>
        <w:rPr/>
        <w:t>Bhutta, Z. A., Das, J. K., Walker, N., Rizvi, A., Campbell, H., Rudan, I., and Black, R. E.</w:t>
      </w:r>
      <w:r>
        <w:rPr>
          <w:spacing w:val="1"/>
        </w:rPr>
        <w:t> </w:t>
      </w:r>
      <w:r>
        <w:rPr/>
        <w:t>(2013).</w:t>
      </w:r>
      <w:r>
        <w:rPr>
          <w:spacing w:val="37"/>
        </w:rPr>
        <w:t> </w:t>
      </w:r>
      <w:r>
        <w:rPr/>
        <w:t>Interventions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address</w:t>
      </w:r>
      <w:r>
        <w:rPr>
          <w:spacing w:val="37"/>
        </w:rPr>
        <w:t> </w:t>
      </w:r>
      <w:r>
        <w:rPr/>
        <w:t>deaths</w:t>
      </w:r>
      <w:r>
        <w:rPr>
          <w:spacing w:val="36"/>
        </w:rPr>
        <w:t> </w:t>
      </w:r>
      <w:r>
        <w:rPr/>
        <w:t>from</w:t>
      </w:r>
      <w:r>
        <w:rPr>
          <w:spacing w:val="37"/>
        </w:rPr>
        <w:t> </w:t>
      </w:r>
      <w:r>
        <w:rPr/>
        <w:t>childhood</w:t>
      </w:r>
      <w:r>
        <w:rPr>
          <w:spacing w:val="37"/>
        </w:rPr>
        <w:t> </w:t>
      </w:r>
      <w:r>
        <w:rPr/>
        <w:t>pneumonia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diarrhoea</w:t>
      </w:r>
      <w:r>
        <w:rPr>
          <w:spacing w:val="-57"/>
        </w:rPr>
        <w:t> </w:t>
      </w:r>
      <w:r>
        <w:rPr/>
        <w:t>equitably:</w:t>
      </w:r>
      <w:r>
        <w:rPr>
          <w:spacing w:val="-1"/>
        </w:rPr>
        <w:t> </w:t>
      </w:r>
      <w:r>
        <w:rPr/>
        <w:t>what</w:t>
      </w:r>
      <w:r>
        <w:rPr>
          <w:spacing w:val="2"/>
        </w:rPr>
        <w:t> </w:t>
      </w:r>
      <w:r>
        <w:rPr/>
        <w:t>works</w:t>
      </w:r>
      <w:r>
        <w:rPr>
          <w:spacing w:val="-1"/>
        </w:rPr>
        <w:t> </w:t>
      </w:r>
      <w:r>
        <w:rPr/>
        <w:t>and at what</w:t>
      </w:r>
      <w:r>
        <w:rPr>
          <w:spacing w:val="-1"/>
        </w:rPr>
        <w:t> </w:t>
      </w:r>
      <w:r>
        <w:rPr/>
        <w:t>cost?.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Lancet</w:t>
      </w:r>
      <w:r>
        <w:rPr/>
        <w:t>,</w:t>
      </w:r>
      <w:r>
        <w:rPr>
          <w:spacing w:val="-1"/>
        </w:rPr>
        <w:t> </w:t>
      </w:r>
      <w:r>
        <w:rPr/>
        <w:t>381(9875): 1417-1429.</w:t>
      </w:r>
    </w:p>
    <w:p>
      <w:pPr>
        <w:pStyle w:val="BodyText"/>
      </w:pPr>
    </w:p>
    <w:p>
      <w:pPr>
        <w:pStyle w:val="BodyText"/>
        <w:ind w:left="1105" w:right="956" w:hanging="720"/>
        <w:jc w:val="both"/>
      </w:pPr>
      <w:r>
        <w:rPr/>
        <w:t>Bilal,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Sadiq,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Haider,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hyponatraemia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hypokalaemia in malnourished children with acute diarrhoea. </w:t>
      </w:r>
      <w:r>
        <w:rPr>
          <w:i/>
        </w:rPr>
        <w:t>Journal of Pakistan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Association</w:t>
      </w:r>
      <w:r>
        <w:rPr/>
        <w:t>, 66(9): 1077-1080.</w:t>
      </w:r>
    </w:p>
    <w:p>
      <w:pPr>
        <w:pStyle w:val="BodyText"/>
      </w:pPr>
    </w:p>
    <w:p>
      <w:pPr>
        <w:pStyle w:val="BodyText"/>
        <w:ind w:left="1105" w:right="949" w:hanging="720"/>
      </w:pPr>
      <w:r>
        <w:rPr/>
        <w:t>Black, R. E., Cousens, S., Johnson, H. L., Lawn, J. E., Rudan, I., Bassani, D. G., ... and</w:t>
      </w:r>
      <w:r>
        <w:rPr>
          <w:spacing w:val="1"/>
        </w:rPr>
        <w:t> </w:t>
      </w:r>
      <w:r>
        <w:rPr/>
        <w:t>Eisele,</w:t>
      </w:r>
      <w:r>
        <w:rPr>
          <w:spacing w:val="14"/>
        </w:rPr>
        <w:t> </w:t>
      </w:r>
      <w:r>
        <w:rPr/>
        <w:t>T.</w:t>
      </w:r>
      <w:r>
        <w:rPr>
          <w:spacing w:val="4"/>
        </w:rPr>
        <w:t> </w:t>
      </w:r>
      <w:r>
        <w:rPr/>
        <w:t>(2010).</w:t>
      </w:r>
      <w:r>
        <w:rPr>
          <w:spacing w:val="3"/>
        </w:rPr>
        <w:t> </w:t>
      </w:r>
      <w:r>
        <w:rPr/>
        <w:t>Global,</w:t>
      </w:r>
      <w:r>
        <w:rPr>
          <w:spacing w:val="6"/>
        </w:rPr>
        <w:t> </w:t>
      </w:r>
      <w:r>
        <w:rPr/>
        <w:t>regional,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national</w:t>
      </w:r>
      <w:r>
        <w:rPr>
          <w:spacing w:val="6"/>
        </w:rPr>
        <w:t> </w:t>
      </w:r>
      <w:r>
        <w:rPr/>
        <w:t>causes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child</w:t>
      </w:r>
      <w:r>
        <w:rPr>
          <w:spacing w:val="4"/>
        </w:rPr>
        <w:t> </w:t>
      </w:r>
      <w:r>
        <w:rPr/>
        <w:t>mortality in</w:t>
      </w:r>
      <w:r>
        <w:rPr>
          <w:spacing w:val="5"/>
        </w:rPr>
        <w:t> </w:t>
      </w:r>
      <w:r>
        <w:rPr/>
        <w:t>2008:</w:t>
      </w:r>
      <w:r>
        <w:rPr>
          <w:spacing w:val="7"/>
        </w:rPr>
        <w:t> </w:t>
      </w:r>
      <w:r>
        <w:rPr/>
        <w:t>a</w:t>
      </w:r>
      <w:r>
        <w:rPr>
          <w:spacing w:val="-57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lancet</w:t>
      </w:r>
      <w:r>
        <w:rPr/>
        <w:t>, 375(9730): 1969-1987.</w:t>
      </w:r>
    </w:p>
    <w:p>
      <w:pPr>
        <w:pStyle w:val="BodyText"/>
      </w:pPr>
    </w:p>
    <w:p>
      <w:pPr>
        <w:tabs>
          <w:tab w:pos="1932" w:val="left" w:leader="none"/>
          <w:tab w:pos="3372" w:val="left" w:leader="none"/>
          <w:tab w:pos="3813" w:val="left" w:leader="none"/>
          <w:tab w:pos="4954" w:val="left" w:leader="none"/>
          <w:tab w:pos="5654" w:val="left" w:leader="none"/>
          <w:tab w:pos="6670" w:val="left" w:leader="none"/>
          <w:tab w:pos="7273" w:val="left" w:leader="none"/>
          <w:tab w:pos="7983" w:val="left" w:leader="none"/>
        </w:tabs>
        <w:spacing w:before="0"/>
        <w:ind w:left="1105" w:right="956" w:hanging="720"/>
        <w:jc w:val="left"/>
        <w:rPr>
          <w:i/>
          <w:sz w:val="24"/>
        </w:rPr>
      </w:pPr>
      <w:r>
        <w:rPr>
          <w:sz w:val="24"/>
        </w:rPr>
        <w:t>Bliss, D.Z., Doughty, D.B. and Heitkemper, M.M. (2006).Pathology and management of</w:t>
      </w:r>
      <w:r>
        <w:rPr>
          <w:spacing w:val="1"/>
          <w:sz w:val="24"/>
        </w:rPr>
        <w:t> </w:t>
      </w:r>
      <w:r>
        <w:rPr>
          <w:sz w:val="24"/>
        </w:rPr>
        <w:t>bowel</w:t>
        <w:tab/>
        <w:t>dysfunction.</w:t>
        <w:tab/>
        <w:t>In</w:t>
        <w:tab/>
        <w:t>Doughty,</w:t>
        <w:tab/>
        <w:t>D.B.</w:t>
        <w:tab/>
      </w:r>
      <w:r>
        <w:rPr>
          <w:i/>
          <w:sz w:val="24"/>
        </w:rPr>
        <w:t>Urinary</w:t>
        <w:tab/>
        <w:t>and</w:t>
        <w:tab/>
        <w:t>fecal</w:t>
        <w:tab/>
      </w:r>
      <w:r>
        <w:rPr>
          <w:i/>
          <w:spacing w:val="-1"/>
          <w:sz w:val="24"/>
        </w:rPr>
        <w:t>Incontinence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currentmanagement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concepts (3rd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ed)</w:t>
      </w:r>
      <w:r>
        <w:rPr>
          <w:i/>
          <w:spacing w:val="-2"/>
          <w:sz w:val="24"/>
        </w:rPr>
        <w:t> </w:t>
      </w:r>
      <w:r>
        <w:rPr>
          <w:sz w:val="24"/>
        </w:rPr>
        <w:t>St</w:t>
      </w:r>
      <w:r>
        <w:rPr>
          <w:spacing w:val="1"/>
          <w:sz w:val="24"/>
        </w:rPr>
        <w:t> </w:t>
      </w:r>
      <w:r>
        <w:rPr>
          <w:sz w:val="24"/>
        </w:rPr>
        <w:t>Louis: Mosby</w:t>
      </w:r>
      <w:r>
        <w:rPr>
          <w:spacing w:val="-5"/>
          <w:sz w:val="24"/>
        </w:rPr>
        <w:t> </w:t>
      </w:r>
      <w:r>
        <w:rPr>
          <w:sz w:val="24"/>
        </w:rPr>
        <w:t>Elesevier</w:t>
      </w:r>
      <w:r>
        <w:rPr>
          <w:spacing w:val="-2"/>
          <w:sz w:val="24"/>
        </w:rPr>
        <w:t> </w:t>
      </w:r>
      <w:r>
        <w:rPr>
          <w:sz w:val="24"/>
        </w:rPr>
        <w:t>pp 425-456</w:t>
      </w:r>
      <w:r>
        <w:rPr>
          <w:i/>
          <w:sz w:val="24"/>
        </w:rPr>
        <w:t>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1105" w:right="950" w:hanging="720"/>
      </w:pPr>
      <w:r>
        <w:rPr/>
        <w:t>Bonkoungou, I. J. O., Ouedraogo, N., Tamini, L., Teguera, R. K., Yaméogo, P., Drabo, M.</w:t>
      </w:r>
      <w:r>
        <w:rPr>
          <w:spacing w:val="1"/>
        </w:rPr>
        <w:t> </w:t>
      </w:r>
      <w:r>
        <w:rPr/>
        <w:t>K.,</w:t>
      </w:r>
      <w:r>
        <w:rPr>
          <w:spacing w:val="41"/>
        </w:rPr>
        <w:t> </w:t>
      </w:r>
      <w:r>
        <w:rPr/>
        <w:t>...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Nordgren,</w:t>
      </w:r>
      <w:r>
        <w:rPr>
          <w:spacing w:val="44"/>
        </w:rPr>
        <w:t> </w:t>
      </w:r>
      <w:r>
        <w:rPr/>
        <w:t>J.</w:t>
      </w:r>
      <w:r>
        <w:rPr>
          <w:spacing w:val="45"/>
        </w:rPr>
        <w:t> </w:t>
      </w:r>
      <w:r>
        <w:rPr/>
        <w:t>(2018).</w:t>
      </w:r>
      <w:r>
        <w:rPr>
          <w:spacing w:val="43"/>
        </w:rPr>
        <w:t> </w:t>
      </w:r>
      <w:r>
        <w:rPr/>
        <w:t>Rotavirus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norovirus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children</w:t>
      </w:r>
      <w:r>
        <w:rPr>
          <w:spacing w:val="42"/>
        </w:rPr>
        <w:t> </w:t>
      </w:r>
      <w:r>
        <w:rPr/>
        <w:t>with</w:t>
      </w:r>
      <w:r>
        <w:rPr>
          <w:spacing w:val="42"/>
        </w:rPr>
        <w:t> </w:t>
      </w:r>
      <w:r>
        <w:rPr/>
        <w:t>severe</w:t>
      </w:r>
      <w:r>
        <w:rPr>
          <w:spacing w:val="-57"/>
        </w:rPr>
        <w:t> </w:t>
      </w:r>
      <w:r>
        <w:rPr/>
        <w:t>diarrhea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Burkina</w:t>
      </w:r>
      <w:r>
        <w:rPr>
          <w:spacing w:val="21"/>
        </w:rPr>
        <w:t> </w:t>
      </w:r>
      <w:r>
        <w:rPr/>
        <w:t>Faso</w:t>
      </w:r>
      <w:r>
        <w:rPr>
          <w:spacing w:val="21"/>
        </w:rPr>
        <w:t> </w:t>
      </w:r>
      <w:r>
        <w:rPr/>
        <w:t>before</w:t>
      </w:r>
      <w:r>
        <w:rPr>
          <w:spacing w:val="20"/>
        </w:rPr>
        <w:t> </w:t>
      </w:r>
      <w:r>
        <w:rPr/>
        <w:t>rotavirus</w:t>
      </w:r>
      <w:r>
        <w:rPr>
          <w:spacing w:val="19"/>
        </w:rPr>
        <w:t> </w:t>
      </w:r>
      <w:r>
        <w:rPr/>
        <w:t>vaccine</w:t>
      </w:r>
      <w:r>
        <w:rPr>
          <w:spacing w:val="21"/>
        </w:rPr>
        <w:t> </w:t>
      </w:r>
      <w:r>
        <w:rPr/>
        <w:t>introduction.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19"/>
        </w:rPr>
        <w:t> </w:t>
      </w:r>
      <w:r>
        <w:rPr>
          <w:i/>
        </w:rPr>
        <w:t>of</w:t>
      </w:r>
      <w:r>
        <w:rPr>
          <w:i/>
          <w:spacing w:val="19"/>
        </w:rPr>
        <w:t> </w:t>
      </w:r>
      <w:r>
        <w:rPr>
          <w:i/>
        </w:rPr>
        <w:t>medical</w:t>
      </w:r>
      <w:r>
        <w:rPr>
          <w:i/>
          <w:spacing w:val="-57"/>
        </w:rPr>
        <w:t> </w:t>
      </w:r>
      <w:r>
        <w:rPr>
          <w:i/>
        </w:rPr>
        <w:t>virology</w:t>
      </w:r>
      <w:r>
        <w:rPr/>
        <w:t>.</w:t>
      </w:r>
      <w:r>
        <w:rPr>
          <w:spacing w:val="-1"/>
        </w:rPr>
        <w:t> </w:t>
      </w:r>
      <w:r>
        <w:rPr/>
        <w:t>90(9): 1453-1460.</w:t>
      </w:r>
    </w:p>
    <w:p>
      <w:pPr>
        <w:pStyle w:val="BodyText"/>
      </w:pPr>
    </w:p>
    <w:p>
      <w:pPr>
        <w:tabs>
          <w:tab w:pos="2362" w:val="left" w:leader="none"/>
          <w:tab w:pos="2901" w:val="left" w:leader="none"/>
          <w:tab w:pos="4317" w:val="left" w:leader="none"/>
          <w:tab w:pos="6433" w:val="left" w:leader="none"/>
          <w:tab w:pos="6973" w:val="left" w:leader="none"/>
          <w:tab w:pos="7621" w:val="left" w:leader="none"/>
          <w:tab w:pos="8568" w:val="left" w:leader="none"/>
        </w:tabs>
        <w:spacing w:before="0"/>
        <w:ind w:left="1105" w:right="956" w:hanging="720"/>
        <w:jc w:val="left"/>
        <w:rPr>
          <w:sz w:val="24"/>
        </w:rPr>
      </w:pPr>
      <w:r>
        <w:rPr>
          <w:sz w:val="24"/>
        </w:rPr>
        <w:t>Boschi-Pinto, C., Velebit, L., and Shibuya, K. (2008). Estimating child mortality due to</w:t>
      </w:r>
      <w:r>
        <w:rPr>
          <w:spacing w:val="1"/>
          <w:sz w:val="24"/>
        </w:rPr>
        <w:t> </w:t>
      </w:r>
      <w:r>
        <w:rPr>
          <w:sz w:val="24"/>
        </w:rPr>
        <w:t>diarrhoea</w:t>
        <w:tab/>
        <w:t>in</w:t>
        <w:tab/>
        <w:t>developing</w:t>
        <w:tab/>
        <w:t>countries.</w:t>
      </w:r>
      <w:r>
        <w:rPr>
          <w:spacing w:val="1"/>
          <w:sz w:val="24"/>
        </w:rPr>
        <w:t> </w:t>
      </w:r>
      <w:r>
        <w:rPr>
          <w:i/>
          <w:sz w:val="24"/>
        </w:rPr>
        <w:t>Bulletin</w:t>
        <w:tab/>
        <w:t>of</w:t>
        <w:tab/>
        <w:t>the</w:t>
        <w:tab/>
        <w:t>World</w:t>
        <w:tab/>
      </w:r>
      <w:r>
        <w:rPr>
          <w:i/>
          <w:spacing w:val="-1"/>
          <w:sz w:val="24"/>
        </w:rPr>
        <w:t>Health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Organization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86(9): 710-717.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385"/>
        <w:jc w:val="both"/>
      </w:pPr>
      <w:r>
        <w:rPr/>
        <w:t>Braeckman,</w:t>
      </w:r>
      <w:r>
        <w:rPr>
          <w:spacing w:val="-2"/>
        </w:rPr>
        <w:t> </w:t>
      </w:r>
      <w:r>
        <w:rPr/>
        <w:t>T.,</w:t>
      </w:r>
      <w:r>
        <w:rPr>
          <w:spacing w:val="1"/>
        </w:rPr>
        <w:t> </w:t>
      </w:r>
      <w:r>
        <w:rPr/>
        <w:t>Van</w:t>
      </w:r>
      <w:r>
        <w:rPr>
          <w:spacing w:val="-1"/>
        </w:rPr>
        <w:t> </w:t>
      </w:r>
      <w:r>
        <w:rPr/>
        <w:t>Herck,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Meyer,</w:t>
      </w:r>
      <w:r>
        <w:rPr>
          <w:spacing w:val="-1"/>
        </w:rPr>
        <w:t> </w:t>
      </w:r>
      <w:r>
        <w:rPr/>
        <w:t>N.,</w:t>
      </w:r>
      <w:r>
        <w:rPr>
          <w:spacing w:val="-2"/>
        </w:rPr>
        <w:t> </w:t>
      </w:r>
      <w:r>
        <w:rPr/>
        <w:t>Pirçon,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Y.,</w:t>
      </w:r>
      <w:r>
        <w:rPr>
          <w:spacing w:val="-1"/>
        </w:rPr>
        <w:t> </w:t>
      </w:r>
      <w:r>
        <w:rPr/>
        <w:t>Soriano-Gabarró,</w:t>
      </w:r>
      <w:r>
        <w:rPr>
          <w:spacing w:val="1"/>
        </w:rPr>
        <w:t> </w:t>
      </w:r>
      <w:r>
        <w:rPr/>
        <w:t>M.,</w:t>
      </w:r>
      <w:r>
        <w:rPr>
          <w:spacing w:val="-1"/>
        </w:rPr>
        <w:t> </w:t>
      </w:r>
      <w:r>
        <w:rPr/>
        <w:t>Heylen,</w:t>
      </w:r>
      <w:r>
        <w:rPr>
          <w:spacing w:val="-1"/>
        </w:rPr>
        <w:t> </w:t>
      </w:r>
      <w:r>
        <w:rPr/>
        <w:t>E.,</w:t>
      </w:r>
    </w:p>
    <w:p>
      <w:pPr>
        <w:pStyle w:val="BodyText"/>
        <w:ind w:left="1105" w:right="958"/>
        <w:jc w:val="both"/>
      </w:pPr>
      <w:r>
        <w:rPr/>
        <w:t>... and Maernoudt, A. S. (2012). Effectiveness of rotavirus vaccination in prevention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admissions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rotavirus</w:t>
      </w:r>
      <w:r>
        <w:rPr>
          <w:spacing w:val="1"/>
        </w:rPr>
        <w:t> </w:t>
      </w:r>
      <w:r>
        <w:rPr/>
        <w:t>gastroenteritis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Belgium:</w:t>
      </w:r>
      <w:r>
        <w:rPr>
          <w:spacing w:val="-1"/>
        </w:rPr>
        <w:t> </w:t>
      </w:r>
      <w:r>
        <w:rPr/>
        <w:t>case-control study. </w:t>
      </w:r>
      <w:r>
        <w:rPr>
          <w:i/>
        </w:rPr>
        <w:t>British Medical Journal</w:t>
      </w:r>
      <w:r>
        <w:rPr/>
        <w:t>, 345: e4752.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05" w:hanging="720"/>
      </w:pPr>
      <w:r>
        <w:rPr/>
        <w:t>Brandt,</w:t>
      </w:r>
      <w:r>
        <w:rPr>
          <w:spacing w:val="-2"/>
        </w:rPr>
        <w:t> </w:t>
      </w:r>
      <w:r>
        <w:rPr/>
        <w:t>K. G.,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Castro</w:t>
      </w:r>
      <w:r>
        <w:rPr>
          <w:spacing w:val="1"/>
        </w:rPr>
        <w:t> </w:t>
      </w:r>
      <w:r>
        <w:rPr/>
        <w:t>Antunes,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M.,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Silva,</w:t>
      </w:r>
      <w:r>
        <w:rPr>
          <w:spacing w:val="-1"/>
        </w:rPr>
        <w:t> </w:t>
      </w:r>
      <w:r>
        <w:rPr/>
        <w:t>G.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(2015).</w:t>
      </w:r>
      <w:r>
        <w:rPr>
          <w:spacing w:val="-1"/>
        </w:rPr>
        <w:t> </w:t>
      </w:r>
      <w:r>
        <w:rPr/>
        <w:t>Acute</w:t>
      </w:r>
      <w:r>
        <w:rPr>
          <w:spacing w:val="-2"/>
        </w:rPr>
        <w:t> </w:t>
      </w:r>
      <w:r>
        <w:rPr/>
        <w:t>diarrhea:</w:t>
      </w:r>
      <w:r>
        <w:rPr>
          <w:spacing w:val="-57"/>
        </w:rPr>
        <w:t> </w:t>
      </w:r>
      <w:r>
        <w:rPr/>
        <w:t>evidence</w:t>
      </w:r>
      <w:r>
        <w:rPr>
          <w:rFonts w:ascii="Cambria Math" w:hAnsi="Cambria Math"/>
        </w:rPr>
        <w:t>‐</w:t>
      </w:r>
      <w:r>
        <w:rPr/>
        <w:t>based</w:t>
      </w:r>
      <w:r>
        <w:rPr>
          <w:spacing w:val="-1"/>
        </w:rPr>
        <w:t> </w:t>
      </w:r>
      <w:r>
        <w:rPr/>
        <w:t>management.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Pediatrics,</w:t>
      </w:r>
      <w:r>
        <w:rPr>
          <w:i/>
          <w:spacing w:val="1"/>
        </w:rPr>
        <w:t> </w:t>
      </w:r>
      <w:r>
        <w:rPr/>
        <w:t>91(6):</w:t>
      </w:r>
      <w:r>
        <w:rPr>
          <w:spacing w:val="-1"/>
        </w:rPr>
        <w:t> </w:t>
      </w:r>
      <w:r>
        <w:rPr/>
        <w:t>36-43.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105" w:right="954" w:hanging="720"/>
        <w:jc w:val="both"/>
      </w:pPr>
      <w:r>
        <w:rPr/>
        <w:t>Bustreo,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Okwo-Bele,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Kamara,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Alliance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Vaccines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Immunization</w:t>
      </w:r>
      <w:r>
        <w:rPr>
          <w:spacing w:val="61"/>
        </w:rPr>
        <w:t> </w:t>
      </w:r>
      <w:r>
        <w:rPr/>
        <w:t>on  </w:t>
      </w:r>
      <w:r>
        <w:rPr>
          <w:spacing w:val="1"/>
        </w:rPr>
        <w:t> </w:t>
      </w:r>
      <w:r>
        <w:rPr/>
        <w:t>reducing  </w:t>
      </w:r>
      <w:r>
        <w:rPr>
          <w:spacing w:val="1"/>
        </w:rPr>
        <w:t> </w:t>
      </w:r>
      <w:r>
        <w:rPr/>
        <w:t>child  </w:t>
      </w:r>
      <w:r>
        <w:rPr>
          <w:spacing w:val="1"/>
        </w:rPr>
        <w:t> </w:t>
      </w:r>
      <w:r>
        <w:rPr/>
        <w:t>mortality. </w:t>
      </w:r>
      <w:r>
        <w:rPr>
          <w:i/>
        </w:rPr>
        <w:t>Archives  </w:t>
      </w:r>
      <w:r>
        <w:rPr>
          <w:i/>
          <w:spacing w:val="1"/>
        </w:rPr>
        <w:t> </w:t>
      </w:r>
      <w:r>
        <w:rPr>
          <w:i/>
        </w:rPr>
        <w:t>of  </w:t>
      </w:r>
      <w:r>
        <w:rPr>
          <w:i/>
          <w:spacing w:val="1"/>
        </w:rPr>
        <w:t> </w:t>
      </w:r>
      <w:r>
        <w:rPr>
          <w:i/>
        </w:rPr>
        <w:t>Disease  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Childhood</w:t>
      </w:r>
      <w:r>
        <w:rPr/>
        <w:t>,</w:t>
      </w:r>
      <w:r>
        <w:rPr>
          <w:spacing w:val="-1"/>
        </w:rPr>
        <w:t> </w:t>
      </w:r>
      <w:r>
        <w:rPr/>
        <w:t>100(1): 34-37.</w:t>
      </w:r>
    </w:p>
    <w:p>
      <w:pPr>
        <w:pStyle w:val="BodyText"/>
      </w:pPr>
    </w:p>
    <w:p>
      <w:pPr>
        <w:pStyle w:val="BodyText"/>
        <w:ind w:left="385"/>
        <w:jc w:val="both"/>
      </w:pPr>
      <w:r>
        <w:rPr/>
        <w:t>Camilleri,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Sellin,</w:t>
      </w:r>
      <w:r>
        <w:rPr>
          <w:spacing w:val="-3"/>
        </w:rPr>
        <w:t> </w:t>
      </w:r>
      <w:r>
        <w:rPr/>
        <w:t>J.</w:t>
      </w:r>
      <w:r>
        <w:rPr>
          <w:spacing w:val="-3"/>
        </w:rPr>
        <w:t> </w:t>
      </w:r>
      <w:r>
        <w:rPr/>
        <w:t>H.,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Barrett, K.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(2017). Pathophysiology,</w:t>
      </w:r>
      <w:r>
        <w:rPr>
          <w:spacing w:val="-1"/>
        </w:rPr>
        <w:t> </w:t>
      </w:r>
      <w:r>
        <w:rPr/>
        <w:t>evaluation,</w:t>
      </w:r>
      <w:r>
        <w:rPr>
          <w:spacing w:val="-1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spacing w:before="70"/>
        <w:ind w:left="1105" w:right="0" w:firstLine="0"/>
        <w:jc w:val="left"/>
        <w:rPr>
          <w:sz w:val="24"/>
        </w:rPr>
      </w:pP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of chronic</w:t>
      </w:r>
      <w:r>
        <w:rPr>
          <w:spacing w:val="1"/>
          <w:sz w:val="24"/>
        </w:rPr>
        <w:t> </w:t>
      </w:r>
      <w:r>
        <w:rPr>
          <w:sz w:val="24"/>
        </w:rPr>
        <w:t>watery</w:t>
      </w:r>
      <w:r>
        <w:rPr>
          <w:spacing w:val="-6"/>
          <w:sz w:val="24"/>
        </w:rPr>
        <w:t> </w:t>
      </w:r>
      <w:r>
        <w:rPr>
          <w:sz w:val="24"/>
        </w:rPr>
        <w:t>diarrhea. </w:t>
      </w:r>
      <w:r>
        <w:rPr>
          <w:i/>
          <w:sz w:val="24"/>
        </w:rPr>
        <w:t>Gastroenterology</w:t>
      </w:r>
      <w:r>
        <w:rPr>
          <w:sz w:val="24"/>
        </w:rPr>
        <w:t>, 152(3):</w:t>
      </w:r>
      <w:r>
        <w:rPr>
          <w:spacing w:val="-1"/>
          <w:sz w:val="24"/>
        </w:rPr>
        <w:t> </w:t>
      </w:r>
      <w:r>
        <w:rPr>
          <w:sz w:val="24"/>
        </w:rPr>
        <w:t>515-532.</w:t>
      </w:r>
    </w:p>
    <w:p>
      <w:pPr>
        <w:pStyle w:val="BodyText"/>
      </w:pPr>
    </w:p>
    <w:p>
      <w:pPr>
        <w:pStyle w:val="BodyText"/>
        <w:ind w:left="1105" w:right="1512" w:hanging="720"/>
      </w:pPr>
      <w:r>
        <w:rPr/>
        <w:t>Canavan,</w:t>
      </w:r>
      <w:r>
        <w:rPr>
          <w:spacing w:val="-2"/>
        </w:rPr>
        <w:t> </w:t>
      </w:r>
      <w:r>
        <w:rPr/>
        <w:t>A., and</w:t>
      </w:r>
      <w:r>
        <w:rPr>
          <w:spacing w:val="-1"/>
        </w:rPr>
        <w:t> </w:t>
      </w:r>
      <w:r>
        <w:rPr/>
        <w:t>Arant</w:t>
      </w:r>
      <w:r>
        <w:rPr>
          <w:spacing w:val="-1"/>
        </w:rPr>
        <w:t> </w:t>
      </w:r>
      <w:r>
        <w:rPr/>
        <w:t>Jr,</w:t>
      </w:r>
      <w:r>
        <w:rPr>
          <w:spacing w:val="-2"/>
        </w:rPr>
        <w:t> </w:t>
      </w:r>
      <w:r>
        <w:rPr/>
        <w:t>B.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Diagnosis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dehydration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children.</w:t>
      </w:r>
      <w:r>
        <w:rPr>
          <w:spacing w:val="-1"/>
        </w:rPr>
        <w:t> </w:t>
      </w:r>
      <w:r>
        <w:rPr>
          <w:i/>
        </w:rPr>
        <w:t>children</w:t>
      </w:r>
      <w:r>
        <w:rPr/>
        <w:t>, 100(17): 18-19.</w:t>
      </w:r>
    </w:p>
    <w:p>
      <w:pPr>
        <w:pStyle w:val="BodyText"/>
      </w:pPr>
    </w:p>
    <w:p>
      <w:pPr>
        <w:spacing w:before="1"/>
        <w:ind w:left="1105" w:right="961" w:hanging="720"/>
        <w:jc w:val="left"/>
        <w:rPr>
          <w:sz w:val="24"/>
        </w:rPr>
      </w:pPr>
      <w:r>
        <w:rPr>
          <w:sz w:val="24"/>
        </w:rPr>
        <w:t>Canani,</w:t>
      </w:r>
      <w:r>
        <w:rPr>
          <w:spacing w:val="6"/>
          <w:sz w:val="24"/>
        </w:rPr>
        <w:t> </w:t>
      </w:r>
      <w:r>
        <w:rPr>
          <w:sz w:val="24"/>
        </w:rPr>
        <w:t>R.</w:t>
      </w:r>
      <w:r>
        <w:rPr>
          <w:spacing w:val="5"/>
          <w:sz w:val="24"/>
        </w:rPr>
        <w:t> </w:t>
      </w:r>
      <w:r>
        <w:rPr>
          <w:sz w:val="24"/>
        </w:rPr>
        <w:t>B.,</w:t>
      </w:r>
      <w:r>
        <w:rPr>
          <w:spacing w:val="8"/>
          <w:sz w:val="24"/>
        </w:rPr>
        <w:t> </w:t>
      </w:r>
      <w:r>
        <w:rPr>
          <w:sz w:val="24"/>
        </w:rPr>
        <w:t>Buccigrossi,</w:t>
      </w:r>
      <w:r>
        <w:rPr>
          <w:spacing w:val="7"/>
          <w:sz w:val="24"/>
        </w:rPr>
        <w:t> </w:t>
      </w:r>
      <w:r>
        <w:rPr>
          <w:sz w:val="24"/>
        </w:rPr>
        <w:t>V.,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Passariello,</w:t>
      </w:r>
      <w:r>
        <w:rPr>
          <w:spacing w:val="6"/>
          <w:sz w:val="24"/>
        </w:rPr>
        <w:t> </w:t>
      </w:r>
      <w:r>
        <w:rPr>
          <w:sz w:val="24"/>
        </w:rPr>
        <w:t>A.</w:t>
      </w:r>
      <w:r>
        <w:rPr>
          <w:spacing w:val="6"/>
          <w:sz w:val="24"/>
        </w:rPr>
        <w:t> </w:t>
      </w:r>
      <w:r>
        <w:rPr>
          <w:sz w:val="24"/>
        </w:rPr>
        <w:t>(2011).</w:t>
      </w:r>
      <w:r>
        <w:rPr>
          <w:spacing w:val="5"/>
          <w:sz w:val="24"/>
        </w:rPr>
        <w:t> </w:t>
      </w:r>
      <w:r>
        <w:rPr>
          <w:sz w:val="24"/>
        </w:rPr>
        <w:t>Mechanisms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action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zinc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diarrhoea.</w:t>
      </w:r>
      <w:r>
        <w:rPr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Opinion in Gastroenterology, diarrhea</w:t>
      </w:r>
      <w:r>
        <w:rPr>
          <w:sz w:val="24"/>
        </w:rPr>
        <w:t>. 27(1): 8-12.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05" w:right="1477" w:hanging="720"/>
      </w:pPr>
      <w:r>
        <w:rPr/>
        <w:t>Chinedu,</w:t>
      </w:r>
      <w:r>
        <w:rPr>
          <w:spacing w:val="-2"/>
        </w:rPr>
        <w:t> </w:t>
      </w:r>
      <w:r>
        <w:rPr/>
        <w:t>E.,</w:t>
      </w:r>
      <w:r>
        <w:rPr>
          <w:spacing w:val="-1"/>
        </w:rPr>
        <w:t> </w:t>
      </w:r>
      <w:r>
        <w:rPr/>
        <w:t>Arome,</w:t>
      </w:r>
      <w:r>
        <w:rPr>
          <w:spacing w:val="-2"/>
        </w:rPr>
        <w:t> </w:t>
      </w:r>
      <w:r>
        <w:rPr/>
        <w:t>D.,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Ameh,</w:t>
      </w:r>
      <w:r>
        <w:rPr>
          <w:spacing w:val="-1"/>
        </w:rPr>
        <w:t> </w:t>
      </w:r>
      <w:r>
        <w:rPr/>
        <w:t>F.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(2013).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acute</w:t>
      </w:r>
      <w:r>
        <w:rPr>
          <w:spacing w:val="-57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in animal models.</w:t>
      </w:r>
      <w:r>
        <w:rPr>
          <w:spacing w:val="1"/>
        </w:rPr>
        <w:t> </w:t>
      </w:r>
      <w:r>
        <w:rPr>
          <w:i/>
        </w:rPr>
        <w:t>Toxicology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/>
        <w:t>, 20(3): 224-226.</w:t>
      </w:r>
    </w:p>
    <w:p>
      <w:pPr>
        <w:pStyle w:val="BodyText"/>
      </w:pPr>
    </w:p>
    <w:p>
      <w:pPr>
        <w:pStyle w:val="BodyText"/>
        <w:ind w:left="385"/>
        <w:jc w:val="both"/>
      </w:pPr>
      <w:r>
        <w:rPr>
          <w:color w:val="212121"/>
        </w:rPr>
        <w:t>Cho,</w:t>
      </w:r>
      <w:r>
        <w:rPr>
          <w:color w:val="212121"/>
          <w:spacing w:val="3"/>
        </w:rPr>
        <w:t> </w:t>
      </w:r>
      <w:r>
        <w:rPr>
          <w:color w:val="212121"/>
        </w:rPr>
        <w:t>Y.</w:t>
      </w:r>
      <w:r>
        <w:rPr>
          <w:color w:val="212121"/>
          <w:spacing w:val="4"/>
        </w:rPr>
        <w:t> </w:t>
      </w:r>
      <w:r>
        <w:rPr>
          <w:color w:val="212121"/>
        </w:rPr>
        <w:t>E.,</w:t>
      </w:r>
      <w:r>
        <w:rPr>
          <w:color w:val="212121"/>
          <w:spacing w:val="6"/>
        </w:rPr>
        <w:t> </w:t>
      </w:r>
      <w:r>
        <w:rPr>
          <w:color w:val="212121"/>
        </w:rPr>
        <w:t>Lomeda,</w:t>
      </w:r>
      <w:r>
        <w:rPr>
          <w:color w:val="212121"/>
          <w:spacing w:val="3"/>
        </w:rPr>
        <w:t> </w:t>
      </w:r>
      <w:r>
        <w:rPr>
          <w:color w:val="212121"/>
        </w:rPr>
        <w:t>R.</w:t>
      </w:r>
      <w:r>
        <w:rPr>
          <w:color w:val="212121"/>
          <w:spacing w:val="9"/>
        </w:rPr>
        <w:t> </w:t>
      </w:r>
      <w:r>
        <w:rPr>
          <w:color w:val="212121"/>
        </w:rPr>
        <w:t>A.</w:t>
      </w:r>
      <w:r>
        <w:rPr>
          <w:color w:val="212121"/>
          <w:spacing w:val="4"/>
        </w:rPr>
        <w:t> </w:t>
      </w:r>
      <w:r>
        <w:rPr>
          <w:color w:val="212121"/>
        </w:rPr>
        <w:t>R.,</w:t>
      </w:r>
      <w:r>
        <w:rPr>
          <w:color w:val="212121"/>
          <w:spacing w:val="3"/>
        </w:rPr>
        <w:t> </w:t>
      </w:r>
      <w:r>
        <w:rPr>
          <w:color w:val="212121"/>
        </w:rPr>
        <w:t>Ryu,</w:t>
      </w:r>
      <w:r>
        <w:rPr>
          <w:color w:val="212121"/>
          <w:spacing w:val="4"/>
        </w:rPr>
        <w:t> </w:t>
      </w:r>
      <w:r>
        <w:rPr>
          <w:color w:val="212121"/>
        </w:rPr>
        <w:t>S.</w:t>
      </w:r>
      <w:r>
        <w:rPr>
          <w:color w:val="212121"/>
          <w:spacing w:val="4"/>
        </w:rPr>
        <w:t> </w:t>
      </w:r>
      <w:r>
        <w:rPr>
          <w:color w:val="212121"/>
        </w:rPr>
        <w:t>H.,</w:t>
      </w:r>
      <w:r>
        <w:rPr>
          <w:color w:val="212121"/>
          <w:spacing w:val="5"/>
        </w:rPr>
        <w:t> </w:t>
      </w:r>
      <w:r>
        <w:rPr>
          <w:color w:val="212121"/>
        </w:rPr>
        <w:t>Sohn,</w:t>
      </w:r>
      <w:r>
        <w:rPr>
          <w:color w:val="212121"/>
          <w:spacing w:val="6"/>
        </w:rPr>
        <w:t> </w:t>
      </w:r>
      <w:r>
        <w:rPr>
          <w:color w:val="212121"/>
        </w:rPr>
        <w:t>H.</w:t>
      </w:r>
      <w:r>
        <w:rPr>
          <w:color w:val="212121"/>
          <w:spacing w:val="4"/>
        </w:rPr>
        <w:t> </w:t>
      </w:r>
      <w:r>
        <w:rPr>
          <w:color w:val="212121"/>
        </w:rPr>
        <w:t>Y.,</w:t>
      </w:r>
      <w:r>
        <w:rPr>
          <w:color w:val="212121"/>
          <w:spacing w:val="4"/>
        </w:rPr>
        <w:t> </w:t>
      </w:r>
      <w:r>
        <w:rPr>
          <w:color w:val="212121"/>
        </w:rPr>
        <w:t>Shin,</w:t>
      </w:r>
      <w:r>
        <w:rPr>
          <w:color w:val="212121"/>
          <w:spacing w:val="4"/>
        </w:rPr>
        <w:t> </w:t>
      </w:r>
      <w:r>
        <w:rPr>
          <w:color w:val="212121"/>
        </w:rPr>
        <w:t>H.</w:t>
      </w:r>
      <w:r>
        <w:rPr>
          <w:color w:val="212121"/>
          <w:spacing w:val="8"/>
        </w:rPr>
        <w:t> </w:t>
      </w:r>
      <w:r>
        <w:rPr>
          <w:color w:val="212121"/>
        </w:rPr>
        <w:t>I.,</w:t>
      </w:r>
      <w:r>
        <w:rPr>
          <w:color w:val="212121"/>
          <w:spacing w:val="6"/>
        </w:rPr>
        <w:t> </w:t>
      </w:r>
      <w:r>
        <w:rPr>
          <w:color w:val="212121"/>
        </w:rPr>
        <w:t>Beattie,</w:t>
      </w:r>
      <w:r>
        <w:rPr>
          <w:color w:val="212121"/>
          <w:spacing w:val="3"/>
        </w:rPr>
        <w:t> </w:t>
      </w:r>
      <w:r>
        <w:rPr>
          <w:color w:val="212121"/>
        </w:rPr>
        <w:t>J.</w:t>
      </w:r>
      <w:r>
        <w:rPr>
          <w:color w:val="212121"/>
          <w:spacing w:val="4"/>
        </w:rPr>
        <w:t> </w:t>
      </w:r>
      <w:r>
        <w:rPr>
          <w:color w:val="212121"/>
        </w:rPr>
        <w:t>H.,</w:t>
      </w:r>
      <w:r>
        <w:rPr>
          <w:color w:val="212121"/>
          <w:spacing w:val="6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Kwun,</w:t>
      </w:r>
    </w:p>
    <w:p>
      <w:pPr>
        <w:pStyle w:val="ListParagraph"/>
        <w:numPr>
          <w:ilvl w:val="2"/>
          <w:numId w:val="21"/>
        </w:numPr>
        <w:tabs>
          <w:tab w:pos="1386" w:val="left" w:leader="none"/>
        </w:tabs>
        <w:spacing w:line="240" w:lineRule="auto" w:before="0" w:after="0"/>
        <w:ind w:left="1105" w:right="958" w:firstLine="0"/>
        <w:jc w:val="both"/>
        <w:rPr>
          <w:sz w:val="24"/>
        </w:rPr>
      </w:pP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(2007).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Zinc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deficiency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negatively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affects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alkaline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phosphatase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concentration of Ca, Mg and P in rats. </w:t>
      </w:r>
      <w:r>
        <w:rPr>
          <w:i/>
          <w:color w:val="212121"/>
          <w:sz w:val="24"/>
        </w:rPr>
        <w:t>Nutrition research and practice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</w:t>
      </w:r>
      <w:r>
        <w:rPr>
          <w:color w:val="212121"/>
          <w:sz w:val="24"/>
        </w:rPr>
        <w:t>(2), 113-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119.</w:t>
      </w:r>
    </w:p>
    <w:p>
      <w:pPr>
        <w:pStyle w:val="BodyText"/>
        <w:spacing w:before="1"/>
      </w:pPr>
    </w:p>
    <w:p>
      <w:pPr>
        <w:pStyle w:val="BodyText"/>
        <w:ind w:left="1105" w:right="955" w:hanging="720"/>
        <w:jc w:val="both"/>
      </w:pPr>
      <w:r>
        <w:rPr/>
        <w:t>Chola,</w:t>
      </w:r>
      <w:r>
        <w:rPr>
          <w:spacing w:val="54"/>
        </w:rPr>
        <w:t> </w:t>
      </w:r>
      <w:r>
        <w:rPr/>
        <w:t>L.,</w:t>
      </w:r>
      <w:r>
        <w:rPr>
          <w:spacing w:val="56"/>
        </w:rPr>
        <w:t> </w:t>
      </w:r>
      <w:r>
        <w:rPr/>
        <w:t>Michalow,</w:t>
      </w:r>
      <w:r>
        <w:rPr>
          <w:spacing w:val="56"/>
        </w:rPr>
        <w:t> </w:t>
      </w:r>
      <w:r>
        <w:rPr/>
        <w:t>J.,</w:t>
      </w:r>
      <w:r>
        <w:rPr>
          <w:spacing w:val="52"/>
        </w:rPr>
        <w:t> </w:t>
      </w:r>
      <w:r>
        <w:rPr/>
        <w:t>Tugendhaft,</w:t>
      </w:r>
      <w:r>
        <w:rPr>
          <w:spacing w:val="53"/>
        </w:rPr>
        <w:t> </w:t>
      </w:r>
      <w:r>
        <w:rPr/>
        <w:t>A.,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Hofman,</w:t>
      </w:r>
      <w:r>
        <w:rPr>
          <w:spacing w:val="52"/>
        </w:rPr>
        <w:t> </w:t>
      </w:r>
      <w:r>
        <w:rPr/>
        <w:t>K.</w:t>
      </w:r>
      <w:r>
        <w:rPr>
          <w:spacing w:val="55"/>
        </w:rPr>
        <w:t> </w:t>
      </w:r>
      <w:r>
        <w:rPr/>
        <w:t>(2015).</w:t>
      </w:r>
      <w:r>
        <w:rPr>
          <w:spacing w:val="55"/>
        </w:rPr>
        <w:t> </w:t>
      </w:r>
      <w:r>
        <w:rPr/>
        <w:t>Reducing</w:t>
      </w:r>
      <w:r>
        <w:rPr>
          <w:spacing w:val="54"/>
        </w:rPr>
        <w:t> </w:t>
      </w:r>
      <w:r>
        <w:rPr/>
        <w:t>diarrhoea</w:t>
      </w:r>
      <w:r>
        <w:rPr>
          <w:spacing w:val="-58"/>
        </w:rPr>
        <w:t> </w:t>
      </w:r>
      <w:r>
        <w:rPr/>
        <w:t>deaths in South Africa: costs and effects of scaling up essential interventions 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under-five</w:t>
      </w:r>
      <w:r>
        <w:rPr>
          <w:spacing w:val="1"/>
        </w:rPr>
        <w:t> </w:t>
      </w:r>
      <w:r>
        <w:rPr/>
        <w:t>children. </w:t>
      </w:r>
      <w:r>
        <w:rPr>
          <w:i/>
        </w:rPr>
        <w:t>Bioorganic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Medicinal</w:t>
      </w:r>
      <w:r>
        <w:rPr>
          <w:i/>
          <w:spacing w:val="1"/>
        </w:rPr>
        <w:t> </w:t>
      </w:r>
      <w:r>
        <w:rPr>
          <w:i/>
        </w:rPr>
        <w:t>Chemistry</w:t>
      </w:r>
      <w:r>
        <w:rPr>
          <w:i/>
          <w:spacing w:val="-2"/>
        </w:rPr>
        <w:t> </w:t>
      </w:r>
      <w:r>
        <w:rPr>
          <w:i/>
        </w:rPr>
        <w:t>Public Health</w:t>
      </w:r>
      <w:r>
        <w:rPr/>
        <w:t>, 15(1): 394.</w:t>
      </w:r>
    </w:p>
    <w:p>
      <w:pPr>
        <w:pStyle w:val="BodyText"/>
      </w:pPr>
    </w:p>
    <w:p>
      <w:pPr>
        <w:pStyle w:val="BodyText"/>
        <w:ind w:left="1105" w:right="951" w:hanging="720"/>
      </w:pPr>
      <w:r>
        <w:rPr/>
        <w:t>Clasen, T., Boisson, S., Routray, P., Torondel, B., Bell, M., Cumming, O., ... and Ray, S.</w:t>
      </w:r>
      <w:r>
        <w:rPr>
          <w:spacing w:val="1"/>
        </w:rPr>
        <w:t> </w:t>
      </w:r>
      <w:r>
        <w:rPr/>
        <w:t>(2014).</w:t>
      </w:r>
      <w:r>
        <w:rPr>
          <w:spacing w:val="4"/>
        </w:rPr>
        <w:t> </w:t>
      </w:r>
      <w:r>
        <w:rPr/>
        <w:t>Effectiveness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rural</w:t>
      </w:r>
      <w:r>
        <w:rPr>
          <w:spacing w:val="6"/>
        </w:rPr>
        <w:t> </w:t>
      </w:r>
      <w:r>
        <w:rPr/>
        <w:t>sanitation</w:t>
      </w:r>
      <w:r>
        <w:rPr>
          <w:spacing w:val="4"/>
        </w:rPr>
        <w:t> </w:t>
      </w:r>
      <w:r>
        <w:rPr/>
        <w:t>programme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diarrhoea,</w:t>
      </w:r>
      <w:r>
        <w:rPr>
          <w:spacing w:val="15"/>
        </w:rPr>
        <w:t> </w:t>
      </w:r>
      <w:r>
        <w:rPr/>
        <w:t>soil-transmitted</w:t>
      </w:r>
      <w:r>
        <w:rPr>
          <w:spacing w:val="-57"/>
        </w:rPr>
        <w:t> </w:t>
      </w:r>
      <w:r>
        <w:rPr/>
        <w:t>helminth</w:t>
      </w:r>
      <w:r>
        <w:rPr>
          <w:spacing w:val="38"/>
        </w:rPr>
        <w:t> </w:t>
      </w:r>
      <w:r>
        <w:rPr/>
        <w:t>infection,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child</w:t>
      </w:r>
      <w:r>
        <w:rPr>
          <w:spacing w:val="38"/>
        </w:rPr>
        <w:t> </w:t>
      </w:r>
      <w:r>
        <w:rPr/>
        <w:t>malnutrition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Odisha,</w:t>
      </w:r>
      <w:r>
        <w:rPr>
          <w:spacing w:val="40"/>
        </w:rPr>
        <w:t> </w:t>
      </w:r>
      <w:r>
        <w:rPr/>
        <w:t>India: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cluster-randomised</w:t>
      </w:r>
      <w:r>
        <w:rPr>
          <w:spacing w:val="-57"/>
        </w:rPr>
        <w:t> </w:t>
      </w:r>
      <w:r>
        <w:rPr/>
        <w:t>trial.</w:t>
      </w:r>
      <w:r>
        <w:rPr>
          <w:spacing w:val="-2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Lancet</w:t>
      </w:r>
      <w:r>
        <w:rPr>
          <w:i/>
          <w:spacing w:val="1"/>
        </w:rPr>
        <w:t> </w:t>
      </w:r>
      <w:r>
        <w:rPr>
          <w:i/>
        </w:rPr>
        <w:t>Global Health</w:t>
      </w:r>
      <w:r>
        <w:rPr/>
        <w:t>, 2(11): 645-653.</w:t>
      </w:r>
    </w:p>
    <w:p>
      <w:pPr>
        <w:pStyle w:val="BodyText"/>
      </w:pPr>
    </w:p>
    <w:p>
      <w:pPr>
        <w:pStyle w:val="BodyText"/>
        <w:spacing w:before="1"/>
        <w:ind w:left="1105" w:right="956" w:hanging="720"/>
        <w:jc w:val="both"/>
      </w:pPr>
      <w:r>
        <w:rPr/>
        <w:t>Clay, P. G., and Crutchley, R. D. (2014). Noninfectious diarrhea in</w:t>
      </w:r>
      <w:r>
        <w:rPr>
          <w:spacing w:val="1"/>
        </w:rPr>
        <w:t> </w:t>
      </w:r>
      <w:r>
        <w:rPr/>
        <w:t>HIV seropositive</w:t>
      </w:r>
      <w:r>
        <w:rPr>
          <w:spacing w:val="1"/>
        </w:rPr>
        <w:t> </w:t>
      </w:r>
      <w:r>
        <w:rPr/>
        <w:t>individuals: a review of prevalence rates, etiology, and management in the era of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antiretroviral</w:t>
      </w:r>
      <w:r>
        <w:rPr>
          <w:spacing w:val="1"/>
        </w:rPr>
        <w:t> </w:t>
      </w:r>
      <w:r>
        <w:rPr/>
        <w:t>therapy. </w:t>
      </w:r>
      <w:r>
        <w:rPr>
          <w:i/>
        </w:rPr>
        <w:t>Infectious</w:t>
      </w:r>
      <w:r>
        <w:rPr>
          <w:i/>
          <w:spacing w:val="1"/>
        </w:rPr>
        <w:t> </w:t>
      </w:r>
      <w:r>
        <w:rPr>
          <w:i/>
        </w:rPr>
        <w:t>Diseases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Therapy</w:t>
      </w:r>
      <w:r>
        <w:rPr/>
        <w:t>, 3(2):</w:t>
      </w:r>
      <w:r>
        <w:rPr>
          <w:spacing w:val="60"/>
        </w:rPr>
        <w:t> </w:t>
      </w:r>
      <w:r>
        <w:rPr/>
        <w:t>103-</w:t>
      </w:r>
      <w:r>
        <w:rPr>
          <w:spacing w:val="-58"/>
        </w:rPr>
        <w:t> </w:t>
      </w:r>
      <w:r>
        <w:rPr/>
        <w:t>122.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909" w:val="left" w:leader="none"/>
          <w:tab w:pos="2926" w:val="left" w:leader="none"/>
          <w:tab w:pos="3422" w:val="left" w:leader="none"/>
          <w:tab w:pos="4240" w:val="left" w:leader="none"/>
          <w:tab w:pos="4698" w:val="left" w:leader="none"/>
          <w:tab w:pos="5822" w:val="left" w:leader="none"/>
          <w:tab w:pos="7405" w:val="left" w:leader="none"/>
          <w:tab w:pos="8276" w:val="left" w:leader="none"/>
        </w:tabs>
        <w:ind w:left="1105" w:right="953" w:hanging="720"/>
      </w:pPr>
      <w:r>
        <w:rPr/>
        <w:t>Coker, R., Rushton, J., Mounier-Jack, S., Karimuribo, E., Lutumba, P., Kambarage, D., ...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Rweyemamu,</w:t>
      </w:r>
      <w:r>
        <w:rPr>
          <w:spacing w:val="49"/>
        </w:rPr>
        <w:t> </w:t>
      </w:r>
      <w:r>
        <w:rPr/>
        <w:t>M.</w:t>
      </w:r>
      <w:r>
        <w:rPr>
          <w:spacing w:val="52"/>
        </w:rPr>
        <w:t> </w:t>
      </w:r>
      <w:r>
        <w:rPr/>
        <w:t>(2011).</w:t>
      </w:r>
      <w:r>
        <w:rPr>
          <w:spacing w:val="49"/>
        </w:rPr>
        <w:t> </w:t>
      </w:r>
      <w:r>
        <w:rPr/>
        <w:t>Towards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conceptual</w:t>
      </w:r>
      <w:r>
        <w:rPr>
          <w:spacing w:val="49"/>
        </w:rPr>
        <w:t> </w:t>
      </w:r>
      <w:r>
        <w:rPr/>
        <w:t>framework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support</w:t>
      </w:r>
      <w:r>
        <w:rPr>
          <w:spacing w:val="48"/>
        </w:rPr>
        <w:t> </w:t>
      </w:r>
      <w:r>
        <w:rPr/>
        <w:t>one-</w:t>
      </w:r>
      <w:r>
        <w:rPr>
          <w:spacing w:val="-57"/>
        </w:rPr>
        <w:t> </w:t>
      </w:r>
      <w:r>
        <w:rPr/>
        <w:t>health</w:t>
        <w:tab/>
        <w:t>research</w:t>
        <w:tab/>
        <w:t>for</w:t>
        <w:tab/>
        <w:t>policy</w:t>
        <w:tab/>
        <w:t>on</w:t>
        <w:tab/>
        <w:t>emerging</w:t>
        <w:tab/>
        <w:t>zoonoses.</w:t>
      </w:r>
      <w:r>
        <w:rPr>
          <w:spacing w:val="3"/>
        </w:rPr>
        <w:t> </w:t>
      </w:r>
      <w:r>
        <w:rPr>
          <w:i/>
        </w:rPr>
        <w:t>The</w:t>
        <w:tab/>
        <w:t>Lancet</w:t>
        <w:tab/>
      </w:r>
      <w:r>
        <w:rPr>
          <w:i/>
          <w:spacing w:val="-1"/>
        </w:rPr>
        <w:t>Infectious</w:t>
      </w:r>
      <w:r>
        <w:rPr>
          <w:i/>
          <w:spacing w:val="-57"/>
        </w:rPr>
        <w:t> </w:t>
      </w:r>
      <w:r>
        <w:rPr>
          <w:i/>
        </w:rPr>
        <w:t>Diseases</w:t>
      </w:r>
      <w:r>
        <w:rPr/>
        <w:t>,</w:t>
      </w:r>
      <w:r>
        <w:rPr>
          <w:spacing w:val="-1"/>
        </w:rPr>
        <w:t> </w:t>
      </w:r>
      <w:r>
        <w:rPr/>
        <w:t>11(4): 326-331.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05" w:right="957" w:hanging="720"/>
        <w:jc w:val="both"/>
      </w:pPr>
      <w:r>
        <w:rPr/>
        <w:t>Cooper, R. J. (2013). Over the-counter medicine</w:t>
      </w:r>
      <w:r>
        <w:rPr>
          <w:spacing w:val="60"/>
        </w:rPr>
        <w:t> </w:t>
      </w:r>
      <w:r>
        <w:rPr/>
        <w:t>abuse: a review of the literature.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Substance</w:t>
      </w:r>
      <w:r>
        <w:rPr>
          <w:i/>
          <w:spacing w:val="-1"/>
        </w:rPr>
        <w:t> </w:t>
      </w:r>
      <w:r>
        <w:rPr>
          <w:i/>
        </w:rPr>
        <w:t>Use</w:t>
      </w:r>
      <w:r>
        <w:rPr/>
        <w:t>, 18(2):</w:t>
      </w:r>
      <w:r>
        <w:rPr>
          <w:spacing w:val="2"/>
        </w:rPr>
        <w:t> </w:t>
      </w:r>
      <w:r>
        <w:rPr/>
        <w:t>82-107.</w:t>
      </w:r>
    </w:p>
    <w:p>
      <w:pPr>
        <w:pStyle w:val="BodyText"/>
        <w:spacing w:before="1"/>
      </w:pPr>
    </w:p>
    <w:p>
      <w:pPr>
        <w:pStyle w:val="BodyText"/>
        <w:ind w:left="1105" w:right="952" w:hanging="720"/>
        <w:jc w:val="both"/>
      </w:pPr>
      <w:r>
        <w:rPr/>
        <w:t>de Oliveira F. R., Quirino, Z. G. M., Diniz, M. D. F. F. M., Marinho, A. F., Tavares, J. F.,</w:t>
      </w:r>
      <w:r>
        <w:rPr>
          <w:spacing w:val="1"/>
        </w:rPr>
        <w:t> </w:t>
      </w:r>
      <w:r>
        <w:rPr/>
        <w:t>and Batista, L. M. (2017). </w:t>
      </w:r>
      <w:r>
        <w:rPr>
          <w:i/>
        </w:rPr>
        <w:t>Maytenus erythroxylon </w:t>
      </w:r>
      <w:r>
        <w:rPr/>
        <w:t>Reissek (Celastraceae) 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antidiarrheal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antimotility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antisecretory</w:t>
      </w:r>
      <w:r>
        <w:rPr>
          <w:spacing w:val="1"/>
        </w:rPr>
        <w:t> </w:t>
      </w:r>
      <w:r>
        <w:rPr/>
        <w:t>mechanisms.</w:t>
      </w:r>
      <w:r>
        <w:rPr>
          <w:spacing w:val="2"/>
        </w:rPr>
        <w:t> </w:t>
      </w:r>
      <w:r>
        <w:rPr>
          <w:i/>
        </w:rPr>
        <w:t>World journal of</w:t>
      </w:r>
      <w:r>
        <w:rPr>
          <w:i/>
          <w:spacing w:val="-1"/>
        </w:rPr>
        <w:t> </w:t>
      </w:r>
      <w:r>
        <w:rPr>
          <w:i/>
        </w:rPr>
        <w:t>gastroenterology</w:t>
      </w:r>
      <w:r>
        <w:rPr/>
        <w:t>, 23(24): 4381-4389.</w:t>
      </w:r>
    </w:p>
    <w:p>
      <w:pPr>
        <w:pStyle w:val="BodyText"/>
      </w:pPr>
    </w:p>
    <w:p>
      <w:pPr>
        <w:pStyle w:val="BodyText"/>
        <w:ind w:left="385"/>
        <w:jc w:val="both"/>
      </w:pPr>
      <w:r>
        <w:rPr/>
        <w:t>de</w:t>
      </w:r>
      <w:r>
        <w:rPr>
          <w:spacing w:val="11"/>
        </w:rPr>
        <w:t> </w:t>
      </w:r>
      <w:r>
        <w:rPr/>
        <w:t>Souza</w:t>
      </w:r>
      <w:r>
        <w:rPr>
          <w:spacing w:val="12"/>
        </w:rPr>
        <w:t> </w:t>
      </w:r>
      <w:r>
        <w:rPr/>
        <w:t>Monteiro,</w:t>
      </w:r>
      <w:r>
        <w:rPr>
          <w:spacing w:val="12"/>
        </w:rPr>
        <w:t> </w:t>
      </w:r>
      <w:r>
        <w:rPr/>
        <w:t>F.,</w:t>
      </w:r>
      <w:r>
        <w:rPr>
          <w:spacing w:val="10"/>
        </w:rPr>
        <w:t> </w:t>
      </w:r>
      <w:r>
        <w:rPr/>
        <w:t>Carvalho,</w:t>
      </w:r>
      <w:r>
        <w:rPr>
          <w:spacing w:val="13"/>
        </w:rPr>
        <w:t> </w:t>
      </w:r>
      <w:r>
        <w:rPr/>
        <w:t>A.</w:t>
      </w:r>
      <w:r>
        <w:rPr>
          <w:spacing w:val="11"/>
        </w:rPr>
        <w:t> </w:t>
      </w:r>
      <w:r>
        <w:rPr/>
        <w:t>F.</w:t>
      </w:r>
      <w:r>
        <w:rPr>
          <w:spacing w:val="13"/>
        </w:rPr>
        <w:t> </w:t>
      </w:r>
      <w:r>
        <w:rPr/>
        <w:t>S.,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Castro</w:t>
      </w:r>
      <w:r>
        <w:rPr>
          <w:spacing w:val="12"/>
        </w:rPr>
        <w:t> </w:t>
      </w:r>
      <w:r>
        <w:rPr/>
        <w:t>Marques,</w:t>
      </w:r>
      <w:r>
        <w:rPr>
          <w:spacing w:val="13"/>
        </w:rPr>
        <w:t> </w:t>
      </w:r>
      <w:r>
        <w:rPr/>
        <w:t>E.,</w:t>
      </w:r>
      <w:r>
        <w:rPr>
          <w:spacing w:val="12"/>
        </w:rPr>
        <w:t> </w:t>
      </w:r>
      <w:r>
        <w:rPr/>
        <w:t>Ribeiro,</w:t>
      </w:r>
      <w:r>
        <w:rPr>
          <w:spacing w:val="13"/>
        </w:rPr>
        <w:t> </w:t>
      </w:r>
      <w:r>
        <w:rPr/>
        <w:t>R.</w:t>
      </w:r>
      <w:r>
        <w:rPr>
          <w:spacing w:val="13"/>
        </w:rPr>
        <w:t> </w:t>
      </w:r>
      <w:r>
        <w:rPr/>
        <w:t>M.,</w:t>
      </w:r>
      <w:r>
        <w:rPr>
          <w:spacing w:val="12"/>
        </w:rPr>
        <w:t> </w:t>
      </w:r>
      <w:r>
        <w:rPr/>
        <w:t>Borges,</w:t>
      </w:r>
    </w:p>
    <w:p>
      <w:pPr>
        <w:spacing w:before="0"/>
        <w:ind w:left="1105" w:right="954" w:firstLine="0"/>
        <w:jc w:val="both"/>
        <w:rPr>
          <w:sz w:val="24"/>
        </w:rPr>
      </w:pP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Rocha</w:t>
      </w:r>
      <w:r>
        <w:rPr>
          <w:spacing w:val="1"/>
          <w:sz w:val="24"/>
        </w:rPr>
        <w:t> </w:t>
      </w:r>
      <w:r>
        <w:rPr>
          <w:sz w:val="24"/>
        </w:rPr>
        <w:t>Borges,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Antidiarrhoeal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antispasmodic</w:t>
      </w:r>
      <w:r>
        <w:rPr>
          <w:spacing w:val="-57"/>
          <w:sz w:val="24"/>
        </w:rPr>
        <w:t> </w:t>
      </w:r>
      <w:r>
        <w:rPr>
          <w:sz w:val="24"/>
        </w:rPr>
        <w:t>activity of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Syzygium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cumini</w:t>
      </w:r>
      <w:r>
        <w:rPr>
          <w:i/>
          <w:spacing w:val="1"/>
          <w:sz w:val="24"/>
        </w:rPr>
        <w:t> </w:t>
      </w:r>
      <w:r>
        <w:rPr>
          <w:sz w:val="24"/>
        </w:rPr>
        <w:t>L.(Myrtaceae)</w:t>
      </w:r>
      <w:r>
        <w:rPr>
          <w:spacing w:val="1"/>
          <w:sz w:val="24"/>
        </w:rPr>
        <w:t> </w:t>
      </w:r>
      <w:r>
        <w:rPr>
          <w:sz w:val="24"/>
        </w:rPr>
        <w:t>mediated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calcium</w:t>
      </w:r>
      <w:r>
        <w:rPr>
          <w:spacing w:val="-57"/>
          <w:sz w:val="24"/>
        </w:rPr>
        <w:t> </w:t>
      </w:r>
      <w:r>
        <w:rPr>
          <w:sz w:val="24"/>
        </w:rPr>
        <w:t>channel</w:t>
      </w:r>
      <w:r>
        <w:rPr>
          <w:spacing w:val="-1"/>
          <w:sz w:val="24"/>
        </w:rPr>
        <w:t> </w:t>
      </w:r>
      <w:r>
        <w:rPr>
          <w:sz w:val="24"/>
        </w:rPr>
        <w:t>blockage. </w:t>
      </w:r>
      <w:r>
        <w:rPr>
          <w:i/>
          <w:sz w:val="24"/>
        </w:rPr>
        <w:t>African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 12(1):</w:t>
      </w:r>
      <w:r>
        <w:rPr>
          <w:spacing w:val="1"/>
          <w:sz w:val="24"/>
        </w:rPr>
        <w:t> </w:t>
      </w:r>
      <w:r>
        <w:rPr>
          <w:sz w:val="24"/>
        </w:rPr>
        <w:t>11-18.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before="186"/>
        <w:ind w:left="385"/>
      </w:pPr>
      <w:r>
        <w:rPr/>
        <w:t>Di</w:t>
      </w:r>
      <w:r>
        <w:rPr>
          <w:spacing w:val="-1"/>
        </w:rPr>
        <w:t> </w:t>
      </w:r>
      <w:r>
        <w:rPr/>
        <w:t>Carlo, G.,</w:t>
      </w:r>
      <w:r>
        <w:rPr>
          <w:spacing w:val="-1"/>
        </w:rPr>
        <w:t> </w:t>
      </w:r>
      <w:r>
        <w:rPr/>
        <w:t>Autore, G., Izzo, A.</w:t>
      </w:r>
      <w:r>
        <w:rPr>
          <w:spacing w:val="-1"/>
        </w:rPr>
        <w:t> </w:t>
      </w:r>
      <w:r>
        <w:rPr/>
        <w:t>A., Maiolino,</w:t>
      </w:r>
      <w:r>
        <w:rPr>
          <w:spacing w:val="-1"/>
        </w:rPr>
        <w:t> </w:t>
      </w:r>
      <w:r>
        <w:rPr/>
        <w:t>P., Mascolo,</w:t>
      </w:r>
      <w:r>
        <w:rPr>
          <w:spacing w:val="-1"/>
        </w:rPr>
        <w:t> </w:t>
      </w:r>
      <w:r>
        <w:rPr/>
        <w:t>N., Viola,</w:t>
      </w:r>
      <w:r>
        <w:rPr>
          <w:spacing w:val="-1"/>
        </w:rPr>
        <w:t> </w:t>
      </w:r>
      <w:r>
        <w:rPr/>
        <w:t>P., ...</w:t>
      </w:r>
      <w:r>
        <w:rPr>
          <w:spacing w:val="-1"/>
        </w:rPr>
        <w:t> </w:t>
      </w:r>
      <w:r>
        <w:rPr/>
        <w:t>and Capasso,</w:t>
      </w:r>
    </w:p>
    <w:p>
      <w:pPr>
        <w:pStyle w:val="BodyText"/>
        <w:ind w:left="1105" w:right="914"/>
      </w:pPr>
      <w:r>
        <w:rPr/>
        <w:t>F. (1993). Inhibition of intestinal motility and secretion by flavonoids in mice and</w:t>
      </w:r>
      <w:r>
        <w:rPr>
          <w:spacing w:val="1"/>
        </w:rPr>
        <w:t> </w:t>
      </w:r>
      <w:r>
        <w:rPr/>
        <w:t>Rats:</w:t>
      </w:r>
      <w:r>
        <w:rPr>
          <w:spacing w:val="15"/>
        </w:rPr>
        <w:t> </w:t>
      </w:r>
      <w:r>
        <w:rPr/>
        <w:t>structure-activity</w:t>
      </w:r>
      <w:r>
        <w:rPr>
          <w:spacing w:val="11"/>
        </w:rPr>
        <w:t> </w:t>
      </w:r>
      <w:r>
        <w:rPr/>
        <w:t>relationships.</w:t>
      </w:r>
      <w:r>
        <w:rPr>
          <w:spacing w:val="16"/>
        </w:rPr>
        <w:t> </w:t>
      </w:r>
      <w:r>
        <w:rPr>
          <w:i/>
        </w:rPr>
        <w:t>Journal</w:t>
      </w:r>
      <w:r>
        <w:rPr>
          <w:i/>
          <w:spacing w:val="14"/>
        </w:rPr>
        <w:t> </w:t>
      </w:r>
      <w:r>
        <w:rPr>
          <w:i/>
        </w:rPr>
        <w:t>of</w:t>
      </w:r>
      <w:r>
        <w:rPr>
          <w:i/>
          <w:spacing w:val="14"/>
        </w:rPr>
        <w:t> </w:t>
      </w:r>
      <w:r>
        <w:rPr>
          <w:i/>
        </w:rPr>
        <w:t>Pharmacy</w:t>
      </w:r>
      <w:r>
        <w:rPr>
          <w:i/>
          <w:spacing w:val="13"/>
        </w:rPr>
        <w:t> </w:t>
      </w:r>
      <w:r>
        <w:rPr>
          <w:i/>
        </w:rPr>
        <w:t>and</w:t>
      </w:r>
      <w:r>
        <w:rPr>
          <w:i/>
          <w:spacing w:val="16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57"/>
        </w:rPr>
        <w:t> </w:t>
      </w:r>
      <w:r>
        <w:rPr/>
        <w:t>45(12):</w:t>
      </w:r>
      <w:r>
        <w:rPr>
          <w:spacing w:val="-1"/>
        </w:rPr>
        <w:t> </w:t>
      </w:r>
      <w:r>
        <w:rPr/>
        <w:t>1054-1059.</w:t>
      </w:r>
    </w:p>
    <w:p>
      <w:pPr>
        <w:pStyle w:val="BodyText"/>
      </w:pPr>
    </w:p>
    <w:p>
      <w:pPr>
        <w:pStyle w:val="BodyText"/>
        <w:spacing w:before="1"/>
        <w:ind w:left="1105" w:right="1005" w:hanging="720"/>
      </w:pPr>
      <w:r>
        <w:rPr/>
        <w:t>Dixon,</w:t>
      </w:r>
      <w:r>
        <w:rPr>
          <w:spacing w:val="-2"/>
        </w:rPr>
        <w:t> </w:t>
      </w:r>
      <w:r>
        <w:rPr/>
        <w:t>L.</w:t>
      </w:r>
      <w:r>
        <w:rPr>
          <w:spacing w:val="-1"/>
        </w:rPr>
        <w:t> </w:t>
      </w:r>
      <w:r>
        <w:rPr/>
        <w:t>J.,</w:t>
      </w:r>
      <w:r>
        <w:rPr>
          <w:spacing w:val="-2"/>
        </w:rPr>
        <w:t> </w:t>
      </w:r>
      <w:r>
        <w:rPr/>
        <w:t>Barnes,</w:t>
      </w:r>
      <w:r>
        <w:rPr>
          <w:spacing w:val="-1"/>
        </w:rPr>
        <w:t> </w:t>
      </w:r>
      <w:r>
        <w:rPr/>
        <w:t>M., Tang,</w:t>
      </w:r>
      <w:r>
        <w:rPr>
          <w:spacing w:val="1"/>
        </w:rPr>
        <w:t> </w:t>
      </w:r>
      <w:r>
        <w:rPr/>
        <w:t>H.,</w:t>
      </w:r>
      <w:r>
        <w:rPr>
          <w:spacing w:val="-1"/>
        </w:rPr>
        <w:t> </w:t>
      </w:r>
      <w:r>
        <w:rPr/>
        <w:t>Pritchard,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T.,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Naggy,</w:t>
      </w:r>
      <w:r>
        <w:rPr>
          <w:spacing w:val="1"/>
        </w:rPr>
        <w:t> </w:t>
      </w:r>
      <w:r>
        <w:rPr/>
        <w:t>L.E.,</w:t>
      </w:r>
      <w:r>
        <w:rPr>
          <w:spacing w:val="-1"/>
        </w:rPr>
        <w:t> </w:t>
      </w:r>
      <w:r>
        <w:rPr/>
        <w:t>(2013).</w:t>
      </w:r>
      <w:r>
        <w:rPr>
          <w:spacing w:val="-1"/>
        </w:rPr>
        <w:t> </w:t>
      </w:r>
      <w:r>
        <w:rPr/>
        <w:t>Kupffer</w:t>
      </w:r>
      <w:r>
        <w:rPr>
          <w:spacing w:val="-2"/>
        </w:rPr>
        <w:t> </w:t>
      </w:r>
      <w:r>
        <w:rPr/>
        <w:t>cells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liver.</w:t>
      </w:r>
      <w:r>
        <w:rPr>
          <w:spacing w:val="-1"/>
        </w:rPr>
        <w:t> </w:t>
      </w:r>
      <w:r>
        <w:rPr>
          <w:i/>
        </w:rPr>
        <w:t>Comprehensive</w:t>
      </w:r>
      <w:r>
        <w:rPr>
          <w:i/>
          <w:spacing w:val="-1"/>
        </w:rPr>
        <w:t> </w:t>
      </w:r>
      <w:r>
        <w:rPr>
          <w:i/>
        </w:rPr>
        <w:t>physiology</w:t>
      </w:r>
      <w:r>
        <w:rPr/>
        <w:t>, 3(2): 785-797.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05" w:right="950" w:hanging="720"/>
        <w:jc w:val="left"/>
        <w:rPr>
          <w:sz w:val="24"/>
        </w:rPr>
      </w:pPr>
      <w:r>
        <w:rPr>
          <w:sz w:val="24"/>
        </w:rPr>
        <w:t>Donkor, K., Okine, L. N., Abotsi, W. K., and Woode, E. (2014). Acute and Sub-Chronic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3"/>
          <w:sz w:val="24"/>
        </w:rPr>
        <w:t> </w:t>
      </w:r>
      <w:r>
        <w:rPr>
          <w:sz w:val="24"/>
        </w:rPr>
        <w:t>Studies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aqueous</w:t>
      </w:r>
      <w:r>
        <w:rPr>
          <w:spacing w:val="10"/>
          <w:sz w:val="24"/>
        </w:rPr>
        <w:t> </w:t>
      </w:r>
      <w:r>
        <w:rPr>
          <w:sz w:val="24"/>
        </w:rPr>
        <w:t>extract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root</w:t>
      </w:r>
      <w:r>
        <w:rPr>
          <w:spacing w:val="10"/>
          <w:sz w:val="24"/>
        </w:rPr>
        <w:t> </w:t>
      </w:r>
      <w:r>
        <w:rPr>
          <w:sz w:val="24"/>
        </w:rPr>
        <w:t>bark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i/>
          <w:sz w:val="24"/>
        </w:rPr>
        <w:t>Cassia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sieberiana</w:t>
      </w:r>
      <w:r>
        <w:rPr>
          <w:i/>
          <w:spacing w:val="12"/>
          <w:sz w:val="24"/>
        </w:rPr>
        <w:t> </w:t>
      </w:r>
      <w:r>
        <w:rPr>
          <w:sz w:val="24"/>
        </w:rPr>
        <w:t>DC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Rodents. </w:t>
      </w:r>
      <w:r>
        <w:rPr>
          <w:i/>
          <w:sz w:val="24"/>
        </w:rPr>
        <w:t>Journal of Applied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4(4): 084-089.</w:t>
      </w:r>
    </w:p>
    <w:p>
      <w:pPr>
        <w:pStyle w:val="BodyText"/>
        <w:spacing w:before="1"/>
      </w:pPr>
    </w:p>
    <w:p>
      <w:pPr>
        <w:pStyle w:val="BodyText"/>
        <w:ind w:left="1105" w:right="955" w:hanging="720"/>
      </w:pPr>
      <w:r>
        <w:rPr/>
        <w:t>Dos Santos, S., de Charles Ouédraogo, F., and Soura, A. B. (2015). Water-related factors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childhood</w:t>
      </w:r>
      <w:r>
        <w:rPr>
          <w:spacing w:val="10"/>
        </w:rPr>
        <w:t> </w:t>
      </w:r>
      <w:r>
        <w:rPr/>
        <w:t>diarrhoea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African</w:t>
      </w:r>
      <w:r>
        <w:rPr>
          <w:spacing w:val="10"/>
        </w:rPr>
        <w:t> </w:t>
      </w:r>
      <w:r>
        <w:rPr/>
        <w:t>informal</w:t>
      </w:r>
      <w:r>
        <w:rPr>
          <w:spacing w:val="10"/>
        </w:rPr>
        <w:t> </w:t>
      </w:r>
      <w:r>
        <w:rPr/>
        <w:t>settlements.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cross-sectional</w:t>
      </w:r>
      <w:r>
        <w:rPr>
          <w:spacing w:val="11"/>
        </w:rPr>
        <w:t> </w:t>
      </w:r>
      <w:r>
        <w:rPr/>
        <w:t>study</w:t>
      </w:r>
      <w:r>
        <w:rPr>
          <w:spacing w:val="3"/>
        </w:rPr>
        <w:t> </w:t>
      </w:r>
      <w:r>
        <w:rPr/>
        <w:t>in</w:t>
      </w:r>
      <w:r>
        <w:rPr>
          <w:spacing w:val="-57"/>
        </w:rPr>
        <w:t> </w:t>
      </w:r>
      <w:r>
        <w:rPr/>
        <w:t>Ouagadougou</w:t>
      </w:r>
      <w:r>
        <w:rPr>
          <w:spacing w:val="-1"/>
        </w:rPr>
        <w:t> </w:t>
      </w:r>
      <w:r>
        <w:rPr/>
        <w:t>(Burkina</w:t>
      </w:r>
      <w:r>
        <w:rPr>
          <w:spacing w:val="-2"/>
        </w:rPr>
        <w:t> </w:t>
      </w:r>
      <w:r>
        <w:rPr/>
        <w:t>Faso).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Water</w:t>
      </w:r>
      <w:r>
        <w:rPr>
          <w:i/>
          <w:spacing w:val="-1"/>
        </w:rPr>
        <w:t> </w:t>
      </w:r>
      <w:r>
        <w:rPr>
          <w:i/>
        </w:rPr>
        <w:t>and Health</w:t>
      </w:r>
      <w:r>
        <w:rPr/>
        <w:t>,</w:t>
      </w:r>
      <w:r>
        <w:rPr>
          <w:spacing w:val="-1"/>
        </w:rPr>
        <w:t> </w:t>
      </w:r>
      <w:r>
        <w:rPr/>
        <w:t>13(2): 562-574.</w:t>
      </w:r>
    </w:p>
    <w:p>
      <w:pPr>
        <w:pStyle w:val="BodyText"/>
      </w:pPr>
    </w:p>
    <w:p>
      <w:pPr>
        <w:pStyle w:val="BodyText"/>
        <w:ind w:left="385"/>
        <w:jc w:val="both"/>
      </w:pPr>
      <w:r>
        <w:rPr/>
        <w:t>Easmin,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Sarker,</w:t>
      </w:r>
      <w:r>
        <w:rPr>
          <w:spacing w:val="-1"/>
        </w:rPr>
        <w:t> </w:t>
      </w:r>
      <w:r>
        <w:rPr/>
        <w:t>M. Z.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Ferdosh,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Shamsudin, S.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Yunus,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B., Uddin,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S.,</w:t>
      </w:r>
    </w:p>
    <w:p>
      <w:pPr>
        <w:spacing w:before="0"/>
        <w:ind w:left="1105" w:right="956" w:firstLine="0"/>
        <w:jc w:val="both"/>
        <w:rPr>
          <w:sz w:val="24"/>
        </w:rPr>
      </w:pPr>
      <w:r>
        <w:rPr>
          <w:sz w:val="24"/>
        </w:rPr>
        <w:t>...and</w:t>
      </w:r>
      <w:r>
        <w:rPr>
          <w:spacing w:val="1"/>
          <w:sz w:val="24"/>
        </w:rPr>
        <w:t> </w:t>
      </w:r>
      <w:r>
        <w:rPr>
          <w:sz w:val="24"/>
        </w:rPr>
        <w:t>Khalil,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Bioactive</w:t>
      </w:r>
      <w:r>
        <w:rPr>
          <w:spacing w:val="1"/>
          <w:sz w:val="24"/>
        </w:rPr>
        <w:t> </w:t>
      </w:r>
      <w:r>
        <w:rPr>
          <w:sz w:val="24"/>
        </w:rPr>
        <w:t>compounds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technology:</w:t>
      </w:r>
      <w:r>
        <w:rPr>
          <w:spacing w:val="1"/>
          <w:sz w:val="24"/>
        </w:rPr>
        <w:t> </w:t>
      </w:r>
      <w:r>
        <w:rPr>
          <w:i/>
          <w:sz w:val="24"/>
        </w:rPr>
        <w:t>Phaleria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macrocarpa</w:t>
      </w:r>
      <w:r>
        <w:rPr>
          <w:i/>
          <w:spacing w:val="1"/>
          <w:sz w:val="24"/>
        </w:rPr>
        <w:t> </w:t>
      </w:r>
      <w:r>
        <w:rPr>
          <w:sz w:val="24"/>
        </w:rPr>
        <w:t>(sheff.)</w:t>
      </w:r>
      <w:r>
        <w:rPr>
          <w:spacing w:val="1"/>
          <w:sz w:val="24"/>
        </w:rPr>
        <w:t> </w:t>
      </w:r>
      <w:r>
        <w:rPr>
          <w:sz w:val="24"/>
        </w:rPr>
        <w:t>Boerl,</w:t>
      </w:r>
      <w:r>
        <w:rPr>
          <w:spacing w:val="1"/>
          <w:sz w:val="24"/>
        </w:rPr>
        <w:t> </w:t>
      </w:r>
      <w:r>
        <w:rPr>
          <w:sz w:val="24"/>
        </w:rPr>
        <w:t>a review.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Biotechnology</w:t>
      </w:r>
      <w:r>
        <w:rPr>
          <w:sz w:val="24"/>
        </w:rPr>
        <w:t>, 90(6): 981-991.</w:t>
      </w:r>
      <w:r>
        <w:rPr>
          <w:spacing w:val="2"/>
          <w:sz w:val="24"/>
        </w:rPr>
        <w:t> </w:t>
      </w:r>
      <w:r>
        <w:rPr>
          <w:sz w:val="24"/>
        </w:rPr>
        <w:t>doi:</w:t>
      </w:r>
      <w:r>
        <w:rPr>
          <w:spacing w:val="-1"/>
          <w:sz w:val="24"/>
        </w:rPr>
        <w:t> </w:t>
      </w:r>
      <w:r>
        <w:rPr>
          <w:sz w:val="24"/>
        </w:rPr>
        <w:t>10.1002/jctb.4603.</w:t>
      </w:r>
    </w:p>
    <w:p>
      <w:pPr>
        <w:pStyle w:val="BodyText"/>
      </w:pPr>
    </w:p>
    <w:p>
      <w:pPr>
        <w:pStyle w:val="BodyText"/>
        <w:ind w:left="1105" w:right="957" w:hanging="720"/>
        <w:jc w:val="both"/>
      </w:pPr>
      <w:r>
        <w:rPr/>
        <w:t>Eberlin,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Muck,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Michel,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pharmacodynamics,</w:t>
      </w:r>
      <w:r>
        <w:rPr>
          <w:spacing w:val="1"/>
        </w:rPr>
        <w:t> </w:t>
      </w:r>
      <w:r>
        <w:rPr/>
        <w:t>pharmacokinetics,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endopeptidase</w:t>
      </w:r>
      <w:r>
        <w:rPr>
          <w:spacing w:val="-2"/>
        </w:rPr>
        <w:t> </w:t>
      </w:r>
      <w:r>
        <w:rPr/>
        <w:t>inhibitor</w:t>
      </w:r>
      <w:r>
        <w:rPr>
          <w:spacing w:val="-1"/>
        </w:rPr>
        <w:t> </w:t>
      </w:r>
      <w:r>
        <w:rPr/>
        <w:t>racecadotril.</w:t>
      </w:r>
      <w:r>
        <w:rPr>
          <w:spacing w:val="1"/>
        </w:rPr>
        <w:t> </w:t>
      </w:r>
      <w:r>
        <w:rPr>
          <w:i/>
        </w:rPr>
        <w:t>Frontiers In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3: 93-101.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105" w:right="950" w:hanging="720"/>
      </w:pPr>
      <w:r>
        <w:rPr/>
        <w:t>El Kabbaoui, M., Chda, A., El-Akhal, J., Azdad, O., Mejrhit, N., Aarab, L., ... and Tazi, A.</w:t>
      </w:r>
      <w:r>
        <w:rPr>
          <w:spacing w:val="1"/>
        </w:rPr>
        <w:t> </w:t>
      </w:r>
      <w:r>
        <w:rPr/>
        <w:t>(2017).</w:t>
      </w:r>
      <w:r>
        <w:rPr>
          <w:spacing w:val="2"/>
        </w:rPr>
        <w:t> </w:t>
      </w:r>
      <w:r>
        <w:rPr/>
        <w:t>Acute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sub-chronic</w:t>
      </w:r>
      <w:r>
        <w:rPr>
          <w:spacing w:val="2"/>
        </w:rPr>
        <w:t> </w:t>
      </w:r>
      <w:r>
        <w:rPr/>
        <w:t>toxicity</w:t>
      </w:r>
      <w:r>
        <w:rPr>
          <w:spacing w:val="-4"/>
        </w:rPr>
        <w:t> </w:t>
      </w:r>
      <w:r>
        <w:rPr/>
        <w:t>studies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aqueous</w:t>
      </w:r>
      <w:r>
        <w:rPr>
          <w:spacing w:val="3"/>
        </w:rPr>
        <w:t> </w:t>
      </w:r>
      <w:r>
        <w:rPr/>
        <w:t>extract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leaves</w:t>
      </w:r>
      <w:r>
        <w:rPr>
          <w:spacing w:val="3"/>
        </w:rPr>
        <w:t> </w:t>
      </w:r>
      <w:r>
        <w:rPr/>
        <w:t>of</w:t>
      </w:r>
      <w:r>
        <w:rPr>
          <w:spacing w:val="-57"/>
        </w:rPr>
        <w:t> </w:t>
      </w:r>
      <w:r>
        <w:rPr>
          <w:i/>
        </w:rPr>
        <w:t>Cistus</w:t>
      </w:r>
      <w:r>
        <w:rPr>
          <w:i/>
          <w:spacing w:val="38"/>
        </w:rPr>
        <w:t> </w:t>
      </w:r>
      <w:r>
        <w:rPr>
          <w:i/>
        </w:rPr>
        <w:t>ladaniferus</w:t>
      </w:r>
      <w:r>
        <w:rPr>
          <w:i/>
          <w:spacing w:val="43"/>
        </w:rPr>
        <w:t> </w:t>
      </w:r>
      <w:r>
        <w:rPr/>
        <w:t>L.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mice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42"/>
        </w:rPr>
        <w:t> </w:t>
      </w:r>
      <w:r>
        <w:rPr>
          <w:i/>
        </w:rPr>
        <w:t>of</w:t>
      </w:r>
      <w:r>
        <w:rPr>
          <w:i/>
          <w:spacing w:val="40"/>
        </w:rPr>
        <w:t> </w:t>
      </w:r>
      <w:r>
        <w:rPr>
          <w:i/>
        </w:rPr>
        <w:t>ethnopharmacology</w:t>
      </w:r>
      <w:r>
        <w:rPr/>
        <w:t>,</w:t>
      </w:r>
      <w:r>
        <w:rPr>
          <w:spacing w:val="-1"/>
        </w:rPr>
        <w:t> </w:t>
      </w:r>
      <w:r>
        <w:rPr/>
        <w:t>209,</w:t>
      </w:r>
      <w:r>
        <w:rPr>
          <w:spacing w:val="39"/>
        </w:rPr>
        <w:t> </w:t>
      </w:r>
      <w:r>
        <w:rPr/>
        <w:t>147-</w:t>
      </w:r>
      <w:r>
        <w:rPr>
          <w:spacing w:val="-57"/>
        </w:rPr>
        <w:t> </w:t>
      </w:r>
      <w:r>
        <w:rPr/>
        <w:t>156.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05" w:right="1718" w:hanging="720"/>
        <w:jc w:val="left"/>
        <w:rPr>
          <w:sz w:val="24"/>
        </w:rPr>
      </w:pPr>
      <w:r>
        <w:rPr>
          <w:sz w:val="24"/>
        </w:rPr>
        <w:t>Eloff,</w:t>
      </w:r>
      <w:r>
        <w:rPr>
          <w:spacing w:val="-1"/>
          <w:sz w:val="24"/>
        </w:rPr>
        <w:t> </w:t>
      </w:r>
      <w:r>
        <w:rPr>
          <w:sz w:val="24"/>
        </w:rPr>
        <w:t>J. N.</w:t>
      </w:r>
      <w:r>
        <w:rPr>
          <w:spacing w:val="-1"/>
          <w:sz w:val="24"/>
        </w:rPr>
        <w:t> </w:t>
      </w:r>
      <w:r>
        <w:rPr>
          <w:sz w:val="24"/>
        </w:rPr>
        <w:t>(1999). The</w:t>
      </w:r>
      <w:r>
        <w:rPr>
          <w:spacing w:val="-3"/>
          <w:sz w:val="24"/>
        </w:rPr>
        <w:t> </w:t>
      </w:r>
      <w:r>
        <w:rPr>
          <w:sz w:val="24"/>
        </w:rPr>
        <w:t>antibacterial activity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27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members 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combretaceae. </w:t>
      </w:r>
      <w:r>
        <w:rPr>
          <w:i/>
          <w:sz w:val="24"/>
        </w:rPr>
        <w:t>South African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sz w:val="24"/>
        </w:rPr>
        <w:t>, 95(3): 148-152.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105" w:right="953" w:hanging="720"/>
        <w:jc w:val="both"/>
        <w:rPr>
          <w:sz w:val="24"/>
        </w:rPr>
      </w:pPr>
      <w:r>
        <w:rPr>
          <w:sz w:val="24"/>
        </w:rPr>
        <w:t>Emudainohwo,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Goodies,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Daniel,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Erhirhie,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anti-diarrhoeal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-57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Alchornea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cordifolia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Wistar</w:t>
      </w:r>
      <w:r>
        <w:rPr>
          <w:spacing w:val="1"/>
          <w:sz w:val="24"/>
        </w:rPr>
        <w:t> </w:t>
      </w:r>
      <w:r>
        <w:rPr>
          <w:sz w:val="24"/>
        </w:rPr>
        <w:t>rats.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Pharmacognosy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Phytochemistry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4(1): 183-187.</w:t>
      </w:r>
    </w:p>
    <w:p>
      <w:pPr>
        <w:pStyle w:val="BodyText"/>
        <w:spacing w:before="1"/>
      </w:pPr>
    </w:p>
    <w:p>
      <w:pPr>
        <w:spacing w:line="242" w:lineRule="auto" w:before="0"/>
        <w:ind w:left="1105" w:right="953" w:hanging="720"/>
        <w:jc w:val="both"/>
        <w:rPr>
          <w:sz w:val="24"/>
        </w:rPr>
      </w:pPr>
      <w:r>
        <w:rPr>
          <w:sz w:val="24"/>
        </w:rPr>
        <w:t>Evans,</w:t>
      </w:r>
      <w:r>
        <w:rPr>
          <w:spacing w:val="1"/>
          <w:sz w:val="24"/>
        </w:rPr>
        <w:t> </w:t>
      </w:r>
      <w:r>
        <w:rPr>
          <w:sz w:val="24"/>
        </w:rPr>
        <w:t>W.C.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Trease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Pharmacognosy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edition.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W.R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Saunders,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London.</w:t>
      </w:r>
    </w:p>
    <w:p>
      <w:pPr>
        <w:spacing w:before="196"/>
        <w:ind w:left="1105" w:right="952" w:hanging="720"/>
        <w:jc w:val="both"/>
        <w:rPr>
          <w:sz w:val="24"/>
        </w:rPr>
      </w:pPr>
      <w:r>
        <w:rPr>
          <w:sz w:val="24"/>
        </w:rPr>
        <w:t>Evi, B. E., Charity, I. O., Fabian, A., Josephine, O., Philip, O., Victoria, O. I., ... and</w:t>
      </w:r>
      <w:r>
        <w:rPr>
          <w:spacing w:val="1"/>
          <w:sz w:val="24"/>
        </w:rPr>
        <w:t> </w:t>
      </w:r>
      <w:r>
        <w:rPr>
          <w:sz w:val="24"/>
        </w:rPr>
        <w:t>Buniyamin,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antidiarrhoeal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ex-vivo</w:t>
      </w:r>
      <w:r>
        <w:rPr>
          <w:spacing w:val="1"/>
          <w:sz w:val="24"/>
        </w:rPr>
        <w:t> </w:t>
      </w:r>
      <w:r>
        <w:rPr>
          <w:sz w:val="24"/>
        </w:rPr>
        <w:t>intestinal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Hymenocardia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acida</w:t>
      </w:r>
      <w:r>
        <w:rPr>
          <w:i/>
          <w:spacing w:val="1"/>
          <w:sz w:val="24"/>
        </w:rPr>
        <w:t> </w:t>
      </w:r>
      <w:r>
        <w:rPr>
          <w:sz w:val="24"/>
        </w:rPr>
        <w:t>Tul.(Phyllanthaceae)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chloroform fraction using animal models. </w:t>
      </w:r>
      <w:r>
        <w:rPr>
          <w:i/>
          <w:sz w:val="24"/>
        </w:rPr>
        <w:t>Nigerian Journal of Pharmaceutical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Research</w:t>
      </w:r>
      <w:r>
        <w:rPr>
          <w:sz w:val="24"/>
        </w:rPr>
        <w:t>, 7(1): 34-43.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294" w:top="1500" w:bottom="480" w:left="1600" w:right="460"/>
        </w:sectPr>
      </w:pPr>
    </w:p>
    <w:p>
      <w:pPr>
        <w:spacing w:before="186"/>
        <w:ind w:left="1105" w:right="949" w:hanging="720"/>
        <w:jc w:val="left"/>
        <w:rPr>
          <w:sz w:val="24"/>
        </w:rPr>
      </w:pPr>
      <w:r>
        <w:rPr>
          <w:sz w:val="24"/>
        </w:rPr>
        <w:t>Ezeja, I. M., Ezeigbo, I. I., Madubuike, K. G., Udeh, N. E., Ukweni, I. A., Akomas, S. C.,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Ifenkwe,</w:t>
      </w:r>
      <w:r>
        <w:rPr>
          <w:spacing w:val="42"/>
          <w:sz w:val="24"/>
        </w:rPr>
        <w:t> </w:t>
      </w:r>
      <w:r>
        <w:rPr>
          <w:sz w:val="24"/>
        </w:rPr>
        <w:t>D.</w:t>
      </w:r>
      <w:r>
        <w:rPr>
          <w:spacing w:val="40"/>
          <w:sz w:val="24"/>
        </w:rPr>
        <w:t> </w:t>
      </w:r>
      <w:r>
        <w:rPr>
          <w:sz w:val="24"/>
        </w:rPr>
        <w:t>C.</w:t>
      </w:r>
      <w:r>
        <w:rPr>
          <w:spacing w:val="40"/>
          <w:sz w:val="24"/>
        </w:rPr>
        <w:t> </w:t>
      </w:r>
      <w:r>
        <w:rPr>
          <w:sz w:val="24"/>
        </w:rPr>
        <w:t>(2012).</w:t>
      </w:r>
      <w:r>
        <w:rPr>
          <w:spacing w:val="40"/>
          <w:sz w:val="24"/>
        </w:rPr>
        <w:t> </w:t>
      </w:r>
      <w:r>
        <w:rPr>
          <w:sz w:val="24"/>
        </w:rPr>
        <w:t>Antidiarrheal</w:t>
      </w:r>
      <w:r>
        <w:rPr>
          <w:spacing w:val="41"/>
          <w:sz w:val="24"/>
        </w:rPr>
        <w:t> </w:t>
      </w:r>
      <w:r>
        <w:rPr>
          <w:sz w:val="24"/>
        </w:rPr>
        <w:t>activity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i/>
          <w:sz w:val="24"/>
        </w:rPr>
        <w:t>Pterocarpus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erinaceus</w:t>
      </w:r>
      <w:r>
        <w:rPr>
          <w:i/>
          <w:spacing w:val="-57"/>
          <w:sz w:val="24"/>
        </w:rPr>
        <w:t> </w:t>
      </w:r>
      <w:r>
        <w:rPr>
          <w:sz w:val="24"/>
        </w:rPr>
        <w:t>methanol</w:t>
      </w:r>
      <w:r>
        <w:rPr>
          <w:spacing w:val="23"/>
          <w:sz w:val="24"/>
        </w:rPr>
        <w:t> </w:t>
      </w:r>
      <w:r>
        <w:rPr>
          <w:sz w:val="24"/>
        </w:rPr>
        <w:t>leaf</w:t>
      </w:r>
      <w:r>
        <w:rPr>
          <w:spacing w:val="25"/>
          <w:sz w:val="24"/>
        </w:rPr>
        <w:t> </w:t>
      </w:r>
      <w:r>
        <w:rPr>
          <w:sz w:val="24"/>
        </w:rPr>
        <w:t>extract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experimentally</w:t>
      </w:r>
      <w:r>
        <w:rPr>
          <w:spacing w:val="17"/>
          <w:sz w:val="24"/>
        </w:rPr>
        <w:t> </w:t>
      </w:r>
      <w:r>
        <w:rPr>
          <w:sz w:val="24"/>
        </w:rPr>
        <w:t>induced</w:t>
      </w:r>
      <w:r>
        <w:rPr>
          <w:spacing w:val="26"/>
          <w:sz w:val="24"/>
        </w:rPr>
        <w:t> </w:t>
      </w:r>
      <w:r>
        <w:rPr>
          <w:sz w:val="24"/>
        </w:rPr>
        <w:t>diarrhea.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Tropical Medicine</w:t>
      </w:r>
      <w:r>
        <w:rPr>
          <w:sz w:val="24"/>
        </w:rPr>
        <w:t>, 5(2):</w:t>
      </w:r>
      <w:r>
        <w:rPr>
          <w:spacing w:val="2"/>
          <w:sz w:val="24"/>
        </w:rPr>
        <w:t> </w:t>
      </w:r>
      <w:r>
        <w:rPr>
          <w:sz w:val="24"/>
        </w:rPr>
        <w:t>147-150.</w:t>
      </w:r>
    </w:p>
    <w:p>
      <w:pPr>
        <w:pStyle w:val="BodyText"/>
      </w:pPr>
    </w:p>
    <w:p>
      <w:pPr>
        <w:pStyle w:val="BodyText"/>
        <w:tabs>
          <w:tab w:pos="2357" w:val="left" w:leader="none"/>
          <w:tab w:pos="2733" w:val="left" w:leader="none"/>
          <w:tab w:pos="3265" w:val="left" w:leader="none"/>
          <w:tab w:pos="3654" w:val="left" w:leader="none"/>
          <w:tab w:pos="4446" w:val="left" w:leader="none"/>
          <w:tab w:pos="5451" w:val="left" w:leader="none"/>
          <w:tab w:pos="5861" w:val="left" w:leader="none"/>
          <w:tab w:pos="6655" w:val="left" w:leader="none"/>
          <w:tab w:pos="7221" w:val="left" w:leader="none"/>
          <w:tab w:pos="8293" w:val="left" w:leader="none"/>
          <w:tab w:pos="8619" w:val="left" w:leader="none"/>
        </w:tabs>
        <w:spacing w:before="1"/>
        <w:ind w:left="1105" w:right="960" w:hanging="720"/>
      </w:pPr>
      <w:r>
        <w:rPr/>
        <w:t>Farthing, M., Salam, M. A., Lindberg, G., Dite, P., Khalif, I., Salazar-Lindo, E., ... and</w:t>
      </w:r>
      <w:r>
        <w:rPr>
          <w:spacing w:val="1"/>
        </w:rPr>
        <w:t> </w:t>
      </w:r>
      <w:r>
        <w:rPr/>
        <w:t>Krabshuis,</w:t>
        <w:tab/>
        <w:t>J.</w:t>
        <w:tab/>
        <w:t>(2013).</w:t>
        <w:tab/>
        <w:t>Acute</w:t>
        <w:tab/>
        <w:t>diarrhea</w:t>
        <w:tab/>
        <w:t>in</w:t>
        <w:tab/>
        <w:t>adults</w:t>
        <w:tab/>
        <w:t>and</w:t>
        <w:tab/>
        <w:t>children:</w:t>
        <w:tab/>
        <w:t>a</w:t>
        <w:tab/>
      </w:r>
      <w:r>
        <w:rPr>
          <w:spacing w:val="-1"/>
        </w:rPr>
        <w:t>global</w:t>
      </w:r>
      <w:r>
        <w:rPr>
          <w:spacing w:val="-57"/>
        </w:rPr>
        <w:t> </w:t>
      </w:r>
      <w:r>
        <w:rPr/>
        <w:t>perspective.</w:t>
      </w:r>
      <w:r>
        <w:rPr>
          <w:spacing w:val="1"/>
        </w:rPr>
        <w:t> </w:t>
      </w:r>
      <w:r>
        <w:rPr>
          <w:i/>
        </w:rPr>
        <w:t>Journal</w:t>
        <w:tab/>
        <w:t>of</w:t>
      </w:r>
      <w:r>
        <w:rPr>
          <w:i/>
          <w:spacing w:val="-1"/>
        </w:rPr>
        <w:t> </w:t>
      </w:r>
      <w:r>
        <w:rPr>
          <w:i/>
        </w:rPr>
        <w:t>Clinical Gastroenterology</w:t>
      </w:r>
      <w:r>
        <w:rPr/>
        <w:t>, 47(1): 12-20.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05" w:right="954" w:hanging="720"/>
        <w:jc w:val="both"/>
      </w:pPr>
      <w:r>
        <w:rPr/>
        <w:t>Faure,</w:t>
      </w:r>
      <w:r>
        <w:rPr>
          <w:spacing w:val="15"/>
        </w:rPr>
        <w:t> </w:t>
      </w:r>
      <w:r>
        <w:rPr/>
        <w:t>C.</w:t>
      </w:r>
      <w:r>
        <w:rPr>
          <w:spacing w:val="15"/>
        </w:rPr>
        <w:t> </w:t>
      </w:r>
      <w:r>
        <w:rPr/>
        <w:t>(2013).</w:t>
      </w:r>
      <w:r>
        <w:rPr>
          <w:spacing w:val="18"/>
        </w:rPr>
        <w:t> </w:t>
      </w:r>
      <w:r>
        <w:rPr/>
        <w:t>“Role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antidiarrhoeal</w:t>
      </w:r>
      <w:r>
        <w:rPr>
          <w:spacing w:val="16"/>
        </w:rPr>
        <w:t> </w:t>
      </w:r>
      <w:r>
        <w:rPr/>
        <w:t>drugs</w:t>
      </w:r>
      <w:r>
        <w:rPr>
          <w:spacing w:val="18"/>
        </w:rPr>
        <w:t> </w:t>
      </w:r>
      <w:r>
        <w:rPr/>
        <w:t>as</w:t>
      </w:r>
      <w:r>
        <w:rPr>
          <w:spacing w:val="15"/>
        </w:rPr>
        <w:t> </w:t>
      </w:r>
      <w:r>
        <w:rPr/>
        <w:t>adjunctive</w:t>
      </w:r>
      <w:r>
        <w:rPr>
          <w:spacing w:val="14"/>
        </w:rPr>
        <w:t> </w:t>
      </w:r>
      <w:r>
        <w:rPr/>
        <w:t>therapies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acute</w:t>
      </w:r>
      <w:r>
        <w:rPr>
          <w:spacing w:val="17"/>
        </w:rPr>
        <w:t> </w:t>
      </w:r>
      <w:r>
        <w:rPr/>
        <w:t>diarrhoea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children”.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paediatrics</w:t>
      </w:r>
      <w:r>
        <w:rPr/>
        <w:t>,</w:t>
      </w:r>
      <w:r>
        <w:rPr>
          <w:spacing w:val="1"/>
        </w:rPr>
        <w:t> </w:t>
      </w:r>
      <w:r>
        <w:rPr/>
        <w:t>2013,</w:t>
      </w:r>
      <w:r>
        <w:rPr>
          <w:spacing w:val="1"/>
        </w:rPr>
        <w:t> </w:t>
      </w:r>
      <w:r>
        <w:rPr/>
        <w:t>1-10.</w:t>
      </w:r>
      <w:r>
        <w:rPr>
          <w:spacing w:val="1"/>
        </w:rPr>
        <w:t> </w:t>
      </w:r>
      <w:hyperlink r:id="rId226">
        <w:r>
          <w:rPr/>
          <w:t>http://dx.doi.org/10.1155/2013/612403.</w:t>
        </w:r>
      </w:hyperlink>
    </w:p>
    <w:p>
      <w:pPr>
        <w:pStyle w:val="BodyText"/>
        <w:spacing w:before="1"/>
      </w:pPr>
    </w:p>
    <w:p>
      <w:pPr>
        <w:pStyle w:val="BodyText"/>
        <w:ind w:left="1105" w:right="953" w:hanging="720"/>
        <w:jc w:val="both"/>
      </w:pPr>
      <w:r>
        <w:rPr/>
        <w:t>Fernandez-Banares,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Accarino,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Balboa,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Domènech,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Esteve,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Garcia-</w:t>
      </w:r>
      <w:r>
        <w:rPr>
          <w:spacing w:val="1"/>
        </w:rPr>
        <w:t> </w:t>
      </w:r>
      <w:r>
        <w:rPr/>
        <w:t>Planella, E., ...and Santos, J. (2016). Chronic diarrhoea: Definition, classification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diagnosis.</w:t>
      </w:r>
      <w:r>
        <w:rPr>
          <w:spacing w:val="1"/>
        </w:rPr>
        <w:t> </w:t>
      </w:r>
      <w:r>
        <w:rPr>
          <w:i/>
        </w:rPr>
        <w:t>Gastroenterology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Hepatology</w:t>
      </w:r>
      <w:r>
        <w:rPr/>
        <w:t>,</w:t>
      </w:r>
      <w:r>
        <w:rPr>
          <w:spacing w:val="2"/>
        </w:rPr>
        <w:t> </w:t>
      </w:r>
      <w:r>
        <w:rPr/>
        <w:t>39(8): 535-559.</w:t>
      </w:r>
    </w:p>
    <w:p>
      <w:pPr>
        <w:pStyle w:val="BodyText"/>
      </w:pPr>
    </w:p>
    <w:p>
      <w:pPr>
        <w:spacing w:before="0"/>
        <w:ind w:left="1105" w:right="1083" w:hanging="720"/>
        <w:jc w:val="left"/>
        <w:rPr>
          <w:sz w:val="24"/>
        </w:rPr>
      </w:pPr>
      <w:r>
        <w:rPr>
          <w:sz w:val="24"/>
        </w:rPr>
        <w:t>Field, M. (2003). Intestinal ion transport and the pathophysiology of diarrhea. </w:t>
      </w:r>
      <w:r>
        <w:rPr>
          <w:i/>
          <w:sz w:val="24"/>
        </w:rPr>
        <w:t>The 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Investigation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111(7): 931-943.</w:t>
      </w:r>
    </w:p>
    <w:p>
      <w:pPr>
        <w:pStyle w:val="BodyText"/>
      </w:pPr>
    </w:p>
    <w:p>
      <w:pPr>
        <w:pStyle w:val="BodyText"/>
        <w:ind w:left="1105" w:right="954" w:hanging="720"/>
        <w:jc w:val="both"/>
      </w:pPr>
      <w:r>
        <w:rPr/>
        <w:t>Fletcher,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Stark,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Harkness,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Ellis,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Enteric</w:t>
      </w:r>
      <w:r>
        <w:rPr>
          <w:spacing w:val="1"/>
        </w:rPr>
        <w:t> </w:t>
      </w:r>
      <w:r>
        <w:rPr/>
        <w:t>protozoa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developed world: a public health perspective. </w:t>
      </w:r>
      <w:r>
        <w:rPr>
          <w:i/>
        </w:rPr>
        <w:t>Clinical Microbiology Reviews</w:t>
      </w:r>
      <w:r>
        <w:rPr/>
        <w:t>, 25(3):</w:t>
      </w:r>
      <w:r>
        <w:rPr>
          <w:spacing w:val="-57"/>
        </w:rPr>
        <w:t> </w:t>
      </w:r>
      <w:r>
        <w:rPr/>
        <w:t>420-449.</w:t>
      </w:r>
    </w:p>
    <w:p>
      <w:pPr>
        <w:pStyle w:val="BodyText"/>
      </w:pPr>
    </w:p>
    <w:p>
      <w:pPr>
        <w:pStyle w:val="BodyText"/>
        <w:ind w:left="1105" w:right="953" w:hanging="720"/>
      </w:pPr>
      <w:r>
        <w:rPr/>
        <w:t>Fonseca, B. K., Holdgate, A., and</w:t>
      </w:r>
      <w:r>
        <w:rPr>
          <w:spacing w:val="1"/>
        </w:rPr>
        <w:t> </w:t>
      </w:r>
      <w:r>
        <w:rPr/>
        <w:t>Craig, J. C. (2004). Enteral vs intravenous rehydration</w:t>
      </w:r>
      <w:r>
        <w:rPr>
          <w:spacing w:val="1"/>
        </w:rPr>
        <w:t> </w:t>
      </w:r>
      <w:r>
        <w:rPr/>
        <w:t>therapy</w:t>
      </w:r>
      <w:r>
        <w:rPr>
          <w:spacing w:val="16"/>
        </w:rPr>
        <w:t> </w:t>
      </w:r>
      <w:r>
        <w:rPr/>
        <w:t>for</w:t>
      </w:r>
      <w:r>
        <w:rPr>
          <w:spacing w:val="21"/>
        </w:rPr>
        <w:t> </w:t>
      </w:r>
      <w:r>
        <w:rPr/>
        <w:t>children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gastroenteritis: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meta-analysis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randomized</w:t>
      </w:r>
      <w:r>
        <w:rPr>
          <w:spacing w:val="22"/>
        </w:rPr>
        <w:t> </w:t>
      </w:r>
      <w:r>
        <w:rPr/>
        <w:t>controlled</w:t>
      </w:r>
      <w:r>
        <w:rPr>
          <w:spacing w:val="-57"/>
        </w:rPr>
        <w:t> </w:t>
      </w:r>
      <w:r>
        <w:rPr/>
        <w:t>trials.</w:t>
      </w:r>
      <w:r>
        <w:rPr>
          <w:spacing w:val="-1"/>
        </w:rPr>
        <w:t> </w:t>
      </w:r>
      <w:r>
        <w:rPr>
          <w:i/>
        </w:rPr>
        <w:t>Archives of Pediatrics</w:t>
      </w:r>
      <w:r>
        <w:rPr>
          <w:i/>
          <w:spacing w:val="-1"/>
        </w:rPr>
        <w:t> </w:t>
      </w:r>
      <w:r>
        <w:rPr>
          <w:i/>
        </w:rPr>
        <w:t>and Adolescent Medicine</w:t>
      </w:r>
      <w:r>
        <w:rPr/>
        <w:t>, 158(5):</w:t>
      </w:r>
      <w:r>
        <w:rPr>
          <w:spacing w:val="-1"/>
        </w:rPr>
        <w:t> </w:t>
      </w:r>
      <w:r>
        <w:rPr/>
        <w:t>483-490.</w:t>
      </w:r>
    </w:p>
    <w:p>
      <w:pPr>
        <w:pStyle w:val="BodyText"/>
      </w:pPr>
    </w:p>
    <w:p>
      <w:pPr>
        <w:pStyle w:val="BodyText"/>
        <w:spacing w:before="1"/>
        <w:ind w:left="1105" w:right="951" w:hanging="720"/>
        <w:jc w:val="both"/>
      </w:pPr>
      <w:r>
        <w:rPr/>
        <w:t>Fragkos, K. C., Zárate-Lopez, N., and Frangos, C. C. (2016). What about clonidine for</w:t>
      </w:r>
      <w:r>
        <w:rPr>
          <w:spacing w:val="1"/>
        </w:rPr>
        <w:t> </w:t>
      </w:r>
      <w:r>
        <w:rPr/>
        <w:t>diarrhoea?  </w:t>
      </w:r>
      <w:r>
        <w:rPr>
          <w:spacing w:val="1"/>
        </w:rPr>
        <w:t> </w:t>
      </w:r>
      <w:r>
        <w:rPr/>
        <w:t>A  </w:t>
      </w:r>
      <w:r>
        <w:rPr>
          <w:spacing w:val="1"/>
        </w:rPr>
        <w:t> </w:t>
      </w:r>
      <w:r>
        <w:rPr/>
        <w:t>systematic  </w:t>
      </w:r>
      <w:r>
        <w:rPr>
          <w:spacing w:val="1"/>
        </w:rPr>
        <w:t> </w:t>
      </w:r>
      <w:r>
        <w:rPr/>
        <w:t>review  </w:t>
      </w:r>
      <w:r>
        <w:rPr>
          <w:spacing w:val="1"/>
        </w:rPr>
        <w:t> </w:t>
      </w:r>
      <w:r>
        <w:rPr/>
        <w:t>and  </w:t>
      </w:r>
      <w:r>
        <w:rPr>
          <w:spacing w:val="1"/>
        </w:rPr>
        <w:t> </w:t>
      </w:r>
      <w:r>
        <w:rPr/>
        <w:t>meta-analysis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its  </w:t>
      </w:r>
      <w:r>
        <w:rPr>
          <w:spacing w:val="1"/>
        </w:rPr>
        <w:t> </w:t>
      </w:r>
      <w:r>
        <w:rPr/>
        <w:t>effect    in</w:t>
      </w:r>
      <w:r>
        <w:rPr>
          <w:spacing w:val="1"/>
        </w:rPr>
        <w:t> </w:t>
      </w:r>
      <w:r>
        <w:rPr/>
        <w:t>humans.</w:t>
      </w:r>
      <w:r>
        <w:rPr>
          <w:spacing w:val="-2"/>
        </w:rPr>
        <w:t> </w:t>
      </w:r>
      <w:r>
        <w:rPr>
          <w:i/>
        </w:rPr>
        <w:t>Therapeuti</w:t>
      </w:r>
      <w:r>
        <w:rPr>
          <w:i/>
          <w:spacing w:val="1"/>
        </w:rPr>
        <w:t> </w:t>
      </w:r>
      <w:r>
        <w:rPr>
          <w:i/>
        </w:rPr>
        <w:t>advances in</w:t>
      </w:r>
      <w:r>
        <w:rPr>
          <w:i/>
          <w:spacing w:val="-1"/>
        </w:rPr>
        <w:t> </w:t>
      </w:r>
      <w:r>
        <w:rPr>
          <w:i/>
        </w:rPr>
        <w:t>gastroenterology</w:t>
      </w:r>
      <w:r>
        <w:rPr/>
        <w:t>,</w:t>
      </w:r>
      <w:r>
        <w:rPr>
          <w:spacing w:val="2"/>
        </w:rPr>
        <w:t> </w:t>
      </w:r>
      <w:r>
        <w:rPr/>
        <w:t>9(3): 282-301.</w:t>
      </w:r>
    </w:p>
    <w:p>
      <w:pPr>
        <w:pStyle w:val="BodyText"/>
        <w:spacing w:before="2"/>
      </w:pPr>
    </w:p>
    <w:p>
      <w:pPr>
        <w:pStyle w:val="BodyText"/>
        <w:ind w:left="385"/>
      </w:pPr>
      <w:r>
        <w:rPr/>
        <w:t>Fried,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(1999).Octreotide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 of refractory</w:t>
      </w:r>
      <w:r>
        <w:rPr>
          <w:spacing w:val="-6"/>
        </w:rPr>
        <w:t> </w:t>
      </w:r>
      <w:r>
        <w:rPr/>
        <w:t>diarrhea.</w:t>
      </w:r>
      <w:r>
        <w:rPr>
          <w:i/>
        </w:rPr>
        <w:t>Digestion</w:t>
      </w:r>
      <w:r>
        <w:rPr/>
        <w:t>,</w:t>
      </w:r>
      <w:r>
        <w:rPr>
          <w:spacing w:val="-1"/>
        </w:rPr>
        <w:t> </w:t>
      </w:r>
      <w:r>
        <w:rPr/>
        <w:t>60(2):</w:t>
      </w:r>
      <w:r>
        <w:rPr>
          <w:spacing w:val="-1"/>
        </w:rPr>
        <w:t> </w:t>
      </w:r>
      <w:r>
        <w:rPr/>
        <w:t>42-46.</w:t>
      </w:r>
    </w:p>
    <w:p>
      <w:pPr>
        <w:pStyle w:val="BodyText"/>
        <w:spacing w:before="197"/>
        <w:ind w:left="1105" w:right="952" w:hanging="720"/>
        <w:jc w:val="both"/>
      </w:pPr>
      <w:r>
        <w:rPr/>
        <w:t>Fyhrquist, P., Mwasumbi, L., Hæggström, C. A., Vuorela, H., Hiltunen, R., and Vuorela, P.</w:t>
      </w:r>
      <w:r>
        <w:rPr>
          <w:spacing w:val="-57"/>
        </w:rPr>
        <w:t> </w:t>
      </w:r>
      <w:r>
        <w:rPr/>
        <w:t>(2004).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Terminalia,</w:t>
      </w:r>
      <w:r>
        <w:rPr>
          <w:i/>
          <w:spacing w:val="1"/>
        </w:rPr>
        <w:t> </w:t>
      </w:r>
      <w:r>
        <w:rPr>
          <w:i/>
        </w:rPr>
        <w:t>Pteleopsis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Combretum (Combretaceae) collected in Tanzania. </w:t>
      </w:r>
      <w:r>
        <w:rPr>
          <w:i/>
        </w:rPr>
        <w:t>Pharmaceutical Biology</w:t>
      </w:r>
      <w:r>
        <w:rPr/>
        <w:t>, 42(4-</w:t>
      </w:r>
      <w:r>
        <w:rPr>
          <w:spacing w:val="1"/>
        </w:rPr>
        <w:t> </w:t>
      </w:r>
      <w:r>
        <w:rPr/>
        <w:t>5):</w:t>
      </w:r>
      <w:r>
        <w:rPr>
          <w:spacing w:val="-1"/>
        </w:rPr>
        <w:t> </w:t>
      </w:r>
      <w:r>
        <w:rPr/>
        <w:t>308-317.</w:t>
      </w:r>
    </w:p>
    <w:p>
      <w:pPr>
        <w:pStyle w:val="BodyText"/>
        <w:spacing w:before="183"/>
        <w:ind w:left="1105" w:right="959" w:hanging="720"/>
        <w:jc w:val="both"/>
      </w:pPr>
      <w:r>
        <w:rPr/>
        <w:t>Ganguly, E., Sharma, P. K., and Bunker, C. H. (2015). Prevalence and risk factors of</w:t>
      </w:r>
      <w:r>
        <w:rPr>
          <w:spacing w:val="1"/>
        </w:rPr>
        <w:t> </w:t>
      </w:r>
      <w:r>
        <w:rPr/>
        <w:t>diarrhea morbidity among under-five children in India: A systematic review and</w:t>
      </w:r>
      <w:r>
        <w:rPr>
          <w:spacing w:val="1"/>
        </w:rPr>
        <w:t> </w:t>
      </w:r>
      <w:r>
        <w:rPr/>
        <w:t>meta-analysis. </w:t>
      </w:r>
      <w:r>
        <w:rPr>
          <w:i/>
        </w:rPr>
        <w:t>Indian Journal of</w:t>
      </w:r>
      <w:r>
        <w:rPr>
          <w:i/>
          <w:spacing w:val="-1"/>
        </w:rPr>
        <w:t> </w:t>
      </w:r>
      <w:r>
        <w:rPr>
          <w:i/>
        </w:rPr>
        <w:t>Child Health</w:t>
      </w:r>
      <w:r>
        <w:rPr/>
        <w:t>, 2(4): 152-160.</w:t>
      </w:r>
    </w:p>
    <w:p>
      <w:pPr>
        <w:pStyle w:val="BodyText"/>
        <w:tabs>
          <w:tab w:pos="1997" w:val="left" w:leader="none"/>
          <w:tab w:pos="2673" w:val="left" w:leader="none"/>
          <w:tab w:pos="4050" w:val="left" w:leader="none"/>
          <w:tab w:pos="5276" w:val="left" w:leader="none"/>
          <w:tab w:pos="6382" w:val="left" w:leader="none"/>
          <w:tab w:pos="7790" w:val="left" w:leader="none"/>
        </w:tabs>
        <w:spacing w:before="230"/>
        <w:ind w:left="1105" w:right="955" w:hanging="720"/>
      </w:pPr>
      <w:r>
        <w:rPr/>
        <w:t>Gebru, T., Taha, M., and Kassahun, W. (2014). Risk factors of diarrhoeal disease in under-</w:t>
      </w:r>
      <w:r>
        <w:rPr>
          <w:spacing w:val="1"/>
        </w:rPr>
        <w:t> </w:t>
      </w:r>
      <w:r>
        <w:rPr/>
        <w:t>five</w:t>
      </w:r>
      <w:r>
        <w:rPr>
          <w:spacing w:val="3"/>
        </w:rPr>
        <w:t> </w:t>
      </w:r>
      <w:r>
        <w:rPr/>
        <w:t>children</w:t>
      </w:r>
      <w:r>
        <w:rPr>
          <w:spacing w:val="6"/>
        </w:rPr>
        <w:t> </w:t>
      </w:r>
      <w:r>
        <w:rPr/>
        <w:t>among</w:t>
      </w:r>
      <w:r>
        <w:rPr>
          <w:spacing w:val="4"/>
        </w:rPr>
        <w:t> </w:t>
      </w:r>
      <w:r>
        <w:rPr/>
        <w:t>health</w:t>
      </w:r>
      <w:r>
        <w:rPr>
          <w:spacing w:val="4"/>
        </w:rPr>
        <w:t> </w:t>
      </w:r>
      <w:r>
        <w:rPr/>
        <w:t>extension</w:t>
      </w:r>
      <w:r>
        <w:rPr>
          <w:spacing w:val="4"/>
        </w:rPr>
        <w:t> </w:t>
      </w:r>
      <w:r>
        <w:rPr/>
        <w:t>model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non-model</w:t>
      </w:r>
      <w:r>
        <w:rPr>
          <w:spacing w:val="4"/>
        </w:rPr>
        <w:t> </w:t>
      </w:r>
      <w:r>
        <w:rPr/>
        <w:t>families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Sheko</w:t>
      </w:r>
      <w:r>
        <w:rPr>
          <w:spacing w:val="-57"/>
        </w:rPr>
        <w:t> </w:t>
      </w:r>
      <w:r>
        <w:rPr/>
        <w:t>district</w:t>
        <w:tab/>
        <w:t>rural</w:t>
        <w:tab/>
        <w:t>community,</w:t>
        <w:tab/>
        <w:t>Southwest</w:t>
        <w:tab/>
        <w:t>Ethiopia:</w:t>
        <w:tab/>
        <w:t>comparative</w:t>
        <w:tab/>
        <w:t>cross-sectional</w:t>
      </w:r>
      <w:r>
        <w:rPr>
          <w:spacing w:val="-57"/>
        </w:rPr>
        <w:t> </w:t>
      </w:r>
      <w:r>
        <w:rPr/>
        <w:t>study.</w:t>
      </w:r>
      <w:r>
        <w:rPr>
          <w:spacing w:val="-1"/>
        </w:rPr>
        <w:t> </w:t>
      </w:r>
      <w:r>
        <w:rPr>
          <w:i/>
        </w:rPr>
        <w:t>BioMed Central</w:t>
      </w:r>
      <w:r>
        <w:rPr>
          <w:i/>
          <w:spacing w:val="1"/>
        </w:rPr>
        <w:t> </w:t>
      </w:r>
      <w:r>
        <w:rPr>
          <w:i/>
        </w:rPr>
        <w:t>Public</w:t>
      </w:r>
      <w:r>
        <w:rPr>
          <w:i/>
          <w:spacing w:val="-1"/>
        </w:rPr>
        <w:t> </w:t>
      </w:r>
      <w:r>
        <w:rPr>
          <w:i/>
        </w:rPr>
        <w:t>Health</w:t>
      </w:r>
      <w:r>
        <w:rPr/>
        <w:t>, 14(1): 395.</w:t>
      </w:r>
    </w:p>
    <w:p>
      <w:pPr>
        <w:spacing w:after="0"/>
        <w:sectPr>
          <w:pgSz w:w="12240" w:h="15840"/>
          <w:pgMar w:header="0" w:footer="294" w:top="1500" w:bottom="480" w:left="1600" w:right="460"/>
        </w:sectPr>
      </w:pPr>
    </w:p>
    <w:p>
      <w:pPr>
        <w:pStyle w:val="BodyText"/>
        <w:spacing w:before="70"/>
        <w:ind w:left="1105" w:right="956" w:hanging="720"/>
        <w:jc w:val="both"/>
      </w:pPr>
      <w:r>
        <w:rPr/>
        <w:t>George, C. M., Perin, J., De Calani, K. J. N., Norman, W. R., Perry, H., Davis Jr, T. P., and</w:t>
      </w:r>
      <w:r>
        <w:rPr>
          <w:spacing w:val="1"/>
        </w:rPr>
        <w:t> </w:t>
      </w:r>
      <w:r>
        <w:rPr/>
        <w:t>Lindquist, E. D. (2014). Risk factors for diarrhea in children under five years of age</w:t>
      </w:r>
      <w:r>
        <w:rPr>
          <w:spacing w:val="1"/>
        </w:rPr>
        <w:t> </w:t>
      </w:r>
      <w:r>
        <w:rPr/>
        <w:t>residing in peri-urban communities in Cochabamba, Bolivia. </w:t>
      </w:r>
      <w:r>
        <w:rPr>
          <w:i/>
        </w:rPr>
        <w:t>The American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Tropical Medicine</w:t>
      </w:r>
      <w:r>
        <w:rPr>
          <w:i/>
          <w:spacing w:val="-1"/>
        </w:rPr>
        <w:t> </w:t>
      </w:r>
      <w:r>
        <w:rPr>
          <w:i/>
        </w:rPr>
        <w:t>and Hygiene</w:t>
      </w:r>
      <w:r>
        <w:rPr/>
        <w:t>, 91(6): 1190-1196.</w:t>
      </w:r>
    </w:p>
    <w:p>
      <w:pPr>
        <w:spacing w:before="183"/>
        <w:ind w:left="1105" w:right="952" w:hanging="720"/>
        <w:jc w:val="both"/>
        <w:rPr>
          <w:sz w:val="24"/>
        </w:rPr>
      </w:pPr>
      <w:r>
        <w:rPr>
          <w:sz w:val="24"/>
        </w:rPr>
        <w:t>Gordon,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Akobeng,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Racecadotril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diarrhoea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children:</w:t>
      </w:r>
      <w:r>
        <w:rPr>
          <w:spacing w:val="1"/>
          <w:sz w:val="24"/>
        </w:rPr>
        <w:t> </w:t>
      </w:r>
      <w:r>
        <w:rPr>
          <w:sz w:val="24"/>
        </w:rPr>
        <w:t>systematic review and</w:t>
      </w:r>
      <w:r>
        <w:rPr>
          <w:spacing w:val="1"/>
          <w:sz w:val="24"/>
        </w:rPr>
        <w:t> </w:t>
      </w:r>
      <w:r>
        <w:rPr>
          <w:sz w:val="24"/>
        </w:rPr>
        <w:t>meta-analyses. </w:t>
      </w:r>
      <w:r>
        <w:rPr>
          <w:i/>
          <w:sz w:val="24"/>
        </w:rPr>
        <w:t>Archives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Disease in Childhood</w:t>
      </w:r>
      <w:r>
        <w:rPr>
          <w:sz w:val="24"/>
        </w:rPr>
        <w:t>, </w:t>
      </w:r>
      <w:r>
        <w:rPr>
          <w:i/>
          <w:sz w:val="24"/>
        </w:rPr>
        <w:t>101</w:t>
      </w:r>
      <w:r>
        <w:rPr>
          <w:sz w:val="24"/>
        </w:rPr>
        <w:t>(3):</w:t>
      </w:r>
      <w:r>
        <w:rPr>
          <w:spacing w:val="1"/>
          <w:sz w:val="24"/>
        </w:rPr>
        <w:t> </w:t>
      </w:r>
      <w:r>
        <w:rPr>
          <w:sz w:val="24"/>
        </w:rPr>
        <w:t>234-240.</w:t>
      </w:r>
    </w:p>
    <w:p>
      <w:pPr>
        <w:pStyle w:val="BodyText"/>
      </w:pPr>
    </w:p>
    <w:p>
      <w:pPr>
        <w:pStyle w:val="BodyText"/>
        <w:ind w:left="1105" w:right="957" w:hanging="720"/>
        <w:jc w:val="both"/>
      </w:pPr>
      <w:r>
        <w:rPr/>
        <w:t>Gorkiewicz,</w:t>
      </w:r>
      <w:r>
        <w:rPr>
          <w:spacing w:val="26"/>
        </w:rPr>
        <w:t> </w:t>
      </w:r>
      <w:r>
        <w:rPr/>
        <w:t>G.,</w:t>
      </w:r>
      <w:r>
        <w:rPr>
          <w:spacing w:val="26"/>
        </w:rPr>
        <w:t> </w:t>
      </w:r>
      <w:r>
        <w:rPr/>
        <w:t>Thallinger,</w:t>
      </w:r>
      <w:r>
        <w:rPr>
          <w:spacing w:val="26"/>
        </w:rPr>
        <w:t> </w:t>
      </w:r>
      <w:r>
        <w:rPr/>
        <w:t>G.</w:t>
      </w:r>
      <w:r>
        <w:rPr>
          <w:spacing w:val="26"/>
        </w:rPr>
        <w:t> </w:t>
      </w:r>
      <w:r>
        <w:rPr/>
        <w:t>G.,</w:t>
      </w:r>
      <w:r>
        <w:rPr>
          <w:spacing w:val="26"/>
        </w:rPr>
        <w:t> </w:t>
      </w:r>
      <w:r>
        <w:rPr/>
        <w:t>Trajanoski,</w:t>
      </w:r>
      <w:r>
        <w:rPr>
          <w:spacing w:val="27"/>
        </w:rPr>
        <w:t> </w:t>
      </w:r>
      <w:r>
        <w:rPr/>
        <w:t>S.,</w:t>
      </w:r>
      <w:r>
        <w:rPr>
          <w:spacing w:val="26"/>
        </w:rPr>
        <w:t> </w:t>
      </w:r>
      <w:r>
        <w:rPr/>
        <w:t>Lackner,</w:t>
      </w:r>
      <w:r>
        <w:rPr>
          <w:spacing w:val="25"/>
        </w:rPr>
        <w:t> </w:t>
      </w:r>
      <w:r>
        <w:rPr/>
        <w:t>S.,</w:t>
      </w:r>
      <w:r>
        <w:rPr>
          <w:spacing w:val="27"/>
        </w:rPr>
        <w:t> </w:t>
      </w:r>
      <w:r>
        <w:rPr/>
        <w:t>Stocker,</w:t>
      </w:r>
      <w:r>
        <w:rPr>
          <w:spacing w:val="25"/>
        </w:rPr>
        <w:t> </w:t>
      </w:r>
      <w:r>
        <w:rPr/>
        <w:t>G.,</w:t>
      </w:r>
      <w:r>
        <w:rPr>
          <w:spacing w:val="27"/>
        </w:rPr>
        <w:t> </w:t>
      </w:r>
      <w:r>
        <w:rPr/>
        <w:t>Hinterleitner,</w:t>
      </w:r>
      <w:r>
        <w:rPr>
          <w:spacing w:val="-58"/>
        </w:rPr>
        <w:t> </w:t>
      </w:r>
      <w:r>
        <w:rPr/>
        <w:t>T., ... and Hogenauer, C. (2013). Alterations in the colonic microbiota in response to</w:t>
      </w:r>
      <w:r>
        <w:rPr>
          <w:spacing w:val="-57"/>
        </w:rPr>
        <w:t> </w:t>
      </w:r>
      <w:r>
        <w:rPr/>
        <w:t>osmotic</w:t>
      </w:r>
      <w:r>
        <w:rPr>
          <w:spacing w:val="-2"/>
        </w:rPr>
        <w:t> </w:t>
      </w:r>
      <w:r>
        <w:rPr/>
        <w:t>diarrhea.</w:t>
      </w:r>
      <w:r>
        <w:rPr>
          <w:spacing w:val="1"/>
        </w:rPr>
        <w:t> </w:t>
      </w:r>
      <w:r>
        <w:rPr>
          <w:i/>
        </w:rPr>
        <w:t>PLoS</w:t>
      </w:r>
      <w:r>
        <w:rPr>
          <w:i/>
          <w:spacing w:val="2"/>
        </w:rPr>
        <w:t> </w:t>
      </w:r>
      <w:r>
        <w:rPr>
          <w:i/>
        </w:rPr>
        <w:t>One</w:t>
      </w:r>
      <w:r>
        <w:rPr/>
        <w:t>, </w:t>
      </w:r>
      <w:r>
        <w:rPr>
          <w:i/>
        </w:rPr>
        <w:t>8</w:t>
      </w:r>
      <w:r>
        <w:rPr/>
        <w:t>(2): e55817.</w:t>
      </w:r>
    </w:p>
    <w:p>
      <w:pPr>
        <w:pStyle w:val="BodyText"/>
        <w:spacing w:before="1"/>
      </w:pPr>
    </w:p>
    <w:p>
      <w:pPr>
        <w:pStyle w:val="BodyText"/>
        <w:ind w:left="1105" w:right="954" w:hanging="720"/>
        <w:jc w:val="both"/>
      </w:pPr>
      <w:r>
        <w:rPr/>
        <w:t>Guarino, A., Ashkenazi, S., Gendrel, D., Vecchio, A. L., Shamir, R., and Szajewska, H.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Gastroenterology,</w:t>
      </w:r>
      <w:r>
        <w:rPr>
          <w:spacing w:val="1"/>
        </w:rPr>
        <w:t> </w:t>
      </w:r>
      <w:r>
        <w:rPr/>
        <w:t>Hepatology,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Nutrition/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guidelines for the management of acute gastroenteritis in children in Europe: update</w:t>
      </w:r>
      <w:r>
        <w:rPr>
          <w:spacing w:val="-57"/>
        </w:rPr>
        <w:t> </w:t>
      </w:r>
      <w:r>
        <w:rPr/>
        <w:t>2014.</w:t>
      </w:r>
      <w:r>
        <w:rPr>
          <w:spacing w:val="-1"/>
        </w:rPr>
        <w:t> </w:t>
      </w:r>
      <w:r>
        <w:rPr>
          <w:i/>
        </w:rPr>
        <w:t>Journal of Pediatric</w:t>
      </w:r>
      <w:r>
        <w:rPr>
          <w:i/>
          <w:spacing w:val="1"/>
        </w:rPr>
        <w:t> </w:t>
      </w:r>
      <w:r>
        <w:rPr>
          <w:i/>
        </w:rPr>
        <w:t>Gastroenterology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 59(1): 132-152.</w:t>
      </w:r>
    </w:p>
    <w:p>
      <w:pPr>
        <w:pStyle w:val="BodyText"/>
        <w:spacing w:before="201"/>
        <w:ind w:left="385"/>
      </w:pPr>
      <w:r>
        <w:rPr/>
        <w:t>Guarner, F.,</w:t>
      </w:r>
      <w:r>
        <w:rPr>
          <w:spacing w:val="3"/>
        </w:rPr>
        <w:t> </w:t>
      </w:r>
      <w:r>
        <w:rPr/>
        <w:t>Khan,</w:t>
      </w:r>
      <w:r>
        <w:rPr>
          <w:spacing w:val="1"/>
        </w:rPr>
        <w:t> </w:t>
      </w:r>
      <w:r>
        <w:rPr/>
        <w:t>A.</w:t>
      </w:r>
      <w:r>
        <w:rPr>
          <w:spacing w:val="3"/>
        </w:rPr>
        <w:t> </w:t>
      </w:r>
      <w:r>
        <w:rPr/>
        <w:t>G.,</w:t>
      </w:r>
      <w:r>
        <w:rPr>
          <w:spacing w:val="1"/>
        </w:rPr>
        <w:t> </w:t>
      </w:r>
      <w:r>
        <w:rPr/>
        <w:t>Garisch,</w:t>
      </w:r>
      <w:r>
        <w:rPr>
          <w:spacing w:val="2"/>
        </w:rPr>
        <w:t> </w:t>
      </w:r>
      <w:r>
        <w:rPr/>
        <w:t>J.,</w:t>
      </w:r>
      <w:r>
        <w:rPr>
          <w:spacing w:val="1"/>
        </w:rPr>
        <w:t> </w:t>
      </w:r>
      <w:r>
        <w:rPr/>
        <w:t>Eliakim,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Gangl,</w:t>
      </w:r>
      <w:r>
        <w:rPr>
          <w:spacing w:val="1"/>
        </w:rPr>
        <w:t> </w:t>
      </w:r>
      <w:r>
        <w:rPr/>
        <w:t>A., Thomson,</w:t>
      </w:r>
      <w:r>
        <w:rPr>
          <w:spacing w:val="2"/>
        </w:rPr>
        <w:t> </w:t>
      </w:r>
      <w:r>
        <w:rPr/>
        <w:t>A.,</w:t>
      </w:r>
      <w:r>
        <w:rPr>
          <w:spacing w:val="2"/>
        </w:rPr>
        <w:t> </w:t>
      </w:r>
      <w:r>
        <w:rPr/>
        <w:t>...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Fedorak,</w:t>
      </w:r>
    </w:p>
    <w:p>
      <w:pPr>
        <w:spacing w:line="242" w:lineRule="auto" w:before="0"/>
        <w:ind w:left="1105" w:right="950" w:firstLine="0"/>
        <w:jc w:val="left"/>
        <w:rPr>
          <w:sz w:val="24"/>
        </w:rPr>
      </w:pPr>
      <w:r>
        <w:rPr>
          <w:sz w:val="24"/>
        </w:rPr>
        <w:t>R.</w:t>
      </w:r>
      <w:r>
        <w:rPr>
          <w:spacing w:val="41"/>
          <w:sz w:val="24"/>
        </w:rPr>
        <w:t> </w:t>
      </w:r>
      <w:r>
        <w:rPr>
          <w:sz w:val="24"/>
        </w:rPr>
        <w:t>(2012).</w:t>
      </w:r>
      <w:r>
        <w:rPr>
          <w:spacing w:val="41"/>
          <w:sz w:val="24"/>
        </w:rPr>
        <w:t> </w:t>
      </w:r>
      <w:r>
        <w:rPr>
          <w:sz w:val="24"/>
        </w:rPr>
        <w:t>World</w:t>
      </w:r>
      <w:r>
        <w:rPr>
          <w:spacing w:val="42"/>
          <w:sz w:val="24"/>
        </w:rPr>
        <w:t> </w:t>
      </w:r>
      <w:r>
        <w:rPr>
          <w:sz w:val="24"/>
        </w:rPr>
        <w:t>gastroenterology</w:t>
      </w:r>
      <w:r>
        <w:rPr>
          <w:spacing w:val="37"/>
          <w:sz w:val="24"/>
        </w:rPr>
        <w:t> </w:t>
      </w:r>
      <w:r>
        <w:rPr>
          <w:sz w:val="24"/>
        </w:rPr>
        <w:t>organisation</w:t>
      </w:r>
      <w:r>
        <w:rPr>
          <w:spacing w:val="44"/>
          <w:sz w:val="24"/>
        </w:rPr>
        <w:t> </w:t>
      </w:r>
      <w:r>
        <w:rPr>
          <w:sz w:val="24"/>
        </w:rPr>
        <w:t>global</w:t>
      </w:r>
      <w:r>
        <w:rPr>
          <w:spacing w:val="44"/>
          <w:sz w:val="24"/>
        </w:rPr>
        <w:t> </w:t>
      </w:r>
      <w:r>
        <w:rPr>
          <w:sz w:val="24"/>
        </w:rPr>
        <w:t>guidelines:</w:t>
      </w:r>
      <w:r>
        <w:rPr>
          <w:spacing w:val="42"/>
          <w:sz w:val="24"/>
        </w:rPr>
        <w:t> </w:t>
      </w:r>
      <w:r>
        <w:rPr>
          <w:sz w:val="24"/>
        </w:rPr>
        <w:t>probiotics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prebiotics</w:t>
      </w:r>
      <w:r>
        <w:rPr>
          <w:spacing w:val="-1"/>
          <w:sz w:val="24"/>
        </w:rPr>
        <w:t> </w:t>
      </w:r>
      <w:r>
        <w:rPr>
          <w:sz w:val="24"/>
        </w:rPr>
        <w:t>October</w:t>
      </w:r>
      <w:r>
        <w:rPr>
          <w:spacing w:val="-3"/>
          <w:sz w:val="24"/>
        </w:rPr>
        <w:t> </w:t>
      </w:r>
      <w:r>
        <w:rPr>
          <w:sz w:val="24"/>
        </w:rPr>
        <w:t>2011.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Gastroenterology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46(6): 468-481.</w:t>
      </w:r>
    </w:p>
    <w:p>
      <w:pPr>
        <w:pStyle w:val="BodyText"/>
        <w:spacing w:before="194"/>
        <w:ind w:left="1105" w:right="953" w:hanging="720"/>
        <w:jc w:val="both"/>
      </w:pPr>
      <w:r>
        <w:rPr/>
        <w:t>Guerrant,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Oriá,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Moore,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Oriá,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andLima,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</w:t>
      </w:r>
      <w:r>
        <w:rPr>
          <w:spacing w:val="60"/>
        </w:rPr>
        <w:t> </w:t>
      </w:r>
      <w:r>
        <w:rPr/>
        <w:t>(2008).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enteric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development. </w:t>
      </w:r>
      <w:r>
        <w:rPr>
          <w:i/>
        </w:rPr>
        <w:t>Nutrition Reviews</w:t>
      </w:r>
      <w:r>
        <w:rPr/>
        <w:t>, 66(9): 487-505.</w:t>
      </w:r>
    </w:p>
    <w:p>
      <w:pPr>
        <w:pStyle w:val="BodyText"/>
        <w:spacing w:before="200"/>
        <w:ind w:left="1105" w:right="954" w:hanging="720"/>
        <w:jc w:val="both"/>
      </w:pPr>
      <w:r>
        <w:rPr/>
        <w:t>Guerrant, R. L., Schorling, J. B., McAuliffe, J. F., and De Souza, M. A. (1992). Diarrhoea a</w:t>
      </w:r>
      <w:r>
        <w:rPr>
          <w:spacing w:val="-57"/>
        </w:rPr>
        <w:t> </w:t>
      </w:r>
      <w:r>
        <w:rPr/>
        <w:t>cause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malnutrition: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catch-up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malnutrition increases diarrhoea frequency and duration. The </w:t>
      </w:r>
      <w:r>
        <w:rPr>
          <w:i/>
        </w:rPr>
        <w:t>American Journal of</w:t>
      </w:r>
      <w:r>
        <w:rPr>
          <w:i/>
          <w:spacing w:val="1"/>
        </w:rPr>
        <w:t> </w:t>
      </w:r>
      <w:r>
        <w:rPr>
          <w:i/>
        </w:rPr>
        <w:t>tropical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and hygiene</w:t>
      </w:r>
      <w:r>
        <w:rPr/>
        <w:t>, 47(1): 28-35.</w:t>
      </w:r>
    </w:p>
    <w:p>
      <w:pPr>
        <w:pStyle w:val="BodyText"/>
        <w:spacing w:before="202"/>
        <w:ind w:left="385"/>
      </w:pPr>
      <w:r>
        <w:rPr/>
        <w:t>Guerrant,</w:t>
      </w:r>
      <w:r>
        <w:rPr>
          <w:spacing w:val="5"/>
        </w:rPr>
        <w:t> </w:t>
      </w:r>
      <w:r>
        <w:rPr/>
        <w:t>R.</w:t>
      </w:r>
      <w:r>
        <w:rPr>
          <w:spacing w:val="8"/>
        </w:rPr>
        <w:t> </w:t>
      </w:r>
      <w:r>
        <w:rPr/>
        <w:t>L.,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Gilder,</w:t>
      </w:r>
      <w:r>
        <w:rPr>
          <w:spacing w:val="5"/>
        </w:rPr>
        <w:t> </w:t>
      </w:r>
      <w:r>
        <w:rPr/>
        <w:t>T.,</w:t>
      </w:r>
      <w:r>
        <w:rPr>
          <w:spacing w:val="5"/>
        </w:rPr>
        <w:t> </w:t>
      </w:r>
      <w:r>
        <w:rPr/>
        <w:t>Steiner,</w:t>
      </w:r>
      <w:r>
        <w:rPr>
          <w:spacing w:val="5"/>
        </w:rPr>
        <w:t> </w:t>
      </w:r>
      <w:r>
        <w:rPr/>
        <w:t>T.</w:t>
      </w:r>
      <w:r>
        <w:rPr>
          <w:spacing w:val="4"/>
        </w:rPr>
        <w:t> </w:t>
      </w:r>
      <w:r>
        <w:rPr/>
        <w:t>S.,</w:t>
      </w:r>
      <w:r>
        <w:rPr>
          <w:spacing w:val="5"/>
        </w:rPr>
        <w:t> </w:t>
      </w:r>
      <w:r>
        <w:rPr/>
        <w:t>Thielman,</w:t>
      </w:r>
      <w:r>
        <w:rPr>
          <w:spacing w:val="5"/>
        </w:rPr>
        <w:t> </w:t>
      </w:r>
      <w:r>
        <w:rPr/>
        <w:t>N.</w:t>
      </w:r>
      <w:r>
        <w:rPr>
          <w:spacing w:val="5"/>
        </w:rPr>
        <w:t> </w:t>
      </w:r>
      <w:r>
        <w:rPr/>
        <w:t>M.,</w:t>
      </w:r>
      <w:r>
        <w:rPr>
          <w:spacing w:val="6"/>
        </w:rPr>
        <w:t> </w:t>
      </w:r>
      <w:r>
        <w:rPr/>
        <w:t>Slutsker,</w:t>
      </w:r>
      <w:r>
        <w:rPr>
          <w:spacing w:val="3"/>
        </w:rPr>
        <w:t> </w:t>
      </w:r>
      <w:r>
        <w:rPr/>
        <w:t>L.,</w:t>
      </w:r>
      <w:r>
        <w:rPr>
          <w:spacing w:val="5"/>
        </w:rPr>
        <w:t> </w:t>
      </w:r>
      <w:r>
        <w:rPr/>
        <w:t>Tauxe,</w:t>
      </w:r>
      <w:r>
        <w:rPr>
          <w:spacing w:val="5"/>
        </w:rPr>
        <w:t> </w:t>
      </w:r>
      <w:r>
        <w:rPr/>
        <w:t>R.</w:t>
      </w:r>
      <w:r>
        <w:rPr>
          <w:spacing w:val="4"/>
        </w:rPr>
        <w:t> </w:t>
      </w:r>
      <w:r>
        <w:rPr/>
        <w:t>V.,</w:t>
      </w:r>
    </w:p>
    <w:p>
      <w:pPr>
        <w:spacing w:line="242" w:lineRule="auto" w:before="0"/>
        <w:ind w:left="1105" w:right="950" w:firstLine="0"/>
        <w:jc w:val="left"/>
        <w:rPr>
          <w:sz w:val="24"/>
        </w:rPr>
      </w:pPr>
      <w:r>
        <w:rPr>
          <w:sz w:val="24"/>
        </w:rPr>
        <w:t>...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Tarr,</w:t>
      </w:r>
      <w:r>
        <w:rPr>
          <w:spacing w:val="17"/>
          <w:sz w:val="24"/>
        </w:rPr>
        <w:t> </w:t>
      </w:r>
      <w:r>
        <w:rPr>
          <w:sz w:val="24"/>
        </w:rPr>
        <w:t>P.</w:t>
      </w:r>
      <w:r>
        <w:rPr>
          <w:spacing w:val="17"/>
          <w:sz w:val="24"/>
        </w:rPr>
        <w:t> </w:t>
      </w:r>
      <w:r>
        <w:rPr>
          <w:sz w:val="24"/>
        </w:rPr>
        <w:t>(2001).</w:t>
      </w:r>
      <w:r>
        <w:rPr>
          <w:spacing w:val="17"/>
          <w:sz w:val="24"/>
        </w:rPr>
        <w:t> </w:t>
      </w:r>
      <w:r>
        <w:rPr>
          <w:sz w:val="24"/>
        </w:rPr>
        <w:t>Practice</w:t>
      </w:r>
      <w:r>
        <w:rPr>
          <w:spacing w:val="17"/>
          <w:sz w:val="24"/>
        </w:rPr>
        <w:t> </w:t>
      </w:r>
      <w:r>
        <w:rPr>
          <w:sz w:val="24"/>
        </w:rPr>
        <w:t>guidelines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management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infectious</w:t>
      </w:r>
      <w:r>
        <w:rPr>
          <w:spacing w:val="-57"/>
          <w:sz w:val="24"/>
        </w:rPr>
        <w:t> </w:t>
      </w:r>
      <w:r>
        <w:rPr>
          <w:sz w:val="24"/>
        </w:rPr>
        <w:t>diarrhoea.</w:t>
      </w:r>
      <w:r>
        <w:rPr>
          <w:spacing w:val="-1"/>
          <w:sz w:val="24"/>
        </w:rPr>
        <w:t> </w:t>
      </w:r>
      <w:r>
        <w:rPr>
          <w:i/>
          <w:sz w:val="24"/>
        </w:rPr>
        <w:t>Clinical Infectious Diseases</w:t>
      </w:r>
      <w:r>
        <w:rPr>
          <w:sz w:val="24"/>
        </w:rPr>
        <w:t>, 32(3): 331-351.</w:t>
      </w:r>
    </w:p>
    <w:p>
      <w:pPr>
        <w:pStyle w:val="BodyText"/>
        <w:spacing w:before="193"/>
        <w:ind w:left="1105" w:right="952" w:hanging="720"/>
        <w:jc w:val="both"/>
      </w:pPr>
      <w:r>
        <w:rPr/>
        <w:t>Gurgel, L. A., Silva, R. M., Santos, F. A., Martins, D. T., Mattos, P. O., and Rao, V. S.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dragon's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Croton</w:t>
      </w:r>
      <w:r>
        <w:rPr>
          <w:i/>
          <w:spacing w:val="1"/>
        </w:rPr>
        <w:t> </w:t>
      </w:r>
      <w:r>
        <w:rPr>
          <w:i/>
        </w:rPr>
        <w:t>urucurana</w:t>
      </w:r>
      <w:r>
        <w:rPr/>
        <w:t>.</w:t>
      </w:r>
      <w:r>
        <w:rPr>
          <w:spacing w:val="-1"/>
        </w:rPr>
        <w:t> </w:t>
      </w:r>
      <w:r>
        <w:rPr>
          <w:i/>
        </w:rPr>
        <w:t>Phytotherapy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 15(4): 319-322.</w:t>
      </w:r>
    </w:p>
    <w:p>
      <w:pPr>
        <w:pStyle w:val="BodyText"/>
        <w:spacing w:line="242" w:lineRule="auto" w:before="200"/>
        <w:ind w:left="1105" w:right="954" w:hanging="720"/>
        <w:jc w:val="both"/>
      </w:pPr>
      <w:r>
        <w:rPr/>
        <w:t>Halilbasic, E., Claudel, T., and Trauner, M. (2013). Bile acid transporters and regulatory</w:t>
      </w:r>
      <w:r>
        <w:rPr>
          <w:spacing w:val="1"/>
        </w:rPr>
        <w:t> </w:t>
      </w:r>
      <w:r>
        <w:rPr/>
        <w:t>nuclear receptors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liver and</w:t>
      </w:r>
      <w:r>
        <w:rPr>
          <w:spacing w:val="-1"/>
        </w:rPr>
        <w:t> </w:t>
      </w:r>
      <w:r>
        <w:rPr/>
        <w:t>beyond.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hepatology</w:t>
      </w:r>
      <w:r>
        <w:rPr/>
        <w:t>, 58(1):</w:t>
      </w:r>
      <w:r>
        <w:rPr>
          <w:spacing w:val="-1"/>
        </w:rPr>
        <w:t> </w:t>
      </w:r>
      <w:r>
        <w:rPr/>
        <w:t>155-168.</w:t>
      </w:r>
    </w:p>
    <w:p>
      <w:pPr>
        <w:pStyle w:val="BodyText"/>
        <w:spacing w:before="194"/>
        <w:ind w:left="1105" w:right="956" w:hanging="720"/>
        <w:jc w:val="both"/>
      </w:pPr>
      <w:r>
        <w:rPr/>
        <w:t>Harris, V. C., Armah, G., Fuentes, S., Korpela, K. E., Parashar, U., Victor, J. C., ... and</w:t>
      </w:r>
      <w:r>
        <w:rPr>
          <w:spacing w:val="1"/>
        </w:rPr>
        <w:t> </w:t>
      </w:r>
      <w:r>
        <w:rPr/>
        <w:t>Lewis, K. D. (2017). Significant correlation between the infant gut microbiome and</w:t>
      </w:r>
      <w:r>
        <w:rPr>
          <w:spacing w:val="1"/>
        </w:rPr>
        <w:t> </w:t>
      </w:r>
      <w:r>
        <w:rPr/>
        <w:t>rotavirus</w:t>
      </w:r>
      <w:r>
        <w:rPr>
          <w:spacing w:val="61"/>
        </w:rPr>
        <w:t> </w:t>
      </w:r>
      <w:r>
        <w:rPr/>
        <w:t>vaccine</w:t>
      </w:r>
      <w:r>
        <w:rPr>
          <w:spacing w:val="61"/>
        </w:rPr>
        <w:t> </w:t>
      </w:r>
      <w:r>
        <w:rPr/>
        <w:t>response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rural  </w:t>
      </w:r>
      <w:r>
        <w:rPr>
          <w:spacing w:val="1"/>
        </w:rPr>
        <w:t> </w:t>
      </w:r>
      <w:r>
        <w:rPr/>
        <w:t>Ghana. </w:t>
      </w:r>
      <w:r>
        <w:rPr>
          <w:i/>
        </w:rPr>
        <w:t>The  </w:t>
      </w:r>
      <w:r>
        <w:rPr>
          <w:i/>
          <w:spacing w:val="1"/>
        </w:rPr>
        <w:t> </w:t>
      </w:r>
      <w:r>
        <w:rPr>
          <w:i/>
        </w:rPr>
        <w:t>Journal  </w:t>
      </w:r>
      <w:r>
        <w:rPr>
          <w:i/>
          <w:spacing w:val="1"/>
        </w:rPr>
        <w:t> </w:t>
      </w:r>
      <w:r>
        <w:rPr>
          <w:i/>
        </w:rPr>
        <w:t>of  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1"/>
        </w:rPr>
        <w:t> </w:t>
      </w:r>
      <w:r>
        <w:rPr>
          <w:i/>
        </w:rPr>
        <w:t>Diseases</w:t>
      </w:r>
      <w:r>
        <w:rPr/>
        <w:t>,</w:t>
      </w:r>
      <w:r>
        <w:rPr>
          <w:spacing w:val="-1"/>
        </w:rPr>
        <w:t> </w:t>
      </w:r>
      <w:r>
        <w:rPr/>
        <w:t>215(1): 34.</w:t>
      </w:r>
    </w:p>
    <w:p>
      <w:pPr>
        <w:pStyle w:val="BodyText"/>
        <w:spacing w:before="202"/>
        <w:ind w:left="1105" w:right="956" w:hanging="720"/>
        <w:jc w:val="both"/>
      </w:pPr>
      <w:r>
        <w:rPr/>
        <w:t>Hassan, M. M., Khan, S. A., Shaikat, A. H., Hossain, M. E., Hoque, M. A., Ullah, M. H.,</w:t>
      </w:r>
      <w:r>
        <w:rPr>
          <w:spacing w:val="1"/>
        </w:rPr>
        <w:t> </w:t>
      </w:r>
      <w:r>
        <w:rPr/>
        <w:t>andIslam,</w:t>
      </w:r>
      <w:r>
        <w:rPr>
          <w:spacing w:val="27"/>
        </w:rPr>
        <w:t> </w:t>
      </w:r>
      <w:r>
        <w:rPr/>
        <w:t>S.</w:t>
      </w:r>
      <w:r>
        <w:rPr>
          <w:spacing w:val="28"/>
        </w:rPr>
        <w:t> </w:t>
      </w:r>
      <w:r>
        <w:rPr/>
        <w:t>(2013).</w:t>
      </w:r>
      <w:r>
        <w:rPr>
          <w:spacing w:val="27"/>
        </w:rPr>
        <w:t> </w:t>
      </w:r>
      <w:r>
        <w:rPr/>
        <w:t>Analgesic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anti-inflammatory</w:t>
      </w:r>
      <w:r>
        <w:rPr>
          <w:spacing w:val="25"/>
        </w:rPr>
        <w:t> </w:t>
      </w:r>
      <w:r>
        <w:rPr/>
        <w:t>effects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ethanol</w:t>
      </w:r>
      <w:r>
        <w:rPr>
          <w:spacing w:val="30"/>
        </w:rPr>
        <w:t> </w:t>
      </w:r>
      <w:r>
        <w:rPr/>
        <w:t>extracted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spacing w:line="242" w:lineRule="auto" w:before="70"/>
        <w:ind w:left="1105" w:right="956" w:firstLine="0"/>
        <w:jc w:val="both"/>
        <w:rPr>
          <w:sz w:val="24"/>
        </w:rPr>
      </w:pPr>
      <w:r>
        <w:rPr>
          <w:sz w:val="24"/>
        </w:rPr>
        <w:t>leaves of selected medicinal plants in animal model. </w:t>
      </w:r>
      <w:r>
        <w:rPr>
          <w:i/>
          <w:sz w:val="24"/>
        </w:rPr>
        <w:t>Veteterinary World</w:t>
      </w:r>
      <w:r>
        <w:rPr>
          <w:sz w:val="24"/>
        </w:rPr>
        <w:t>, 6(2): 68-</w:t>
      </w:r>
      <w:r>
        <w:rPr>
          <w:spacing w:val="1"/>
          <w:sz w:val="24"/>
        </w:rPr>
        <w:t> </w:t>
      </w:r>
      <w:r>
        <w:rPr>
          <w:sz w:val="24"/>
        </w:rPr>
        <w:t>71.</w:t>
      </w:r>
    </w:p>
    <w:p>
      <w:pPr>
        <w:pStyle w:val="BodyText"/>
        <w:spacing w:before="194"/>
        <w:ind w:left="1105" w:right="956" w:hanging="720"/>
        <w:jc w:val="both"/>
      </w:pPr>
      <w:r>
        <w:rPr/>
        <w:t>Hathi, P., Spears, D., and Coffey, D. (2016). Can collective action strategies motivate</w:t>
      </w:r>
      <w:r>
        <w:rPr>
          <w:spacing w:val="1"/>
        </w:rPr>
        <w:t> </w:t>
      </w:r>
      <w:r>
        <w:rPr/>
        <w:t>behaviour change to reduce open defecation in rural India?. </w:t>
      </w:r>
      <w:r>
        <w:rPr>
          <w:i/>
        </w:rPr>
        <w:t>Waterlines</w:t>
      </w:r>
      <w:r>
        <w:rPr/>
        <w:t>, 35(2): 118-</w:t>
      </w:r>
      <w:r>
        <w:rPr>
          <w:spacing w:val="1"/>
        </w:rPr>
        <w:t> </w:t>
      </w:r>
      <w:r>
        <w:rPr/>
        <w:t>135.</w:t>
      </w:r>
    </w:p>
    <w:p>
      <w:pPr>
        <w:pStyle w:val="BodyText"/>
        <w:spacing w:before="199"/>
        <w:ind w:left="1105" w:right="956" w:hanging="720"/>
        <w:jc w:val="both"/>
      </w:pPr>
      <w:r>
        <w:rPr>
          <w:color w:val="212121"/>
        </w:rPr>
        <w:t>Hedberg, I., Hedberg, O., Madati, P. J., Mshigeni, K. E., Mshiu, E. N., &amp; Samuelsson, G.</w:t>
      </w:r>
      <w:r>
        <w:rPr>
          <w:color w:val="212121"/>
          <w:spacing w:val="1"/>
        </w:rPr>
        <w:t> </w:t>
      </w:r>
      <w:r>
        <w:rPr>
          <w:color w:val="212121"/>
        </w:rPr>
        <w:t>(1982). Inventory of plants used in traditional medicine in Tanzania. I. Plants of the</w:t>
      </w:r>
      <w:r>
        <w:rPr>
          <w:color w:val="212121"/>
          <w:spacing w:val="1"/>
        </w:rPr>
        <w:t> </w:t>
      </w:r>
      <w:r>
        <w:rPr>
          <w:color w:val="212121"/>
        </w:rPr>
        <w:t>families</w:t>
      </w:r>
      <w:r>
        <w:rPr>
          <w:color w:val="212121"/>
          <w:spacing w:val="1"/>
        </w:rPr>
        <w:t> </w:t>
      </w:r>
      <w:r>
        <w:rPr>
          <w:color w:val="212121"/>
        </w:rPr>
        <w:t>Acanthaceae-Cucurbitaceae.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ethnopharmacology</w:t>
      </w:r>
      <w:r>
        <w:rPr>
          <w:color w:val="212121"/>
        </w:rPr>
        <w:t>, </w:t>
      </w:r>
      <w:r>
        <w:rPr>
          <w:i/>
          <w:color w:val="212121"/>
        </w:rPr>
        <w:t>6</w:t>
      </w:r>
      <w:r>
        <w:rPr>
          <w:color w:val="212121"/>
        </w:rPr>
        <w:t>(1),</w:t>
      </w:r>
      <w:r>
        <w:rPr>
          <w:color w:val="212121"/>
          <w:spacing w:val="1"/>
        </w:rPr>
        <w:t> </w:t>
      </w:r>
      <w:r>
        <w:rPr>
          <w:color w:val="212121"/>
        </w:rPr>
        <w:t>29-60.</w:t>
      </w:r>
      <w:r>
        <w:rPr>
          <w:color w:val="212121"/>
          <w:spacing w:val="-57"/>
        </w:rPr>
        <w:t> </w:t>
      </w:r>
      <w:hyperlink r:id="rId227">
        <w:r>
          <w:rPr>
            <w:color w:val="E9701C"/>
            <w:u w:val="single" w:color="E9701C"/>
          </w:rPr>
          <w:t>https://doi.org/10.1016/0378-8741(82)90070-8</w:t>
        </w:r>
      </w:hyperlink>
    </w:p>
    <w:p>
      <w:pPr>
        <w:pStyle w:val="BodyText"/>
        <w:spacing w:before="202"/>
        <w:ind w:left="1105" w:right="953" w:hanging="720"/>
        <w:jc w:val="both"/>
      </w:pPr>
      <w:r>
        <w:rPr/>
        <w:t>Helmy, K. Y., Katschke Jr, K. J., Gorgani, N. N., Kljavin, N. M., Elliot, J. M., Diehl, L., …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Lookeren</w:t>
      </w:r>
      <w:r>
        <w:rPr>
          <w:spacing w:val="1"/>
        </w:rPr>
        <w:t> </w:t>
      </w:r>
      <w:r>
        <w:rPr/>
        <w:t>Campagne,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CRIg: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macrophage</w:t>
      </w:r>
      <w:r>
        <w:rPr>
          <w:spacing w:val="60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receptor required for phagocytosis of circulating pathogenesis. </w:t>
      </w:r>
      <w:r>
        <w:rPr>
          <w:i/>
        </w:rPr>
        <w:t>Cell</w:t>
      </w:r>
      <w:r>
        <w:rPr/>
        <w:t>, 124(4): 915-</w:t>
      </w:r>
      <w:r>
        <w:rPr>
          <w:spacing w:val="1"/>
        </w:rPr>
        <w:t> </w:t>
      </w:r>
      <w:r>
        <w:rPr/>
        <w:t>927.</w:t>
      </w:r>
    </w:p>
    <w:p>
      <w:pPr>
        <w:pStyle w:val="BodyText"/>
        <w:spacing w:line="242" w:lineRule="auto" w:before="200"/>
        <w:ind w:left="1105" w:right="955" w:hanging="720"/>
        <w:jc w:val="both"/>
      </w:pPr>
      <w:r>
        <w:rPr/>
        <w:t>Horne, J. P., Flannery, R., and Usman, S. (2014). Adolescent idiopathic scoliosis: diagnosis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management.</w:t>
      </w:r>
      <w:r>
        <w:rPr>
          <w:spacing w:val="1"/>
        </w:rPr>
        <w:t> </w:t>
      </w:r>
      <w:r>
        <w:rPr>
          <w:i/>
        </w:rPr>
        <w:t>American Family</w:t>
      </w:r>
      <w:r>
        <w:rPr>
          <w:i/>
          <w:spacing w:val="-1"/>
        </w:rPr>
        <w:t> </w:t>
      </w:r>
      <w:r>
        <w:rPr>
          <w:i/>
        </w:rPr>
        <w:t>Physician</w:t>
      </w:r>
      <w:r>
        <w:rPr/>
        <w:t>, 89(3):</w:t>
      </w:r>
      <w:r>
        <w:rPr>
          <w:spacing w:val="-1"/>
        </w:rPr>
        <w:t> </w:t>
      </w:r>
      <w:r>
        <w:rPr/>
        <w:t>193-198.</w:t>
      </w:r>
    </w:p>
    <w:p>
      <w:pPr>
        <w:pStyle w:val="BodyText"/>
        <w:spacing w:before="194"/>
        <w:ind w:left="1105" w:right="954" w:hanging="720"/>
        <w:jc w:val="both"/>
      </w:pPr>
      <w:r>
        <w:rPr/>
        <w:t>Idoh, K., Dosseh, K., Kpatcha, T., Agbonon, A., and Gbeassor, M. (2018). Protective effect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diels: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CCl4-Induced</w:t>
      </w:r>
      <w:r>
        <w:rPr>
          <w:spacing w:val="-57"/>
        </w:rPr>
        <w:t> </w:t>
      </w:r>
      <w:r>
        <w:rPr/>
        <w:t>hepatotoxicity</w:t>
      </w:r>
      <w:r>
        <w:rPr>
          <w:spacing w:val="-9"/>
        </w:rPr>
        <w:t> </w:t>
      </w:r>
      <w:r>
        <w:rPr/>
        <w:t>in wistar rats.</w:t>
      </w:r>
      <w:r>
        <w:rPr>
          <w:spacing w:val="2"/>
        </w:rPr>
        <w:t> </w:t>
      </w:r>
      <w:r>
        <w:rPr>
          <w:i/>
        </w:rPr>
        <w:t>Pharmacognosy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10(3): 325-331.</w:t>
      </w:r>
    </w:p>
    <w:p>
      <w:pPr>
        <w:pStyle w:val="BodyText"/>
        <w:spacing w:before="201"/>
        <w:ind w:left="385"/>
        <w:jc w:val="both"/>
      </w:pPr>
      <w:r>
        <w:rPr/>
        <w:t>Jatsa,</w:t>
      </w:r>
      <w:r>
        <w:rPr>
          <w:spacing w:val="8"/>
        </w:rPr>
        <w:t> </w:t>
      </w:r>
      <w:r>
        <w:rPr/>
        <w:t>H.</w:t>
      </w:r>
      <w:r>
        <w:rPr>
          <w:spacing w:val="8"/>
        </w:rPr>
        <w:t> </w:t>
      </w:r>
      <w:r>
        <w:rPr/>
        <w:t>B.,</w:t>
      </w:r>
      <w:r>
        <w:rPr>
          <w:spacing w:val="10"/>
        </w:rPr>
        <w:t> </w:t>
      </w:r>
      <w:r>
        <w:rPr/>
        <w:t>Fassi,</w:t>
      </w:r>
      <w:r>
        <w:rPr>
          <w:spacing w:val="9"/>
        </w:rPr>
        <w:t> </w:t>
      </w:r>
      <w:r>
        <w:rPr/>
        <w:t>J.</w:t>
      </w:r>
      <w:r>
        <w:rPr>
          <w:spacing w:val="8"/>
        </w:rPr>
        <w:t> </w:t>
      </w:r>
      <w:r>
        <w:rPr/>
        <w:t>B.</w:t>
      </w:r>
      <w:r>
        <w:rPr>
          <w:spacing w:val="11"/>
        </w:rPr>
        <w:t> </w:t>
      </w:r>
      <w:r>
        <w:rPr/>
        <w:t>K.,</w:t>
      </w:r>
      <w:r>
        <w:rPr>
          <w:spacing w:val="7"/>
        </w:rPr>
        <w:t> </w:t>
      </w:r>
      <w:r>
        <w:rPr/>
        <w:t>Kenfack,</w:t>
      </w:r>
      <w:r>
        <w:rPr>
          <w:spacing w:val="11"/>
        </w:rPr>
        <w:t> </w:t>
      </w:r>
      <w:r>
        <w:rPr/>
        <w:t>M.</w:t>
      </w:r>
      <w:r>
        <w:rPr>
          <w:spacing w:val="8"/>
        </w:rPr>
        <w:t> </w:t>
      </w:r>
      <w:r>
        <w:rPr/>
        <w:t>C.,</w:t>
      </w:r>
      <w:r>
        <w:rPr>
          <w:spacing w:val="11"/>
        </w:rPr>
        <w:t> </w:t>
      </w:r>
      <w:r>
        <w:rPr/>
        <w:t>Feussom,</w:t>
      </w:r>
      <w:r>
        <w:rPr>
          <w:spacing w:val="9"/>
        </w:rPr>
        <w:t> </w:t>
      </w:r>
      <w:r>
        <w:rPr/>
        <w:t>N.</w:t>
      </w:r>
      <w:r>
        <w:rPr>
          <w:spacing w:val="8"/>
        </w:rPr>
        <w:t> </w:t>
      </w:r>
      <w:r>
        <w:rPr/>
        <w:t>G.,</w:t>
      </w:r>
      <w:r>
        <w:rPr>
          <w:spacing w:val="11"/>
        </w:rPr>
        <w:t> </w:t>
      </w:r>
      <w:r>
        <w:rPr/>
        <w:t>Kameni,</w:t>
      </w:r>
      <w:r>
        <w:rPr>
          <w:spacing w:val="8"/>
        </w:rPr>
        <w:t> </w:t>
      </w:r>
      <w:r>
        <w:rPr/>
        <w:t>M.</w:t>
      </w:r>
      <w:r>
        <w:rPr>
          <w:spacing w:val="14"/>
        </w:rPr>
        <w:t> </w:t>
      </w:r>
      <w:r>
        <w:rPr/>
        <w:t>P.,</w:t>
      </w:r>
      <w:r>
        <w:rPr>
          <w:spacing w:val="8"/>
        </w:rPr>
        <w:t> </w:t>
      </w:r>
      <w:r>
        <w:rPr/>
        <w:t>Simo,</w:t>
      </w:r>
      <w:r>
        <w:rPr>
          <w:spacing w:val="9"/>
        </w:rPr>
        <w:t> </w:t>
      </w:r>
      <w:r>
        <w:rPr/>
        <w:t>N.</w:t>
      </w:r>
      <w:r>
        <w:rPr>
          <w:spacing w:val="7"/>
        </w:rPr>
        <w:t> </w:t>
      </w:r>
      <w:r>
        <w:rPr/>
        <w:t>D.,</w:t>
      </w:r>
    </w:p>
    <w:p>
      <w:pPr>
        <w:spacing w:line="242" w:lineRule="auto" w:before="0"/>
        <w:ind w:left="1105" w:right="954" w:firstLine="0"/>
        <w:jc w:val="both"/>
        <w:rPr>
          <w:sz w:val="24"/>
        </w:rPr>
      </w:pPr>
      <w:r>
        <w:rPr>
          <w:sz w:val="24"/>
        </w:rPr>
        <w:t>... and Tchuente, L. A. T. (2018). Acute and sub-chronic oral toxicity studies of the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Clerodendrum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umbellatum</w:t>
      </w:r>
      <w:r>
        <w:rPr>
          <w:i/>
          <w:spacing w:val="1"/>
          <w:sz w:val="24"/>
        </w:rPr>
        <w:t> </w:t>
      </w:r>
      <w:r>
        <w:rPr>
          <w:sz w:val="24"/>
        </w:rPr>
        <w:t>Poir.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mice.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Physiology, Biochemistry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 7(2): 75-85.</w:t>
      </w:r>
    </w:p>
    <w:p>
      <w:pPr>
        <w:pStyle w:val="BodyText"/>
        <w:spacing w:before="192"/>
        <w:ind w:left="1105" w:right="954" w:hanging="720"/>
        <w:jc w:val="both"/>
      </w:pPr>
      <w:r>
        <w:rPr/>
        <w:t>Jimenez-Estrada, M., Velázquez-Contreras, C., Garibay-Escobar, A., Sierras-Canchola, D.,</w:t>
      </w:r>
      <w:r>
        <w:rPr>
          <w:spacing w:val="1"/>
        </w:rPr>
        <w:t> </w:t>
      </w:r>
      <w:r>
        <w:rPr/>
        <w:t>Lapizco-Vázquez, R., Ortiz-Sandoval, C., ... and Robles-Zepeda, R. E. (2013). In</w:t>
      </w:r>
      <w:r>
        <w:rPr>
          <w:spacing w:val="1"/>
        </w:rPr>
        <w:t> </w:t>
      </w:r>
      <w:r>
        <w:rPr/>
        <w:t>vitro antioxidant and antiproliferative activities of plants of the ethnopharmacopeia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Northwest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Mexico. </w:t>
      </w:r>
      <w:r>
        <w:rPr>
          <w:i/>
        </w:rPr>
        <w:t>BioMed</w:t>
      </w:r>
      <w:r>
        <w:rPr>
          <w:i/>
          <w:spacing w:val="1"/>
        </w:rPr>
        <w:t> </w:t>
      </w:r>
      <w:r>
        <w:rPr>
          <w:i/>
        </w:rPr>
        <w:t>Cental</w:t>
      </w:r>
      <w:r>
        <w:rPr>
          <w:i/>
          <w:spacing w:val="1"/>
        </w:rPr>
        <w:t> </w:t>
      </w:r>
      <w:r>
        <w:rPr>
          <w:i/>
        </w:rPr>
        <w:t>Complementary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Alternative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</w:t>
      </w:r>
      <w:r>
        <w:rPr>
          <w:spacing w:val="-1"/>
        </w:rPr>
        <w:t> </w:t>
      </w:r>
      <w:r>
        <w:rPr/>
        <w:t>13(1): 12-22.</w:t>
      </w:r>
    </w:p>
    <w:p>
      <w:pPr>
        <w:pStyle w:val="BodyText"/>
        <w:spacing w:before="199"/>
        <w:ind w:left="1105" w:right="958" w:hanging="720"/>
        <w:jc w:val="both"/>
      </w:pPr>
      <w:r>
        <w:rPr/>
        <w:t>Johargy, A., Ghazi, H., and Mumenah, A. (2010). Frequency of viral, bacterial and parasitic</w:t>
      </w:r>
      <w:r>
        <w:rPr>
          <w:spacing w:val="-57"/>
        </w:rPr>
        <w:t> </w:t>
      </w:r>
      <w:r>
        <w:rPr/>
        <w:t>enteropathogens</w:t>
      </w:r>
      <w:r>
        <w:rPr>
          <w:spacing w:val="61"/>
        </w:rPr>
        <w:t> </w:t>
      </w:r>
      <w:r>
        <w:rPr/>
        <w:t>among</w:t>
      </w:r>
      <w:r>
        <w:rPr>
          <w:spacing w:val="61"/>
        </w:rPr>
        <w:t> </w:t>
      </w:r>
      <w:r>
        <w:rPr/>
        <w:t>young</w:t>
      </w:r>
      <w:r>
        <w:rPr>
          <w:spacing w:val="61"/>
        </w:rPr>
        <w:t> </w:t>
      </w:r>
      <w:r>
        <w:rPr/>
        <w:t>children  </w:t>
      </w:r>
      <w:r>
        <w:rPr>
          <w:spacing w:val="1"/>
        </w:rPr>
        <w:t> </w:t>
      </w:r>
      <w:r>
        <w:rPr/>
        <w:t>with  </w:t>
      </w:r>
      <w:r>
        <w:rPr>
          <w:spacing w:val="1"/>
        </w:rPr>
        <w:t> </w:t>
      </w:r>
      <w:r>
        <w:rPr/>
        <w:t>acute  </w:t>
      </w:r>
      <w:r>
        <w:rPr>
          <w:spacing w:val="1"/>
        </w:rPr>
        <w:t> </w:t>
      </w:r>
      <w:r>
        <w:rPr/>
        <w:t>diarrhoea  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Saudi</w:t>
      </w:r>
      <w:r>
        <w:rPr>
          <w:spacing w:val="-57"/>
        </w:rPr>
        <w:t> </w:t>
      </w:r>
      <w:r>
        <w:rPr/>
        <w:t>Arabia.</w:t>
      </w:r>
      <w:r>
        <w:rPr>
          <w:spacing w:val="-2"/>
        </w:rPr>
        <w:t> </w:t>
      </w:r>
      <w:r>
        <w:rPr>
          <w:i/>
        </w:rPr>
        <w:t>Journal of Pakistan Medical Association</w:t>
      </w:r>
      <w:r>
        <w:rPr/>
        <w:t>, 60(6):</w:t>
      </w:r>
      <w:r>
        <w:rPr>
          <w:spacing w:val="-1"/>
        </w:rPr>
        <w:t> </w:t>
      </w:r>
      <w:r>
        <w:rPr/>
        <w:t>456-459.</w:t>
      </w:r>
    </w:p>
    <w:p>
      <w:pPr>
        <w:pStyle w:val="BodyText"/>
        <w:spacing w:line="242" w:lineRule="auto" w:before="202"/>
        <w:ind w:left="1105" w:right="962" w:hanging="720"/>
        <w:jc w:val="both"/>
      </w:pPr>
      <w:r>
        <w:rPr/>
        <w:t>Jones, G., Steketee, R. W., Black, R. E., Bhutta, Z. A., Morris, S. S., and Bellagio Child</w:t>
      </w:r>
      <w:r>
        <w:rPr>
          <w:spacing w:val="1"/>
        </w:rPr>
        <w:t> </w:t>
      </w:r>
      <w:r>
        <w:rPr/>
        <w:t>Survival Study Group. (2003). How many child deaths can we prevent this year?.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Lancet</w:t>
      </w:r>
      <w:r>
        <w:rPr/>
        <w:t>, 362(9377): 65-71.</w:t>
      </w:r>
    </w:p>
    <w:p>
      <w:pPr>
        <w:spacing w:line="240" w:lineRule="auto" w:before="191"/>
        <w:ind w:left="1105" w:right="951" w:hanging="720"/>
        <w:jc w:val="both"/>
        <w:rPr>
          <w:sz w:val="24"/>
        </w:rPr>
      </w:pPr>
      <w:r>
        <w:rPr>
          <w:sz w:val="24"/>
        </w:rPr>
        <w:t>Jones, S. E., and Versalovic, J. (2009). Probiotic </w:t>
      </w:r>
      <w:r>
        <w:rPr>
          <w:i/>
          <w:sz w:val="24"/>
        </w:rPr>
        <w:t>Lactobacillus reuteri </w:t>
      </w:r>
      <w:r>
        <w:rPr>
          <w:sz w:val="24"/>
        </w:rPr>
        <w:t>biofilms produce</w:t>
      </w:r>
      <w:r>
        <w:rPr>
          <w:spacing w:val="1"/>
          <w:sz w:val="24"/>
        </w:rPr>
        <w:t> </w:t>
      </w:r>
      <w:r>
        <w:rPr>
          <w:sz w:val="24"/>
        </w:rPr>
        <w:t>antimicrobial and anti-inflammatory factors. </w:t>
      </w:r>
      <w:r>
        <w:rPr>
          <w:i/>
          <w:sz w:val="24"/>
        </w:rPr>
        <w:t>BioMed 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 9(1):</w:t>
      </w:r>
      <w:r>
        <w:rPr>
          <w:spacing w:val="1"/>
          <w:sz w:val="24"/>
        </w:rPr>
        <w:t> </w:t>
      </w:r>
      <w:r>
        <w:rPr>
          <w:sz w:val="24"/>
        </w:rPr>
        <w:t>35-47.</w:t>
      </w:r>
    </w:p>
    <w:p>
      <w:pPr>
        <w:pStyle w:val="BodyText"/>
        <w:spacing w:before="200"/>
        <w:ind w:left="1105" w:right="958" w:hanging="720"/>
        <w:jc w:val="both"/>
      </w:pPr>
      <w:r>
        <w:rPr/>
        <w:t>Joseph, A. A., Odimayo, M. S., Oluwayemi, I. O., Fadeyi, A., and Dada, S. A. (2017). An</w:t>
      </w:r>
      <w:r>
        <w:rPr>
          <w:spacing w:val="1"/>
        </w:rPr>
        <w:t> </w:t>
      </w:r>
      <w:r>
        <w:rPr/>
        <w:t>overview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aetiologic</w:t>
      </w:r>
      <w:r>
        <w:rPr>
          <w:spacing w:val="26"/>
        </w:rPr>
        <w:t> </w:t>
      </w:r>
      <w:r>
        <w:rPr/>
        <w:t>agents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diarrhoea</w:t>
      </w:r>
      <w:r>
        <w:rPr>
          <w:spacing w:val="26"/>
        </w:rPr>
        <w:t> </w:t>
      </w:r>
      <w:r>
        <w:rPr/>
        <w:t>diseases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children:</w:t>
      </w:r>
      <w:r>
        <w:rPr>
          <w:spacing w:val="28"/>
        </w:rPr>
        <w:t> </w:t>
      </w:r>
      <w:r>
        <w:rPr/>
        <w:t>How</w:t>
      </w:r>
      <w:r>
        <w:rPr>
          <w:spacing w:val="26"/>
        </w:rPr>
        <w:t> </w:t>
      </w:r>
      <w:r>
        <w:rPr/>
        <w:t>far</w:t>
      </w:r>
      <w:r>
        <w:rPr>
          <w:spacing w:val="25"/>
        </w:rPr>
        <w:t> </w:t>
      </w:r>
      <w:r>
        <w:rPr/>
        <w:t>have</w:t>
      </w:r>
      <w:r>
        <w:rPr>
          <w:spacing w:val="-57"/>
        </w:rPr>
        <w:t> </w:t>
      </w:r>
      <w:r>
        <w:rPr/>
        <w:t>we gone</w:t>
      </w:r>
      <w:r>
        <w:rPr>
          <w:spacing w:val="-2"/>
        </w:rPr>
        <w:t> </w:t>
      </w:r>
      <w:r>
        <w:rPr/>
        <w:t>in management</w:t>
      </w:r>
      <w:r>
        <w:rPr>
          <w:spacing w:val="1"/>
        </w:rPr>
        <w:t> </w:t>
      </w:r>
      <w:r>
        <w:rPr/>
        <w:t>and control?. </w:t>
      </w:r>
      <w:r>
        <w:rPr>
          <w:i/>
        </w:rPr>
        <w:t>Medical Journal</w:t>
      </w:r>
      <w:r>
        <w:rPr>
          <w:i/>
          <w:spacing w:val="-1"/>
        </w:rPr>
        <w:t> </w:t>
      </w:r>
      <w:r>
        <w:rPr>
          <w:i/>
        </w:rPr>
        <w:t>of Zambia</w:t>
      </w:r>
      <w:r>
        <w:rPr/>
        <w:t>,</w:t>
      </w:r>
      <w:r>
        <w:rPr>
          <w:spacing w:val="-1"/>
        </w:rPr>
        <w:t> </w:t>
      </w:r>
      <w:r>
        <w:rPr/>
        <w:t>44(4): 266-275.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line="242" w:lineRule="auto" w:before="70"/>
        <w:ind w:left="1105" w:right="954" w:hanging="720"/>
        <w:jc w:val="both"/>
      </w:pPr>
      <w:r>
        <w:rPr/>
        <w:t>Jothy, S., Zakaria, Z., Chen, Y., Lau, Y. L., Latha, L. Y., and Sasidharan, S. (2011). Acute</w:t>
      </w:r>
      <w:r>
        <w:rPr>
          <w:spacing w:val="1"/>
        </w:rPr>
        <w:t> </w:t>
      </w:r>
      <w:r>
        <w:rPr/>
        <w:t>oral toxicity of methanolic seed extract of </w:t>
      </w:r>
      <w:r>
        <w:rPr>
          <w:i/>
        </w:rPr>
        <w:t>Cassia fistula </w:t>
      </w:r>
      <w:r>
        <w:rPr/>
        <w:t>in mice. </w:t>
      </w:r>
      <w:r>
        <w:rPr>
          <w:i/>
        </w:rPr>
        <w:t>Molecules</w:t>
      </w:r>
      <w:r>
        <w:rPr/>
        <w:t>, 16(6):</w:t>
      </w:r>
      <w:r>
        <w:rPr>
          <w:spacing w:val="1"/>
        </w:rPr>
        <w:t> </w:t>
      </w:r>
      <w:r>
        <w:rPr/>
        <w:t>5268-5282.</w:t>
      </w:r>
    </w:p>
    <w:p>
      <w:pPr>
        <w:pStyle w:val="BodyText"/>
        <w:spacing w:before="191"/>
        <w:ind w:left="1105" w:right="958" w:hanging="720"/>
        <w:jc w:val="both"/>
      </w:pPr>
      <w:r>
        <w:rPr/>
        <w:t>Kalakheti, B., Panthee, K., and Jain, K. C. (2016). Risk Factors of Diarrhea in Children</w:t>
      </w:r>
      <w:r>
        <w:rPr>
          <w:spacing w:val="1"/>
        </w:rPr>
        <w:t> </w:t>
      </w:r>
      <w:r>
        <w:rPr/>
        <w:t>Under Five Years in Urban Slums. </w:t>
      </w:r>
      <w:r>
        <w:rPr>
          <w:i/>
        </w:rPr>
        <w:t>Journal of Lumbini Medical College</w:t>
      </w:r>
      <w:r>
        <w:rPr/>
        <w:t>, 4(2): 94-</w:t>
      </w:r>
      <w:r>
        <w:rPr>
          <w:spacing w:val="1"/>
        </w:rPr>
        <w:t> </w:t>
      </w:r>
      <w:r>
        <w:rPr/>
        <w:t>98.</w:t>
      </w:r>
    </w:p>
    <w:p>
      <w:pPr>
        <w:spacing w:line="242" w:lineRule="auto" w:before="200"/>
        <w:ind w:left="1105" w:right="957" w:hanging="720"/>
        <w:jc w:val="both"/>
        <w:rPr>
          <w:sz w:val="24"/>
        </w:rPr>
      </w:pPr>
      <w:r>
        <w:rPr>
          <w:sz w:val="24"/>
        </w:rPr>
        <w:t>Katona,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Katona-Apte,</w:t>
      </w:r>
      <w:r>
        <w:rPr>
          <w:spacing w:val="61"/>
          <w:sz w:val="24"/>
        </w:rPr>
        <w:t> </w:t>
      </w:r>
      <w:r>
        <w:rPr>
          <w:sz w:val="24"/>
        </w:rPr>
        <w:t>J.</w:t>
      </w:r>
      <w:r>
        <w:rPr>
          <w:spacing w:val="61"/>
          <w:sz w:val="24"/>
        </w:rPr>
        <w:t> </w:t>
      </w:r>
      <w:r>
        <w:rPr>
          <w:sz w:val="24"/>
        </w:rPr>
        <w:t>(2008).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interaction</w:t>
      </w:r>
      <w:r>
        <w:rPr>
          <w:spacing w:val="61"/>
          <w:sz w:val="24"/>
        </w:rPr>
        <w:t> </w:t>
      </w:r>
      <w:r>
        <w:rPr>
          <w:sz w:val="24"/>
        </w:rPr>
        <w:t>between</w:t>
      </w:r>
      <w:r>
        <w:rPr>
          <w:spacing w:val="61"/>
          <w:sz w:val="24"/>
        </w:rPr>
        <w:t> </w:t>
      </w:r>
      <w:r>
        <w:rPr>
          <w:sz w:val="24"/>
        </w:rPr>
        <w:t>nutrition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infection.</w:t>
      </w:r>
      <w:r>
        <w:rPr>
          <w:spacing w:val="-1"/>
          <w:sz w:val="24"/>
        </w:rPr>
        <w:t> </w:t>
      </w:r>
      <w:r>
        <w:rPr>
          <w:i/>
          <w:sz w:val="24"/>
        </w:rPr>
        <w:t>Clinical Infectious Diseases</w:t>
      </w:r>
      <w:r>
        <w:rPr>
          <w:sz w:val="24"/>
        </w:rPr>
        <w:t>, 46(10): 1582-1588.</w:t>
      </w:r>
    </w:p>
    <w:p>
      <w:pPr>
        <w:pStyle w:val="BodyText"/>
        <w:spacing w:before="196"/>
        <w:ind w:left="1105" w:right="954" w:hanging="720"/>
        <w:jc w:val="both"/>
      </w:pPr>
      <w:r>
        <w:rPr/>
        <w:t>Khan, J., Vesel, L., Bahl, R., and Martines, J. C. (2015). Timing of breastfeeding initiation</w:t>
      </w:r>
      <w:r>
        <w:rPr>
          <w:spacing w:val="1"/>
        </w:rPr>
        <w:t> </w:t>
      </w:r>
      <w:r>
        <w:rPr/>
        <w:t>and exclusivity of breastfeeding during the first month of life: effects on neonatal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morbidity: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meta-analysis. </w:t>
      </w:r>
      <w:r>
        <w:rPr>
          <w:i/>
        </w:rPr>
        <w:t>Maternal</w:t>
      </w:r>
      <w:r>
        <w:rPr>
          <w:i/>
          <w:spacing w:val="60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Child</w:t>
      </w:r>
      <w:r>
        <w:rPr>
          <w:i/>
          <w:spacing w:val="-1"/>
        </w:rPr>
        <w:t> </w:t>
      </w:r>
      <w:r>
        <w:rPr>
          <w:i/>
        </w:rPr>
        <w:t>Health Journal</w:t>
      </w:r>
      <w:r>
        <w:rPr/>
        <w:t>, 19(3): 468-479.</w:t>
      </w:r>
    </w:p>
    <w:p>
      <w:pPr>
        <w:pStyle w:val="BodyText"/>
        <w:spacing w:before="200"/>
        <w:ind w:left="1105" w:right="954" w:hanging="720"/>
        <w:jc w:val="both"/>
      </w:pPr>
      <w:r>
        <w:rPr/>
        <w:t>Knecht, H., Neulinger, S. C., Heinsen, F. A., Knecht, C., Schilhabel, A., Schmitz, R. A., ...</w:t>
      </w:r>
      <w:r>
        <w:rPr>
          <w:spacing w:val="1"/>
        </w:rPr>
        <w:t> </w:t>
      </w:r>
      <w:r>
        <w:rPr/>
        <w:t>and Schreiber, S. (2014). Effects of β-lactam antibiotics and fluoroquinolones on</w:t>
      </w:r>
      <w:r>
        <w:rPr>
          <w:spacing w:val="1"/>
        </w:rPr>
        <w:t> </w:t>
      </w:r>
      <w:r>
        <w:rPr/>
        <w:t>human gut microbiota in relation to </w:t>
      </w:r>
      <w:r>
        <w:rPr>
          <w:i/>
        </w:rPr>
        <w:t>Clostridium difficile </w:t>
      </w:r>
      <w:r>
        <w:rPr/>
        <w:t>associated diarrhea. </w:t>
      </w:r>
      <w:r>
        <w:rPr>
          <w:i/>
        </w:rPr>
        <w:t>PLoS</w:t>
      </w:r>
      <w:r>
        <w:rPr>
          <w:i/>
          <w:spacing w:val="1"/>
        </w:rPr>
        <w:t> </w:t>
      </w:r>
      <w:r>
        <w:rPr>
          <w:i/>
        </w:rPr>
        <w:t>One</w:t>
      </w:r>
      <w:r>
        <w:rPr/>
        <w:t>,</w:t>
      </w:r>
      <w:r>
        <w:rPr>
          <w:spacing w:val="-1"/>
        </w:rPr>
        <w:t> </w:t>
      </w:r>
      <w:r>
        <w:rPr>
          <w:i/>
        </w:rPr>
        <w:t>9</w:t>
      </w:r>
      <w:r>
        <w:rPr/>
        <w:t>(2): e89417.</w:t>
      </w:r>
    </w:p>
    <w:p>
      <w:pPr>
        <w:pStyle w:val="BodyText"/>
        <w:spacing w:before="199"/>
        <w:ind w:left="1105" w:right="955" w:hanging="720"/>
        <w:jc w:val="both"/>
      </w:pPr>
      <w:r>
        <w:rPr/>
        <w:t>Kotloff,</w:t>
      </w:r>
      <w:r>
        <w:rPr>
          <w:spacing w:val="15"/>
        </w:rPr>
        <w:t> </w:t>
      </w:r>
      <w:r>
        <w:rPr/>
        <w:t>K.</w:t>
      </w:r>
      <w:r>
        <w:rPr>
          <w:spacing w:val="18"/>
        </w:rPr>
        <w:t> </w:t>
      </w:r>
      <w:r>
        <w:rPr/>
        <w:t>L.,</w:t>
      </w:r>
      <w:r>
        <w:rPr>
          <w:spacing w:val="16"/>
        </w:rPr>
        <w:t> </w:t>
      </w:r>
      <w:r>
        <w:rPr/>
        <w:t>Nataro,</w:t>
      </w:r>
      <w:r>
        <w:rPr>
          <w:spacing w:val="16"/>
        </w:rPr>
        <w:t> </w:t>
      </w:r>
      <w:r>
        <w:rPr/>
        <w:t>J.</w:t>
      </w:r>
      <w:r>
        <w:rPr>
          <w:spacing w:val="16"/>
        </w:rPr>
        <w:t> </w:t>
      </w:r>
      <w:r>
        <w:rPr/>
        <w:t>P.,</w:t>
      </w:r>
      <w:r>
        <w:rPr>
          <w:spacing w:val="15"/>
        </w:rPr>
        <w:t> </w:t>
      </w:r>
      <w:r>
        <w:rPr/>
        <w:t>Blackwelder,</w:t>
      </w:r>
      <w:r>
        <w:rPr>
          <w:spacing w:val="16"/>
        </w:rPr>
        <w:t> </w:t>
      </w:r>
      <w:r>
        <w:rPr/>
        <w:t>W.</w:t>
      </w:r>
      <w:r>
        <w:rPr>
          <w:spacing w:val="16"/>
        </w:rPr>
        <w:t> </w:t>
      </w:r>
      <w:r>
        <w:rPr/>
        <w:t>C.,</w:t>
      </w:r>
      <w:r>
        <w:rPr>
          <w:spacing w:val="14"/>
        </w:rPr>
        <w:t> </w:t>
      </w:r>
      <w:r>
        <w:rPr/>
        <w:t>Nasrin,</w:t>
      </w:r>
      <w:r>
        <w:rPr>
          <w:spacing w:val="16"/>
        </w:rPr>
        <w:t> </w:t>
      </w:r>
      <w:r>
        <w:rPr/>
        <w:t>D.,</w:t>
      </w:r>
      <w:r>
        <w:rPr>
          <w:spacing w:val="15"/>
        </w:rPr>
        <w:t> </w:t>
      </w:r>
      <w:r>
        <w:rPr/>
        <w:t>Farag,</w:t>
      </w:r>
      <w:r>
        <w:rPr>
          <w:spacing w:val="16"/>
        </w:rPr>
        <w:t> </w:t>
      </w:r>
      <w:r>
        <w:rPr/>
        <w:t>T.</w:t>
      </w:r>
      <w:r>
        <w:rPr>
          <w:spacing w:val="16"/>
        </w:rPr>
        <w:t> </w:t>
      </w:r>
      <w:r>
        <w:rPr/>
        <w:t>H.,</w:t>
      </w:r>
      <w:r>
        <w:rPr>
          <w:spacing w:val="16"/>
        </w:rPr>
        <w:t> </w:t>
      </w:r>
      <w:r>
        <w:rPr/>
        <w:t>Panchalingam,</w:t>
      </w:r>
      <w:r>
        <w:rPr>
          <w:spacing w:val="-58"/>
        </w:rPr>
        <w:t> </w:t>
      </w:r>
      <w:r>
        <w:rPr/>
        <w:t>S., ... and Faruque, A. S. (2013). Burden and aetiology of diarrhoeal disease in</w:t>
      </w:r>
      <w:r>
        <w:rPr>
          <w:spacing w:val="1"/>
        </w:rPr>
        <w:t> </w:t>
      </w:r>
      <w:r>
        <w:rPr/>
        <w:t>infants and young children in developing countries (the Global Enteric Multicenter</w:t>
      </w:r>
      <w:r>
        <w:rPr>
          <w:spacing w:val="1"/>
        </w:rPr>
        <w:t> </w:t>
      </w:r>
      <w:r>
        <w:rPr/>
        <w:t>Study, GEMS):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prospective,</w:t>
      </w:r>
      <w:r>
        <w:rPr>
          <w:spacing w:val="-1"/>
        </w:rPr>
        <w:t> </w:t>
      </w:r>
      <w:r>
        <w:rPr/>
        <w:t>case-control</w:t>
      </w:r>
      <w:r>
        <w:rPr>
          <w:spacing w:val="-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Lancet</w:t>
      </w:r>
      <w:r>
        <w:rPr/>
        <w:t>,</w:t>
      </w:r>
      <w:r>
        <w:rPr>
          <w:spacing w:val="-1"/>
        </w:rPr>
        <w:t> </w:t>
      </w:r>
      <w:r>
        <w:rPr/>
        <w:t>382(9888): 209-222.</w:t>
      </w:r>
    </w:p>
    <w:p>
      <w:pPr>
        <w:pStyle w:val="BodyText"/>
        <w:spacing w:line="242" w:lineRule="auto" w:before="202"/>
        <w:ind w:left="1105" w:right="954" w:hanging="720"/>
        <w:jc w:val="both"/>
      </w:pPr>
      <w:r>
        <w:rPr/>
        <w:t>Krishnan,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Babu,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Pappachan,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Gastrointestinal</w:t>
      </w:r>
      <w:r>
        <w:rPr>
          <w:spacing w:val="61"/>
        </w:rPr>
        <w:t> </w:t>
      </w:r>
      <w:r>
        <w:rPr/>
        <w:t>complications</w:t>
      </w:r>
      <w:r>
        <w:rPr>
          <w:spacing w:val="61"/>
        </w:rPr>
        <w:t> </w:t>
      </w:r>
      <w:r>
        <w:rPr/>
        <w:t>of  </w:t>
      </w:r>
      <w:r>
        <w:rPr>
          <w:spacing w:val="1"/>
        </w:rPr>
        <w:t> </w:t>
      </w:r>
      <w:r>
        <w:rPr/>
        <w:t>diabetes  </w:t>
      </w:r>
      <w:r>
        <w:rPr>
          <w:spacing w:val="1"/>
        </w:rPr>
        <w:t> </w:t>
      </w:r>
      <w:r>
        <w:rPr/>
        <w:t>mellitus. </w:t>
      </w:r>
      <w:r>
        <w:rPr>
          <w:i/>
        </w:rPr>
        <w:t>World  </w:t>
      </w:r>
      <w:r>
        <w:rPr>
          <w:i/>
          <w:spacing w:val="1"/>
        </w:rPr>
        <w:t> </w:t>
      </w:r>
      <w:r>
        <w:rPr>
          <w:i/>
        </w:rPr>
        <w:t>Journal  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Diabetes</w:t>
      </w:r>
      <w:r>
        <w:rPr/>
        <w:t>,</w:t>
      </w:r>
      <w:r>
        <w:rPr>
          <w:spacing w:val="-1"/>
        </w:rPr>
        <w:t> </w:t>
      </w:r>
      <w:r>
        <w:rPr/>
        <w:t>4(3): 51-63.</w:t>
      </w:r>
    </w:p>
    <w:p>
      <w:pPr>
        <w:spacing w:line="242" w:lineRule="auto" w:before="191"/>
        <w:ind w:left="1105" w:right="964" w:hanging="720"/>
        <w:jc w:val="both"/>
        <w:rPr>
          <w:sz w:val="24"/>
        </w:rPr>
      </w:pPr>
      <w:r>
        <w:rPr>
          <w:sz w:val="24"/>
        </w:rPr>
        <w:t>Kumpf, V. J. (2014). Pharmacologic management of diarrhea in patients with short bowel</w:t>
      </w:r>
      <w:r>
        <w:rPr>
          <w:spacing w:val="1"/>
          <w:sz w:val="24"/>
        </w:rPr>
        <w:t> </w:t>
      </w:r>
      <w:r>
        <w:rPr>
          <w:sz w:val="24"/>
        </w:rPr>
        <w:t>syndrome.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Parenteral and Enteral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 38</w:t>
      </w:r>
      <w:r>
        <w:rPr>
          <w:i/>
          <w:sz w:val="24"/>
        </w:rPr>
        <w:t>(1)</w:t>
      </w:r>
      <w:r>
        <w:rPr>
          <w:sz w:val="24"/>
        </w:rPr>
        <w:t>: 38-44.</w:t>
      </w:r>
    </w:p>
    <w:p>
      <w:pPr>
        <w:pStyle w:val="BodyText"/>
        <w:spacing w:before="194"/>
        <w:ind w:left="1105" w:right="957" w:hanging="720"/>
        <w:jc w:val="both"/>
      </w:pPr>
      <w:r>
        <w:rPr/>
        <w:t>Laaveri,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Sterne,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Rombo,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Kantele,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loperamide: No proof of antibiotics being superior to loperamide in treatment of</w:t>
      </w:r>
      <w:r>
        <w:rPr>
          <w:spacing w:val="1"/>
        </w:rPr>
        <w:t> </w:t>
      </w:r>
      <w:r>
        <w:rPr/>
        <w:t>mild/moderate travellers' diarrhoea. </w:t>
      </w:r>
      <w:r>
        <w:rPr>
          <w:i/>
        </w:rPr>
        <w:t>Travel Medicine and Infectious Disease</w:t>
      </w:r>
      <w:r>
        <w:rPr/>
        <w:t>, 14(4):</w:t>
      </w:r>
      <w:r>
        <w:rPr>
          <w:spacing w:val="1"/>
        </w:rPr>
        <w:t> </w:t>
      </w:r>
      <w:r>
        <w:rPr/>
        <w:t>299-312.</w:t>
      </w:r>
    </w:p>
    <w:p>
      <w:pPr>
        <w:pStyle w:val="BodyText"/>
        <w:spacing w:before="202"/>
        <w:ind w:left="1105" w:right="955" w:hanging="720"/>
        <w:jc w:val="both"/>
      </w:pPr>
      <w:r>
        <w:rPr>
          <w:color w:val="212121"/>
        </w:rPr>
        <w:t>La</w:t>
      </w:r>
      <w:r>
        <w:rPr>
          <w:color w:val="212121"/>
          <w:spacing w:val="59"/>
        </w:rPr>
        <w:t> </w:t>
      </w:r>
      <w:r>
        <w:rPr>
          <w:color w:val="212121"/>
        </w:rPr>
        <w:t>Frazia,</w:t>
      </w:r>
      <w:r>
        <w:rPr>
          <w:color w:val="212121"/>
          <w:spacing w:val="58"/>
        </w:rPr>
        <w:t> </w:t>
      </w:r>
      <w:r>
        <w:rPr>
          <w:color w:val="212121"/>
        </w:rPr>
        <w:t>S.,</w:t>
      </w:r>
      <w:r>
        <w:rPr>
          <w:color w:val="212121"/>
          <w:spacing w:val="58"/>
        </w:rPr>
        <w:t> </w:t>
      </w:r>
      <w:r>
        <w:rPr>
          <w:color w:val="212121"/>
        </w:rPr>
        <w:t>Ciucci,</w:t>
      </w:r>
      <w:r>
        <w:rPr>
          <w:color w:val="212121"/>
          <w:spacing w:val="56"/>
        </w:rPr>
        <w:t> </w:t>
      </w:r>
      <w:r>
        <w:rPr>
          <w:color w:val="212121"/>
        </w:rPr>
        <w:t>A.,</w:t>
      </w:r>
      <w:r>
        <w:rPr>
          <w:color w:val="212121"/>
          <w:spacing w:val="58"/>
        </w:rPr>
        <w:t> </w:t>
      </w:r>
      <w:r>
        <w:rPr>
          <w:color w:val="212121"/>
        </w:rPr>
        <w:t>Arnoldi,</w:t>
      </w:r>
      <w:r>
        <w:rPr>
          <w:color w:val="212121"/>
          <w:spacing w:val="58"/>
        </w:rPr>
        <w:t> </w:t>
      </w:r>
      <w:r>
        <w:rPr>
          <w:color w:val="212121"/>
        </w:rPr>
        <w:t>F.,</w:t>
      </w:r>
      <w:r>
        <w:rPr>
          <w:color w:val="212121"/>
          <w:spacing w:val="57"/>
        </w:rPr>
        <w:t> </w:t>
      </w:r>
      <w:r>
        <w:rPr>
          <w:color w:val="212121"/>
        </w:rPr>
        <w:t>Coira,</w:t>
      </w:r>
      <w:r>
        <w:rPr>
          <w:color w:val="212121"/>
          <w:spacing w:val="58"/>
        </w:rPr>
        <w:t> </w:t>
      </w:r>
      <w:r>
        <w:rPr>
          <w:color w:val="212121"/>
        </w:rPr>
        <w:t>M.,</w:t>
      </w:r>
      <w:r>
        <w:rPr>
          <w:color w:val="212121"/>
          <w:spacing w:val="59"/>
        </w:rPr>
        <w:t> </w:t>
      </w:r>
      <w:r>
        <w:rPr>
          <w:color w:val="212121"/>
        </w:rPr>
        <w:t>Gianferretti,</w:t>
      </w:r>
      <w:r>
        <w:rPr>
          <w:color w:val="212121"/>
          <w:spacing w:val="59"/>
        </w:rPr>
        <w:t> </w:t>
      </w:r>
      <w:r>
        <w:rPr>
          <w:color w:val="212121"/>
        </w:rPr>
        <w:t>P.,</w:t>
      </w:r>
      <w:r>
        <w:rPr>
          <w:color w:val="212121"/>
          <w:spacing w:val="58"/>
        </w:rPr>
        <w:t> </w:t>
      </w:r>
      <w:r>
        <w:rPr>
          <w:color w:val="212121"/>
        </w:rPr>
        <w:t>Angelini,</w:t>
      </w:r>
      <w:r>
        <w:rPr>
          <w:color w:val="212121"/>
          <w:spacing w:val="59"/>
        </w:rPr>
        <w:t> </w:t>
      </w:r>
      <w:r>
        <w:rPr>
          <w:color w:val="212121"/>
        </w:rPr>
        <w:t>M.,</w:t>
      </w:r>
      <w:r>
        <w:rPr>
          <w:color w:val="212121"/>
          <w:spacing w:val="57"/>
        </w:rPr>
        <w:t> </w:t>
      </w:r>
      <w:r>
        <w:rPr>
          <w:color w:val="212121"/>
        </w:rPr>
        <w:t>...</w:t>
      </w:r>
      <w:r>
        <w:rPr>
          <w:color w:val="212121"/>
          <w:spacing w:val="58"/>
        </w:rPr>
        <w:t> </w:t>
      </w:r>
      <w:r>
        <w:rPr>
          <w:color w:val="212121"/>
        </w:rPr>
        <w:t>&amp;</w:t>
      </w:r>
      <w:r>
        <w:rPr>
          <w:color w:val="212121"/>
          <w:spacing w:val="-57"/>
        </w:rPr>
        <w:t> </w:t>
      </w:r>
      <w:r>
        <w:rPr>
          <w:color w:val="212121"/>
        </w:rPr>
        <w:t>Santoro, M. G. (2013). Thiazolides, a new class of antiviral agents effective against</w:t>
      </w:r>
      <w:r>
        <w:rPr>
          <w:color w:val="212121"/>
          <w:spacing w:val="1"/>
        </w:rPr>
        <w:t> </w:t>
      </w:r>
      <w:r>
        <w:rPr>
          <w:color w:val="212121"/>
        </w:rPr>
        <w:t>rotavirus</w:t>
      </w:r>
      <w:r>
        <w:rPr>
          <w:color w:val="212121"/>
          <w:spacing w:val="61"/>
        </w:rPr>
        <w:t> </w:t>
      </w:r>
      <w:r>
        <w:rPr>
          <w:color w:val="212121"/>
        </w:rPr>
        <w:t>infection,</w:t>
      </w:r>
      <w:r>
        <w:rPr>
          <w:color w:val="212121"/>
          <w:spacing w:val="61"/>
        </w:rPr>
        <w:t> </w:t>
      </w:r>
      <w:r>
        <w:rPr>
          <w:color w:val="212121"/>
        </w:rPr>
        <w:t>target  </w:t>
      </w:r>
      <w:r>
        <w:rPr>
          <w:color w:val="212121"/>
          <w:spacing w:val="1"/>
        </w:rPr>
        <w:t> </w:t>
      </w:r>
      <w:r>
        <w:rPr>
          <w:color w:val="212121"/>
        </w:rPr>
        <w:t>viral  </w:t>
      </w:r>
      <w:r>
        <w:rPr>
          <w:color w:val="212121"/>
          <w:spacing w:val="1"/>
        </w:rPr>
        <w:t> </w:t>
      </w:r>
      <w:r>
        <w:rPr>
          <w:color w:val="212121"/>
        </w:rPr>
        <w:t>morphogenesis,  </w:t>
      </w:r>
      <w:r>
        <w:rPr>
          <w:color w:val="212121"/>
          <w:spacing w:val="1"/>
        </w:rPr>
        <w:t> </w:t>
      </w:r>
      <w:r>
        <w:rPr>
          <w:color w:val="212121"/>
        </w:rPr>
        <w:t>inhibiting  </w:t>
      </w:r>
      <w:r>
        <w:rPr>
          <w:color w:val="212121"/>
          <w:spacing w:val="1"/>
        </w:rPr>
        <w:t> </w:t>
      </w:r>
      <w:r>
        <w:rPr>
          <w:color w:val="212121"/>
        </w:rPr>
        <w:t>viroplasm</w:t>
      </w:r>
      <w:r>
        <w:rPr>
          <w:color w:val="212121"/>
          <w:spacing w:val="1"/>
        </w:rPr>
        <w:t> </w:t>
      </w:r>
      <w:r>
        <w:rPr>
          <w:color w:val="212121"/>
        </w:rPr>
        <w:t>formation.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Journal of virology</w:t>
      </w:r>
      <w:r>
        <w:rPr>
          <w:color w:val="212121"/>
        </w:rPr>
        <w:t>, </w:t>
      </w:r>
      <w:r>
        <w:rPr>
          <w:i/>
          <w:color w:val="212121"/>
        </w:rPr>
        <w:t>87</w:t>
      </w:r>
      <w:r>
        <w:rPr>
          <w:color w:val="212121"/>
        </w:rPr>
        <w:t>(20), 11096-11106.</w:t>
      </w:r>
    </w:p>
    <w:p>
      <w:pPr>
        <w:spacing w:line="240" w:lineRule="auto" w:before="199"/>
        <w:ind w:left="1105" w:right="955" w:hanging="720"/>
        <w:jc w:val="both"/>
        <w:rPr>
          <w:sz w:val="24"/>
        </w:rPr>
      </w:pPr>
      <w:r>
        <w:rPr>
          <w:sz w:val="24"/>
        </w:rPr>
        <w:t>Lahlou,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Israili,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Lyoussi,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lyophilised aqueous extract of </w:t>
      </w:r>
      <w:r>
        <w:rPr>
          <w:i/>
          <w:sz w:val="24"/>
        </w:rPr>
        <w:t>Tanacetum vulgare </w:t>
      </w:r>
      <w:r>
        <w:rPr>
          <w:sz w:val="24"/>
        </w:rPr>
        <w:t>leaves in rodents.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117(2)</w:t>
      </w:r>
      <w:r>
        <w:rPr>
          <w:i/>
          <w:sz w:val="24"/>
        </w:rPr>
        <w:t>: 321</w:t>
      </w:r>
      <w:r>
        <w:rPr>
          <w:sz w:val="24"/>
        </w:rPr>
        <w:t>-227.</w:t>
      </w:r>
    </w:p>
    <w:p>
      <w:pPr>
        <w:pStyle w:val="BodyText"/>
        <w:spacing w:before="200"/>
        <w:ind w:left="1105" w:right="957" w:hanging="720"/>
        <w:jc w:val="both"/>
      </w:pPr>
      <w:r>
        <w:rPr/>
        <w:t>Lamberti, L. M., Walker, C. L. F., Chan, K. Y., Jian, W. Y., and Black, R. E. (2013). Oral</w:t>
      </w:r>
      <w:r>
        <w:rPr>
          <w:spacing w:val="1"/>
        </w:rPr>
        <w:t> </w:t>
      </w:r>
      <w:r>
        <w:rPr/>
        <w:t>zinc supplementation for the treatment of acute diarrhea in children: a systematic</w:t>
      </w:r>
      <w:r>
        <w:rPr>
          <w:spacing w:val="1"/>
        </w:rPr>
        <w:t> </w:t>
      </w:r>
      <w:r>
        <w:rPr/>
        <w:t>review</w:t>
      </w:r>
      <w:r>
        <w:rPr>
          <w:spacing w:val="-2"/>
        </w:rPr>
        <w:t> </w:t>
      </w:r>
      <w:r>
        <w:rPr/>
        <w:t>and meta-analysis. </w:t>
      </w:r>
      <w:r>
        <w:rPr>
          <w:i/>
        </w:rPr>
        <w:t>Nutrients</w:t>
      </w:r>
      <w:r>
        <w:rPr/>
        <w:t>, 5(11): 4715-4740.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spacing w:line="242" w:lineRule="auto" w:before="70"/>
        <w:ind w:left="1105" w:right="956" w:hanging="720"/>
        <w:jc w:val="both"/>
        <w:rPr>
          <w:sz w:val="24"/>
        </w:rPr>
      </w:pPr>
      <w:r>
        <w:rPr>
          <w:sz w:val="24"/>
        </w:rPr>
        <w:t>Lau,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Chamberlain,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Probiotics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preventing</w:t>
      </w:r>
      <w:r>
        <w:rPr>
          <w:spacing w:val="1"/>
          <w:sz w:val="24"/>
        </w:rPr>
        <w:t> </w:t>
      </w:r>
      <w:r>
        <w:rPr>
          <w:i/>
          <w:sz w:val="24"/>
        </w:rPr>
        <w:t>Clostridium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difficile</w:t>
      </w:r>
      <w:r>
        <w:rPr>
          <w:i/>
          <w:spacing w:val="61"/>
          <w:sz w:val="24"/>
        </w:rPr>
        <w:t> </w:t>
      </w:r>
      <w:r>
        <w:rPr>
          <w:sz w:val="24"/>
        </w:rPr>
        <w:t>associated</w:t>
      </w:r>
      <w:r>
        <w:rPr>
          <w:spacing w:val="61"/>
          <w:sz w:val="24"/>
        </w:rPr>
        <w:t> </w:t>
      </w:r>
      <w:r>
        <w:rPr>
          <w:sz w:val="24"/>
        </w:rPr>
        <w:t>diarrhea: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systematic</w:t>
      </w:r>
      <w:r>
        <w:rPr>
          <w:spacing w:val="61"/>
          <w:sz w:val="24"/>
        </w:rPr>
        <w:t> </w:t>
      </w:r>
      <w:r>
        <w:rPr>
          <w:sz w:val="24"/>
        </w:rPr>
        <w:t>review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meta-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2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 Medicine</w:t>
      </w:r>
      <w:r>
        <w:rPr>
          <w:sz w:val="24"/>
        </w:rPr>
        <w:t>, 9(1):</w:t>
      </w:r>
      <w:r>
        <w:rPr>
          <w:spacing w:val="-1"/>
          <w:sz w:val="24"/>
        </w:rPr>
        <w:t> </w:t>
      </w:r>
      <w:r>
        <w:rPr>
          <w:sz w:val="24"/>
        </w:rPr>
        <w:t>27-.36</w:t>
      </w:r>
    </w:p>
    <w:p>
      <w:pPr>
        <w:pStyle w:val="BodyText"/>
        <w:spacing w:line="242" w:lineRule="auto" w:before="191"/>
        <w:ind w:left="1105" w:right="957" w:hanging="720"/>
        <w:jc w:val="both"/>
      </w:pPr>
      <w:r>
        <w:rPr/>
        <w:t>Lee, K. J. (2015). Pharmacologic agents for chronic diarrhea. </w:t>
      </w:r>
      <w:r>
        <w:rPr>
          <w:i/>
        </w:rPr>
        <w:t>Intestinal research</w:t>
      </w:r>
      <w:r>
        <w:rPr/>
        <w:t>, 13(4):</w:t>
      </w:r>
      <w:r>
        <w:rPr>
          <w:spacing w:val="1"/>
        </w:rPr>
        <w:t> </w:t>
      </w:r>
      <w:r>
        <w:rPr/>
        <w:t>306-312.</w:t>
      </w:r>
    </w:p>
    <w:p>
      <w:pPr>
        <w:pStyle w:val="BodyText"/>
        <w:spacing w:before="194"/>
        <w:ind w:left="1105" w:right="956" w:hanging="720"/>
        <w:jc w:val="both"/>
      </w:pPr>
      <w:r>
        <w:rPr/>
        <w:t>Li, Y., Kandhare, A. D., Mukherjee, A. A., and Bodhankar, S. L. (2019). Acute and sub-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toxicity 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hesperidin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Sprague</w:t>
      </w:r>
      <w:r>
        <w:rPr>
          <w:spacing w:val="-2"/>
        </w:rPr>
        <w:t> </w:t>
      </w:r>
      <w:r>
        <w:rPr/>
        <w:t>Dawley</w:t>
      </w:r>
      <w:r>
        <w:rPr>
          <w:spacing w:val="-5"/>
        </w:rPr>
        <w:t> </w:t>
      </w:r>
      <w:r>
        <w:rPr/>
        <w:t>rats.</w:t>
      </w:r>
      <w:r>
        <w:rPr>
          <w:spacing w:val="2"/>
        </w:rPr>
        <w:t> </w:t>
      </w:r>
      <w:r>
        <w:rPr>
          <w:i/>
        </w:rPr>
        <w:t>Regulatory</w:t>
      </w:r>
      <w:r>
        <w:rPr>
          <w:i/>
          <w:spacing w:val="-1"/>
        </w:rPr>
        <w:t> </w:t>
      </w:r>
      <w:r>
        <w:rPr>
          <w:i/>
        </w:rPr>
        <w:t>Toxicology and Pharmacology</w:t>
      </w:r>
      <w:r>
        <w:rPr/>
        <w:t>, 105(1),</w:t>
      </w:r>
      <w:r>
        <w:rPr>
          <w:spacing w:val="-1"/>
        </w:rPr>
        <w:t> </w:t>
      </w:r>
      <w:r>
        <w:rPr/>
        <w:t>77-85.</w:t>
      </w:r>
    </w:p>
    <w:p>
      <w:pPr>
        <w:spacing w:line="242" w:lineRule="auto" w:before="202"/>
        <w:ind w:left="1105" w:right="957" w:hanging="720"/>
        <w:jc w:val="both"/>
        <w:rPr>
          <w:sz w:val="24"/>
        </w:rPr>
      </w:pPr>
      <w:r>
        <w:rPr>
          <w:sz w:val="24"/>
        </w:rPr>
        <w:t>Li, Z., and Vaziri, H. (2012). Treatment of chronic diarrhoea. </w:t>
      </w:r>
      <w:r>
        <w:rPr>
          <w:i/>
          <w:sz w:val="24"/>
        </w:rPr>
        <w:t>Best Practice and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Gastroenterology</w:t>
      </w:r>
      <w:r>
        <w:rPr>
          <w:sz w:val="24"/>
        </w:rPr>
        <w:t>, 26(5): 677-687.</w:t>
      </w:r>
    </w:p>
    <w:p>
      <w:pPr>
        <w:pStyle w:val="BodyText"/>
        <w:spacing w:before="194"/>
        <w:ind w:left="1105" w:right="961" w:hanging="720"/>
        <w:jc w:val="both"/>
      </w:pPr>
      <w:r>
        <w:rPr/>
        <w:t>Liberato, S. C., Singh, G., and Mulholland, K. (2015). Zinc supplementation in young</w:t>
      </w:r>
      <w:r>
        <w:rPr>
          <w:spacing w:val="1"/>
        </w:rPr>
        <w:t> </w:t>
      </w:r>
      <w:r>
        <w:rPr/>
        <w:t>children:</w:t>
      </w:r>
      <w:r>
        <w:rPr>
          <w:spacing w:val="60"/>
        </w:rPr>
        <w:t> </w:t>
      </w:r>
      <w:r>
        <w:rPr/>
        <w:t>a</w:t>
      </w:r>
      <w:r>
        <w:rPr>
          <w:spacing w:val="58"/>
        </w:rPr>
        <w:t> </w:t>
      </w:r>
      <w:r>
        <w:rPr/>
        <w:t>review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literature</w:t>
      </w:r>
      <w:r>
        <w:rPr>
          <w:spacing w:val="58"/>
        </w:rPr>
        <w:t> </w:t>
      </w:r>
      <w:r>
        <w:rPr/>
        <w:t>focusing</w:t>
      </w:r>
      <w:r>
        <w:rPr>
          <w:spacing w:val="58"/>
        </w:rPr>
        <w:t> </w:t>
      </w:r>
      <w:r>
        <w:rPr/>
        <w:t>on</w:t>
      </w:r>
      <w:r>
        <w:rPr>
          <w:spacing w:val="59"/>
        </w:rPr>
        <w:t> </w:t>
      </w:r>
      <w:r>
        <w:rPr/>
        <w:t>diarrhoea</w:t>
      </w:r>
      <w:r>
        <w:rPr>
          <w:spacing w:val="58"/>
        </w:rPr>
        <w:t> </w:t>
      </w:r>
      <w:r>
        <w:rPr/>
        <w:t>prevention</w:t>
      </w:r>
      <w:r>
        <w:rPr>
          <w:spacing w:val="59"/>
        </w:rPr>
        <w:t> </w:t>
      </w:r>
      <w:r>
        <w:rPr/>
        <w:t>and</w:t>
      </w:r>
      <w:r>
        <w:rPr>
          <w:spacing w:val="-58"/>
        </w:rPr>
        <w:t> </w:t>
      </w:r>
      <w:r>
        <w:rPr/>
        <w:t>treatment.</w:t>
      </w:r>
      <w:r>
        <w:rPr>
          <w:spacing w:val="-1"/>
        </w:rPr>
        <w:t> </w:t>
      </w:r>
      <w:r>
        <w:rPr>
          <w:i/>
        </w:rPr>
        <w:t>Clinical Nutrition</w:t>
      </w:r>
      <w:r>
        <w:rPr/>
        <w:t>, 34(2): 181-188.</w:t>
      </w:r>
    </w:p>
    <w:p>
      <w:pPr>
        <w:pStyle w:val="BodyText"/>
        <w:spacing w:before="199"/>
        <w:ind w:left="1105" w:right="954" w:hanging="720"/>
        <w:jc w:val="both"/>
      </w:pPr>
      <w:r>
        <w:rPr/>
        <w:t>Liu, L., Oza, S., Hogan, D., Perin, J., Rudan, I., Lawn, J. E., ... and Black, R. E. (2015).</w:t>
      </w:r>
      <w:r>
        <w:rPr>
          <w:spacing w:val="1"/>
        </w:rPr>
        <w:t> </w:t>
      </w:r>
      <w:r>
        <w:rPr/>
        <w:t>Global, regional, and national causes of child mortality in 2000–13, with projections</w:t>
      </w:r>
      <w:r>
        <w:rPr>
          <w:spacing w:val="-57"/>
        </w:rPr>
        <w:t> </w:t>
      </w:r>
      <w:r>
        <w:rPr/>
        <w:t>to inform  </w:t>
      </w:r>
      <w:r>
        <w:rPr>
          <w:spacing w:val="1"/>
        </w:rPr>
        <w:t> </w:t>
      </w:r>
      <w:r>
        <w:rPr/>
        <w:t>post-2015   </w:t>
      </w:r>
      <w:r>
        <w:rPr>
          <w:spacing w:val="1"/>
        </w:rPr>
        <w:t> </w:t>
      </w:r>
      <w:r>
        <w:rPr/>
        <w:t>priorities:   </w:t>
      </w:r>
      <w:r>
        <w:rPr>
          <w:spacing w:val="1"/>
        </w:rPr>
        <w:t> </w:t>
      </w:r>
      <w:r>
        <w:rPr/>
        <w:t>an   </w:t>
      </w:r>
      <w:r>
        <w:rPr>
          <w:spacing w:val="1"/>
        </w:rPr>
        <w:t> </w:t>
      </w:r>
      <w:r>
        <w:rPr/>
        <w:t>updated   </w:t>
      </w:r>
      <w:r>
        <w:rPr>
          <w:spacing w:val="1"/>
        </w:rPr>
        <w:t> </w:t>
      </w:r>
      <w:r>
        <w:rPr/>
        <w:t>systematic   </w:t>
      </w:r>
      <w:r>
        <w:rPr>
          <w:spacing w:val="1"/>
        </w:rPr>
        <w:t> </w:t>
      </w:r>
      <w:r>
        <w:rPr/>
        <w:t>analysis.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Lancet</w:t>
      </w:r>
      <w:r>
        <w:rPr/>
        <w:t>,</w:t>
      </w:r>
      <w:r>
        <w:rPr>
          <w:spacing w:val="-1"/>
        </w:rPr>
        <w:t> </w:t>
      </w:r>
      <w:r>
        <w:rPr/>
        <w:t>385(9966): 430-440.</w:t>
      </w:r>
    </w:p>
    <w:p>
      <w:pPr>
        <w:pStyle w:val="BodyText"/>
        <w:spacing w:before="202"/>
        <w:ind w:left="1105" w:right="956" w:hanging="720"/>
        <w:jc w:val="both"/>
      </w:pPr>
      <w:r>
        <w:rPr/>
        <w:t>Luby, S. P., Halder, A. K., Huda, T. M., Unicomb, L., Islam, M. S., Arnold, B. F., and</w:t>
      </w:r>
      <w:r>
        <w:rPr>
          <w:spacing w:val="1"/>
        </w:rPr>
        <w:t> </w:t>
      </w:r>
      <w:r>
        <w:rPr/>
        <w:t>Johnston, R. B. (2015). Microbiological contamination of drinking water associated</w:t>
      </w:r>
      <w:r>
        <w:rPr>
          <w:spacing w:val="1"/>
        </w:rPr>
        <w:t> </w:t>
      </w:r>
      <w:r>
        <w:rPr/>
        <w:t>with subsequent child diarrhea. </w:t>
      </w:r>
      <w:r>
        <w:rPr>
          <w:i/>
        </w:rPr>
        <w:t>The American Journal of Tropical Medicine and</w:t>
      </w:r>
      <w:r>
        <w:rPr>
          <w:i/>
          <w:spacing w:val="1"/>
        </w:rPr>
        <w:t> </w:t>
      </w:r>
      <w:r>
        <w:rPr>
          <w:i/>
        </w:rPr>
        <w:t>Hygiene</w:t>
      </w:r>
      <w:r>
        <w:rPr/>
        <w:t>,</w:t>
      </w:r>
      <w:r>
        <w:rPr>
          <w:spacing w:val="-1"/>
        </w:rPr>
        <w:t> </w:t>
      </w:r>
      <w:r>
        <w:rPr/>
        <w:t>93(5): 904-911.</w:t>
      </w:r>
    </w:p>
    <w:p>
      <w:pPr>
        <w:pStyle w:val="BodyText"/>
        <w:spacing w:before="200"/>
        <w:ind w:left="1105" w:right="957" w:hanging="720"/>
        <w:jc w:val="both"/>
      </w:pPr>
      <w:r>
        <w:rPr/>
        <w:t>Luby, S. P., Rahman, M., Arnold, B. F., Unicomb, L., Ashraf, S., Winch, P. J., ... and</w:t>
      </w:r>
      <w:r>
        <w:rPr>
          <w:spacing w:val="1"/>
        </w:rPr>
        <w:t> </w:t>
      </w:r>
      <w:r>
        <w:rPr/>
        <w:t>Leontsini,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sanitation,</w:t>
      </w:r>
      <w:r>
        <w:rPr>
          <w:spacing w:val="1"/>
        </w:rPr>
        <w:t> </w:t>
      </w:r>
      <w:r>
        <w:rPr/>
        <w:t>handwashing,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 interventions</w:t>
      </w:r>
      <w:r>
        <w:rPr>
          <w:spacing w:val="61"/>
        </w:rPr>
        <w:t> </w:t>
      </w:r>
      <w:r>
        <w:rPr/>
        <w:t>on diarrhoea and child growth in rural Bangladesh: a</w:t>
      </w:r>
      <w:r>
        <w:rPr>
          <w:spacing w:val="1"/>
        </w:rPr>
        <w:t> </w:t>
      </w:r>
      <w:r>
        <w:rPr/>
        <w:t>cluster</w:t>
      </w:r>
      <w:r>
        <w:rPr>
          <w:spacing w:val="-1"/>
        </w:rPr>
        <w:t> </w:t>
      </w:r>
      <w:r>
        <w:rPr/>
        <w:t>randomised</w:t>
      </w:r>
      <w:r>
        <w:rPr>
          <w:spacing w:val="2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trial.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Lancet Global</w:t>
      </w:r>
      <w:r>
        <w:rPr>
          <w:i/>
          <w:spacing w:val="-1"/>
        </w:rPr>
        <w:t> </w:t>
      </w:r>
      <w:r>
        <w:rPr>
          <w:i/>
        </w:rPr>
        <w:t>Health</w:t>
      </w:r>
      <w:r>
        <w:rPr/>
        <w:t>, 6(3):</w:t>
      </w:r>
      <w:r>
        <w:rPr>
          <w:spacing w:val="-1"/>
        </w:rPr>
        <w:t> </w:t>
      </w:r>
      <w:r>
        <w:rPr/>
        <w:t>302-315.</w:t>
      </w:r>
    </w:p>
    <w:p>
      <w:pPr>
        <w:spacing w:line="242" w:lineRule="auto" w:before="199"/>
        <w:ind w:left="1105" w:right="954" w:hanging="720"/>
        <w:jc w:val="both"/>
        <w:rPr>
          <w:sz w:val="24"/>
        </w:rPr>
      </w:pPr>
      <w:r>
        <w:rPr>
          <w:sz w:val="24"/>
        </w:rPr>
        <w:t>Marie, C., and Petri Jr, W. A. (2013). Amoebic dysentery. </w:t>
      </w:r>
      <w:r>
        <w:rPr>
          <w:i/>
          <w:sz w:val="24"/>
        </w:rPr>
        <w:t>BioMed Central Journal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Evidence</w:t>
      </w:r>
      <w:r>
        <w:rPr>
          <w:sz w:val="24"/>
        </w:rPr>
        <w:t>, </w:t>
      </w:r>
      <w:r>
        <w:rPr>
          <w:i/>
          <w:sz w:val="24"/>
        </w:rPr>
        <w:t>2013</w:t>
      </w:r>
      <w:r>
        <w:rPr>
          <w:sz w:val="24"/>
        </w:rPr>
        <w:t>.</w:t>
      </w:r>
    </w:p>
    <w:p>
      <w:pPr>
        <w:spacing w:line="240" w:lineRule="auto" w:before="196"/>
        <w:ind w:left="1105" w:right="953" w:hanging="720"/>
        <w:jc w:val="both"/>
        <w:rPr>
          <w:sz w:val="24"/>
        </w:rPr>
      </w:pPr>
      <w:r>
        <w:rPr>
          <w:sz w:val="24"/>
        </w:rPr>
        <w:t>Mbagwu, H. O. C., and Adeyemi, O. O (2008). Antidiarrhoeal activity of the 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Mezoneuron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benthamium</w:t>
      </w:r>
      <w:r>
        <w:rPr>
          <w:i/>
          <w:spacing w:val="1"/>
          <w:sz w:val="24"/>
        </w:rPr>
        <w:t> </w:t>
      </w:r>
      <w:r>
        <w:rPr>
          <w:sz w:val="24"/>
        </w:rPr>
        <w:t>Bail</w:t>
      </w:r>
      <w:r>
        <w:rPr>
          <w:spacing w:val="1"/>
          <w:sz w:val="24"/>
        </w:rPr>
        <w:t> </w:t>
      </w:r>
      <w:r>
        <w:rPr>
          <w:sz w:val="24"/>
        </w:rPr>
        <w:t>(Caesalpiniaceae).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116(1): 16-20.</w:t>
      </w:r>
    </w:p>
    <w:p>
      <w:pPr>
        <w:spacing w:line="240" w:lineRule="auto" w:before="200"/>
        <w:ind w:left="1105" w:right="952" w:hanging="720"/>
        <w:jc w:val="both"/>
        <w:rPr>
          <w:sz w:val="24"/>
        </w:rPr>
      </w:pPr>
      <w:r>
        <w:rPr>
          <w:sz w:val="24"/>
        </w:rPr>
        <w:t>Mbiri, J. W., Musila, M. N., Ngai, D. N., Njagi, S. M., Mbinda, W. M., and Ngugi, M. P.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sub-chronic</w:t>
      </w:r>
      <w:r>
        <w:rPr>
          <w:spacing w:val="1"/>
          <w:sz w:val="24"/>
        </w:rPr>
        <w:t> </w:t>
      </w:r>
      <w:r>
        <w:rPr>
          <w:sz w:val="24"/>
        </w:rPr>
        <w:t>oral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methanolic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Caesalpinia volkensii </w:t>
      </w:r>
      <w:r>
        <w:rPr>
          <w:sz w:val="24"/>
        </w:rPr>
        <w:t>(harms). </w:t>
      </w:r>
      <w:r>
        <w:rPr>
          <w:i/>
          <w:sz w:val="24"/>
        </w:rPr>
        <w:t>Journal of Drug Metabolism and Toxicology</w:t>
      </w:r>
      <w:r>
        <w:rPr>
          <w:sz w:val="24"/>
        </w:rPr>
        <w:t>, 8(1):</w:t>
      </w:r>
      <w:r>
        <w:rPr>
          <w:spacing w:val="1"/>
          <w:sz w:val="24"/>
        </w:rPr>
        <w:t> </w:t>
      </w:r>
      <w:r>
        <w:rPr>
          <w:sz w:val="24"/>
        </w:rPr>
        <w:t>222-229.</w:t>
      </w:r>
      <w:r>
        <w:rPr>
          <w:spacing w:val="-1"/>
          <w:sz w:val="24"/>
        </w:rPr>
        <w:t> </w:t>
      </w:r>
      <w:r>
        <w:rPr>
          <w:sz w:val="24"/>
        </w:rPr>
        <w:t>doi:10.4172/2157-7609.1000222.</w:t>
      </w:r>
    </w:p>
    <w:p>
      <w:pPr>
        <w:pStyle w:val="BodyText"/>
        <w:spacing w:before="199"/>
        <w:ind w:left="1105" w:right="954" w:hanging="720"/>
        <w:jc w:val="both"/>
      </w:pPr>
      <w:r>
        <w:rPr/>
        <w:t>McGuinness, S. L., O'Toole, J. E., Boving, T. B.,</w:t>
      </w:r>
      <w:r>
        <w:rPr>
          <w:spacing w:val="60"/>
        </w:rPr>
        <w:t> </w:t>
      </w:r>
      <w:r>
        <w:rPr/>
        <w:t>Forbes, A. B., Sinclair, M., Gautam, S.</w:t>
      </w:r>
      <w:r>
        <w:rPr>
          <w:spacing w:val="1"/>
        </w:rPr>
        <w:t> </w:t>
      </w:r>
      <w:r>
        <w:rPr/>
        <w:t>K., and Leder, K. (2017). Protocol for a cluster randomised stepped wedge trial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community-level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intervention using  </w:t>
      </w:r>
      <w:r>
        <w:rPr>
          <w:spacing w:val="1"/>
        </w:rPr>
        <w:t> </w:t>
      </w:r>
      <w:r>
        <w:rPr/>
        <w:t>riverbank</w:t>
      </w:r>
      <w:r>
        <w:rPr>
          <w:spacing w:val="60"/>
        </w:rPr>
        <w:t> </w:t>
      </w:r>
      <w:r>
        <w:rPr/>
        <w:t>filtration technology on diarrhoeal prevalence in</w:t>
      </w:r>
      <w:r>
        <w:rPr>
          <w:spacing w:val="1"/>
        </w:rPr>
        <w:t> </w:t>
      </w:r>
      <w:r>
        <w:rPr/>
        <w:t>India.</w:t>
      </w:r>
      <w:r>
        <w:rPr>
          <w:spacing w:val="1"/>
        </w:rPr>
        <w:t> </w:t>
      </w:r>
      <w:r>
        <w:rPr>
          <w:i/>
        </w:rPr>
        <w:t>British Medical Journal</w:t>
      </w:r>
      <w:r>
        <w:rPr/>
        <w:t>, 7(3): e015036.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before="70"/>
        <w:ind w:left="385"/>
      </w:pPr>
      <w:r>
        <w:rPr/>
        <w:t>Mehesare,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Waghmare,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Thorat,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G., Hajare,</w:t>
      </w:r>
      <w:r>
        <w:rPr>
          <w:spacing w:val="1"/>
        </w:rPr>
        <w:t> </w:t>
      </w:r>
      <w:r>
        <w:rPr/>
        <w:t>S.</w:t>
      </w:r>
      <w:r>
        <w:rPr>
          <w:spacing w:val="-1"/>
        </w:rPr>
        <w:t> </w:t>
      </w:r>
      <w:r>
        <w:rPr/>
        <w:t>W.,</w:t>
      </w:r>
      <w:r>
        <w:rPr>
          <w:spacing w:val="1"/>
        </w:rPr>
        <w:t> </w:t>
      </w:r>
      <w:r>
        <w:rPr/>
        <w:t>Itankar,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R.,</w:t>
      </w:r>
      <w:r>
        <w:rPr>
          <w:spacing w:val="-1"/>
        </w:rPr>
        <w:t> </w:t>
      </w:r>
      <w:r>
        <w:rPr/>
        <w:t>Siddiqui,</w:t>
      </w:r>
      <w:r>
        <w:rPr>
          <w:spacing w:val="-1"/>
        </w:rPr>
        <w:t> </w:t>
      </w:r>
      <w:r>
        <w:rPr/>
        <w:t>M.</w:t>
      </w:r>
    </w:p>
    <w:p>
      <w:pPr>
        <w:spacing w:line="242" w:lineRule="auto" w:before="0"/>
        <w:ind w:left="1105" w:right="957" w:firstLine="0"/>
        <w:jc w:val="left"/>
        <w:rPr>
          <w:sz w:val="24"/>
        </w:rPr>
      </w:pPr>
      <w:r>
        <w:rPr>
          <w:sz w:val="24"/>
        </w:rPr>
        <w:t>F.</w:t>
      </w:r>
      <w:r>
        <w:rPr>
          <w:spacing w:val="21"/>
          <w:sz w:val="24"/>
        </w:rPr>
        <w:t> </w:t>
      </w:r>
      <w:r>
        <w:rPr>
          <w:sz w:val="24"/>
        </w:rPr>
        <w:t>M.</w:t>
      </w:r>
      <w:r>
        <w:rPr>
          <w:spacing w:val="23"/>
          <w:sz w:val="24"/>
        </w:rPr>
        <w:t> </w:t>
      </w:r>
      <w:r>
        <w:rPr>
          <w:sz w:val="24"/>
        </w:rPr>
        <w:t>F.,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Ali,</w:t>
      </w:r>
      <w:r>
        <w:rPr>
          <w:spacing w:val="23"/>
          <w:sz w:val="24"/>
        </w:rPr>
        <w:t> </w:t>
      </w:r>
      <w:r>
        <w:rPr>
          <w:sz w:val="24"/>
        </w:rPr>
        <w:t>S.</w:t>
      </w:r>
      <w:r>
        <w:rPr>
          <w:spacing w:val="20"/>
          <w:sz w:val="24"/>
        </w:rPr>
        <w:t> </w:t>
      </w:r>
      <w:r>
        <w:rPr>
          <w:sz w:val="24"/>
        </w:rPr>
        <w:t>S.</w:t>
      </w:r>
      <w:r>
        <w:rPr>
          <w:spacing w:val="19"/>
          <w:sz w:val="24"/>
        </w:rPr>
        <w:t> </w:t>
      </w:r>
      <w:r>
        <w:rPr>
          <w:sz w:val="24"/>
        </w:rPr>
        <w:t>(2017).</w:t>
      </w:r>
      <w:r>
        <w:rPr>
          <w:spacing w:val="22"/>
          <w:sz w:val="24"/>
        </w:rPr>
        <w:t> </w:t>
      </w:r>
      <w:r>
        <w:rPr>
          <w:sz w:val="24"/>
        </w:rPr>
        <w:t>Evaluation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antidiarrhoeal</w:t>
      </w:r>
      <w:r>
        <w:rPr>
          <w:spacing w:val="23"/>
          <w:sz w:val="24"/>
        </w:rPr>
        <w:t> </w:t>
      </w:r>
      <w:r>
        <w:rPr>
          <w:sz w:val="24"/>
        </w:rPr>
        <w:t>activity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polyherbal</w:t>
      </w:r>
      <w:r>
        <w:rPr>
          <w:spacing w:val="-57"/>
          <w:sz w:val="24"/>
        </w:rPr>
        <w:t> </w:t>
      </w:r>
      <w:r>
        <w:rPr>
          <w:sz w:val="24"/>
        </w:rPr>
        <w:t>preparation.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Pharmacognosy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Phytochemistry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6(6):</w:t>
      </w:r>
      <w:r>
        <w:rPr>
          <w:spacing w:val="1"/>
          <w:sz w:val="24"/>
        </w:rPr>
        <w:t> </w:t>
      </w:r>
      <w:r>
        <w:rPr>
          <w:sz w:val="24"/>
        </w:rPr>
        <w:t>723-725.</w:t>
      </w:r>
    </w:p>
    <w:p>
      <w:pPr>
        <w:pStyle w:val="BodyText"/>
        <w:spacing w:before="194"/>
        <w:ind w:left="385"/>
      </w:pPr>
      <w:r>
        <w:rPr/>
        <w:t>Mehesare,</w:t>
      </w:r>
      <w:r>
        <w:rPr>
          <w:spacing w:val="9"/>
        </w:rPr>
        <w:t> </w:t>
      </w:r>
      <w:r>
        <w:rPr/>
        <w:t>S.</w:t>
      </w:r>
      <w:r>
        <w:rPr>
          <w:spacing w:val="10"/>
        </w:rPr>
        <w:t> </w:t>
      </w:r>
      <w:r>
        <w:rPr/>
        <w:t>S.,</w:t>
      </w:r>
      <w:r>
        <w:rPr>
          <w:spacing w:val="8"/>
        </w:rPr>
        <w:t> </w:t>
      </w:r>
      <w:r>
        <w:rPr/>
        <w:t>Waghmare,</w:t>
      </w:r>
      <w:r>
        <w:rPr>
          <w:spacing w:val="9"/>
        </w:rPr>
        <w:t> </w:t>
      </w:r>
      <w:r>
        <w:rPr/>
        <w:t>S.</w:t>
      </w:r>
      <w:r>
        <w:rPr>
          <w:spacing w:val="10"/>
        </w:rPr>
        <w:t> </w:t>
      </w:r>
      <w:r>
        <w:rPr/>
        <w:t>P.,</w:t>
      </w:r>
      <w:r>
        <w:rPr>
          <w:spacing w:val="9"/>
        </w:rPr>
        <w:t> </w:t>
      </w:r>
      <w:r>
        <w:rPr/>
        <w:t>Thorat,</w:t>
      </w:r>
      <w:r>
        <w:rPr>
          <w:spacing w:val="11"/>
        </w:rPr>
        <w:t> </w:t>
      </w:r>
      <w:r>
        <w:rPr/>
        <w:t>M.</w:t>
      </w:r>
      <w:r>
        <w:rPr>
          <w:spacing w:val="11"/>
        </w:rPr>
        <w:t> </w:t>
      </w:r>
      <w:r>
        <w:rPr/>
        <w:t>G.,</w:t>
      </w:r>
      <w:r>
        <w:rPr>
          <w:spacing w:val="9"/>
        </w:rPr>
        <w:t> </w:t>
      </w:r>
      <w:r>
        <w:rPr/>
        <w:t>Hajare,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W.,</w:t>
      </w:r>
      <w:r>
        <w:rPr>
          <w:spacing w:val="12"/>
        </w:rPr>
        <w:t> </w:t>
      </w:r>
      <w:r>
        <w:rPr/>
        <w:t>Itankar,</w:t>
      </w:r>
      <w:r>
        <w:rPr>
          <w:spacing w:val="12"/>
        </w:rPr>
        <w:t> </w:t>
      </w:r>
      <w:r>
        <w:rPr/>
        <w:t>P.</w:t>
      </w:r>
      <w:r>
        <w:rPr>
          <w:spacing w:val="10"/>
        </w:rPr>
        <w:t> </w:t>
      </w:r>
      <w:r>
        <w:rPr/>
        <w:t>R.,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Ali,</w:t>
      </w:r>
      <w:r>
        <w:rPr>
          <w:spacing w:val="8"/>
        </w:rPr>
        <w:t> </w:t>
      </w:r>
      <w:r>
        <w:rPr/>
        <w:t>S.</w:t>
      </w:r>
    </w:p>
    <w:p>
      <w:pPr>
        <w:spacing w:line="242" w:lineRule="auto" w:before="0"/>
        <w:ind w:left="1105" w:right="952" w:firstLine="0"/>
        <w:jc w:val="left"/>
        <w:rPr>
          <w:sz w:val="24"/>
        </w:rPr>
      </w:pPr>
      <w:r>
        <w:rPr>
          <w:sz w:val="24"/>
        </w:rPr>
        <w:t>S.</w:t>
      </w:r>
      <w:r>
        <w:rPr>
          <w:spacing w:val="29"/>
          <w:sz w:val="24"/>
        </w:rPr>
        <w:t> </w:t>
      </w:r>
      <w:r>
        <w:rPr>
          <w:sz w:val="24"/>
        </w:rPr>
        <w:t>(2019).</w:t>
      </w:r>
      <w:r>
        <w:rPr>
          <w:spacing w:val="29"/>
          <w:sz w:val="24"/>
        </w:rPr>
        <w:t> </w:t>
      </w:r>
      <w:r>
        <w:rPr>
          <w:sz w:val="24"/>
        </w:rPr>
        <w:t>Evaluation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antidiarrhoeal</w:t>
      </w:r>
      <w:r>
        <w:rPr>
          <w:spacing w:val="32"/>
          <w:sz w:val="24"/>
        </w:rPr>
        <w:t> </w:t>
      </w:r>
      <w:r>
        <w:rPr>
          <w:sz w:val="24"/>
        </w:rPr>
        <w:t>activity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extract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unripe</w:t>
      </w:r>
      <w:r>
        <w:rPr>
          <w:spacing w:val="30"/>
          <w:sz w:val="24"/>
        </w:rPr>
        <w:t> </w:t>
      </w:r>
      <w:r>
        <w:rPr>
          <w:sz w:val="24"/>
        </w:rPr>
        <w:t>fruit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i/>
          <w:sz w:val="24"/>
        </w:rPr>
        <w:t>Aegle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marmelos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Journal of Pharmacognosy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Phytochemistry</w:t>
      </w:r>
      <w:r>
        <w:rPr>
          <w:sz w:val="24"/>
        </w:rPr>
        <w:t>, 8(4): 2390-2392.</w:t>
      </w:r>
    </w:p>
    <w:p>
      <w:pPr>
        <w:spacing w:line="242" w:lineRule="auto" w:before="194"/>
        <w:ind w:left="1105" w:right="964" w:hanging="720"/>
        <w:jc w:val="both"/>
        <w:rPr>
          <w:sz w:val="24"/>
        </w:rPr>
      </w:pPr>
      <w:r>
        <w:rPr>
          <w:sz w:val="24"/>
        </w:rPr>
        <w:t>Mehra,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Sarkar,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Basu,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60"/>
          <w:sz w:val="24"/>
        </w:rPr>
        <w:t> </w:t>
      </w:r>
      <w:r>
        <w:rPr>
          <w:sz w:val="24"/>
        </w:rPr>
        <w:t>(2013).</w:t>
      </w:r>
      <w:r>
        <w:rPr>
          <w:spacing w:val="60"/>
          <w:sz w:val="24"/>
        </w:rPr>
        <w:t> </w:t>
      </w:r>
      <w:r>
        <w:rPr>
          <w:sz w:val="24"/>
        </w:rPr>
        <w:t>Lomotil</w:t>
      </w:r>
      <w:r>
        <w:rPr>
          <w:spacing w:val="60"/>
          <w:sz w:val="24"/>
        </w:rPr>
        <w:t> </w:t>
      </w:r>
      <w:r>
        <w:rPr>
          <w:sz w:val="24"/>
        </w:rPr>
        <w:t>(diphenoxylate)</w:t>
      </w:r>
      <w:r>
        <w:rPr>
          <w:spacing w:val="60"/>
          <w:sz w:val="24"/>
        </w:rPr>
        <w:t> </w:t>
      </w:r>
      <w:r>
        <w:rPr>
          <w:sz w:val="24"/>
        </w:rPr>
        <w:t>dependence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India.</w:t>
      </w:r>
      <w:r>
        <w:rPr>
          <w:spacing w:val="1"/>
          <w:sz w:val="24"/>
        </w:rPr>
        <w:t> </w:t>
      </w:r>
      <w:r>
        <w:rPr>
          <w:i/>
          <w:sz w:val="24"/>
        </w:rPr>
        <w:t>Indian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Psychological Medicine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35(3):</w:t>
      </w:r>
      <w:r>
        <w:rPr>
          <w:spacing w:val="-1"/>
          <w:sz w:val="24"/>
        </w:rPr>
        <w:t> </w:t>
      </w:r>
      <w:r>
        <w:rPr>
          <w:sz w:val="24"/>
        </w:rPr>
        <w:t>248-250.</w:t>
      </w:r>
    </w:p>
    <w:p>
      <w:pPr>
        <w:spacing w:line="240" w:lineRule="auto" w:before="196"/>
        <w:ind w:left="1105" w:right="957" w:hanging="720"/>
        <w:jc w:val="both"/>
        <w:rPr>
          <w:sz w:val="24"/>
        </w:rPr>
      </w:pPr>
      <w:r>
        <w:rPr>
          <w:sz w:val="24"/>
        </w:rPr>
        <w:t>Mekonnen, B., Asrie, A. B., and Wubneh, Z. B. (2018). Antidiarrheal Activity of 80%</w:t>
      </w:r>
      <w:r>
        <w:rPr>
          <w:spacing w:val="1"/>
          <w:sz w:val="24"/>
        </w:rPr>
        <w:t> </w:t>
      </w:r>
      <w:r>
        <w:rPr>
          <w:sz w:val="24"/>
        </w:rPr>
        <w:t>Methanolic Leaf Extract of </w:t>
      </w:r>
      <w:r>
        <w:rPr>
          <w:i/>
          <w:sz w:val="24"/>
        </w:rPr>
        <w:t>Justicia schimperiana</w:t>
      </w:r>
      <w:r>
        <w:rPr>
          <w:sz w:val="24"/>
        </w:rPr>
        <w:t>. </w:t>
      </w:r>
      <w:r>
        <w:rPr>
          <w:i/>
          <w:sz w:val="24"/>
        </w:rPr>
        <w:t>Evidence-Based Complementary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</w:t>
      </w:r>
      <w:r>
        <w:rPr>
          <w:i/>
          <w:sz w:val="24"/>
        </w:rPr>
        <w:t>2018</w:t>
      </w:r>
      <w:r>
        <w:rPr>
          <w:sz w:val="24"/>
        </w:rPr>
        <w:t>.</w:t>
      </w:r>
    </w:p>
    <w:p>
      <w:pPr>
        <w:pStyle w:val="BodyText"/>
        <w:spacing w:before="200"/>
        <w:ind w:left="1105" w:right="956" w:hanging="720"/>
        <w:jc w:val="both"/>
      </w:pPr>
      <w:r>
        <w:rPr/>
        <w:t>Mengistie, B., Berhane, Y., and Worku, A. (2013). Prevalence of diarrhea and associated</w:t>
      </w:r>
      <w:r>
        <w:rPr>
          <w:spacing w:val="1"/>
        </w:rPr>
        <w:t> </w:t>
      </w:r>
      <w:r>
        <w:rPr/>
        <w:t>risk factors among children under-five years of age in Eastern Ethiopia: A cross-</w:t>
      </w:r>
      <w:r>
        <w:rPr>
          <w:spacing w:val="1"/>
        </w:rPr>
        <w:t> </w:t>
      </w:r>
      <w:r>
        <w:rPr/>
        <w:t>sectional</w:t>
      </w:r>
      <w:r>
        <w:rPr>
          <w:spacing w:val="-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Open Journal</w:t>
      </w:r>
      <w:r>
        <w:rPr>
          <w:i/>
          <w:spacing w:val="-1"/>
        </w:rPr>
        <w:t> </w:t>
      </w:r>
      <w:r>
        <w:rPr>
          <w:i/>
        </w:rPr>
        <w:t>of Preventive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,</w:t>
      </w:r>
      <w:r>
        <w:rPr>
          <w:spacing w:val="-1"/>
        </w:rPr>
        <w:t> </w:t>
      </w:r>
      <w:r>
        <w:rPr/>
        <w:t>3(7): 446-453.</w:t>
      </w:r>
    </w:p>
    <w:p>
      <w:pPr>
        <w:pStyle w:val="BodyText"/>
        <w:spacing w:before="199"/>
        <w:ind w:left="1105" w:right="953" w:hanging="720"/>
        <w:jc w:val="both"/>
      </w:pPr>
      <w:r>
        <w:rPr/>
        <w:t>Miyamoto, Y., and Eckmann, L. (2015). Drug development against the major diarrhea-</w:t>
      </w:r>
      <w:r>
        <w:rPr>
          <w:spacing w:val="1"/>
        </w:rPr>
        <w:t> </w:t>
      </w:r>
      <w:r>
        <w:rPr/>
        <w:t>causing parasites of the small intestine, Cryptosporidium and Giardia. </w:t>
      </w:r>
      <w:r>
        <w:rPr>
          <w:i/>
        </w:rPr>
        <w:t>Frontiers in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/>
        <w:t>,</w:t>
      </w:r>
      <w:r>
        <w:rPr>
          <w:spacing w:val="-1"/>
        </w:rPr>
        <w:t> </w:t>
      </w:r>
      <w:r>
        <w:rPr>
          <w:i/>
        </w:rPr>
        <w:t>6</w:t>
      </w:r>
      <w:r>
        <w:rPr/>
        <w:t>: 1208-1217.</w:t>
      </w:r>
    </w:p>
    <w:p>
      <w:pPr>
        <w:pStyle w:val="BodyText"/>
        <w:spacing w:before="202"/>
        <w:ind w:left="1105" w:right="960" w:hanging="720"/>
        <w:jc w:val="both"/>
      </w:pPr>
      <w:r>
        <w:rPr/>
        <w:t>Mokomane, M., Kasvosve, I., Melo, E. D., Pernica, J. M., and Goldfarb, D. M. (2018). The</w:t>
      </w:r>
      <w:r>
        <w:rPr>
          <w:spacing w:val="1"/>
        </w:rPr>
        <w:t> </w:t>
      </w:r>
      <w:r>
        <w:rPr/>
        <w:t>global problem of childhood diarrhoeal diseases: emerging strategies in prevention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management.</w:t>
      </w:r>
      <w:r>
        <w:rPr>
          <w:spacing w:val="1"/>
        </w:rPr>
        <w:t> </w:t>
      </w:r>
      <w:r>
        <w:rPr>
          <w:i/>
        </w:rPr>
        <w:t>Therapeutic</w:t>
      </w:r>
      <w:r>
        <w:rPr>
          <w:i/>
          <w:spacing w:val="-2"/>
        </w:rPr>
        <w:t> </w:t>
      </w:r>
      <w:r>
        <w:rPr>
          <w:i/>
        </w:rPr>
        <w:t>Advances in</w:t>
      </w:r>
      <w:r>
        <w:rPr>
          <w:i/>
          <w:spacing w:val="-1"/>
        </w:rPr>
        <w:t> </w:t>
      </w:r>
      <w:r>
        <w:rPr>
          <w:i/>
        </w:rPr>
        <w:t>Infectious Disease</w:t>
      </w:r>
      <w:r>
        <w:rPr/>
        <w:t>, 5(1):</w:t>
      </w:r>
      <w:r>
        <w:rPr>
          <w:spacing w:val="-1"/>
        </w:rPr>
        <w:t> </w:t>
      </w:r>
      <w:r>
        <w:rPr/>
        <w:t>29-43.</w:t>
      </w:r>
    </w:p>
    <w:p>
      <w:pPr>
        <w:pStyle w:val="BodyText"/>
        <w:spacing w:before="200"/>
        <w:ind w:left="385"/>
      </w:pPr>
      <w:r>
        <w:rPr/>
        <w:t>Moon,</w:t>
      </w:r>
      <w:r>
        <w:rPr>
          <w:spacing w:val="15"/>
        </w:rPr>
        <w:t> </w:t>
      </w:r>
      <w:r>
        <w:rPr/>
        <w:t>C.,</w:t>
      </w:r>
      <w:r>
        <w:rPr>
          <w:spacing w:val="15"/>
        </w:rPr>
        <w:t> </w:t>
      </w:r>
      <w:r>
        <w:rPr/>
        <w:t>Zhang,</w:t>
      </w:r>
      <w:r>
        <w:rPr>
          <w:spacing w:val="15"/>
        </w:rPr>
        <w:t> </w:t>
      </w:r>
      <w:r>
        <w:rPr/>
        <w:t>W.,</w:t>
      </w:r>
      <w:r>
        <w:rPr>
          <w:spacing w:val="15"/>
        </w:rPr>
        <w:t> </w:t>
      </w:r>
      <w:r>
        <w:rPr/>
        <w:t>Sundaram,</w:t>
      </w:r>
      <w:r>
        <w:rPr>
          <w:spacing w:val="16"/>
        </w:rPr>
        <w:t> </w:t>
      </w:r>
      <w:r>
        <w:rPr/>
        <w:t>N.,</w:t>
      </w:r>
      <w:r>
        <w:rPr>
          <w:spacing w:val="17"/>
        </w:rPr>
        <w:t> </w:t>
      </w:r>
      <w:r>
        <w:rPr/>
        <w:t>Yarlagadda,</w:t>
      </w:r>
      <w:r>
        <w:rPr>
          <w:spacing w:val="15"/>
        </w:rPr>
        <w:t> </w:t>
      </w:r>
      <w:r>
        <w:rPr/>
        <w:t>S.,</w:t>
      </w:r>
      <w:r>
        <w:rPr>
          <w:spacing w:val="15"/>
        </w:rPr>
        <w:t> </w:t>
      </w:r>
      <w:r>
        <w:rPr/>
        <w:t>Reddy,</w:t>
      </w:r>
      <w:r>
        <w:rPr>
          <w:spacing w:val="15"/>
        </w:rPr>
        <w:t> </w:t>
      </w:r>
      <w:r>
        <w:rPr/>
        <w:t>V.</w:t>
      </w:r>
      <w:r>
        <w:rPr>
          <w:spacing w:val="16"/>
        </w:rPr>
        <w:t> </w:t>
      </w:r>
      <w:r>
        <w:rPr/>
        <w:t>S.,</w:t>
      </w:r>
      <w:r>
        <w:rPr>
          <w:spacing w:val="15"/>
        </w:rPr>
        <w:t> </w:t>
      </w:r>
      <w:r>
        <w:rPr/>
        <w:t>Arora,</w:t>
      </w:r>
      <w:r>
        <w:rPr>
          <w:spacing w:val="15"/>
        </w:rPr>
        <w:t> </w:t>
      </w:r>
      <w:r>
        <w:rPr/>
        <w:t>K.,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Naren,</w:t>
      </w:r>
    </w:p>
    <w:p>
      <w:pPr>
        <w:spacing w:line="242" w:lineRule="auto" w:before="0"/>
        <w:ind w:left="1105" w:right="950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(2015).</w:t>
      </w:r>
      <w:r>
        <w:rPr>
          <w:spacing w:val="3"/>
          <w:sz w:val="24"/>
        </w:rPr>
        <w:t> </w:t>
      </w:r>
      <w:r>
        <w:rPr>
          <w:sz w:val="24"/>
        </w:rPr>
        <w:t>Drug</w:t>
      </w:r>
      <w:r>
        <w:rPr>
          <w:spacing w:val="4"/>
          <w:sz w:val="24"/>
        </w:rPr>
        <w:t> </w:t>
      </w:r>
      <w:r>
        <w:rPr>
          <w:sz w:val="24"/>
        </w:rPr>
        <w:t>Induced</w:t>
      </w:r>
      <w:r>
        <w:rPr>
          <w:spacing w:val="4"/>
          <w:sz w:val="24"/>
        </w:rPr>
        <w:t> </w:t>
      </w:r>
      <w:r>
        <w:rPr>
          <w:sz w:val="24"/>
        </w:rPr>
        <w:t>secretory</w:t>
      </w:r>
      <w:r>
        <w:rPr>
          <w:spacing w:val="-1"/>
          <w:sz w:val="24"/>
        </w:rPr>
        <w:t> </w:t>
      </w:r>
      <w:r>
        <w:rPr>
          <w:sz w:val="24"/>
        </w:rPr>
        <w:t>diarrhoea: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role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CFTR.</w:t>
      </w:r>
      <w:r>
        <w:rPr>
          <w:spacing w:val="12"/>
          <w:sz w:val="24"/>
        </w:rPr>
        <w:t> </w:t>
      </w:r>
      <w:r>
        <w:rPr>
          <w:i/>
          <w:sz w:val="24"/>
        </w:rPr>
        <w:t>Pharmacological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102(1): 107-112.</w:t>
      </w:r>
    </w:p>
    <w:p>
      <w:pPr>
        <w:pStyle w:val="BodyText"/>
        <w:spacing w:before="193"/>
        <w:ind w:left="1105" w:right="953" w:hanging="720"/>
        <w:jc w:val="both"/>
      </w:pPr>
      <w:r>
        <w:rPr/>
        <w:t>Mukhtar, G. L., Aminu, M., Hayatuddeen, M. R., and Bello, I. (2016). Prevalence and risk</w:t>
      </w:r>
      <w:r>
        <w:rPr>
          <w:spacing w:val="1"/>
        </w:rPr>
        <w:t> </w:t>
      </w:r>
      <w:r>
        <w:rPr/>
        <w:t>factors associated with rotavirus diarrhoea in children less than five years in Katsina</w:t>
      </w:r>
      <w:r>
        <w:rPr>
          <w:spacing w:val="-57"/>
        </w:rPr>
        <w:t> </w:t>
      </w:r>
      <w:r>
        <w:rPr/>
        <w:t>State, northwestern Nigeria. </w:t>
      </w:r>
      <w:r>
        <w:rPr>
          <w:i/>
        </w:rPr>
        <w:t>Bayero Journal of Pure and Applied Sciences</w:t>
      </w:r>
      <w:r>
        <w:rPr/>
        <w:t>, 9(2): 12-</w:t>
      </w:r>
      <w:r>
        <w:rPr>
          <w:spacing w:val="-57"/>
        </w:rPr>
        <w:t> </w:t>
      </w:r>
      <w:r>
        <w:rPr/>
        <w:t>16.</w:t>
      </w:r>
    </w:p>
    <w:p>
      <w:pPr>
        <w:pStyle w:val="BodyText"/>
        <w:spacing w:before="202"/>
        <w:ind w:left="1105" w:right="955" w:hanging="720"/>
        <w:jc w:val="both"/>
      </w:pPr>
      <w:r>
        <w:rPr/>
        <w:t>Mushtaq, I., Cheema, H. A., Malik, H. S., Waheed, N., and Hashmi, M. A. (2017). Causes</w:t>
      </w:r>
      <w:r>
        <w:rPr>
          <w:spacing w:val="1"/>
        </w:rPr>
        <w:t> </w:t>
      </w:r>
      <w:r>
        <w:rPr/>
        <w:t>of chronic non-infectious diarrhoea in infants less than 6 months of age: rarely</w:t>
      </w:r>
      <w:r>
        <w:rPr>
          <w:spacing w:val="1"/>
        </w:rPr>
        <w:t> </w:t>
      </w:r>
      <w:r>
        <w:rPr/>
        <w:t>recognized</w:t>
      </w:r>
      <w:r>
        <w:rPr>
          <w:spacing w:val="-1"/>
        </w:rPr>
        <w:t> </w:t>
      </w:r>
      <w:r>
        <w:rPr/>
        <w:t>entities.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Ayub Medical</w:t>
      </w:r>
      <w:r>
        <w:rPr>
          <w:i/>
          <w:spacing w:val="-1"/>
        </w:rPr>
        <w:t> </w:t>
      </w:r>
      <w:r>
        <w:rPr>
          <w:i/>
        </w:rPr>
        <w:t>College</w:t>
      </w:r>
      <w:r>
        <w:rPr>
          <w:i/>
          <w:spacing w:val="-1"/>
        </w:rPr>
        <w:t> </w:t>
      </w:r>
      <w:r>
        <w:rPr>
          <w:i/>
        </w:rPr>
        <w:t>Abbottabad</w:t>
      </w:r>
      <w:r>
        <w:rPr/>
        <w:t>,</w:t>
      </w:r>
      <w:r>
        <w:rPr>
          <w:spacing w:val="-1"/>
        </w:rPr>
        <w:t> </w:t>
      </w:r>
      <w:r>
        <w:rPr/>
        <w:t>29(1):</w:t>
      </w:r>
      <w:r>
        <w:rPr>
          <w:spacing w:val="-1"/>
        </w:rPr>
        <w:t> </w:t>
      </w:r>
      <w:r>
        <w:rPr/>
        <w:t>78-82.</w:t>
      </w:r>
    </w:p>
    <w:p>
      <w:pPr>
        <w:spacing w:line="242" w:lineRule="auto" w:before="200"/>
        <w:ind w:left="1105" w:right="963" w:hanging="720"/>
        <w:jc w:val="both"/>
        <w:rPr>
          <w:sz w:val="24"/>
        </w:rPr>
      </w:pPr>
      <w:r>
        <w:rPr>
          <w:sz w:val="24"/>
        </w:rPr>
        <w:t>Naeem, S., and Parveen, S. (2016). Role of Bottle Feeding and Parental Education in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Diarrhea.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Emerging 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5(2): 119-123.</w:t>
      </w:r>
    </w:p>
    <w:p>
      <w:pPr>
        <w:spacing w:line="240" w:lineRule="auto" w:before="194"/>
        <w:ind w:left="1105" w:right="957" w:hanging="720"/>
        <w:jc w:val="both"/>
        <w:rPr>
          <w:sz w:val="24"/>
        </w:rPr>
      </w:pPr>
      <w:r>
        <w:rPr>
          <w:sz w:val="24"/>
        </w:rPr>
        <w:t>Ndukui,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Murithi,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Muwonge,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Sembajwe,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Kateregga,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Antidiarrheal activity of ethanolic fruit extract of </w:t>
      </w:r>
      <w:r>
        <w:rPr>
          <w:i/>
          <w:sz w:val="24"/>
        </w:rPr>
        <w:t>Psidium guajava </w:t>
      </w:r>
      <w:r>
        <w:rPr>
          <w:sz w:val="24"/>
        </w:rPr>
        <w:t>(Guava) in castor</w:t>
      </w:r>
      <w:r>
        <w:rPr>
          <w:spacing w:val="-57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diarrhea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albino</w:t>
      </w:r>
      <w:r>
        <w:rPr>
          <w:spacing w:val="1"/>
          <w:sz w:val="24"/>
        </w:rPr>
        <w:t> </w:t>
      </w:r>
      <w:r>
        <w:rPr>
          <w:sz w:val="24"/>
        </w:rPr>
        <w:t>rats.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Physiology Pharmacy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3(1): 191-197.</w:t>
      </w:r>
    </w:p>
    <w:p>
      <w:pPr>
        <w:pStyle w:val="BodyText"/>
        <w:spacing w:before="199"/>
        <w:ind w:left="1105" w:right="957" w:hanging="720"/>
        <w:jc w:val="both"/>
      </w:pPr>
      <w:r>
        <w:rPr/>
        <w:t>Nemlekar, S. S., Mehta, R. Y., and Shah, N. D. (2018). Diphenoxylate dependence treated</w:t>
      </w:r>
      <w:r>
        <w:rPr>
          <w:spacing w:val="1"/>
        </w:rPr>
        <w:t> </w:t>
      </w:r>
      <w:r>
        <w:rPr/>
        <w:t>with buprenorphine and naloxone combination. </w:t>
      </w:r>
      <w:r>
        <w:rPr>
          <w:i/>
        </w:rPr>
        <w:t>Annals of Indian Psychiatry</w:t>
      </w:r>
      <w:r>
        <w:rPr/>
        <w:t>, 2(1):</w:t>
      </w:r>
      <w:r>
        <w:rPr>
          <w:spacing w:val="1"/>
        </w:rPr>
        <w:t> </w:t>
      </w:r>
      <w:r>
        <w:rPr/>
        <w:t>63.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spacing w:before="70"/>
        <w:ind w:left="1105" w:right="954" w:hanging="720"/>
        <w:jc w:val="both"/>
        <w:rPr>
          <w:sz w:val="24"/>
        </w:rPr>
      </w:pPr>
      <w:r>
        <w:rPr>
          <w:sz w:val="24"/>
        </w:rPr>
        <w:t>Nfozon, J. N., Tume, C., Kdjo, N., Boyom, F. F., and Leonard, S. F. (2019). Acute and</w:t>
      </w:r>
      <w:r>
        <w:rPr>
          <w:spacing w:val="1"/>
          <w:sz w:val="24"/>
        </w:rPr>
        <w:t> </w:t>
      </w:r>
      <w:r>
        <w:rPr>
          <w:sz w:val="24"/>
        </w:rPr>
        <w:t>Sub-Chronic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Triplotaxis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stellulifera</w:t>
      </w:r>
      <w:r>
        <w:rPr>
          <w:i/>
          <w:spacing w:val="1"/>
          <w:sz w:val="24"/>
        </w:rPr>
        <w:t> </w:t>
      </w:r>
      <w:r>
        <w:rPr>
          <w:sz w:val="24"/>
        </w:rPr>
        <w:t>(Benth.)</w:t>
      </w:r>
      <w:r>
        <w:rPr>
          <w:spacing w:val="1"/>
          <w:sz w:val="24"/>
        </w:rPr>
        <w:t> </w:t>
      </w:r>
      <w:r>
        <w:rPr>
          <w:sz w:val="24"/>
        </w:rPr>
        <w:t>Hutch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Crasssocephalum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bougheyanum</w:t>
      </w:r>
      <w:r>
        <w:rPr>
          <w:i/>
          <w:spacing w:val="1"/>
          <w:sz w:val="24"/>
        </w:rPr>
        <w:t> </w:t>
      </w:r>
      <w:r>
        <w:rPr>
          <w:sz w:val="24"/>
        </w:rPr>
        <w:t>CD. Adams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Mice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Analytical Biochemistry</w:t>
      </w:r>
      <w:r>
        <w:rPr>
          <w:sz w:val="24"/>
        </w:rPr>
        <w:t>, 8(385):</w:t>
      </w:r>
      <w:r>
        <w:rPr>
          <w:spacing w:val="2"/>
          <w:sz w:val="24"/>
        </w:rPr>
        <w:t> </w:t>
      </w:r>
      <w:r>
        <w:rPr>
          <w:sz w:val="24"/>
        </w:rPr>
        <w:t>2161-1009.</w:t>
      </w:r>
    </w:p>
    <w:p>
      <w:pPr>
        <w:pStyle w:val="BodyText"/>
      </w:pPr>
    </w:p>
    <w:p>
      <w:pPr>
        <w:pStyle w:val="BodyText"/>
        <w:spacing w:before="1"/>
        <w:ind w:left="1105" w:right="953" w:hanging="720"/>
        <w:jc w:val="both"/>
      </w:pPr>
      <w:r>
        <w:rPr/>
        <w:t>Ngure, F. M., Humphrey, J. H., Mbuya, M. N., Majo, F., Mutasa, K., Govha, M., ... and</w:t>
      </w:r>
      <w:r>
        <w:rPr>
          <w:spacing w:val="1"/>
        </w:rPr>
        <w:t> </w:t>
      </w:r>
      <w:r>
        <w:rPr/>
        <w:t>Boor, K. J. (2013). Formative research on hygiene behaviors and geophagy among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fecal</w:t>
      </w:r>
      <w:r>
        <w:rPr>
          <w:spacing w:val="1"/>
        </w:rPr>
        <w:t> </w:t>
      </w:r>
      <w:r>
        <w:rPr/>
        <w:t>bacteria.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 of Tropical Medicine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Hygiene</w:t>
      </w:r>
      <w:r>
        <w:rPr/>
        <w:t>, 89(4): 709-716.</w:t>
      </w:r>
    </w:p>
    <w:p>
      <w:pPr>
        <w:pStyle w:val="BodyText"/>
        <w:spacing w:before="199"/>
        <w:ind w:left="1105" w:right="958" w:hanging="720"/>
        <w:jc w:val="both"/>
      </w:pPr>
      <w:r>
        <w:rPr/>
        <w:t>Njuguna, C., Njeru, I., Mgamb, E., Langat, D., Makokha, A., Ongore, D., ... and Kariuki, S.</w:t>
      </w:r>
      <w:r>
        <w:rPr>
          <w:spacing w:val="-57"/>
        </w:rPr>
        <w:t> </w:t>
      </w:r>
      <w:r>
        <w:rPr/>
        <w:t>(2016).</w:t>
      </w:r>
      <w:r>
        <w:rPr>
          <w:spacing w:val="1"/>
        </w:rPr>
        <w:t> </w:t>
      </w:r>
      <w:r>
        <w:rPr/>
        <w:t>Enteric</w:t>
      </w:r>
      <w:r>
        <w:rPr>
          <w:spacing w:val="1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bloody</w:t>
      </w:r>
      <w:r>
        <w:rPr>
          <w:spacing w:val="1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Kenya.</w:t>
      </w:r>
      <w:r>
        <w:rPr>
          <w:spacing w:val="-1"/>
        </w:rPr>
        <w:t> </w:t>
      </w:r>
      <w:r>
        <w:rPr>
          <w:i/>
        </w:rPr>
        <w:t>BioMed Central</w:t>
      </w:r>
      <w:r>
        <w:rPr>
          <w:i/>
          <w:spacing w:val="1"/>
        </w:rPr>
        <w:t> </w:t>
      </w:r>
      <w:r>
        <w:rPr>
          <w:i/>
        </w:rPr>
        <w:t>infectious diseases</w:t>
      </w:r>
      <w:r>
        <w:rPr/>
        <w:t>, 16(1):</w:t>
      </w:r>
      <w:r>
        <w:rPr>
          <w:spacing w:val="1"/>
        </w:rPr>
        <w:t> </w:t>
      </w:r>
      <w:r>
        <w:rPr/>
        <w:t>477.</w:t>
      </w:r>
    </w:p>
    <w:p>
      <w:pPr>
        <w:spacing w:line="240" w:lineRule="auto" w:before="200"/>
        <w:ind w:left="1105" w:right="954" w:hanging="720"/>
        <w:jc w:val="both"/>
        <w:rPr>
          <w:sz w:val="24"/>
        </w:rPr>
      </w:pPr>
      <w:r>
        <w:rPr>
          <w:sz w:val="24"/>
        </w:rPr>
        <w:t>Njume, C., and Goduka, N. I. (2012). Treatment of diarrhoea in rural African communities:</w:t>
      </w:r>
      <w:r>
        <w:rPr>
          <w:spacing w:val="-57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maximise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60"/>
          <w:sz w:val="24"/>
        </w:rPr>
        <w:t> </w:t>
      </w:r>
      <w:r>
        <w:rPr>
          <w:sz w:val="24"/>
        </w:rPr>
        <w:t>potentials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indigenous</w:t>
      </w:r>
      <w:r>
        <w:rPr>
          <w:spacing w:val="1"/>
          <w:sz w:val="24"/>
        </w:rPr>
        <w:t> </w:t>
      </w:r>
      <w:r>
        <w:rPr>
          <w:sz w:val="24"/>
        </w:rPr>
        <w:t>plants. </w:t>
      </w:r>
      <w:r>
        <w:rPr>
          <w:i/>
          <w:sz w:val="24"/>
        </w:rPr>
        <w:t>International Journal of Environmental Research and Public Health</w:t>
      </w:r>
      <w:r>
        <w:rPr>
          <w:sz w:val="24"/>
        </w:rPr>
        <w:t>, 9(11):</w:t>
      </w:r>
      <w:r>
        <w:rPr>
          <w:spacing w:val="1"/>
          <w:sz w:val="24"/>
        </w:rPr>
        <w:t> </w:t>
      </w:r>
      <w:r>
        <w:rPr>
          <w:sz w:val="24"/>
        </w:rPr>
        <w:t>3911-3933.</w:t>
      </w:r>
    </w:p>
    <w:p>
      <w:pPr>
        <w:spacing w:line="240" w:lineRule="auto" w:before="201"/>
        <w:ind w:left="1105" w:right="953" w:hanging="720"/>
        <w:jc w:val="both"/>
        <w:rPr>
          <w:sz w:val="24"/>
        </w:rPr>
      </w:pPr>
      <w:r>
        <w:rPr>
          <w:sz w:val="24"/>
        </w:rPr>
        <w:t>Nwabunike, I.O., Okoli, C. O., Ezeugwe, P., Ezike, A.C., Onyeto, C. A., Mbaoji, F. N.,…..</w:t>
      </w:r>
      <w:r>
        <w:rPr>
          <w:spacing w:val="1"/>
          <w:sz w:val="24"/>
        </w:rPr>
        <w:t> </w:t>
      </w:r>
      <w:r>
        <w:rPr>
          <w:sz w:val="24"/>
        </w:rPr>
        <w:t>and Onwuka, A. M. (2018). Antidiarrhoeal potentials of </w:t>
      </w:r>
      <w:r>
        <w:rPr>
          <w:i/>
          <w:sz w:val="24"/>
        </w:rPr>
        <w:t>Schwenckia Americana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(Solanaceae): a comparative study of the aerial part and root extracts.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Pharmaceutical Sciences,</w:t>
      </w:r>
      <w:r>
        <w:rPr>
          <w:i/>
          <w:spacing w:val="1"/>
          <w:sz w:val="24"/>
        </w:rPr>
        <w:t> </w:t>
      </w:r>
      <w:r>
        <w:rPr>
          <w:sz w:val="24"/>
        </w:rPr>
        <w:t>10(1): 195-201.</w:t>
      </w:r>
    </w:p>
    <w:p>
      <w:pPr>
        <w:pStyle w:val="BodyText"/>
        <w:spacing w:line="242" w:lineRule="auto" w:before="200"/>
        <w:ind w:left="1105" w:right="955" w:hanging="720"/>
        <w:jc w:val="both"/>
      </w:pPr>
      <w:r>
        <w:rPr/>
        <w:t>Nwachukwu, C. E., and Okebe, J. U. (2008). Antimotility agents for chronic diarrhoea in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HIV/AIDS. </w:t>
      </w:r>
      <w:r>
        <w:rPr>
          <w:i/>
        </w:rPr>
        <w:t>Cochrane</w:t>
      </w:r>
      <w:r>
        <w:rPr>
          <w:i/>
          <w:spacing w:val="1"/>
        </w:rPr>
        <w:t> </w:t>
      </w:r>
      <w:r>
        <w:rPr>
          <w:i/>
        </w:rPr>
        <w:t>Database</w:t>
      </w:r>
      <w:r>
        <w:rPr>
          <w:i/>
          <w:spacing w:val="1"/>
        </w:rPr>
        <w:t> </w:t>
      </w:r>
      <w:r>
        <w:rPr>
          <w:i/>
        </w:rPr>
        <w:t>Systematic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 </w:t>
      </w:r>
      <w:r>
        <w:rPr>
          <w:i/>
        </w:rPr>
        <w:t>4</w:t>
      </w:r>
      <w:r>
        <w:rPr/>
        <w:t>,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No.:CD005644.</w:t>
      </w:r>
      <w:r>
        <w:rPr>
          <w:spacing w:val="-1"/>
        </w:rPr>
        <w:t> </w:t>
      </w:r>
      <w:r>
        <w:rPr/>
        <w:t>DOI: 10.1002/14651858.CD005644.pub2.</w:t>
      </w:r>
    </w:p>
    <w:p>
      <w:pPr>
        <w:spacing w:line="240" w:lineRule="auto" w:before="191"/>
        <w:ind w:left="1105" w:right="955" w:hanging="720"/>
        <w:jc w:val="both"/>
        <w:rPr>
          <w:sz w:val="24"/>
        </w:rPr>
      </w:pPr>
      <w:r>
        <w:rPr>
          <w:sz w:val="24"/>
        </w:rPr>
        <w:t>Odda,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Kristensen,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Kabasa,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Waako,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Larvicidal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Combretum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collinum</w:t>
      </w:r>
      <w:r>
        <w:rPr>
          <w:i/>
          <w:spacing w:val="1"/>
          <w:sz w:val="24"/>
        </w:rPr>
        <w:t> </w:t>
      </w:r>
      <w:r>
        <w:rPr>
          <w:sz w:val="24"/>
        </w:rPr>
        <w:t>Fresen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Aedes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aegypti</w:t>
      </w:r>
      <w:r>
        <w:rPr>
          <w:sz w:val="24"/>
        </w:rPr>
        <w:t>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45(1):</w:t>
      </w:r>
      <w:r>
        <w:rPr>
          <w:spacing w:val="1"/>
          <w:sz w:val="24"/>
        </w:rPr>
        <w:t> </w:t>
      </w:r>
      <w:r>
        <w:rPr>
          <w:sz w:val="24"/>
        </w:rPr>
        <w:t>321–324.</w:t>
      </w:r>
    </w:p>
    <w:p>
      <w:pPr>
        <w:pStyle w:val="BodyText"/>
        <w:spacing w:line="242" w:lineRule="auto" w:before="202"/>
        <w:ind w:left="1105" w:right="953" w:hanging="720"/>
        <w:jc w:val="both"/>
      </w:pPr>
      <w:r>
        <w:rPr/>
        <w:t>OECD Guidelines</w:t>
      </w:r>
      <w:r>
        <w:rPr>
          <w:spacing w:val="1"/>
        </w:rPr>
        <w:t> </w:t>
      </w:r>
      <w:r>
        <w:rPr/>
        <w:t>for the Testing of Chemicals (No. 423). Acute</w:t>
      </w:r>
      <w:r>
        <w:rPr>
          <w:spacing w:val="1"/>
        </w:rPr>
        <w:t> </w:t>
      </w:r>
      <w:r>
        <w:rPr/>
        <w:t>Oral</w:t>
      </w:r>
      <w:r>
        <w:rPr>
          <w:spacing w:val="60"/>
        </w:rPr>
        <w:t> </w:t>
      </w:r>
      <w:r>
        <w:rPr/>
        <w:t>Toxicity-Acute</w:t>
      </w:r>
      <w:r>
        <w:rPr>
          <w:spacing w:val="1"/>
        </w:rPr>
        <w:t> </w:t>
      </w:r>
      <w:r>
        <w:rPr/>
        <w:t>Toxic</w:t>
      </w:r>
      <w:r>
        <w:rPr>
          <w:spacing w:val="-1"/>
        </w:rPr>
        <w:t> </w:t>
      </w:r>
      <w:r>
        <w:rPr/>
        <w:t>Class Method. (Adopted on 17 December, 2001).</w:t>
      </w:r>
    </w:p>
    <w:p>
      <w:pPr>
        <w:pStyle w:val="BodyText"/>
        <w:spacing w:before="193"/>
        <w:ind w:left="385"/>
      </w:pPr>
      <w:r>
        <w:rPr/>
        <w:t>OECD</w:t>
      </w:r>
      <w:r>
        <w:rPr>
          <w:spacing w:val="56"/>
        </w:rPr>
        <w:t> </w:t>
      </w:r>
      <w:r>
        <w:rPr/>
        <w:t>(2008),</w:t>
      </w:r>
      <w:r>
        <w:rPr>
          <w:spacing w:val="56"/>
        </w:rPr>
        <w:t> </w:t>
      </w:r>
      <w:r>
        <w:rPr/>
        <w:t>Test</w:t>
      </w:r>
      <w:r>
        <w:rPr>
          <w:spacing w:val="58"/>
        </w:rPr>
        <w:t> </w:t>
      </w:r>
      <w:r>
        <w:rPr/>
        <w:t>No.</w:t>
      </w:r>
      <w:r>
        <w:rPr>
          <w:spacing w:val="57"/>
        </w:rPr>
        <w:t> </w:t>
      </w:r>
      <w:r>
        <w:rPr/>
        <w:t>407:</w:t>
      </w:r>
      <w:r>
        <w:rPr>
          <w:spacing w:val="57"/>
        </w:rPr>
        <w:t> </w:t>
      </w:r>
      <w:r>
        <w:rPr/>
        <w:t>Repeated</w:t>
      </w:r>
      <w:r>
        <w:rPr>
          <w:spacing w:val="56"/>
        </w:rPr>
        <w:t> </w:t>
      </w:r>
      <w:r>
        <w:rPr/>
        <w:t>Dose</w:t>
      </w:r>
      <w:r>
        <w:rPr>
          <w:spacing w:val="58"/>
        </w:rPr>
        <w:t> </w:t>
      </w:r>
      <w:r>
        <w:rPr/>
        <w:t>28-day</w:t>
      </w:r>
      <w:r>
        <w:rPr>
          <w:spacing w:val="52"/>
        </w:rPr>
        <w:t> </w:t>
      </w:r>
      <w:r>
        <w:rPr/>
        <w:t>Oral</w:t>
      </w:r>
      <w:r>
        <w:rPr>
          <w:spacing w:val="57"/>
        </w:rPr>
        <w:t> </w:t>
      </w:r>
      <w:r>
        <w:rPr/>
        <w:t>Toxicity</w:t>
      </w:r>
      <w:r>
        <w:rPr>
          <w:spacing w:val="52"/>
        </w:rPr>
        <w:t> </w:t>
      </w:r>
      <w:r>
        <w:rPr/>
        <w:t>Study</w:t>
      </w:r>
      <w:r>
        <w:rPr>
          <w:spacing w:val="52"/>
        </w:rPr>
        <w:t> </w:t>
      </w:r>
      <w:r>
        <w:rPr/>
        <w:t>in</w:t>
      </w:r>
      <w:r>
        <w:rPr>
          <w:spacing w:val="57"/>
        </w:rPr>
        <w:t> </w:t>
      </w:r>
      <w:r>
        <w:rPr/>
        <w:t>Rodents.</w:t>
      </w:r>
    </w:p>
    <w:p>
      <w:pPr>
        <w:pStyle w:val="BodyText"/>
        <w:spacing w:before="3"/>
        <w:ind w:left="1105"/>
      </w:pPr>
      <w:r>
        <w:rPr/>
        <w:t>OECD</w:t>
      </w:r>
      <w:r>
        <w:rPr>
          <w:spacing w:val="-1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Chemicals.</w:t>
      </w:r>
    </w:p>
    <w:p>
      <w:pPr>
        <w:spacing w:line="242" w:lineRule="auto" w:before="197"/>
        <w:ind w:left="1105" w:right="953" w:hanging="720"/>
        <w:jc w:val="both"/>
        <w:rPr>
          <w:sz w:val="24"/>
        </w:rPr>
      </w:pPr>
      <w:r>
        <w:rPr>
          <w:sz w:val="24"/>
        </w:rPr>
        <w:t>Okpara,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Ambali,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Ayo,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Ayo,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Suleiman,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-58"/>
          <w:sz w:val="24"/>
        </w:rPr>
        <w:t> </w:t>
      </w:r>
      <w:r>
        <w:rPr>
          <w:sz w:val="24"/>
        </w:rPr>
        <w:t>Antidiarrhoeal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Antimotility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Maize</w:t>
      </w:r>
      <w:r>
        <w:rPr>
          <w:spacing w:val="1"/>
          <w:sz w:val="24"/>
        </w:rPr>
        <w:t> </w:t>
      </w:r>
      <w:r>
        <w:rPr>
          <w:sz w:val="24"/>
        </w:rPr>
        <w:t>Silk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Stigmas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maydis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-1"/>
          <w:sz w:val="24"/>
        </w:rPr>
        <w:t> </w:t>
      </w:r>
      <w:r>
        <w:rPr>
          <w:sz w:val="24"/>
        </w:rPr>
        <w:t>Extract.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2(1):</w:t>
      </w:r>
      <w:r>
        <w:rPr>
          <w:spacing w:val="-1"/>
          <w:sz w:val="24"/>
        </w:rPr>
        <w:t> </w:t>
      </w:r>
      <w:r>
        <w:rPr>
          <w:sz w:val="24"/>
        </w:rPr>
        <w:t>1-4.</w:t>
      </w:r>
    </w:p>
    <w:p>
      <w:pPr>
        <w:pStyle w:val="BodyText"/>
        <w:spacing w:before="194"/>
        <w:ind w:left="1105" w:right="955" w:hanging="720"/>
        <w:jc w:val="both"/>
      </w:pPr>
      <w:r>
        <w:rPr/>
        <w:t>Okposio, M. M., Onyiriuka, A. N., and Abhulimhen-Iyoha, B. I. (2015). Point-of-admission</w:t>
      </w:r>
      <w:r>
        <w:rPr>
          <w:spacing w:val="-57"/>
        </w:rPr>
        <w:t> </w:t>
      </w:r>
      <w:r>
        <w:rPr/>
        <w:t>serum electrolyte profile of children less than five years old with dehydration due to</w:t>
      </w:r>
      <w:r>
        <w:rPr>
          <w:spacing w:val="-57"/>
        </w:rPr>
        <w:t> </w:t>
      </w:r>
      <w:r>
        <w:rPr/>
        <w:t>acute</w:t>
      </w:r>
      <w:r>
        <w:rPr>
          <w:spacing w:val="-1"/>
        </w:rPr>
        <w:t> </w:t>
      </w:r>
      <w:r>
        <w:rPr/>
        <w:t>diarrhoea.</w:t>
      </w:r>
      <w:r>
        <w:rPr>
          <w:spacing w:val="1"/>
        </w:rPr>
        <w:t> </w:t>
      </w:r>
      <w:r>
        <w:rPr>
          <w:i/>
        </w:rPr>
        <w:t>Tropical medicine</w:t>
      </w:r>
      <w:r>
        <w:rPr>
          <w:i/>
          <w:spacing w:val="-1"/>
        </w:rPr>
        <w:t> </w:t>
      </w:r>
      <w:r>
        <w:rPr>
          <w:i/>
        </w:rPr>
        <w:t>and health</w:t>
      </w:r>
      <w:r>
        <w:rPr/>
        <w:t>, 43(4):</w:t>
      </w:r>
      <w:r>
        <w:rPr>
          <w:spacing w:val="-1"/>
        </w:rPr>
        <w:t> </w:t>
      </w:r>
      <w:r>
        <w:rPr/>
        <w:t>247-252.</w:t>
      </w:r>
    </w:p>
    <w:p>
      <w:pPr>
        <w:pStyle w:val="BodyText"/>
        <w:spacing w:before="199"/>
        <w:ind w:left="1105" w:right="954" w:hanging="720"/>
        <w:jc w:val="both"/>
      </w:pPr>
      <w:r>
        <w:rPr/>
        <w:t>Olaniyan, J. M., Muhammad, H. l., Makun, H. A., Busari, M. B., and Abdullah, A. S.</w:t>
      </w:r>
      <w:r>
        <w:rPr>
          <w:spacing w:val="1"/>
        </w:rPr>
        <w:t> </w:t>
      </w:r>
      <w:r>
        <w:rPr/>
        <w:t>(2016). Acute and sub-acute toxicity studies of aqueous and methanol extracts of</w:t>
      </w:r>
      <w:r>
        <w:rPr>
          <w:spacing w:val="1"/>
        </w:rPr>
        <w:t> </w:t>
      </w:r>
      <w:r>
        <w:rPr>
          <w:i/>
        </w:rPr>
        <w:t>Nelsonia</w:t>
      </w:r>
      <w:r>
        <w:rPr>
          <w:i/>
          <w:spacing w:val="-1"/>
        </w:rPr>
        <w:t> </w:t>
      </w:r>
      <w:r>
        <w:rPr>
          <w:i/>
        </w:rPr>
        <w:t>campestris</w:t>
      </w:r>
      <w:r>
        <w:rPr>
          <w:i/>
          <w:spacing w:val="2"/>
        </w:rPr>
        <w:t> </w:t>
      </w:r>
      <w:r>
        <w:rPr/>
        <w:t>in rats.</w:t>
      </w:r>
      <w:r>
        <w:rPr>
          <w:spacing w:val="-1"/>
        </w:rPr>
        <w:t> </w:t>
      </w:r>
      <w:r>
        <w:rPr>
          <w:i/>
        </w:rPr>
        <w:t>Journal of Acute</w:t>
      </w:r>
      <w:r>
        <w:rPr>
          <w:i/>
          <w:spacing w:val="-1"/>
        </w:rPr>
        <w:t> </w:t>
      </w:r>
      <w:r>
        <w:rPr>
          <w:i/>
        </w:rPr>
        <w:t>Diseases</w:t>
      </w:r>
      <w:r>
        <w:rPr/>
        <w:t>, 5(1): 62-70.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before="70"/>
        <w:ind w:left="1105" w:right="956" w:hanging="720"/>
        <w:jc w:val="both"/>
      </w:pPr>
      <w:r>
        <w:rPr/>
        <w:t>Olaya, M. D. P.,</w:t>
      </w:r>
      <w:r>
        <w:rPr>
          <w:spacing w:val="1"/>
        </w:rPr>
        <w:t> </w:t>
      </w:r>
      <w:r>
        <w:rPr/>
        <w:t>Lozano, M. C., Botero,</w:t>
      </w:r>
      <w:r>
        <w:rPr>
          <w:spacing w:val="1"/>
        </w:rPr>
        <w:t> </w:t>
      </w:r>
      <w:r>
        <w:rPr/>
        <w:t>L., Rincón, J., and Guerrero,</w:t>
      </w:r>
      <w:r>
        <w:rPr>
          <w:spacing w:val="1"/>
        </w:rPr>
        <w:t> </w:t>
      </w:r>
      <w:r>
        <w:rPr/>
        <w:t>M. F. (2010).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subchronic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Valeriana pavonii species in Wistar rats. Colombia Medical Journal, 41(3): 256-</w:t>
      </w:r>
      <w:r>
        <w:rPr>
          <w:spacing w:val="1"/>
        </w:rPr>
        <w:t> </w:t>
      </w:r>
      <w:r>
        <w:rPr/>
        <w:t>266.</w:t>
      </w:r>
    </w:p>
    <w:p>
      <w:pPr>
        <w:spacing w:before="200"/>
        <w:ind w:left="1105" w:right="953" w:hanging="720"/>
        <w:jc w:val="both"/>
        <w:rPr>
          <w:sz w:val="24"/>
        </w:rPr>
      </w:pPr>
      <w:r>
        <w:rPr>
          <w:sz w:val="24"/>
        </w:rPr>
        <w:t>Olorunnisola,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Bradley,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Afolayan,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sub-chronic</w:t>
      </w:r>
      <w:r>
        <w:rPr>
          <w:spacing w:val="-57"/>
          <w:sz w:val="24"/>
        </w:rPr>
        <w:t> </w:t>
      </w:r>
      <w:r>
        <w:rPr>
          <w:sz w:val="24"/>
        </w:rPr>
        <w:t>toxicity 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methanolic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Tulbaghia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violacea</w:t>
      </w:r>
      <w:r>
        <w:rPr>
          <w:i/>
          <w:spacing w:val="60"/>
          <w:sz w:val="24"/>
        </w:rPr>
        <w:t> </w:t>
      </w:r>
      <w:r>
        <w:rPr>
          <w:sz w:val="24"/>
        </w:rPr>
        <w:t>rhizomes in</w:t>
      </w:r>
      <w:r>
        <w:rPr>
          <w:spacing w:val="60"/>
          <w:sz w:val="24"/>
        </w:rPr>
        <w:t> </w:t>
      </w:r>
      <w:r>
        <w:rPr>
          <w:sz w:val="24"/>
        </w:rPr>
        <w:t>Wistar</w:t>
      </w:r>
      <w:r>
        <w:rPr>
          <w:spacing w:val="-57"/>
          <w:sz w:val="24"/>
        </w:rPr>
        <w:t> </w:t>
      </w:r>
      <w:r>
        <w:rPr>
          <w:sz w:val="24"/>
        </w:rPr>
        <w:t>rats.</w:t>
      </w:r>
      <w:r>
        <w:rPr>
          <w:spacing w:val="-1"/>
          <w:sz w:val="24"/>
        </w:rPr>
        <w:t> </w:t>
      </w:r>
      <w:r>
        <w:rPr>
          <w:i/>
          <w:sz w:val="24"/>
        </w:rPr>
        <w:t>African Journal of Biotechnology</w:t>
      </w:r>
      <w:r>
        <w:rPr>
          <w:sz w:val="24"/>
        </w:rPr>
        <w:t>, 11(83): 14934-14940.</w:t>
      </w:r>
    </w:p>
    <w:p>
      <w:pPr>
        <w:pStyle w:val="BodyText"/>
      </w:pPr>
    </w:p>
    <w:p>
      <w:pPr>
        <w:pStyle w:val="BodyText"/>
        <w:spacing w:line="242" w:lineRule="auto"/>
        <w:ind w:left="1105" w:right="951" w:hanging="720"/>
        <w:jc w:val="both"/>
      </w:pPr>
      <w:r>
        <w:rPr/>
        <w:t>Ortega, Y. R., and Sanchez, R. (2010). Update on Cyclospora cayetanensis, a food-borne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waterborne</w:t>
      </w:r>
      <w:r>
        <w:rPr>
          <w:spacing w:val="-2"/>
        </w:rPr>
        <w:t> </w:t>
      </w:r>
      <w:r>
        <w:rPr/>
        <w:t>parasite.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>
          <w:i/>
          <w:spacing w:val="-1"/>
        </w:rPr>
        <w:t> </w:t>
      </w:r>
      <w:r>
        <w:rPr>
          <w:i/>
        </w:rPr>
        <w:t>Reviews</w:t>
      </w:r>
      <w:r>
        <w:rPr/>
        <w:t>, 23(1): 218-234.</w:t>
      </w:r>
    </w:p>
    <w:p>
      <w:pPr>
        <w:spacing w:line="242" w:lineRule="auto" w:before="194"/>
        <w:ind w:left="1105" w:right="955" w:hanging="720"/>
        <w:jc w:val="both"/>
        <w:rPr>
          <w:sz w:val="24"/>
        </w:rPr>
      </w:pPr>
      <w:r>
        <w:rPr>
          <w:sz w:val="24"/>
        </w:rPr>
        <w:t>Pandey, P., Mehta, A., and Hajra, S. (2012). Antidiarrhoeal activity of ethanolic extracts of</w:t>
      </w:r>
      <w:r>
        <w:rPr>
          <w:spacing w:val="1"/>
          <w:sz w:val="24"/>
        </w:rPr>
        <w:t> </w:t>
      </w:r>
      <w:r>
        <w:rPr>
          <w:i/>
          <w:sz w:val="24"/>
        </w:rPr>
        <w:t>Ruta graveolens </w:t>
      </w:r>
      <w:r>
        <w:rPr>
          <w:sz w:val="24"/>
        </w:rPr>
        <w:t>leaves and stem. </w:t>
      </w:r>
      <w:r>
        <w:rPr>
          <w:i/>
          <w:sz w:val="24"/>
        </w:rPr>
        <w:t>Asian Journal of Pharmaceutical and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5(4): 65-68.</w:t>
      </w:r>
    </w:p>
    <w:p>
      <w:pPr>
        <w:spacing w:line="240" w:lineRule="auto" w:before="194"/>
        <w:ind w:left="1105" w:right="952" w:hanging="720"/>
        <w:jc w:val="both"/>
        <w:rPr>
          <w:sz w:val="24"/>
        </w:rPr>
      </w:pPr>
      <w:r>
        <w:rPr>
          <w:sz w:val="24"/>
        </w:rPr>
        <w:t>Pandey,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Mehta,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Upadhyay,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Physico-chemical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Phytochemical </w:t>
      </w:r>
      <w:r>
        <w:rPr>
          <w:i/>
          <w:sz w:val="24"/>
        </w:rPr>
        <w:t>Psoralea corylifolia</w:t>
      </w:r>
      <w:r>
        <w:rPr>
          <w:sz w:val="24"/>
        </w:rPr>
        <w:t>. </w:t>
      </w:r>
      <w:r>
        <w:rPr>
          <w:i/>
          <w:sz w:val="24"/>
        </w:rPr>
        <w:t>Archieve of Applied Science Research</w:t>
      </w:r>
      <w:r>
        <w:rPr>
          <w:sz w:val="24"/>
        </w:rPr>
        <w:t>, 5(2):</w:t>
      </w:r>
      <w:r>
        <w:rPr>
          <w:spacing w:val="1"/>
          <w:sz w:val="24"/>
        </w:rPr>
        <w:t> </w:t>
      </w:r>
      <w:r>
        <w:rPr>
          <w:sz w:val="24"/>
        </w:rPr>
        <w:t>261-265.</w:t>
      </w:r>
    </w:p>
    <w:p>
      <w:pPr>
        <w:spacing w:line="240" w:lineRule="auto" w:before="199"/>
        <w:ind w:left="1105" w:right="953" w:hanging="720"/>
        <w:jc w:val="both"/>
        <w:rPr>
          <w:sz w:val="24"/>
        </w:rPr>
      </w:pPr>
      <w:r>
        <w:rPr>
          <w:sz w:val="24"/>
        </w:rPr>
        <w:t>Paredes, J. D., Sosa, Á., Fusco, M., Teves, M. R., Wendel, G. H., and Pelzer, L. E. (2016).</w:t>
      </w:r>
      <w:r>
        <w:rPr>
          <w:spacing w:val="1"/>
          <w:sz w:val="24"/>
        </w:rPr>
        <w:t> </w:t>
      </w:r>
      <w:r>
        <w:rPr>
          <w:sz w:val="24"/>
        </w:rPr>
        <w:t>Antidiarrhoeal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Aristolochia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argentina</w:t>
      </w:r>
      <w:r>
        <w:rPr>
          <w:i/>
          <w:spacing w:val="61"/>
          <w:sz w:val="24"/>
        </w:rPr>
        <w:t> </w:t>
      </w:r>
      <w:r>
        <w:rPr>
          <w:sz w:val="24"/>
        </w:rPr>
        <w:t>Gris.(Aristolochiaceae)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rodents.</w:t>
      </w:r>
      <w:r>
        <w:rPr>
          <w:spacing w:val="-1"/>
          <w:sz w:val="24"/>
        </w:rPr>
        <w:t> </w:t>
      </w:r>
      <w:r>
        <w:rPr>
          <w:i/>
          <w:sz w:val="24"/>
        </w:rPr>
        <w:t>Journal of Applied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6(02): 146-152.</w:t>
      </w:r>
    </w:p>
    <w:p>
      <w:pPr>
        <w:pStyle w:val="BodyText"/>
        <w:spacing w:before="199"/>
        <w:ind w:left="1105" w:right="955" w:hanging="720"/>
        <w:jc w:val="both"/>
      </w:pPr>
      <w:r>
        <w:rPr/>
        <w:t>Passariello, A., Terrin, G., Cecere, G., Micillo, M., De Marco, G., Di Costanzo, M., ... and</w:t>
      </w:r>
      <w:r>
        <w:rPr>
          <w:spacing w:val="1"/>
        </w:rPr>
        <w:t> </w:t>
      </w:r>
      <w:r>
        <w:rPr/>
        <w:t>Berni Canani, R. (2012). Randomised clinical trial: efficacy of a new synbiotic</w:t>
      </w:r>
      <w:r>
        <w:rPr>
          <w:spacing w:val="1"/>
        </w:rPr>
        <w:t> </w:t>
      </w:r>
      <w:r>
        <w:rPr/>
        <w:t>formulation containing </w:t>
      </w:r>
      <w:r>
        <w:rPr>
          <w:i/>
        </w:rPr>
        <w:t>Lactobacillus paracasei </w:t>
      </w:r>
      <w:r>
        <w:rPr/>
        <w:t>B21060 plus arabinogalactan and</w:t>
      </w:r>
      <w:r>
        <w:rPr>
          <w:spacing w:val="1"/>
        </w:rPr>
        <w:t> </w:t>
      </w:r>
      <w:r>
        <w:rPr/>
        <w:t>xilooligosaccharides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diarrhoea. </w:t>
      </w:r>
      <w:r>
        <w:rPr>
          <w:i/>
        </w:rPr>
        <w:t>Alimentary</w:t>
      </w:r>
      <w:r>
        <w:rPr>
          <w:i/>
          <w:spacing w:val="60"/>
        </w:rPr>
        <w:t> </w:t>
      </w:r>
      <w:r>
        <w:rPr>
          <w:i/>
        </w:rPr>
        <w:t>Pharmacology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Therapeutics</w:t>
      </w:r>
      <w:r>
        <w:rPr/>
        <w:t>, 35(7):</w:t>
      </w:r>
      <w:r>
        <w:rPr>
          <w:spacing w:val="2"/>
        </w:rPr>
        <w:t> </w:t>
      </w:r>
      <w:r>
        <w:rPr/>
        <w:t>782-788.</w:t>
      </w:r>
    </w:p>
    <w:p>
      <w:pPr>
        <w:pStyle w:val="BodyText"/>
        <w:spacing w:before="202"/>
        <w:ind w:left="1105" w:right="963" w:hanging="720"/>
        <w:jc w:val="both"/>
      </w:pPr>
      <w:r>
        <w:rPr/>
        <w:t>Patel, M. M., Widdowson, M. A., Glass, R. I., Akazawa, K., Vinjé, J., andParashar, U. D.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noroviruses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sporadic</w:t>
      </w:r>
      <w:r>
        <w:rPr>
          <w:spacing w:val="1"/>
        </w:rPr>
        <w:t> </w:t>
      </w:r>
      <w:r>
        <w:rPr/>
        <w:t>gastroenteritis.</w:t>
      </w:r>
      <w:r>
        <w:rPr>
          <w:spacing w:val="1"/>
        </w:rPr>
        <w:t> </w:t>
      </w:r>
      <w:r>
        <w:rPr>
          <w:i/>
        </w:rPr>
        <w:t>Emerging</w:t>
      </w:r>
      <w:r>
        <w:rPr>
          <w:i/>
          <w:spacing w:val="2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</w:t>
      </w:r>
      <w:r>
        <w:rPr/>
        <w:t>, 14(8): 1224-1231.</w:t>
      </w:r>
    </w:p>
    <w:p>
      <w:pPr>
        <w:pStyle w:val="BodyText"/>
        <w:spacing w:before="199"/>
        <w:ind w:left="1105" w:right="954" w:hanging="720"/>
        <w:jc w:val="both"/>
      </w:pPr>
      <w:r>
        <w:rPr/>
        <w:t>Perez, D., Sharples, K. J., Broom, R., Jeffery, M., Proctor, J., Hinder, V., ... and Benge, S.</w:t>
      </w:r>
      <w:r>
        <w:rPr>
          <w:spacing w:val="1"/>
        </w:rPr>
        <w:t> </w:t>
      </w:r>
      <w:r>
        <w:rPr/>
        <w:t>(2015). A randomised phase IIb trial to assess the efficacy of ReCharge ice cream in</w:t>
      </w:r>
      <w:r>
        <w:rPr>
          <w:spacing w:val="-57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chemotherapy-induced</w:t>
      </w:r>
      <w:r>
        <w:rPr>
          <w:spacing w:val="1"/>
        </w:rPr>
        <w:t> </w:t>
      </w:r>
      <w:r>
        <w:rPr/>
        <w:t>diarrhoea. </w:t>
      </w:r>
      <w:r>
        <w:rPr>
          <w:i/>
        </w:rPr>
        <w:t>Supportive</w:t>
      </w:r>
      <w:r>
        <w:rPr>
          <w:i/>
          <w:spacing w:val="1"/>
        </w:rPr>
        <w:t> </w:t>
      </w:r>
      <w:r>
        <w:rPr>
          <w:i/>
        </w:rPr>
        <w:t>Care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 23(11):</w:t>
      </w:r>
      <w:r>
        <w:rPr>
          <w:spacing w:val="-57"/>
        </w:rPr>
        <w:t> </w:t>
      </w:r>
      <w:r>
        <w:rPr/>
        <w:t>3307-3315.</w:t>
      </w:r>
    </w:p>
    <w:p>
      <w:pPr>
        <w:pStyle w:val="BodyText"/>
        <w:spacing w:before="200"/>
        <w:ind w:left="1105" w:right="962" w:hanging="720"/>
        <w:jc w:val="both"/>
      </w:pPr>
      <w:r>
        <w:rPr/>
        <w:t>Pessi, M. A., Zilembo, N., Haspinger, E. R., Molino, L., Di Cosimo, S., Garassino, M., and</w:t>
      </w:r>
      <w:r>
        <w:rPr>
          <w:spacing w:val="1"/>
        </w:rPr>
        <w:t> </w:t>
      </w:r>
      <w:r>
        <w:rPr/>
        <w:t>Ripamonti,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diarrhoea: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literature.</w:t>
      </w:r>
      <w:r>
        <w:rPr>
          <w:spacing w:val="-1"/>
        </w:rPr>
        <w:t> </w:t>
      </w:r>
      <w:r>
        <w:rPr>
          <w:i/>
        </w:rPr>
        <w:t>Critical Review</w:t>
      </w:r>
      <w:r>
        <w:rPr>
          <w:i/>
          <w:spacing w:val="-1"/>
        </w:rPr>
        <w:t> </w:t>
      </w:r>
      <w:r>
        <w:rPr>
          <w:i/>
        </w:rPr>
        <w:t>in Oncology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Haematolog,</w:t>
      </w:r>
      <w:r>
        <w:rPr>
          <w:i/>
          <w:spacing w:val="-1"/>
        </w:rPr>
        <w:t> </w:t>
      </w:r>
      <w:r>
        <w:rPr/>
        <w:t>90(2): 165-179.</w:t>
      </w:r>
    </w:p>
    <w:p>
      <w:pPr>
        <w:pStyle w:val="BodyText"/>
        <w:spacing w:before="202"/>
        <w:ind w:left="1105" w:right="955" w:hanging="720"/>
        <w:jc w:val="both"/>
      </w:pPr>
      <w:r>
        <w:rPr/>
        <w:t>Phillips, L. K., Rayner, C.</w:t>
      </w:r>
      <w:r>
        <w:rPr>
          <w:spacing w:val="1"/>
        </w:rPr>
        <w:t> </w:t>
      </w:r>
      <w:r>
        <w:rPr/>
        <w:t>K., Jones, K. L., and Horowitz, M. (2006). An update on</w:t>
      </w:r>
      <w:r>
        <w:rPr>
          <w:spacing w:val="1"/>
        </w:rPr>
        <w:t> </w:t>
      </w:r>
      <w:r>
        <w:rPr/>
        <w:t>autonomic</w:t>
      </w:r>
      <w:r>
        <w:rPr>
          <w:spacing w:val="1"/>
        </w:rPr>
        <w:t> </w:t>
      </w:r>
      <w:r>
        <w:rPr/>
        <w:t>neuropathy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gastrointestinal</w:t>
      </w:r>
      <w:r>
        <w:rPr>
          <w:spacing w:val="61"/>
        </w:rPr>
        <w:t> </w:t>
      </w:r>
      <w:r>
        <w:rPr/>
        <w:t>tract. </w:t>
      </w:r>
      <w:r>
        <w:rPr>
          <w:i/>
        </w:rPr>
        <w:t>Current</w:t>
      </w:r>
      <w:r>
        <w:rPr>
          <w:i/>
          <w:spacing w:val="61"/>
        </w:rPr>
        <w:t> </w:t>
      </w:r>
      <w:r>
        <w:rPr>
          <w:i/>
        </w:rPr>
        <w:t>Diabetes</w:t>
      </w:r>
      <w:r>
        <w:rPr>
          <w:i/>
          <w:spacing w:val="1"/>
        </w:rPr>
        <w:t> </w:t>
      </w:r>
      <w:r>
        <w:rPr>
          <w:i/>
        </w:rPr>
        <w:t>Reports</w:t>
      </w:r>
      <w:r>
        <w:rPr/>
        <w:t>,</w:t>
      </w:r>
      <w:r>
        <w:rPr>
          <w:spacing w:val="-1"/>
        </w:rPr>
        <w:t> </w:t>
      </w:r>
      <w:r>
        <w:rPr/>
        <w:t>6(6): 417-423.</w:t>
      </w:r>
    </w:p>
    <w:p>
      <w:pPr>
        <w:spacing w:line="242" w:lineRule="auto" w:before="199"/>
        <w:ind w:left="1105" w:right="956" w:hanging="720"/>
        <w:jc w:val="both"/>
        <w:rPr>
          <w:sz w:val="24"/>
        </w:rPr>
      </w:pPr>
      <w:r>
        <w:rPr>
          <w:sz w:val="24"/>
        </w:rPr>
        <w:t>Philip,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Ahmed,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Pitchumoni,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Spectrum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Drug-induced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-1"/>
          <w:sz w:val="24"/>
        </w:rPr>
        <w:t> </w:t>
      </w:r>
      <w:r>
        <w:rPr>
          <w:sz w:val="24"/>
        </w:rPr>
        <w:t>Diarrhea.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gastroenterology</w:t>
      </w:r>
      <w:r>
        <w:rPr>
          <w:sz w:val="24"/>
        </w:rPr>
        <w:t>, 51(2):</w:t>
      </w:r>
      <w:r>
        <w:rPr>
          <w:spacing w:val="-1"/>
          <w:sz w:val="24"/>
        </w:rPr>
        <w:t> </w:t>
      </w:r>
      <w:r>
        <w:rPr>
          <w:sz w:val="24"/>
        </w:rPr>
        <w:t>111-117.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before="70"/>
        <w:ind w:left="1105" w:right="953" w:hanging="720"/>
        <w:jc w:val="both"/>
      </w:pPr>
      <w:r>
        <w:rPr/>
        <w:t>Polman, K., Becker, S. L., Alirol, E., Bhatta, N. K., Bhattarai, N. R., Bottieau, E., ... and</w:t>
      </w:r>
      <w:r>
        <w:rPr>
          <w:spacing w:val="1"/>
        </w:rPr>
        <w:t> </w:t>
      </w:r>
      <w:r>
        <w:rPr/>
        <w:t>Horié, N. S. (2015). Diagnosis of neglected tropical diseases among patients with</w:t>
      </w:r>
      <w:r>
        <w:rPr>
          <w:spacing w:val="1"/>
        </w:rPr>
        <w:t> </w:t>
      </w:r>
      <w:r>
        <w:rPr/>
        <w:t>persistent digestive disorders (diarrhoea and/or abdominal pain≥ 14 days): a multi-</w:t>
      </w:r>
      <w:r>
        <w:rPr>
          <w:spacing w:val="1"/>
        </w:rPr>
        <w:t> </w:t>
      </w:r>
      <w:r>
        <w:rPr/>
        <w:t>country, prospective, non-experimental case–control study. </w:t>
      </w:r>
      <w:r>
        <w:rPr>
          <w:i/>
        </w:rPr>
        <w:t>BioMed Central 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Infectious</w:t>
      </w:r>
      <w:r>
        <w:rPr>
          <w:i/>
          <w:spacing w:val="1"/>
        </w:rPr>
        <w:t> </w:t>
      </w:r>
      <w:r>
        <w:rPr>
          <w:i/>
        </w:rPr>
        <w:t>Diseases</w:t>
      </w:r>
      <w:r>
        <w:rPr/>
        <w:t>, 15(1): 338.</w:t>
      </w:r>
    </w:p>
    <w:p>
      <w:pPr>
        <w:spacing w:line="240" w:lineRule="auto" w:before="200"/>
        <w:ind w:left="1105" w:right="954" w:hanging="720"/>
        <w:jc w:val="both"/>
        <w:rPr>
          <w:sz w:val="24"/>
        </w:rPr>
      </w:pPr>
      <w:r>
        <w:rPr>
          <w:sz w:val="24"/>
        </w:rPr>
        <w:t>Prasanth,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Suba,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Ramireddy,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Srinivasa,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subchronic oral toxicity assessment of the ethanolic extract of the root of </w:t>
      </w:r>
      <w:r>
        <w:rPr>
          <w:i/>
          <w:sz w:val="24"/>
        </w:rPr>
        <w:t>Oncoba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spinosa</w:t>
      </w:r>
      <w:r>
        <w:rPr>
          <w:i/>
          <w:spacing w:val="1"/>
          <w:sz w:val="24"/>
        </w:rPr>
        <w:t> </w:t>
      </w:r>
      <w:r>
        <w:rPr>
          <w:sz w:val="24"/>
        </w:rPr>
        <w:t>(Flacourtiaceae)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rodents. </w:t>
      </w:r>
      <w:r>
        <w:rPr>
          <w:i/>
          <w:sz w:val="24"/>
        </w:rPr>
        <w:t>Tropical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14(10): 1849-1855.</w:t>
      </w:r>
    </w:p>
    <w:p>
      <w:pPr>
        <w:pStyle w:val="BodyText"/>
        <w:spacing w:before="199"/>
        <w:ind w:left="1105" w:right="954" w:hanging="720"/>
        <w:jc w:val="both"/>
      </w:pPr>
      <w:r>
        <w:rPr/>
        <w:t>Puri,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K., Hakkarainen-Smith, J. S.,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Monro,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A. (2015). The potential</w:t>
      </w:r>
      <w:r>
        <w:rPr>
          <w:spacing w:val="1"/>
        </w:rPr>
        <w:t> </w:t>
      </w:r>
      <w:r>
        <w:rPr/>
        <w:t>use of</w:t>
      </w:r>
      <w:r>
        <w:rPr>
          <w:spacing w:val="1"/>
        </w:rPr>
        <w:t> </w:t>
      </w:r>
      <w:r>
        <w:rPr/>
        <w:t>cholestyramine to</w:t>
      </w:r>
      <w:r>
        <w:rPr>
          <w:spacing w:val="1"/>
        </w:rPr>
        <w:t> </w:t>
      </w:r>
      <w:r>
        <w:rPr/>
        <w:t>reduce the risk</w:t>
      </w:r>
      <w:r>
        <w:rPr>
          <w:spacing w:val="1"/>
        </w:rPr>
        <w:t> </w:t>
      </w:r>
      <w:r>
        <w:rPr/>
        <w:t>of developing Clostridium</w:t>
      </w:r>
      <w:r>
        <w:rPr>
          <w:spacing w:val="1"/>
        </w:rPr>
        <w:t> </w:t>
      </w:r>
      <w:r>
        <w:rPr/>
        <w:t>difficile-associated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ceftriaxone.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hypotheses</w:t>
      </w:r>
      <w:r>
        <w:rPr/>
        <w:t>,</w:t>
      </w:r>
      <w:r>
        <w:rPr>
          <w:spacing w:val="-1"/>
        </w:rPr>
        <w:t> </w:t>
      </w:r>
      <w:r>
        <w:rPr/>
        <w:t>84(1): 78-80.</w:t>
      </w:r>
    </w:p>
    <w:p>
      <w:pPr>
        <w:pStyle w:val="BodyText"/>
        <w:spacing w:before="202"/>
        <w:ind w:left="1105" w:right="958" w:hanging="720"/>
        <w:jc w:val="both"/>
      </w:pPr>
      <w:r>
        <w:rPr/>
        <w:t>Rackoff, L. A., Bok, K., Green, K. Y., and Kapikian, A. Z. (2013). Epidemiology and</w:t>
      </w:r>
      <w:r>
        <w:rPr>
          <w:spacing w:val="1"/>
        </w:rPr>
        <w:t> </w:t>
      </w:r>
      <w:r>
        <w:rPr/>
        <w:t>evolution of rotaviruses and noroviruses from an archival WHO Global Study in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(1976–79)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implications for</w:t>
      </w:r>
      <w:r>
        <w:rPr>
          <w:spacing w:val="-3"/>
        </w:rPr>
        <w:t> </w:t>
      </w:r>
      <w:r>
        <w:rPr/>
        <w:t>vaccine design. </w:t>
      </w:r>
      <w:r>
        <w:rPr>
          <w:i/>
        </w:rPr>
        <w:t>Plos one</w:t>
      </w:r>
      <w:r>
        <w:rPr/>
        <w:t>,</w:t>
      </w:r>
      <w:r>
        <w:rPr>
          <w:spacing w:val="-1"/>
        </w:rPr>
        <w:t> </w:t>
      </w:r>
      <w:r>
        <w:rPr/>
        <w:t>8(3):</w:t>
      </w:r>
      <w:r>
        <w:rPr>
          <w:spacing w:val="-1"/>
        </w:rPr>
        <w:t> </w:t>
      </w:r>
      <w:r>
        <w:rPr/>
        <w:t>e59394.</w:t>
      </w:r>
    </w:p>
    <w:p>
      <w:pPr>
        <w:spacing w:line="240" w:lineRule="auto" w:before="200"/>
        <w:ind w:left="1105" w:right="953" w:hanging="720"/>
        <w:jc w:val="both"/>
        <w:rPr>
          <w:sz w:val="24"/>
        </w:rPr>
      </w:pPr>
      <w:r>
        <w:rPr>
          <w:sz w:val="24"/>
        </w:rPr>
        <w:t>Rahman, M. K., Barua, S., Islam, M. F., Islam, M. R., Sayeed, M. A., Parvin, M. S., and</w:t>
      </w:r>
      <w:r>
        <w:rPr>
          <w:spacing w:val="1"/>
          <w:sz w:val="24"/>
        </w:rPr>
        <w:t> </w:t>
      </w:r>
      <w:r>
        <w:rPr>
          <w:sz w:val="24"/>
        </w:rPr>
        <w:t>Islam,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(2013). 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 anti–diarrheal</w:t>
      </w:r>
      <w:r>
        <w:rPr>
          <w:spacing w:val="1"/>
          <w:sz w:val="24"/>
        </w:rPr>
        <w:t> </w:t>
      </w:r>
      <w:r>
        <w:rPr>
          <w:sz w:val="24"/>
        </w:rPr>
        <w:t>properties of leaf 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Desmodium puchellum</w:t>
      </w:r>
      <w:r>
        <w:rPr>
          <w:sz w:val="24"/>
        </w:rPr>
        <w:t>. </w:t>
      </w:r>
      <w:r>
        <w:rPr>
          <w:i/>
          <w:sz w:val="24"/>
        </w:rPr>
        <w:t>Asian Pacific journal of tropical biomedicine</w:t>
      </w:r>
      <w:r>
        <w:rPr>
          <w:sz w:val="24"/>
        </w:rPr>
        <w:t>, 3(8): 639-</w:t>
      </w:r>
      <w:r>
        <w:rPr>
          <w:spacing w:val="1"/>
          <w:sz w:val="24"/>
        </w:rPr>
        <w:t> </w:t>
      </w:r>
      <w:r>
        <w:rPr>
          <w:sz w:val="24"/>
        </w:rPr>
        <w:t>643.</w:t>
      </w:r>
    </w:p>
    <w:p>
      <w:pPr>
        <w:spacing w:line="242" w:lineRule="auto" w:before="199"/>
        <w:ind w:left="1105" w:right="962" w:hanging="720"/>
        <w:jc w:val="both"/>
        <w:rPr>
          <w:sz w:val="24"/>
        </w:rPr>
      </w:pPr>
      <w:r>
        <w:rPr>
          <w:color w:val="212121"/>
          <w:sz w:val="24"/>
        </w:rPr>
        <w:t>Ray, C. S., Singh, B., Jena, I., Behera, S., &amp; Ray, S. (2017). Low alkaline phosphatase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(ALP)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adult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population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indicator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zinc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(Zn)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magnesium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(Mg)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deficiency.</w:t>
      </w:r>
      <w:r>
        <w:rPr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Current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Research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in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Nutrition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Food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 Journal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5</w:t>
      </w:r>
      <w:r>
        <w:rPr>
          <w:color w:val="212121"/>
          <w:sz w:val="24"/>
        </w:rPr>
        <w:t>(3),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347-352.</w:t>
      </w:r>
    </w:p>
    <w:p>
      <w:pPr>
        <w:spacing w:line="240" w:lineRule="auto" w:before="194"/>
        <w:ind w:left="1105" w:right="956" w:hanging="720"/>
        <w:jc w:val="both"/>
        <w:rPr>
          <w:sz w:val="24"/>
        </w:rPr>
      </w:pPr>
      <w:r>
        <w:rPr>
          <w:sz w:val="24"/>
        </w:rPr>
        <w:t>Reena, G., Sanjiv, D., and Bhupinder, K. (2012). Sub-chronic toxicity study of 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Clerodendrum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phlomidis</w:t>
      </w:r>
      <w:r>
        <w:rPr>
          <w:i/>
          <w:spacing w:val="1"/>
          <w:sz w:val="24"/>
        </w:rPr>
        <w:t> </w:t>
      </w:r>
      <w:r>
        <w:rPr>
          <w:sz w:val="24"/>
        </w:rPr>
        <w:t>leaves.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Research</w:t>
      </w:r>
      <w:r>
        <w:rPr>
          <w:sz w:val="24"/>
        </w:rPr>
        <w:t>, 4(3): 197-207.</w:t>
      </w:r>
    </w:p>
    <w:p>
      <w:pPr>
        <w:spacing w:line="242" w:lineRule="auto" w:before="199"/>
        <w:ind w:left="1105" w:right="954" w:hanging="720"/>
        <w:jc w:val="both"/>
        <w:rPr>
          <w:sz w:val="24"/>
        </w:rPr>
      </w:pPr>
      <w:r>
        <w:rPr>
          <w:sz w:val="24"/>
        </w:rPr>
        <w:t>Revelas, A. (2012). Acute gastroenteritis among children in the developing world. </w:t>
      </w:r>
      <w:r>
        <w:rPr>
          <w:i/>
          <w:sz w:val="24"/>
        </w:rPr>
        <w:t>Southern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Epidemiology and Infection</w:t>
      </w:r>
      <w:r>
        <w:rPr>
          <w:sz w:val="24"/>
        </w:rPr>
        <w:t>, 27(4):</w:t>
      </w:r>
      <w:r>
        <w:rPr>
          <w:spacing w:val="-1"/>
          <w:sz w:val="24"/>
        </w:rPr>
        <w:t> </w:t>
      </w:r>
      <w:r>
        <w:rPr>
          <w:sz w:val="24"/>
        </w:rPr>
        <w:t>156-162.</w:t>
      </w:r>
    </w:p>
    <w:p>
      <w:pPr>
        <w:pStyle w:val="BodyText"/>
        <w:spacing w:before="194"/>
        <w:ind w:left="1105" w:right="954" w:hanging="720"/>
        <w:jc w:val="both"/>
      </w:pPr>
      <w:r>
        <w:rPr/>
        <w:t>Riddle, M. S., DuPont, H. L., and Connor, B. A. (2016). ACG clinical guideline: diagnosis,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diarrheal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adults.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Gastroenterology</w:t>
      </w:r>
      <w:r>
        <w:rPr/>
        <w:t>, 111(5): 602-613.</w:t>
      </w:r>
    </w:p>
    <w:p>
      <w:pPr>
        <w:pStyle w:val="BodyText"/>
        <w:spacing w:before="202"/>
        <w:ind w:left="1105" w:right="959" w:hanging="720"/>
        <w:jc w:val="both"/>
      </w:pPr>
      <w:r>
        <w:rPr/>
        <w:t>Robert,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Nezamis,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Lancaster,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Hanchar,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Klepper,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(1976).Enteropooling</w:t>
      </w:r>
      <w:r>
        <w:rPr>
          <w:spacing w:val="1"/>
        </w:rPr>
        <w:t> </w:t>
      </w:r>
      <w:r>
        <w:rPr/>
        <w:t>assay: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prostaglandins.</w:t>
      </w:r>
      <w:r>
        <w:rPr>
          <w:spacing w:val="1"/>
        </w:rPr>
        <w:t> </w:t>
      </w:r>
      <w:r>
        <w:rPr>
          <w:i/>
        </w:rPr>
        <w:t>Prostaglandins</w:t>
      </w:r>
      <w:r>
        <w:rPr/>
        <w:t>,</w:t>
      </w:r>
      <w:r>
        <w:rPr>
          <w:spacing w:val="-1"/>
        </w:rPr>
        <w:t> </w:t>
      </w:r>
      <w:r>
        <w:rPr/>
        <w:t>11(5): 809-828.</w:t>
      </w:r>
    </w:p>
    <w:p>
      <w:pPr>
        <w:spacing w:line="240" w:lineRule="auto" w:before="199"/>
        <w:ind w:left="1105" w:right="956" w:hanging="720"/>
        <w:jc w:val="both"/>
        <w:rPr>
          <w:sz w:val="24"/>
        </w:rPr>
      </w:pPr>
      <w:r>
        <w:rPr>
          <w:sz w:val="24"/>
        </w:rPr>
        <w:t>Rohde, C. L., Bartolini, V., and Jones, N. (2009). The Use of Probiotics in the Prevention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Antibiotic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Diarrhea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Clostridium difficile </w:t>
      </w:r>
      <w:r>
        <w:rPr>
          <w:sz w:val="24"/>
        </w:rPr>
        <w:t>Associated Diarrhea. </w:t>
      </w:r>
      <w:r>
        <w:rPr>
          <w:i/>
          <w:sz w:val="24"/>
        </w:rPr>
        <w:t>Nutrition in Clinical Practice</w:t>
      </w:r>
      <w:r>
        <w:rPr>
          <w:sz w:val="24"/>
        </w:rPr>
        <w:t>, 24(1): 33-</w:t>
      </w:r>
      <w:r>
        <w:rPr>
          <w:spacing w:val="1"/>
          <w:sz w:val="24"/>
        </w:rPr>
        <w:t> </w:t>
      </w:r>
      <w:r>
        <w:rPr>
          <w:sz w:val="24"/>
        </w:rPr>
        <w:t>40.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294" w:top="1340" w:bottom="480" w:left="1600" w:right="460"/>
        </w:sectPr>
      </w:pPr>
    </w:p>
    <w:p>
      <w:pPr>
        <w:spacing w:line="242" w:lineRule="auto" w:before="70"/>
        <w:ind w:left="1105" w:right="953" w:hanging="720"/>
        <w:jc w:val="both"/>
        <w:rPr>
          <w:sz w:val="24"/>
        </w:rPr>
      </w:pPr>
      <w:r>
        <w:rPr>
          <w:sz w:val="24"/>
        </w:rPr>
        <w:t>Rogers,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Coombes,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sz w:val="24"/>
        </w:rPr>
        <w:t>Acidic</w:t>
      </w:r>
      <w:r>
        <w:rPr>
          <w:spacing w:val="1"/>
          <w:sz w:val="24"/>
        </w:rPr>
        <w:t> </w:t>
      </w:r>
      <w:r>
        <w:rPr>
          <w:sz w:val="24"/>
        </w:rPr>
        <w:t>triterpene</w:t>
      </w:r>
      <w:r>
        <w:rPr>
          <w:spacing w:val="1"/>
          <w:sz w:val="24"/>
        </w:rPr>
        <w:t> </w:t>
      </w:r>
      <w:r>
        <w:rPr>
          <w:sz w:val="24"/>
        </w:rPr>
        <w:t>glycosides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trichome</w:t>
      </w:r>
      <w:r>
        <w:rPr>
          <w:spacing w:val="1"/>
          <w:sz w:val="24"/>
        </w:rPr>
        <w:t> </w:t>
      </w:r>
      <w:r>
        <w:rPr>
          <w:sz w:val="24"/>
        </w:rPr>
        <w:t>secretions  </w:t>
      </w:r>
      <w:r>
        <w:rPr>
          <w:spacing w:val="1"/>
          <w:sz w:val="24"/>
        </w:rPr>
        <w:t> </w:t>
      </w:r>
      <w:r>
        <w:rPr>
          <w:sz w:val="24"/>
        </w:rPr>
        <w:t>differentiate  </w:t>
      </w:r>
      <w:r>
        <w:rPr>
          <w:spacing w:val="1"/>
          <w:sz w:val="24"/>
        </w:rPr>
        <w:t> </w:t>
      </w:r>
      <w:r>
        <w:rPr>
          <w:sz w:val="24"/>
        </w:rPr>
        <w:t>subspecies  </w:t>
      </w:r>
      <w:r>
        <w:rPr>
          <w:spacing w:val="1"/>
          <w:sz w:val="24"/>
        </w:rPr>
        <w:t> </w:t>
      </w:r>
      <w:r>
        <w:rPr>
          <w:sz w:val="24"/>
        </w:rPr>
        <w:t>of  </w:t>
      </w:r>
      <w:r>
        <w:rPr>
          <w:spacing w:val="1"/>
          <w:sz w:val="24"/>
        </w:rPr>
        <w:t> </w:t>
      </w:r>
      <w:r>
        <w:rPr>
          <w:i/>
          <w:sz w:val="24"/>
        </w:rPr>
        <w:t>Combretum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collinum    </w:t>
      </w:r>
      <w:r>
        <w:rPr>
          <w:sz w:val="24"/>
        </w:rPr>
        <w:t>in    South</w:t>
      </w:r>
      <w:r>
        <w:rPr>
          <w:spacing w:val="1"/>
          <w:sz w:val="24"/>
        </w:rPr>
        <w:t> </w:t>
      </w:r>
      <w:r>
        <w:rPr>
          <w:sz w:val="24"/>
        </w:rPr>
        <w:t>Africa.</w:t>
      </w:r>
      <w:r>
        <w:rPr>
          <w:spacing w:val="-1"/>
          <w:sz w:val="24"/>
        </w:rPr>
        <w:t> </w:t>
      </w:r>
      <w:r>
        <w:rPr>
          <w:i/>
          <w:sz w:val="24"/>
        </w:rPr>
        <w:t>Biochemical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Systematics and Ecology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3(27): 321-323.</w:t>
      </w:r>
    </w:p>
    <w:p>
      <w:pPr>
        <w:pStyle w:val="BodyText"/>
        <w:spacing w:before="191"/>
        <w:ind w:left="1105" w:right="954" w:hanging="720"/>
        <w:jc w:val="both"/>
      </w:pPr>
      <w:r>
        <w:rPr/>
        <w:t>Roy,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Buis,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Weersma,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Khatun,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Chowdhury,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Begum,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Khanam, M. (2011). Risk factors of mortality in severely-malnourished children</w:t>
      </w:r>
      <w:r>
        <w:rPr>
          <w:spacing w:val="1"/>
        </w:rPr>
        <w:t> </w:t>
      </w:r>
      <w:r>
        <w:rPr/>
        <w:t>hospitalized</w:t>
      </w:r>
      <w:r>
        <w:rPr>
          <w:spacing w:val="5"/>
        </w:rPr>
        <w:t> </w:t>
      </w:r>
      <w:r>
        <w:rPr/>
        <w:t>with</w:t>
      </w:r>
      <w:r>
        <w:rPr>
          <w:spacing w:val="7"/>
        </w:rPr>
        <w:t> </w:t>
      </w:r>
      <w:r>
        <w:rPr/>
        <w:t>diarrhoea.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health,</w:t>
      </w:r>
      <w:r>
        <w:rPr>
          <w:i/>
          <w:spacing w:val="5"/>
        </w:rPr>
        <w:t> </w:t>
      </w:r>
      <w:r>
        <w:rPr>
          <w:i/>
        </w:rPr>
        <w:t>population,</w:t>
      </w:r>
      <w:r>
        <w:rPr>
          <w:i/>
          <w:spacing w:val="7"/>
        </w:rPr>
        <w:t> </w:t>
      </w:r>
      <w:r>
        <w:rPr>
          <w:i/>
        </w:rPr>
        <w:t>and</w:t>
      </w:r>
      <w:r>
        <w:rPr>
          <w:i/>
          <w:spacing w:val="6"/>
        </w:rPr>
        <w:t> </w:t>
      </w:r>
      <w:r>
        <w:rPr>
          <w:i/>
        </w:rPr>
        <w:t>nutrition</w:t>
      </w:r>
      <w:r>
        <w:rPr/>
        <w:t>, 29(3):</w:t>
      </w:r>
      <w:r>
        <w:rPr>
          <w:spacing w:val="7"/>
        </w:rPr>
        <w:t> </w:t>
      </w:r>
      <w:r>
        <w:rPr/>
        <w:t>229</w:t>
      </w:r>
    </w:p>
    <w:p>
      <w:pPr>
        <w:pStyle w:val="BodyText"/>
        <w:spacing w:before="3"/>
        <w:ind w:left="1105"/>
      </w:pPr>
      <w:r>
        <w:rPr/>
        <w:t>–235.</w:t>
      </w:r>
    </w:p>
    <w:p>
      <w:pPr>
        <w:pStyle w:val="BodyText"/>
        <w:spacing w:before="2"/>
      </w:pPr>
    </w:p>
    <w:p>
      <w:pPr>
        <w:spacing w:before="0"/>
        <w:ind w:left="1105" w:right="1107" w:hanging="720"/>
        <w:jc w:val="left"/>
        <w:rPr>
          <w:sz w:val="24"/>
        </w:rPr>
      </w:pPr>
      <w:r>
        <w:rPr>
          <w:color w:val="212121"/>
          <w:sz w:val="24"/>
        </w:rPr>
        <w:t>Saganuwan,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(2010). 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photo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album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 some medicinal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plants 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Nigerian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middle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belt.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Journal of herbs, spices</w:t>
      </w:r>
      <w:r>
        <w:rPr>
          <w:i/>
          <w:color w:val="212121"/>
          <w:spacing w:val="4"/>
          <w:sz w:val="24"/>
        </w:rPr>
        <w:t> </w:t>
      </w:r>
      <w:r>
        <w:rPr>
          <w:i/>
          <w:color w:val="212121"/>
          <w:sz w:val="24"/>
        </w:rPr>
        <w:t>&amp;</w:t>
      </w:r>
      <w:r>
        <w:rPr>
          <w:i/>
          <w:color w:val="212121"/>
          <w:spacing w:val="-7"/>
          <w:sz w:val="24"/>
        </w:rPr>
        <w:t> </w:t>
      </w:r>
      <w:r>
        <w:rPr>
          <w:i/>
          <w:color w:val="212121"/>
          <w:sz w:val="24"/>
        </w:rPr>
        <w:t>medicinal plants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16</w:t>
      </w:r>
      <w:r>
        <w:rPr>
          <w:color w:val="212121"/>
          <w:sz w:val="24"/>
        </w:rPr>
        <w:t>(3-4), 219-2</w:t>
      </w:r>
    </w:p>
    <w:p>
      <w:pPr>
        <w:pStyle w:val="BodyText"/>
        <w:spacing w:before="3"/>
      </w:pPr>
    </w:p>
    <w:p>
      <w:pPr>
        <w:spacing w:line="242" w:lineRule="auto" w:before="0"/>
        <w:ind w:left="1105" w:right="953" w:hanging="720"/>
        <w:jc w:val="both"/>
        <w:rPr>
          <w:i/>
          <w:sz w:val="24"/>
        </w:rPr>
      </w:pPr>
      <w:r>
        <w:rPr>
          <w:sz w:val="24"/>
        </w:rPr>
        <w:t>Saheed, S., and Tom, A. A. O. (2016). Research Article Antimicrobial and Antidiarrheal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Pelargonium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luridum</w:t>
      </w:r>
      <w:r>
        <w:rPr>
          <w:i/>
          <w:spacing w:val="1"/>
          <w:sz w:val="24"/>
        </w:rPr>
        <w:t> </w:t>
      </w:r>
      <w:r>
        <w:rPr>
          <w:sz w:val="24"/>
        </w:rPr>
        <w:t>(Andrews)</w:t>
      </w:r>
      <w:r>
        <w:rPr>
          <w:spacing w:val="1"/>
          <w:sz w:val="24"/>
        </w:rPr>
        <w:t> </w:t>
      </w:r>
      <w:r>
        <w:rPr>
          <w:sz w:val="24"/>
        </w:rPr>
        <w:t>Sweet</w:t>
      </w:r>
      <w:r>
        <w:rPr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Extracts.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Pharmacology,</w:t>
      </w:r>
      <w:r>
        <w:rPr>
          <w:i/>
          <w:spacing w:val="-1"/>
          <w:sz w:val="24"/>
        </w:rPr>
        <w:t> </w:t>
      </w:r>
      <w:r>
        <w:rPr>
          <w:sz w:val="24"/>
        </w:rPr>
        <w:t>7</w:t>
      </w:r>
      <w:r>
        <w:rPr>
          <w:i/>
          <w:sz w:val="24"/>
        </w:rPr>
        <w:t>, 202-210.</w:t>
      </w:r>
    </w:p>
    <w:p>
      <w:pPr>
        <w:pStyle w:val="BodyText"/>
        <w:spacing w:before="194"/>
        <w:ind w:left="1105" w:right="952" w:hanging="720"/>
        <w:jc w:val="both"/>
      </w:pPr>
      <w:r>
        <w:rPr/>
        <w:t>Sahoo,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Sagar,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Kumar,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Bhaiji,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Bhattamishra,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Antidiarrhoeal investigation of </w:t>
      </w:r>
      <w:r>
        <w:rPr>
          <w:i/>
        </w:rPr>
        <w:t>Apium leptophyllum </w:t>
      </w:r>
      <w:r>
        <w:rPr/>
        <w:t>(Pers.) by modulation of Na</w:t>
      </w:r>
      <w:r>
        <w:rPr>
          <w:vertAlign w:val="superscript"/>
        </w:rPr>
        <w:t>+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vertAlign w:val="baseline"/>
        </w:rPr>
        <w:t> ATPase, nitrous</w:t>
      </w:r>
      <w:r>
        <w:rPr>
          <w:spacing w:val="1"/>
          <w:vertAlign w:val="baseline"/>
        </w:rPr>
        <w:t> </w:t>
      </w:r>
      <w:r>
        <w:rPr>
          <w:vertAlign w:val="baseline"/>
        </w:rPr>
        <w:t>oxide and intestinal transit in rats. </w:t>
      </w:r>
      <w:r>
        <w:rPr>
          <w:i/>
          <w:vertAlign w:val="baseline"/>
        </w:rPr>
        <w:t>Biomedical journal</w:t>
      </w:r>
      <w:r>
        <w:rPr>
          <w:vertAlign w:val="baseline"/>
        </w:rPr>
        <w:t>, 39(6):</w:t>
      </w:r>
      <w:r>
        <w:rPr>
          <w:spacing w:val="1"/>
          <w:vertAlign w:val="baseline"/>
        </w:rPr>
        <w:t> </w:t>
      </w:r>
      <w:r>
        <w:rPr>
          <w:vertAlign w:val="baseline"/>
        </w:rPr>
        <w:t>376-381.</w:t>
      </w:r>
    </w:p>
    <w:p>
      <w:pPr>
        <w:pStyle w:val="BodyText"/>
        <w:spacing w:before="199"/>
        <w:ind w:left="1105" w:right="957" w:hanging="720"/>
        <w:jc w:val="both"/>
      </w:pPr>
      <w:r>
        <w:rPr/>
        <w:t>Salako, O. A., Akindele, A. J., Shitta, O. M., Elegunde, O. O., and Adeyemi, O. O. (2015).</w:t>
      </w:r>
      <w:r>
        <w:rPr>
          <w:spacing w:val="1"/>
        </w:rPr>
        <w:t> </w:t>
      </w:r>
      <w:r>
        <w:rPr/>
        <w:t>Antidiarrhoeal activity of aqueous leaf extract of</w:t>
      </w:r>
      <w:r>
        <w:rPr>
          <w:spacing w:val="60"/>
        </w:rPr>
        <w:t> </w:t>
      </w:r>
      <w:r>
        <w:rPr>
          <w:i/>
        </w:rPr>
        <w:t>Caladium bicolor </w:t>
      </w:r>
      <w:r>
        <w:rPr/>
        <w:t>(Araceae) and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of action.</w:t>
      </w:r>
      <w:r>
        <w:rPr>
          <w:spacing w:val="1"/>
        </w:rPr>
        <w:t> </w:t>
      </w:r>
      <w:r>
        <w:rPr>
          <w:i/>
        </w:rPr>
        <w:t>Journal of ethnopharmacology</w:t>
      </w:r>
      <w:r>
        <w:rPr/>
        <w:t>,</w:t>
      </w:r>
      <w:r>
        <w:rPr>
          <w:spacing w:val="-1"/>
        </w:rPr>
        <w:t> </w:t>
      </w:r>
      <w:r>
        <w:rPr/>
        <w:t>176: 225-231.</w:t>
      </w:r>
    </w:p>
    <w:p>
      <w:pPr>
        <w:spacing w:line="242" w:lineRule="auto" w:before="199"/>
        <w:ind w:left="1105" w:right="953" w:hanging="720"/>
        <w:jc w:val="both"/>
        <w:rPr>
          <w:sz w:val="24"/>
        </w:rPr>
      </w:pPr>
      <w:r>
        <w:rPr>
          <w:sz w:val="24"/>
        </w:rPr>
        <w:t>Sandhu, B. K. (2001). Rationale for early feeding in childhood gastroenteritis.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Pediatric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Gastroenterology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Nutrition</w:t>
      </w:r>
      <w:r>
        <w:rPr>
          <w:sz w:val="24"/>
        </w:rPr>
        <w:t>, 33: 13-16.</w:t>
      </w:r>
    </w:p>
    <w:p>
      <w:pPr>
        <w:pStyle w:val="BodyText"/>
        <w:spacing w:line="242" w:lineRule="auto" w:before="197"/>
        <w:ind w:left="1105" w:right="957" w:hanging="720"/>
        <w:jc w:val="both"/>
      </w:pPr>
      <w:r>
        <w:rPr/>
        <w:t>Sandle, G. I. (2011). Infective and inflammatory diarrhoea: mechanisms and opportunities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novel therapies.</w:t>
      </w:r>
      <w:r>
        <w:rPr>
          <w:spacing w:val="1"/>
        </w:rPr>
        <w:t> </w:t>
      </w:r>
      <w:r>
        <w:rPr>
          <w:i/>
        </w:rPr>
        <w:t>Current opinion</w:t>
      </w:r>
      <w:r>
        <w:rPr>
          <w:i/>
          <w:spacing w:val="-1"/>
        </w:rPr>
        <w:t> </w:t>
      </w:r>
      <w:r>
        <w:rPr>
          <w:i/>
        </w:rPr>
        <w:t>in Pharmacology</w:t>
      </w:r>
      <w:r>
        <w:rPr/>
        <w:t>, 11(6): 634-639.</w:t>
      </w:r>
    </w:p>
    <w:p>
      <w:pPr>
        <w:spacing w:line="242" w:lineRule="auto" w:before="194"/>
        <w:ind w:left="1105" w:right="953" w:hanging="720"/>
        <w:jc w:val="both"/>
        <w:rPr>
          <w:sz w:val="24"/>
        </w:rPr>
      </w:pPr>
      <w:r>
        <w:rPr>
          <w:sz w:val="24"/>
        </w:rPr>
        <w:t>Sarin,</w:t>
      </w:r>
      <w:r>
        <w:rPr>
          <w:spacing w:val="1"/>
          <w:sz w:val="24"/>
        </w:rPr>
        <w:t> </w:t>
      </w:r>
      <w:r>
        <w:rPr>
          <w:sz w:val="24"/>
        </w:rPr>
        <w:t>R.V.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Bafna,</w:t>
      </w:r>
      <w:r>
        <w:rPr>
          <w:spacing w:val="1"/>
          <w:sz w:val="24"/>
        </w:rPr>
        <w:t> </w:t>
      </w:r>
      <w:r>
        <w:rPr>
          <w:sz w:val="24"/>
        </w:rPr>
        <w:t>P.A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"/>
          <w:sz w:val="24"/>
        </w:rPr>
        <w:t> </w:t>
      </w:r>
      <w:r>
        <w:rPr>
          <w:sz w:val="24"/>
        </w:rPr>
        <w:t>Antidiarrhoeals: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2"/>
          <w:sz w:val="24"/>
        </w:rPr>
        <w:t> </w:t>
      </w:r>
      <w:r>
        <w:rPr>
          <w:sz w:val="24"/>
        </w:rPr>
        <w:t>3(2):</w:t>
      </w:r>
      <w:r>
        <w:rPr>
          <w:spacing w:val="-1"/>
          <w:sz w:val="24"/>
        </w:rPr>
        <w:t> </w:t>
      </w:r>
      <w:r>
        <w:rPr>
          <w:sz w:val="24"/>
        </w:rPr>
        <w:t>637-649.</w:t>
      </w:r>
    </w:p>
    <w:p>
      <w:pPr>
        <w:pStyle w:val="BodyText"/>
        <w:spacing w:before="193"/>
        <w:ind w:left="1105" w:right="960" w:hanging="720"/>
        <w:jc w:val="both"/>
      </w:pPr>
      <w:r>
        <w:rPr/>
        <w:t>Scallan, E., Hoekstra, R. M., Angulo, F. J., Tauxe, R. V., Widdowson, M. A., Roy, S. L., ...</w:t>
      </w:r>
      <w:r>
        <w:rPr>
          <w:spacing w:val="-57"/>
        </w:rPr>
        <w:t> </w:t>
      </w:r>
      <w:r>
        <w:rPr/>
        <w:t>and Griffin, P. M. (2011). Foodborne illness acquired in the United States major</w:t>
      </w:r>
      <w:r>
        <w:rPr>
          <w:spacing w:val="1"/>
        </w:rPr>
        <w:t> </w:t>
      </w:r>
      <w:r>
        <w:rPr/>
        <w:t>pathogens.</w:t>
      </w:r>
      <w:r>
        <w:rPr>
          <w:spacing w:val="-1"/>
        </w:rPr>
        <w:t> </w:t>
      </w:r>
      <w:r>
        <w:rPr>
          <w:i/>
        </w:rPr>
        <w:t>Emerging Infectious</w:t>
      </w:r>
      <w:r>
        <w:rPr>
          <w:i/>
          <w:spacing w:val="1"/>
        </w:rPr>
        <w:t> </w:t>
      </w:r>
      <w:r>
        <w:rPr>
          <w:i/>
        </w:rPr>
        <w:t>Diseases</w:t>
      </w:r>
      <w:r>
        <w:rPr/>
        <w:t>, 17(1):</w:t>
      </w:r>
      <w:r>
        <w:rPr>
          <w:spacing w:val="2"/>
        </w:rPr>
        <w:t> </w:t>
      </w:r>
      <w:r>
        <w:rPr/>
        <w:t>7-15.</w:t>
      </w:r>
    </w:p>
    <w:p>
      <w:pPr>
        <w:spacing w:line="242" w:lineRule="auto" w:before="202"/>
        <w:ind w:left="1105" w:right="960" w:hanging="720"/>
        <w:jc w:val="both"/>
        <w:rPr>
          <w:sz w:val="24"/>
        </w:rPr>
      </w:pPr>
      <w:r>
        <w:rPr>
          <w:sz w:val="24"/>
        </w:rPr>
        <w:t>Schiller,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61"/>
          <w:sz w:val="24"/>
        </w:rPr>
        <w:t> </w:t>
      </w:r>
      <w:r>
        <w:rPr>
          <w:sz w:val="24"/>
        </w:rPr>
        <w:t>Definitions,</w:t>
      </w:r>
      <w:r>
        <w:rPr>
          <w:spacing w:val="61"/>
          <w:sz w:val="24"/>
        </w:rPr>
        <w:t> </w:t>
      </w:r>
      <w:r>
        <w:rPr>
          <w:sz w:val="24"/>
        </w:rPr>
        <w:t>pathophysiology,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evaluation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diarrhoea.</w:t>
      </w:r>
      <w:r>
        <w:rPr>
          <w:spacing w:val="-1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Clinical Gastroenterology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26(5):</w:t>
      </w:r>
      <w:r>
        <w:rPr>
          <w:spacing w:val="-1"/>
          <w:sz w:val="24"/>
        </w:rPr>
        <w:t> </w:t>
      </w:r>
      <w:r>
        <w:rPr>
          <w:sz w:val="24"/>
        </w:rPr>
        <w:t>551-562.</w:t>
      </w:r>
    </w:p>
    <w:p>
      <w:pPr>
        <w:pStyle w:val="BodyText"/>
        <w:spacing w:before="194"/>
        <w:ind w:left="385"/>
      </w:pPr>
      <w:r>
        <w:rPr/>
        <w:t>Sharif,</w:t>
      </w:r>
      <w:r>
        <w:rPr>
          <w:spacing w:val="15"/>
        </w:rPr>
        <w:t> </w:t>
      </w:r>
      <w:r>
        <w:rPr/>
        <w:t>M.</w:t>
      </w:r>
      <w:r>
        <w:rPr>
          <w:spacing w:val="15"/>
        </w:rPr>
        <w:t> </w:t>
      </w:r>
      <w:r>
        <w:rPr/>
        <w:t>R.,</w:t>
      </w:r>
      <w:r>
        <w:rPr>
          <w:spacing w:val="16"/>
        </w:rPr>
        <w:t> </w:t>
      </w:r>
      <w:r>
        <w:rPr/>
        <w:t>Kashani,</w:t>
      </w:r>
      <w:r>
        <w:rPr>
          <w:spacing w:val="17"/>
        </w:rPr>
        <w:t> </w:t>
      </w:r>
      <w:r>
        <w:rPr/>
        <w:t>H.</w:t>
      </w:r>
      <w:r>
        <w:rPr>
          <w:spacing w:val="16"/>
        </w:rPr>
        <w:t> </w:t>
      </w:r>
      <w:r>
        <w:rPr/>
        <w:t>H.,</w:t>
      </w:r>
      <w:r>
        <w:rPr>
          <w:spacing w:val="15"/>
        </w:rPr>
        <w:t> </w:t>
      </w:r>
      <w:r>
        <w:rPr/>
        <w:t>Ardakani,</w:t>
      </w:r>
      <w:r>
        <w:rPr>
          <w:spacing w:val="19"/>
        </w:rPr>
        <w:t> </w:t>
      </w:r>
      <w:r>
        <w:rPr/>
        <w:t>A.</w:t>
      </w:r>
      <w:r>
        <w:rPr>
          <w:spacing w:val="15"/>
        </w:rPr>
        <w:t> </w:t>
      </w:r>
      <w:r>
        <w:rPr/>
        <w:t>T.,</w:t>
      </w:r>
      <w:r>
        <w:rPr>
          <w:spacing w:val="17"/>
        </w:rPr>
        <w:t> </w:t>
      </w:r>
      <w:r>
        <w:rPr/>
        <w:t>Kheirkhah,</w:t>
      </w:r>
      <w:r>
        <w:rPr>
          <w:spacing w:val="18"/>
        </w:rPr>
        <w:t> </w:t>
      </w:r>
      <w:r>
        <w:rPr/>
        <w:t>D.,</w:t>
      </w:r>
      <w:r>
        <w:rPr>
          <w:spacing w:val="15"/>
        </w:rPr>
        <w:t> </w:t>
      </w:r>
      <w:r>
        <w:rPr/>
        <w:t>Tabatabaei,</w:t>
      </w:r>
      <w:r>
        <w:rPr>
          <w:spacing w:val="17"/>
        </w:rPr>
        <w:t> </w:t>
      </w:r>
      <w:r>
        <w:rPr/>
        <w:t>F.,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Sharif,</w:t>
      </w:r>
    </w:p>
    <w:p>
      <w:pPr>
        <w:spacing w:line="242" w:lineRule="auto" w:before="0"/>
        <w:ind w:left="1105" w:right="951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18"/>
          <w:sz w:val="24"/>
        </w:rPr>
        <w:t> </w:t>
      </w:r>
      <w:r>
        <w:rPr>
          <w:sz w:val="24"/>
        </w:rPr>
        <w:t>(2016).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effect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yeast</w:t>
      </w:r>
      <w:r>
        <w:rPr>
          <w:spacing w:val="20"/>
          <w:sz w:val="24"/>
        </w:rPr>
        <w:t> </w:t>
      </w:r>
      <w:r>
        <w:rPr>
          <w:sz w:val="24"/>
        </w:rPr>
        <w:t>probiotic</w:t>
      </w:r>
      <w:r>
        <w:rPr>
          <w:spacing w:val="19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acute</w:t>
      </w:r>
      <w:r>
        <w:rPr>
          <w:spacing w:val="19"/>
          <w:sz w:val="24"/>
        </w:rPr>
        <w:t> </w:t>
      </w:r>
      <w:r>
        <w:rPr>
          <w:sz w:val="24"/>
        </w:rPr>
        <w:t>diarrhea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children.</w:t>
      </w:r>
      <w:r>
        <w:rPr>
          <w:spacing w:val="5"/>
          <w:sz w:val="24"/>
        </w:rPr>
        <w:t> </w:t>
      </w:r>
      <w:r>
        <w:rPr>
          <w:i/>
          <w:sz w:val="24"/>
        </w:rPr>
        <w:t>Probiotics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Antimicrobial proteins</w:t>
      </w:r>
      <w:r>
        <w:rPr>
          <w:sz w:val="24"/>
        </w:rPr>
        <w:t>, 8(4): 211-214.</w:t>
      </w:r>
    </w:p>
    <w:p>
      <w:pPr>
        <w:pStyle w:val="BodyText"/>
        <w:spacing w:before="194"/>
        <w:ind w:left="1105" w:right="958" w:hanging="720"/>
        <w:jc w:val="both"/>
      </w:pPr>
      <w:r>
        <w:rPr/>
        <w:t>Sharma, D. K., Gupta, V. K., Kumar, S., Joshi, V., Mandal, R. S. K., Prakash, A. B., and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antidiarrheal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Holarrhena</w:t>
      </w:r>
      <w:r>
        <w:rPr>
          <w:i/>
          <w:spacing w:val="-1"/>
        </w:rPr>
        <w:t> </w:t>
      </w:r>
      <w:r>
        <w:rPr>
          <w:i/>
        </w:rPr>
        <w:t>antidysenterica </w:t>
      </w:r>
      <w:r>
        <w:rPr/>
        <w:t>seeds</w:t>
      </w:r>
      <w:r>
        <w:rPr>
          <w:spacing w:val="-1"/>
        </w:rPr>
        <w:t> </w:t>
      </w:r>
      <w:r>
        <w:rPr/>
        <w:t>in rats. </w:t>
      </w:r>
      <w:r>
        <w:rPr>
          <w:i/>
        </w:rPr>
        <w:t>Veterinary</w:t>
      </w:r>
      <w:r>
        <w:rPr>
          <w:i/>
          <w:spacing w:val="1"/>
        </w:rPr>
        <w:t> </w:t>
      </w:r>
      <w:r>
        <w:rPr>
          <w:i/>
        </w:rPr>
        <w:t>World</w:t>
      </w:r>
      <w:r>
        <w:rPr/>
        <w:t>,</w:t>
      </w:r>
      <w:r>
        <w:rPr>
          <w:spacing w:val="-1"/>
        </w:rPr>
        <w:t> </w:t>
      </w:r>
      <w:r>
        <w:rPr/>
        <w:t>8(12): 1392-1395.</w:t>
      </w:r>
    </w:p>
    <w:p>
      <w:pPr>
        <w:pStyle w:val="BodyText"/>
        <w:spacing w:before="199"/>
        <w:ind w:left="385"/>
      </w:pPr>
      <w:r>
        <w:rPr/>
        <w:t>Shaw,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Gohil,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Basson,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(2012). Intestinal mucosal</w:t>
      </w:r>
      <w:r>
        <w:rPr>
          <w:spacing w:val="-1"/>
        </w:rPr>
        <w:t> </w:t>
      </w:r>
      <w:r>
        <w:rPr/>
        <w:t>atrophy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adaptation.</w:t>
      </w:r>
    </w:p>
    <w:p>
      <w:pPr>
        <w:spacing w:before="0"/>
        <w:ind w:left="1047" w:right="0" w:firstLine="0"/>
        <w:jc w:val="left"/>
        <w:rPr>
          <w:sz w:val="24"/>
        </w:rPr>
      </w:pPr>
      <w:r>
        <w:rPr>
          <w:i/>
          <w:sz w:val="24"/>
        </w:rPr>
        <w:t>World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Gastroenterology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18(4): 6357-6375.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before="186"/>
        <w:ind w:left="1105" w:right="952" w:hanging="720"/>
        <w:jc w:val="both"/>
      </w:pPr>
      <w:r>
        <w:rPr/>
        <w:t>Sheele, J., Cartowski, J., Dart, A., Poddar, A., Gupta, S., Stashko, E., ... and Gupta, A.</w:t>
      </w:r>
      <w:r>
        <w:rPr>
          <w:spacing w:val="1"/>
        </w:rPr>
        <w:t> </w:t>
      </w:r>
      <w:r>
        <w:rPr/>
        <w:t>(2015).</w:t>
      </w:r>
      <w:r>
        <w:rPr>
          <w:spacing w:val="57"/>
        </w:rPr>
        <w:t> </w:t>
      </w:r>
      <w:r>
        <w:rPr/>
        <w:t>Saccharomyces</w:t>
      </w:r>
      <w:r>
        <w:rPr>
          <w:spacing w:val="60"/>
        </w:rPr>
        <w:t> </w:t>
      </w:r>
      <w:r>
        <w:rPr/>
        <w:t>boulardii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bismuth</w:t>
      </w:r>
      <w:r>
        <w:rPr>
          <w:spacing w:val="58"/>
        </w:rPr>
        <w:t> </w:t>
      </w:r>
      <w:r>
        <w:rPr/>
        <w:t>subsalicylate</w:t>
      </w:r>
      <w:r>
        <w:rPr>
          <w:spacing w:val="57"/>
        </w:rPr>
        <w:t> </w:t>
      </w:r>
      <w:r>
        <w:rPr/>
        <w:t>as</w:t>
      </w:r>
      <w:r>
        <w:rPr>
          <w:spacing w:val="60"/>
        </w:rPr>
        <w:t> </w:t>
      </w:r>
      <w:r>
        <w:rPr/>
        <w:t>low-cost</w:t>
      </w:r>
      <w:r>
        <w:rPr>
          <w:spacing w:val="-58"/>
        </w:rPr>
        <w:t> </w:t>
      </w:r>
      <w:r>
        <w:rPr/>
        <w:t>interventions to reduce the duration and severity for cholera. </w:t>
      </w:r>
      <w:r>
        <w:rPr>
          <w:i/>
        </w:rPr>
        <w:t>Pathogens and Global</w:t>
      </w:r>
      <w:r>
        <w:rPr>
          <w:i/>
          <w:spacing w:val="1"/>
        </w:rPr>
        <w:t> </w:t>
      </w:r>
      <w:r>
        <w:rPr>
          <w:i/>
        </w:rPr>
        <w:t>Health</w:t>
      </w:r>
      <w:r>
        <w:rPr/>
        <w:t>,</w:t>
      </w:r>
      <w:r>
        <w:rPr>
          <w:spacing w:val="-1"/>
        </w:rPr>
        <w:t> </w:t>
      </w:r>
      <w:r>
        <w:rPr/>
        <w:t>109(6): 275-282.</w:t>
      </w:r>
    </w:p>
    <w:p>
      <w:pPr>
        <w:pStyle w:val="BodyText"/>
        <w:spacing w:line="242" w:lineRule="auto" w:before="200"/>
        <w:ind w:left="1105" w:right="962" w:hanging="720"/>
        <w:jc w:val="both"/>
      </w:pPr>
      <w:r>
        <w:rPr/>
        <w:t>Shioda,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Kambhampati,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Hall,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Lopman,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pediatric</w:t>
      </w:r>
      <w:r>
        <w:rPr>
          <w:spacing w:val="-2"/>
        </w:rPr>
        <w:t> </w:t>
      </w:r>
      <w:r>
        <w:rPr/>
        <w:t>norovirus</w:t>
      </w:r>
      <w:r>
        <w:rPr>
          <w:spacing w:val="-1"/>
        </w:rPr>
        <w:t> </w:t>
      </w:r>
      <w:r>
        <w:rPr/>
        <w:t>cases.</w:t>
      </w:r>
      <w:r>
        <w:rPr>
          <w:spacing w:val="2"/>
        </w:rPr>
        <w:t> </w:t>
      </w:r>
      <w:r>
        <w:rPr>
          <w:i/>
        </w:rPr>
        <w:t>Vaccine</w:t>
      </w:r>
      <w:r>
        <w:rPr/>
        <w:t>,</w:t>
      </w:r>
      <w:r>
        <w:rPr>
          <w:spacing w:val="2"/>
        </w:rPr>
        <w:t> </w:t>
      </w:r>
      <w:r>
        <w:rPr/>
        <w:t>33(33):</w:t>
      </w:r>
      <w:r>
        <w:rPr>
          <w:spacing w:val="-1"/>
        </w:rPr>
        <w:t> </w:t>
      </w:r>
      <w:r>
        <w:rPr/>
        <w:t>4065-4068.</w:t>
      </w:r>
    </w:p>
    <w:p>
      <w:pPr>
        <w:pStyle w:val="BodyText"/>
        <w:spacing w:before="193"/>
        <w:ind w:left="1105" w:right="956" w:hanging="720"/>
        <w:jc w:val="both"/>
      </w:pPr>
      <w:r>
        <w:rPr/>
        <w:t>Shoba, F. G., and Thomas, M. (2014). Evaluation of anti-diarrhoeal effect of four medicinal</w:t>
      </w:r>
      <w:r>
        <w:rPr>
          <w:spacing w:val="-57"/>
        </w:rPr>
        <w:t> </w:t>
      </w:r>
      <w:r>
        <w:rPr/>
        <w:t>plants on castor oil-induced gastrointestinal motility in mice. </w:t>
      </w:r>
      <w:r>
        <w:rPr>
          <w:i/>
        </w:rPr>
        <w:t>Advances in Applied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 5, 153-156.</w:t>
      </w:r>
    </w:p>
    <w:p>
      <w:pPr>
        <w:spacing w:line="242" w:lineRule="auto" w:before="202"/>
        <w:ind w:left="1105" w:right="953" w:hanging="720"/>
        <w:jc w:val="both"/>
        <w:rPr>
          <w:sz w:val="24"/>
        </w:rPr>
      </w:pPr>
      <w:r>
        <w:rPr>
          <w:sz w:val="24"/>
        </w:rPr>
        <w:t>Singh,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Kumar,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Shahnawaz,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Krishna,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Diarrhoea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malnutrition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children: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Kishanganj</w:t>
      </w:r>
      <w:r>
        <w:rPr>
          <w:spacing w:val="1"/>
          <w:sz w:val="24"/>
        </w:rPr>
        <w:t> </w:t>
      </w:r>
      <w:r>
        <w:rPr>
          <w:sz w:val="24"/>
        </w:rPr>
        <w:t>District,</w:t>
      </w:r>
      <w:r>
        <w:rPr>
          <w:spacing w:val="1"/>
          <w:sz w:val="24"/>
        </w:rPr>
        <w:t> </w:t>
      </w:r>
      <w:r>
        <w:rPr>
          <w:sz w:val="24"/>
        </w:rPr>
        <w:t>Bihar.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Dental Science</w:t>
      </w:r>
      <w:r>
        <w:rPr>
          <w:sz w:val="24"/>
        </w:rPr>
        <w:t>, 3(14): 3594-3599.</w:t>
      </w:r>
    </w:p>
    <w:p>
      <w:pPr>
        <w:pStyle w:val="BodyText"/>
        <w:spacing w:line="242" w:lineRule="auto" w:before="233"/>
        <w:ind w:left="1105" w:right="960" w:hanging="720"/>
        <w:jc w:val="both"/>
      </w:pPr>
      <w:r>
        <w:rPr/>
        <w:t>Sofowora, A., (1993). Medicinal Plants and Traditional Medicine in Africa. 2nd Edition.,</w:t>
      </w:r>
      <w:r>
        <w:rPr>
          <w:spacing w:val="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Books</w:t>
      </w:r>
      <w:r>
        <w:rPr>
          <w:spacing w:val="1"/>
        </w:rPr>
        <w:t> </w:t>
      </w:r>
      <w:r>
        <w:rPr/>
        <w:t>Ltd.,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ISBN-13:</w:t>
      </w:r>
      <w:r>
        <w:rPr>
          <w:spacing w:val="1"/>
        </w:rPr>
        <w:t> </w:t>
      </w:r>
      <w:r>
        <w:rPr/>
        <w:t>9782462195,</w:t>
      </w:r>
      <w:r>
        <w:rPr>
          <w:spacing w:val="-1"/>
        </w:rPr>
        <w:t> </w:t>
      </w:r>
      <w:r>
        <w:rPr/>
        <w:t>Pages:</w:t>
      </w:r>
      <w:r>
        <w:rPr>
          <w:spacing w:val="-1"/>
        </w:rPr>
        <w:t> </w:t>
      </w:r>
      <w:r>
        <w:rPr/>
        <w:t>289.</w:t>
      </w:r>
    </w:p>
    <w:p>
      <w:pPr>
        <w:spacing w:line="240" w:lineRule="auto" w:before="193"/>
        <w:ind w:left="1105" w:right="958" w:hanging="720"/>
        <w:jc w:val="both"/>
        <w:rPr>
          <w:sz w:val="24"/>
        </w:rPr>
      </w:pPr>
      <w:r>
        <w:rPr>
          <w:sz w:val="24"/>
        </w:rPr>
        <w:t>Steele, A. D., and Glass, R. (2011). Rotavirus in South Africa: From discovery to vaccine</w:t>
      </w:r>
      <w:r>
        <w:rPr>
          <w:spacing w:val="1"/>
          <w:sz w:val="24"/>
        </w:rPr>
        <w:t> </w:t>
      </w:r>
      <w:r>
        <w:rPr>
          <w:sz w:val="24"/>
        </w:rPr>
        <w:t>introduction. </w:t>
      </w:r>
      <w:r>
        <w:rPr>
          <w:i/>
          <w:sz w:val="24"/>
        </w:rPr>
        <w:t>Southern African Journal of Epidemiology and Infection</w:t>
      </w:r>
      <w:r>
        <w:rPr>
          <w:sz w:val="24"/>
        </w:rPr>
        <w:t>, 26(4): 184-</w:t>
      </w:r>
      <w:r>
        <w:rPr>
          <w:spacing w:val="1"/>
          <w:sz w:val="24"/>
        </w:rPr>
        <w:t> </w:t>
      </w:r>
      <w:r>
        <w:rPr>
          <w:sz w:val="24"/>
        </w:rPr>
        <w:t>190.</w:t>
      </w:r>
    </w:p>
    <w:p>
      <w:pPr>
        <w:pStyle w:val="BodyText"/>
        <w:spacing w:before="200"/>
        <w:ind w:left="1105" w:right="956" w:hanging="720"/>
        <w:jc w:val="both"/>
      </w:pPr>
      <w:r>
        <w:rPr/>
        <w:t>Stotzer,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Abrahamsson,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Bajor,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Kilander,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Sadik,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Sjovall,</w:t>
      </w:r>
      <w:r>
        <w:rPr>
          <w:spacing w:val="1"/>
        </w:rPr>
        <w:t> </w:t>
      </w:r>
      <w:r>
        <w:rPr/>
        <w:t>H.,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Simrén,</w:t>
      </w:r>
      <w:r>
        <w:rPr>
          <w:spacing w:val="19"/>
        </w:rPr>
        <w:t> </w:t>
      </w:r>
      <w:r>
        <w:rPr/>
        <w:t>M.</w:t>
      </w:r>
      <w:r>
        <w:rPr>
          <w:spacing w:val="20"/>
        </w:rPr>
        <w:t> </w:t>
      </w:r>
      <w:r>
        <w:rPr/>
        <w:t>(2015).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definitions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chronic</w:t>
      </w:r>
      <w:r>
        <w:rPr>
          <w:spacing w:val="18"/>
        </w:rPr>
        <w:t> </w:t>
      </w:r>
      <w:r>
        <w:rPr/>
        <w:t>diarrhoea</w:t>
      </w:r>
      <w:r>
        <w:rPr>
          <w:spacing w:val="19"/>
        </w:rPr>
        <w:t> </w:t>
      </w:r>
      <w:r>
        <w:rPr/>
        <w:t>adequate?</w:t>
      </w:r>
      <w:r>
        <w:rPr>
          <w:spacing w:val="21"/>
        </w:rPr>
        <w:t> </w:t>
      </w:r>
      <w:r>
        <w:rPr/>
        <w:t>Evaluation</w:t>
      </w:r>
      <w:r>
        <w:rPr>
          <w:spacing w:val="-58"/>
        </w:rPr>
        <w:t> </w:t>
      </w:r>
      <w:r>
        <w:rPr/>
        <w:t>of two different definitions in patients with chronic diarrhoea. </w:t>
      </w:r>
      <w:r>
        <w:rPr>
          <w:i/>
        </w:rPr>
        <w:t>United European</w:t>
      </w:r>
      <w:r>
        <w:rPr>
          <w:i/>
          <w:spacing w:val="1"/>
        </w:rPr>
        <w:t> </w:t>
      </w:r>
      <w:r>
        <w:rPr>
          <w:i/>
        </w:rPr>
        <w:t>Gastroenterology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3(4): 381-386.</w:t>
      </w:r>
    </w:p>
    <w:p>
      <w:pPr>
        <w:pStyle w:val="BodyText"/>
        <w:spacing w:line="242" w:lineRule="auto" w:before="202"/>
        <w:ind w:left="1105" w:right="957" w:hanging="720"/>
        <w:jc w:val="both"/>
      </w:pPr>
      <w:r>
        <w:rPr/>
        <w:t>Sweetser, S. (2012). Evaluating the patient with diarrhea: a case-based approach. In </w:t>
      </w:r>
      <w:r>
        <w:rPr>
          <w:i/>
        </w:rPr>
        <w:t>Mayo</w:t>
      </w:r>
      <w:r>
        <w:rPr>
          <w:i/>
          <w:spacing w:val="1"/>
        </w:rPr>
        <w:t> </w:t>
      </w:r>
      <w:r>
        <w:rPr>
          <w:i/>
        </w:rPr>
        <w:t>Clinic</w:t>
      </w:r>
      <w:r>
        <w:rPr>
          <w:i/>
          <w:spacing w:val="-1"/>
        </w:rPr>
        <w:t> </w:t>
      </w:r>
      <w:r>
        <w:rPr>
          <w:i/>
        </w:rPr>
        <w:t>Proceedings</w:t>
      </w:r>
      <w:r>
        <w:rPr/>
        <w:t>(Vol.</w:t>
      </w:r>
      <w:r>
        <w:rPr>
          <w:spacing w:val="2"/>
        </w:rPr>
        <w:t> </w:t>
      </w:r>
      <w:r>
        <w:rPr/>
        <w:t>87, No. 6, pp. 596-602).</w:t>
      </w:r>
      <w:r>
        <w:rPr>
          <w:spacing w:val="1"/>
        </w:rPr>
        <w:t> </w:t>
      </w:r>
      <w:r>
        <w:rPr/>
        <w:t>Elsevier.</w:t>
      </w:r>
    </w:p>
    <w:p>
      <w:pPr>
        <w:pStyle w:val="BodyText"/>
        <w:spacing w:before="193"/>
        <w:ind w:left="1105" w:right="956" w:hanging="720"/>
        <w:jc w:val="both"/>
      </w:pPr>
      <w:r>
        <w:rPr/>
        <w:t>Szilagyi, A., and Shrier, I. (2001). Systematic review: the use of somatostatin or octreotide</w:t>
      </w:r>
      <w:r>
        <w:rPr>
          <w:spacing w:val="1"/>
        </w:rPr>
        <w:t> </w:t>
      </w:r>
      <w:r>
        <w:rPr/>
        <w:t>in refractory diarrhoea. </w:t>
      </w:r>
      <w:r>
        <w:rPr>
          <w:i/>
        </w:rPr>
        <w:t>Alimentary Pharmacology and Therapeutics</w:t>
      </w:r>
      <w:r>
        <w:rPr/>
        <w:t>, 15(12): 1889-</w:t>
      </w:r>
      <w:r>
        <w:rPr>
          <w:spacing w:val="1"/>
        </w:rPr>
        <w:t> </w:t>
      </w:r>
      <w:r>
        <w:rPr/>
        <w:t>1897.</w:t>
      </w:r>
      <w:r>
        <w:rPr>
          <w:spacing w:val="-1"/>
        </w:rPr>
        <w:t> </w:t>
      </w:r>
      <w:hyperlink r:id="rId228">
        <w:r>
          <w:rPr/>
          <w:t>Doi.org/10.1046/j.1365-2036.2001.01114.x</w:t>
        </w:r>
      </w:hyperlink>
    </w:p>
    <w:p>
      <w:pPr>
        <w:spacing w:before="202"/>
        <w:ind w:left="385" w:right="0" w:firstLine="0"/>
        <w:jc w:val="left"/>
        <w:rPr>
          <w:sz w:val="24"/>
        </w:rPr>
      </w:pPr>
      <w:r>
        <w:rPr>
          <w:sz w:val="24"/>
        </w:rPr>
        <w:t>Tack,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(2012).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diarrhea. </w:t>
      </w:r>
      <w:r>
        <w:rPr>
          <w:i/>
          <w:sz w:val="24"/>
        </w:rPr>
        <w:t>Gastroenterology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41(3):</w:t>
      </w:r>
      <w:r>
        <w:rPr>
          <w:spacing w:val="-1"/>
          <w:sz w:val="24"/>
        </w:rPr>
        <w:t> </w:t>
      </w:r>
      <w:r>
        <w:rPr>
          <w:sz w:val="24"/>
        </w:rPr>
        <w:t>629-637.</w:t>
      </w:r>
    </w:p>
    <w:p>
      <w:pPr>
        <w:spacing w:line="240" w:lineRule="auto" w:before="199"/>
        <w:ind w:left="1105" w:right="953" w:hanging="720"/>
        <w:jc w:val="both"/>
        <w:rPr>
          <w:sz w:val="24"/>
        </w:rPr>
      </w:pPr>
      <w:r>
        <w:rPr>
          <w:sz w:val="24"/>
        </w:rPr>
        <w:t>Tadesse, E., Engidawork, E., Nedi, T., and Mengistu, G. (2017). Evaluation of the anti-</w:t>
      </w:r>
      <w:r>
        <w:rPr>
          <w:spacing w:val="1"/>
          <w:sz w:val="24"/>
        </w:rPr>
        <w:t> </w:t>
      </w:r>
      <w:r>
        <w:rPr>
          <w:sz w:val="24"/>
        </w:rPr>
        <w:t>diarrheal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Lantana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camara</w:t>
      </w:r>
      <w:r>
        <w:rPr>
          <w:i/>
          <w:spacing w:val="1"/>
          <w:sz w:val="24"/>
        </w:rPr>
        <w:t> </w:t>
      </w:r>
      <w:r>
        <w:rPr>
          <w:sz w:val="24"/>
        </w:rPr>
        <w:t>Linn</w:t>
      </w:r>
      <w:r>
        <w:rPr>
          <w:spacing w:val="1"/>
          <w:sz w:val="24"/>
        </w:rPr>
        <w:t> </w:t>
      </w:r>
      <w:r>
        <w:rPr>
          <w:sz w:val="24"/>
        </w:rPr>
        <w:t>(Verbenaceae)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mice. </w:t>
      </w:r>
      <w:r>
        <w:rPr>
          <w:i/>
          <w:sz w:val="24"/>
        </w:rPr>
        <w:t>BioMed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17(1): 190.</w:t>
      </w:r>
    </w:p>
    <w:p>
      <w:pPr>
        <w:spacing w:line="240" w:lineRule="auto" w:before="200"/>
        <w:ind w:left="1105" w:right="954" w:hanging="720"/>
        <w:jc w:val="both"/>
        <w:rPr>
          <w:sz w:val="24"/>
        </w:rPr>
      </w:pPr>
      <w:r>
        <w:rPr>
          <w:sz w:val="24"/>
        </w:rPr>
        <w:t>Taqvi, S. I. H., Rahman, A., Versiani, M. A., Imran, H., Khatoon, A., and Sohail, T. (2018).</w:t>
      </w:r>
      <w:r>
        <w:rPr>
          <w:spacing w:val="-57"/>
          <w:sz w:val="24"/>
        </w:rPr>
        <w:t> </w:t>
      </w:r>
      <w:r>
        <w:rPr>
          <w:sz w:val="24"/>
        </w:rPr>
        <w:t>Studies to determine antidiarrhoeal and spasmolytic activities of extract of </w:t>
      </w:r>
      <w:r>
        <w:rPr>
          <w:i/>
          <w:sz w:val="24"/>
        </w:rPr>
        <w:t>Aegle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marmelos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</w:t>
      </w:r>
      <w:r>
        <w:rPr>
          <w:spacing w:val="-3"/>
          <w:sz w:val="24"/>
        </w:rPr>
        <w:t> </w:t>
      </w:r>
      <w:r>
        <w:rPr>
          <w:sz w:val="24"/>
        </w:rPr>
        <w:t>fruit.</w:t>
      </w:r>
      <w:r>
        <w:rPr>
          <w:spacing w:val="1"/>
          <w:sz w:val="24"/>
        </w:rPr>
        <w:t> </w:t>
      </w:r>
      <w:r>
        <w:rPr>
          <w:i/>
          <w:sz w:val="24"/>
        </w:rPr>
        <w:t>Bangladesh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 Science</w:t>
      </w:r>
      <w:r>
        <w:rPr>
          <w:sz w:val="24"/>
        </w:rPr>
        <w:t>, 17(2): 205-211.</w:t>
      </w:r>
    </w:p>
    <w:p>
      <w:pPr>
        <w:pStyle w:val="BodyText"/>
        <w:spacing w:before="199"/>
        <w:ind w:left="1105" w:right="957" w:hanging="720"/>
        <w:jc w:val="both"/>
      </w:pPr>
      <w:r>
        <w:rPr/>
        <w:t>Tate, J. E., Burton, A. H., Boschi-Pinto, C., Steele, A. D., Duque, J., and Parashar, U. D.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rotavirus-associated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younger</w:t>
      </w:r>
      <w:r>
        <w:rPr>
          <w:spacing w:val="54"/>
        </w:rPr>
        <w:t> </w:t>
      </w:r>
      <w:r>
        <w:rPr/>
        <w:t>than</w:t>
      </w:r>
      <w:r>
        <w:rPr>
          <w:spacing w:val="55"/>
        </w:rPr>
        <w:t> </w:t>
      </w:r>
      <w:r>
        <w:rPr/>
        <w:t>5</w:t>
      </w:r>
      <w:r>
        <w:rPr>
          <w:spacing w:val="4"/>
        </w:rPr>
        <w:t> </w:t>
      </w:r>
      <w:r>
        <w:rPr/>
        <w:t>years</w:t>
      </w:r>
      <w:r>
        <w:rPr>
          <w:spacing w:val="54"/>
        </w:rPr>
        <w:t> </w:t>
      </w:r>
      <w:r>
        <w:rPr/>
        <w:t>before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introduction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universal</w:t>
      </w:r>
      <w:r>
        <w:rPr>
          <w:spacing w:val="55"/>
        </w:rPr>
        <w:t> </w:t>
      </w:r>
      <w:r>
        <w:rPr/>
        <w:t>rotavirus</w:t>
      </w:r>
      <w:r>
        <w:rPr>
          <w:spacing w:val="56"/>
        </w:rPr>
        <w:t> </w:t>
      </w:r>
      <w:r>
        <w:rPr/>
        <w:t>vaccination</w:t>
      </w:r>
    </w:p>
    <w:p>
      <w:pPr>
        <w:spacing w:after="0"/>
        <w:jc w:val="both"/>
        <w:sectPr>
          <w:pgSz w:w="12240" w:h="15840"/>
          <w:pgMar w:header="0" w:footer="294" w:top="1500" w:bottom="480" w:left="1600" w:right="460"/>
        </w:sectPr>
      </w:pPr>
    </w:p>
    <w:p>
      <w:pPr>
        <w:spacing w:line="242" w:lineRule="auto" w:before="70"/>
        <w:ind w:left="1105" w:right="914" w:firstLine="0"/>
        <w:jc w:val="left"/>
        <w:rPr>
          <w:sz w:val="24"/>
        </w:rPr>
      </w:pPr>
      <w:r>
        <w:rPr>
          <w:sz w:val="24"/>
        </w:rPr>
        <w:t>programmes: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systematic</w:t>
      </w:r>
      <w:r>
        <w:rPr>
          <w:spacing w:val="10"/>
          <w:sz w:val="24"/>
        </w:rPr>
        <w:t> </w:t>
      </w:r>
      <w:r>
        <w:rPr>
          <w:sz w:val="24"/>
        </w:rPr>
        <w:t>review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meta-analysis.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Lancet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Diseases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12(2): 136-141.</w:t>
      </w:r>
    </w:p>
    <w:p>
      <w:pPr>
        <w:spacing w:line="242" w:lineRule="auto" w:before="194"/>
        <w:ind w:left="1105" w:right="957" w:hanging="720"/>
        <w:jc w:val="both"/>
        <w:rPr>
          <w:sz w:val="24"/>
        </w:rPr>
      </w:pPr>
      <w:r>
        <w:rPr>
          <w:sz w:val="24"/>
        </w:rPr>
        <w:t>Thakkar, S., and Agrawal, R. (2010). A case of </w:t>
      </w:r>
      <w:r>
        <w:rPr>
          <w:i/>
          <w:sz w:val="24"/>
        </w:rPr>
        <w:t>Staphylococcus aureus </w:t>
      </w:r>
      <w:r>
        <w:rPr>
          <w:sz w:val="24"/>
        </w:rPr>
        <w:t>enterocolitis: A rare</w:t>
      </w:r>
      <w:r>
        <w:rPr>
          <w:spacing w:val="1"/>
          <w:sz w:val="24"/>
        </w:rPr>
        <w:t> </w:t>
      </w:r>
      <w:r>
        <w:rPr>
          <w:sz w:val="24"/>
        </w:rPr>
        <w:t>entity.</w:t>
      </w:r>
      <w:r>
        <w:rPr>
          <w:spacing w:val="-1"/>
          <w:sz w:val="24"/>
        </w:rPr>
        <w:t> </w:t>
      </w:r>
      <w:r>
        <w:rPr>
          <w:i/>
          <w:sz w:val="24"/>
        </w:rPr>
        <w:t>Gastroenterology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Hepatology</w:t>
      </w:r>
      <w:r>
        <w:rPr>
          <w:sz w:val="24"/>
        </w:rPr>
        <w:t>, 6(2): 115–117.</w:t>
      </w:r>
    </w:p>
    <w:p>
      <w:pPr>
        <w:pStyle w:val="BodyText"/>
        <w:spacing w:before="194"/>
        <w:ind w:left="1105" w:right="954" w:hanging="720"/>
        <w:jc w:val="both"/>
      </w:pPr>
      <w:r>
        <w:rPr/>
        <w:t>Thiagarajah, J. R., Ko, E. A., Tradtrantip, L., Donowitz, M., and Verkman, A. S. (2014).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development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antisecretory</w:t>
      </w:r>
      <w:r>
        <w:rPr>
          <w:spacing w:val="61"/>
        </w:rPr>
        <w:t> </w:t>
      </w:r>
      <w:r>
        <w:rPr/>
        <w:t>drugs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treating</w:t>
      </w:r>
      <w:r>
        <w:rPr>
          <w:spacing w:val="61"/>
        </w:rPr>
        <w:t> </w:t>
      </w:r>
      <w:r>
        <w:rPr/>
        <w:t>diarrheal</w:t>
      </w:r>
      <w:r>
        <w:rPr>
          <w:spacing w:val="1"/>
        </w:rPr>
        <w:t> </w:t>
      </w:r>
      <w:r>
        <w:rPr/>
        <w:t>diseases.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Gastroenterology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Hepatology</w:t>
      </w:r>
      <w:r>
        <w:rPr/>
        <w:t>, 12(2):204-209.</w:t>
      </w:r>
      <w:r>
        <w:rPr>
          <w:spacing w:val="1"/>
        </w:rPr>
        <w:t> </w:t>
      </w:r>
      <w:r>
        <w:rPr/>
        <w:t>Doi:</w:t>
      </w:r>
      <w:hyperlink r:id="rId229">
        <w:r>
          <w:rPr/>
          <w:t>10.1016/j.cgh.2013.12.001</w:t>
        </w:r>
      </w:hyperlink>
    </w:p>
    <w:p>
      <w:pPr>
        <w:spacing w:line="240" w:lineRule="auto" w:before="202"/>
        <w:ind w:left="1105" w:right="956" w:hanging="720"/>
        <w:jc w:val="both"/>
        <w:rPr>
          <w:sz w:val="24"/>
        </w:rPr>
      </w:pPr>
      <w:r>
        <w:rPr>
          <w:sz w:val="24"/>
        </w:rPr>
        <w:t>Thiagarajah,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Donowitz,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Verkman,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Secretory</w:t>
      </w:r>
      <w:r>
        <w:rPr>
          <w:spacing w:val="1"/>
          <w:sz w:val="24"/>
        </w:rPr>
        <w:t> </w:t>
      </w:r>
      <w:r>
        <w:rPr>
          <w:sz w:val="24"/>
        </w:rPr>
        <w:t>diarrhoea: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emerging</w:t>
      </w:r>
      <w:r>
        <w:rPr>
          <w:spacing w:val="1"/>
          <w:sz w:val="24"/>
        </w:rPr>
        <w:t> </w:t>
      </w:r>
      <w:r>
        <w:rPr>
          <w:sz w:val="24"/>
        </w:rPr>
        <w:t>therapies.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Gastroenterology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Hepatology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12(8): 446-457.</w:t>
      </w:r>
    </w:p>
    <w:p>
      <w:pPr>
        <w:pStyle w:val="BodyText"/>
        <w:spacing w:before="199"/>
        <w:ind w:left="385"/>
        <w:jc w:val="both"/>
      </w:pPr>
      <w:r>
        <w:rPr/>
        <w:t>Thiagarajah,</w:t>
      </w:r>
      <w:r>
        <w:rPr>
          <w:spacing w:val="7"/>
        </w:rPr>
        <w:t> </w:t>
      </w:r>
      <w:r>
        <w:rPr/>
        <w:t>J.</w:t>
      </w:r>
      <w:r>
        <w:rPr>
          <w:spacing w:val="8"/>
        </w:rPr>
        <w:t> </w:t>
      </w:r>
      <w:r>
        <w:rPr/>
        <w:t>R.,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Verkman,</w:t>
      </w:r>
      <w:r>
        <w:rPr>
          <w:spacing w:val="8"/>
        </w:rPr>
        <w:t> </w:t>
      </w:r>
      <w:r>
        <w:rPr/>
        <w:t>A.</w:t>
      </w:r>
      <w:r>
        <w:rPr>
          <w:spacing w:val="7"/>
        </w:rPr>
        <w:t> </w:t>
      </w:r>
      <w:r>
        <w:rPr/>
        <w:t>S.</w:t>
      </w:r>
      <w:r>
        <w:rPr>
          <w:spacing w:val="10"/>
        </w:rPr>
        <w:t> </w:t>
      </w:r>
      <w:r>
        <w:rPr/>
        <w:t>(2018).</w:t>
      </w:r>
      <w:r>
        <w:rPr>
          <w:spacing w:val="7"/>
        </w:rPr>
        <w:t> </w:t>
      </w:r>
      <w:r>
        <w:rPr/>
        <w:t>Water</w:t>
      </w:r>
      <w:r>
        <w:rPr>
          <w:spacing w:val="7"/>
        </w:rPr>
        <w:t> </w:t>
      </w:r>
      <w:r>
        <w:rPr/>
        <w:t>transport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gastrointestinal</w:t>
      </w:r>
      <w:r>
        <w:rPr>
          <w:spacing w:val="8"/>
        </w:rPr>
        <w:t> </w:t>
      </w:r>
      <w:r>
        <w:rPr/>
        <w:t>tract.</w:t>
      </w:r>
    </w:p>
    <w:p>
      <w:pPr>
        <w:spacing w:before="3"/>
        <w:ind w:left="1105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Gastrointestinal Tract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(Sixth Edition)</w:t>
      </w:r>
      <w:r>
        <w:rPr>
          <w:i/>
          <w:spacing w:val="-1"/>
          <w:sz w:val="24"/>
        </w:rPr>
        <w:t> </w:t>
      </w:r>
      <w:r>
        <w:rPr>
          <w:sz w:val="24"/>
        </w:rPr>
        <w:t>(pp. 1249-1272).</w:t>
      </w:r>
    </w:p>
    <w:p>
      <w:pPr>
        <w:pStyle w:val="BodyText"/>
        <w:spacing w:before="197"/>
        <w:ind w:left="1105" w:right="954" w:hanging="720"/>
        <w:jc w:val="both"/>
      </w:pPr>
      <w:r>
        <w:rPr/>
        <w:t>Traesel, G. K.,de Souza, J. C., de Barros, A. L., Souza, M. A., Schmitz, W. O., Muzzi, R.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Arena,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subacute</w:t>
      </w:r>
      <w:r>
        <w:rPr>
          <w:spacing w:val="1"/>
        </w:rPr>
        <w:t> </w:t>
      </w:r>
      <w:r>
        <w:rPr/>
        <w:t>(28</w:t>
      </w:r>
      <w:r>
        <w:rPr>
          <w:spacing w:val="1"/>
        </w:rPr>
        <w:t> </w:t>
      </w:r>
      <w:r>
        <w:rPr/>
        <w:t>days)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assessment of the oil extracted from </w:t>
      </w:r>
      <w:r>
        <w:rPr>
          <w:i/>
        </w:rPr>
        <w:t>Acrocomia aculeate </w:t>
      </w:r>
      <w:r>
        <w:rPr/>
        <w:t>pulp in rats. </w:t>
      </w:r>
      <w:r>
        <w:rPr>
          <w:i/>
        </w:rPr>
        <w:t>Food and</w:t>
      </w:r>
      <w:r>
        <w:rPr>
          <w:i/>
          <w:spacing w:val="1"/>
        </w:rPr>
        <w:t> </w:t>
      </w:r>
      <w:r>
        <w:rPr>
          <w:i/>
        </w:rPr>
        <w:t>Chemical</w:t>
      </w:r>
      <w:r>
        <w:rPr>
          <w:i/>
          <w:spacing w:val="-1"/>
        </w:rPr>
        <w:t> </w:t>
      </w:r>
      <w:r>
        <w:rPr>
          <w:i/>
        </w:rPr>
        <w:t>Toxicology</w:t>
      </w:r>
      <w:r>
        <w:rPr/>
        <w:t>, 74, 320-325.</w:t>
      </w:r>
    </w:p>
    <w:p>
      <w:pPr>
        <w:pStyle w:val="BodyText"/>
        <w:spacing w:before="201"/>
        <w:ind w:left="1105" w:right="956" w:hanging="720"/>
        <w:jc w:val="both"/>
      </w:pPr>
      <w:r>
        <w:rPr/>
        <w:t>Traesel, G. K., Menegati, S. E. L. T., dos Santos, A. C., Souza, R. I. C., Boas, G. R. V.,</w:t>
      </w:r>
      <w:r>
        <w:rPr>
          <w:spacing w:val="1"/>
        </w:rPr>
        <w:t> </w:t>
      </w:r>
      <w:r>
        <w:rPr/>
        <w:t>Justi, P. N., ... and Oesterreich, S. A. (2016). Oral acute and subchronic toxicity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pequi</w:t>
      </w:r>
      <w:r>
        <w:rPr>
          <w:spacing w:val="60"/>
        </w:rPr>
        <w:t> </w:t>
      </w:r>
      <w:r>
        <w:rPr/>
        <w:t>(</w:t>
      </w:r>
      <w:r>
        <w:rPr>
          <w:i/>
        </w:rPr>
        <w:t>Caryocar</w:t>
      </w:r>
      <w:r>
        <w:rPr>
          <w:i/>
          <w:spacing w:val="60"/>
        </w:rPr>
        <w:t> </w:t>
      </w:r>
      <w:r>
        <w:rPr>
          <w:i/>
        </w:rPr>
        <w:t>brasiliense</w:t>
      </w:r>
      <w:r>
        <w:rPr/>
        <w:t>,</w:t>
      </w:r>
      <w:r>
        <w:rPr>
          <w:spacing w:val="60"/>
        </w:rPr>
        <w:t> </w:t>
      </w:r>
      <w:r>
        <w:rPr/>
        <w:t>Camb.)</w:t>
      </w:r>
      <w:r>
        <w:rPr>
          <w:spacing w:val="60"/>
        </w:rPr>
        <w:t> </w:t>
      </w:r>
      <w:r>
        <w:rPr/>
        <w:t>pulp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rats.</w:t>
      </w:r>
      <w:r>
        <w:rPr>
          <w:spacing w:val="-1"/>
        </w:rPr>
        <w:t> </w:t>
      </w:r>
      <w:r>
        <w:rPr>
          <w:i/>
        </w:rPr>
        <w:t>Food and chemical toxicology</w:t>
      </w:r>
      <w:r>
        <w:rPr/>
        <w:t>, 97, 224-231.</w:t>
      </w:r>
    </w:p>
    <w:p>
      <w:pPr>
        <w:pStyle w:val="BodyText"/>
        <w:spacing w:before="200"/>
        <w:ind w:left="1105" w:right="953" w:hanging="720"/>
        <w:jc w:val="both"/>
      </w:pPr>
      <w:r>
        <w:rPr/>
        <w:t>Walker, C. L. F., Perin, J., Aryee, M. J., Boschi-Pinto, C., and andBlack, R. E. (2012).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low-and</w:t>
      </w:r>
      <w:r>
        <w:rPr>
          <w:spacing w:val="1"/>
        </w:rPr>
        <w:t> </w:t>
      </w:r>
      <w:r>
        <w:rPr/>
        <w:t>middle-income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2010: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BioMed</w:t>
      </w:r>
      <w:r>
        <w:rPr>
          <w:i/>
          <w:spacing w:val="-1"/>
        </w:rPr>
        <w:t> </w:t>
      </w:r>
      <w:r>
        <w:rPr>
          <w:i/>
        </w:rPr>
        <w:t>Central Journal</w:t>
      </w:r>
      <w:r>
        <w:rPr>
          <w:i/>
          <w:spacing w:val="-1"/>
        </w:rPr>
        <w:t> </w:t>
      </w:r>
      <w:r>
        <w:rPr>
          <w:i/>
        </w:rPr>
        <w:t>of Public Health</w:t>
      </w:r>
      <w:r>
        <w:rPr/>
        <w:t>,</w:t>
      </w:r>
      <w:r>
        <w:rPr>
          <w:spacing w:val="-1"/>
        </w:rPr>
        <w:t> </w:t>
      </w:r>
      <w:r>
        <w:rPr/>
        <w:t>12(1): 220-234.</w:t>
      </w:r>
    </w:p>
    <w:p>
      <w:pPr>
        <w:pStyle w:val="BodyText"/>
        <w:spacing w:before="199"/>
        <w:ind w:left="1105" w:right="952" w:hanging="720"/>
        <w:jc w:val="both"/>
      </w:pPr>
      <w:r>
        <w:rPr/>
        <w:t>Wang, S., Zhao, Y., Zhang, J., Huang, X., Wang, Y., Xu, X., ... and Mei, Q. (2015).</w:t>
      </w:r>
      <w:r>
        <w:rPr>
          <w:spacing w:val="1"/>
        </w:rPr>
        <w:t> </w:t>
      </w:r>
      <w:r>
        <w:rPr/>
        <w:t>Antidiarrheal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Alpinia</w:t>
      </w:r>
      <w:r>
        <w:rPr>
          <w:i/>
          <w:spacing w:val="1"/>
        </w:rPr>
        <w:t> </w:t>
      </w:r>
      <w:r>
        <w:rPr>
          <w:i/>
        </w:rPr>
        <w:t>oxyphylla</w:t>
      </w:r>
      <w:r>
        <w:rPr>
          <w:i/>
          <w:spacing w:val="60"/>
        </w:rPr>
        <w:t> </w:t>
      </w:r>
      <w:r>
        <w:rPr/>
        <w:t>Miq.(Zingiberaceae)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mice and  </w:t>
      </w:r>
      <w:r>
        <w:rPr>
          <w:spacing w:val="1"/>
        </w:rPr>
        <w:t> </w:t>
      </w:r>
      <w:r>
        <w:rPr/>
        <w:t>its  </w:t>
      </w:r>
      <w:r>
        <w:rPr>
          <w:spacing w:val="1"/>
        </w:rPr>
        <w:t> </w:t>
      </w:r>
      <w:r>
        <w:rPr/>
        <w:t>possible   </w:t>
      </w:r>
      <w:r>
        <w:rPr>
          <w:spacing w:val="1"/>
        </w:rPr>
        <w:t> </w:t>
      </w:r>
      <w:r>
        <w:rPr/>
        <w:t>mechanism   </w:t>
      </w:r>
      <w:r>
        <w:rPr>
          <w:spacing w:val="1"/>
        </w:rPr>
        <w:t> </w:t>
      </w:r>
      <w:r>
        <w:rPr/>
        <w:t>of   </w:t>
      </w:r>
      <w:r>
        <w:rPr>
          <w:spacing w:val="1"/>
        </w:rPr>
        <w:t> </w:t>
      </w:r>
      <w:r>
        <w:rPr/>
        <w:t>action. </w:t>
      </w:r>
      <w:r>
        <w:rPr>
          <w:i/>
        </w:rPr>
        <w:t>Journal   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Ethnopharmacology</w:t>
      </w:r>
      <w:r>
        <w:rPr/>
        <w:t>,</w:t>
      </w:r>
      <w:r>
        <w:rPr>
          <w:spacing w:val="-1"/>
        </w:rPr>
        <w:t> </w:t>
      </w:r>
      <w:r>
        <w:rPr/>
        <w:t>168, 182-190. </w:t>
      </w:r>
      <w:hyperlink r:id="rId230">
        <w:r>
          <w:rPr/>
          <w:t>Doi.org/10.1016/j.jep.2015.03.066</w:t>
        </w:r>
      </w:hyperlink>
      <w:r>
        <w:rPr/>
        <w:t>.</w:t>
      </w:r>
    </w:p>
    <w:p>
      <w:pPr>
        <w:pStyle w:val="BodyText"/>
        <w:spacing w:before="202"/>
        <w:ind w:left="385"/>
        <w:jc w:val="both"/>
      </w:pPr>
      <w:r>
        <w:rPr/>
        <w:t>Wang,</w:t>
      </w:r>
      <w:r>
        <w:rPr>
          <w:spacing w:val="1"/>
        </w:rPr>
        <w:t> </w:t>
      </w:r>
      <w:r>
        <w:rPr/>
        <w:t>H., Naghavi,</w:t>
      </w:r>
      <w:r>
        <w:rPr>
          <w:spacing w:val="1"/>
        </w:rPr>
        <w:t> </w:t>
      </w:r>
      <w:r>
        <w:rPr/>
        <w:t>M.,</w:t>
      </w:r>
      <w:r>
        <w:rPr>
          <w:spacing w:val="3"/>
        </w:rPr>
        <w:t> </w:t>
      </w:r>
      <w:r>
        <w:rPr/>
        <w:t>Allen, C.,</w:t>
      </w:r>
      <w:r>
        <w:rPr>
          <w:spacing w:val="1"/>
        </w:rPr>
        <w:t> </w:t>
      </w:r>
      <w:r>
        <w:rPr/>
        <w:t>Barber, R.</w:t>
      </w:r>
      <w:r>
        <w:rPr>
          <w:spacing w:val="1"/>
        </w:rPr>
        <w:t> </w:t>
      </w:r>
      <w:r>
        <w:rPr/>
        <w:t>M.,</w:t>
      </w:r>
      <w:r>
        <w:rPr>
          <w:spacing w:val="8"/>
        </w:rPr>
        <w:t> </w:t>
      </w:r>
      <w:r>
        <w:rPr/>
        <w:t>Carter, A., Casey,</w:t>
      </w:r>
      <w:r>
        <w:rPr>
          <w:spacing w:val="1"/>
        </w:rPr>
        <w:t> </w:t>
      </w:r>
      <w:r>
        <w:rPr/>
        <w:t>D. C.,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Dandona,</w:t>
      </w:r>
    </w:p>
    <w:p>
      <w:pPr>
        <w:pStyle w:val="BodyText"/>
        <w:spacing w:line="242" w:lineRule="auto"/>
        <w:ind w:left="1105" w:right="957"/>
        <w:jc w:val="both"/>
      </w:pPr>
      <w:r>
        <w:rPr/>
        <w:t>L. (2016). Global, regional, and national life expectancy, all-cause mortality, and</w:t>
      </w:r>
      <w:r>
        <w:rPr>
          <w:spacing w:val="1"/>
        </w:rPr>
        <w:t> </w:t>
      </w:r>
      <w:r>
        <w:rPr/>
        <w:t>cause-specific mortality for 249 causes of death, 1980–2015: a systematic analysis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Global</w:t>
      </w:r>
      <w:r>
        <w:rPr>
          <w:spacing w:val="1"/>
        </w:rPr>
        <w:t> </w:t>
      </w:r>
      <w:r>
        <w:rPr/>
        <w:t>Burden of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2015.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Lancet</w:t>
      </w:r>
      <w:r>
        <w:rPr/>
        <w:t>, 388(10053):</w:t>
      </w:r>
      <w:r>
        <w:rPr>
          <w:spacing w:val="-1"/>
        </w:rPr>
        <w:t> </w:t>
      </w:r>
      <w:r>
        <w:rPr/>
        <w:t>1459-1544.</w:t>
      </w:r>
    </w:p>
    <w:p>
      <w:pPr>
        <w:pStyle w:val="BodyText"/>
        <w:spacing w:before="192"/>
        <w:ind w:left="1105" w:right="953" w:hanging="720"/>
        <w:jc w:val="both"/>
      </w:pPr>
      <w:r>
        <w:rPr/>
        <w:t>Wansi, S. L., Deumeni, C. R. M., Laure, S., Kamani, P., Sama, L. F., and Tchoumba, L. M.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>
          <w:i/>
        </w:rPr>
        <w:t>Alchornea</w:t>
      </w:r>
      <w:r>
        <w:rPr>
          <w:i/>
          <w:spacing w:val="1"/>
        </w:rPr>
        <w:t> </w:t>
      </w:r>
      <w:r>
        <w:rPr>
          <w:i/>
        </w:rPr>
        <w:t>laxiflora</w:t>
      </w:r>
      <w:r>
        <w:rPr>
          <w:i/>
          <w:spacing w:val="1"/>
        </w:rPr>
        <w:t> </w:t>
      </w:r>
      <w:r>
        <w:rPr/>
        <w:t>(Euphorbiaceae)</w:t>
      </w:r>
      <w:r>
        <w:rPr>
          <w:spacing w:val="-2"/>
        </w:rPr>
        <w:t> </w:t>
      </w:r>
      <w:r>
        <w:rPr/>
        <w:t>leaves</w:t>
      </w:r>
      <w:r>
        <w:rPr>
          <w:spacing w:val="-1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rats.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Medicinal</w:t>
      </w:r>
      <w:r>
        <w:rPr>
          <w:i/>
          <w:spacing w:val="-1"/>
        </w:rPr>
        <w:t> </w:t>
      </w:r>
      <w:r>
        <w:rPr>
          <w:i/>
        </w:rPr>
        <w:t>Plants</w:t>
      </w:r>
      <w:r>
        <w:rPr/>
        <w:t>,</w:t>
      </w:r>
      <w:r>
        <w:rPr>
          <w:spacing w:val="-1"/>
        </w:rPr>
        <w:t> </w:t>
      </w:r>
      <w:r>
        <w:rPr/>
        <w:t>5(1):</w:t>
      </w:r>
      <w:r>
        <w:rPr>
          <w:spacing w:val="-1"/>
        </w:rPr>
        <w:t> </w:t>
      </w:r>
      <w:r>
        <w:rPr/>
        <w:t>205-211.</w:t>
      </w:r>
    </w:p>
    <w:p>
      <w:pPr>
        <w:pStyle w:val="BodyText"/>
        <w:spacing w:before="199"/>
        <w:ind w:left="1105" w:right="955" w:hanging="720"/>
        <w:jc w:val="both"/>
      </w:pPr>
      <w:r>
        <w:rPr/>
        <w:t>Wasilewski, A., Misicka, A., Sacharczuk, M., and Fichna, J. (2017). Modulation of the</w:t>
      </w:r>
      <w:r>
        <w:rPr>
          <w:spacing w:val="1"/>
        </w:rPr>
        <w:t> </w:t>
      </w:r>
      <w:r>
        <w:rPr/>
        <w:t>endocannabinoid system by the fatty acid amide hydrolase, monoacylglycerol and</w:t>
      </w:r>
      <w:r>
        <w:rPr>
          <w:spacing w:val="1"/>
        </w:rPr>
        <w:t> </w:t>
      </w:r>
      <w:r>
        <w:rPr/>
        <w:t>diacylglycerol</w:t>
      </w:r>
      <w:r>
        <w:rPr>
          <w:spacing w:val="1"/>
        </w:rPr>
        <w:t> </w:t>
      </w:r>
      <w:r>
        <w:rPr/>
        <w:t>lipase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secretory</w:t>
      </w:r>
      <w:r>
        <w:rPr>
          <w:spacing w:val="60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therapy.</w:t>
      </w:r>
      <w:r>
        <w:rPr>
          <w:spacing w:val="-1"/>
        </w:rPr>
        <w:t> </w:t>
      </w:r>
      <w:r>
        <w:rPr>
          <w:i/>
        </w:rPr>
        <w:t>Journal of Physiology and</w:t>
      </w:r>
      <w:r>
        <w:rPr>
          <w:i/>
          <w:spacing w:val="-1"/>
        </w:rPr>
        <w:t> </w:t>
      </w:r>
      <w:r>
        <w:rPr>
          <w:i/>
        </w:rPr>
        <w:t>Pharmacolgy</w:t>
      </w:r>
      <w:r>
        <w:rPr/>
        <w:t>,</w:t>
      </w:r>
      <w:r>
        <w:rPr>
          <w:spacing w:val="2"/>
        </w:rPr>
        <w:t> </w:t>
      </w:r>
      <w:r>
        <w:rPr/>
        <w:t>68(4): 591-596.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1105" w:right="949" w:hanging="720"/>
        <w:jc w:val="both"/>
      </w:pPr>
      <w:r>
        <w:rPr/>
        <w:t>Winkler, M. F., Wetle, T., Smith, C., Hagan, E., Maillet, J. O. S., and Touger-Decker, R.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parenteral</w:t>
      </w:r>
      <w:r>
        <w:rPr>
          <w:spacing w:val="1"/>
        </w:rPr>
        <w:t> </w:t>
      </w:r>
      <w:r>
        <w:rPr/>
        <w:t>nutrition–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failure: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inquiry.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Dietetic Association,</w:t>
      </w:r>
      <w:r>
        <w:rPr>
          <w:spacing w:val="1"/>
        </w:rPr>
        <w:t> </w:t>
      </w:r>
      <w:r>
        <w:rPr/>
        <w:t>110(11): 1676-1683.</w:t>
      </w:r>
    </w:p>
    <w:p>
      <w:pPr>
        <w:pStyle w:val="BodyText"/>
        <w:spacing w:before="199"/>
        <w:ind w:left="385"/>
        <w:jc w:val="both"/>
      </w:pPr>
      <w:r>
        <w:rPr/>
        <w:t>Won,</w:t>
      </w:r>
      <w:r>
        <w:rPr>
          <w:spacing w:val="18"/>
        </w:rPr>
        <w:t> </w:t>
      </w:r>
      <w:r>
        <w:rPr/>
        <w:t>E.</w:t>
      </w:r>
      <w:r>
        <w:rPr>
          <w:spacing w:val="16"/>
        </w:rPr>
        <w:t> </w:t>
      </w:r>
      <w:r>
        <w:rPr/>
        <w:t>J.,</w:t>
      </w:r>
      <w:r>
        <w:rPr>
          <w:spacing w:val="18"/>
        </w:rPr>
        <w:t> </w:t>
      </w:r>
      <w:r>
        <w:rPr/>
        <w:t>Kim,</w:t>
      </w:r>
      <w:r>
        <w:rPr>
          <w:spacing w:val="19"/>
        </w:rPr>
        <w:t> </w:t>
      </w:r>
      <w:r>
        <w:rPr/>
        <w:t>S.</w:t>
      </w:r>
      <w:r>
        <w:rPr>
          <w:spacing w:val="18"/>
        </w:rPr>
        <w:t> </w:t>
      </w:r>
      <w:r>
        <w:rPr/>
        <w:t>H.,</w:t>
      </w:r>
      <w:r>
        <w:rPr>
          <w:spacing w:val="16"/>
        </w:rPr>
        <w:t> </w:t>
      </w:r>
      <w:r>
        <w:rPr/>
        <w:t>Kee,</w:t>
      </w:r>
      <w:r>
        <w:rPr>
          <w:spacing w:val="18"/>
        </w:rPr>
        <w:t> </w:t>
      </w:r>
      <w:r>
        <w:rPr/>
        <w:t>S.</w:t>
      </w:r>
      <w:r>
        <w:rPr>
          <w:spacing w:val="18"/>
        </w:rPr>
        <w:t> </w:t>
      </w:r>
      <w:r>
        <w:rPr/>
        <w:t>J.,</w:t>
      </w:r>
      <w:r>
        <w:rPr>
          <w:spacing w:val="18"/>
        </w:rPr>
        <w:t> </w:t>
      </w:r>
      <w:r>
        <w:rPr/>
        <w:t>Shin,</w:t>
      </w:r>
      <w:r>
        <w:rPr>
          <w:spacing w:val="17"/>
        </w:rPr>
        <w:t> </w:t>
      </w:r>
      <w:r>
        <w:rPr/>
        <w:t>J.</w:t>
      </w:r>
      <w:r>
        <w:rPr>
          <w:spacing w:val="18"/>
        </w:rPr>
        <w:t> </w:t>
      </w:r>
      <w:r>
        <w:rPr/>
        <w:t>H.,</w:t>
      </w:r>
      <w:r>
        <w:rPr>
          <w:spacing w:val="18"/>
        </w:rPr>
        <w:t> </w:t>
      </w:r>
      <w:r>
        <w:rPr/>
        <w:t>Suh,</w:t>
      </w:r>
      <w:r>
        <w:rPr>
          <w:spacing w:val="18"/>
        </w:rPr>
        <w:t> </w:t>
      </w:r>
      <w:r>
        <w:rPr/>
        <w:t>S.</w:t>
      </w:r>
      <w:r>
        <w:rPr>
          <w:spacing w:val="18"/>
        </w:rPr>
        <w:t> </w:t>
      </w:r>
      <w:r>
        <w:rPr/>
        <w:t>P.,</w:t>
      </w:r>
      <w:r>
        <w:rPr>
          <w:spacing w:val="18"/>
        </w:rPr>
        <w:t> </w:t>
      </w:r>
      <w:r>
        <w:rPr/>
        <w:t>Chai,</w:t>
      </w:r>
      <w:r>
        <w:rPr>
          <w:spacing w:val="17"/>
        </w:rPr>
        <w:t> </w:t>
      </w:r>
      <w:r>
        <w:rPr/>
        <w:t>J.</w:t>
      </w:r>
      <w:r>
        <w:rPr>
          <w:spacing w:val="19"/>
        </w:rPr>
        <w:t> </w:t>
      </w:r>
      <w:r>
        <w:rPr/>
        <w:t>Y.,</w:t>
      </w:r>
      <w:r>
        <w:rPr>
          <w:spacing w:val="18"/>
        </w:rPr>
        <w:t> </w:t>
      </w:r>
      <w:r>
        <w:rPr/>
        <w:t>...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Shin,</w:t>
      </w:r>
      <w:r>
        <w:rPr>
          <w:spacing w:val="19"/>
        </w:rPr>
        <w:t> </w:t>
      </w:r>
      <w:r>
        <w:rPr/>
        <w:t>M.</w:t>
      </w:r>
      <w:r>
        <w:rPr>
          <w:spacing w:val="19"/>
        </w:rPr>
        <w:t> </w:t>
      </w:r>
      <w:r>
        <w:rPr/>
        <w:t>G.</w:t>
      </w:r>
    </w:p>
    <w:p>
      <w:pPr>
        <w:pStyle w:val="BodyText"/>
        <w:ind w:left="1105" w:right="957"/>
        <w:jc w:val="both"/>
      </w:pPr>
      <w:r>
        <w:rPr/>
        <w:t>(2016). Multiplex Real-Time PCR assay targeting eight parasites customized to the</w:t>
      </w:r>
      <w:r>
        <w:rPr>
          <w:spacing w:val="1"/>
        </w:rPr>
        <w:t> </w:t>
      </w:r>
      <w:r>
        <w:rPr/>
        <w:t>Korean</w:t>
      </w:r>
      <w:r>
        <w:rPr>
          <w:spacing w:val="1"/>
        </w:rPr>
        <w:t> </w:t>
      </w:r>
      <w:r>
        <w:rPr/>
        <w:t>population: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diarrheal</w:t>
      </w:r>
      <w:r>
        <w:rPr>
          <w:spacing w:val="1"/>
        </w:rPr>
        <w:t> </w:t>
      </w:r>
      <w:r>
        <w:rPr/>
        <w:t>stool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gastroenteritis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>
          <w:i/>
        </w:rPr>
        <w:t>PloS one</w:t>
      </w:r>
      <w:r>
        <w:rPr/>
        <w:t>, 11(11): e0166957.</w:t>
      </w:r>
    </w:p>
    <w:p>
      <w:pPr>
        <w:spacing w:line="242" w:lineRule="auto" w:before="202"/>
        <w:ind w:left="1105" w:right="956" w:hanging="720"/>
        <w:jc w:val="both"/>
        <w:rPr>
          <w:sz w:val="24"/>
        </w:rPr>
      </w:pPr>
      <w:r>
        <w:rPr>
          <w:sz w:val="24"/>
        </w:rPr>
        <w:t>Wong, C. L. (1984). The possible involvement of adrenoceptors in the intestinal effect of</w:t>
      </w:r>
      <w:r>
        <w:rPr>
          <w:spacing w:val="1"/>
          <w:sz w:val="24"/>
        </w:rPr>
        <w:t> </w:t>
      </w:r>
      <w:r>
        <w:rPr>
          <w:sz w:val="24"/>
        </w:rPr>
        <w:t>Morphine in mice. </w:t>
      </w:r>
      <w:r>
        <w:rPr>
          <w:i/>
          <w:sz w:val="24"/>
        </w:rPr>
        <w:t>Clinical and experimental pharmacology and physiology</w:t>
      </w:r>
      <w:r>
        <w:rPr>
          <w:sz w:val="24"/>
        </w:rPr>
        <w:t>, 11(6):</w:t>
      </w:r>
      <w:r>
        <w:rPr>
          <w:spacing w:val="1"/>
          <w:sz w:val="24"/>
        </w:rPr>
        <w:t> </w:t>
      </w:r>
      <w:r>
        <w:rPr>
          <w:sz w:val="24"/>
        </w:rPr>
        <w:t>605-</w:t>
      </w:r>
      <w:r>
        <w:rPr>
          <w:spacing w:val="-1"/>
          <w:sz w:val="24"/>
        </w:rPr>
        <w:t> </w:t>
      </w:r>
      <w:r>
        <w:rPr>
          <w:sz w:val="24"/>
        </w:rPr>
        <w:t>610.</w:t>
      </w:r>
    </w:p>
    <w:p>
      <w:pPr>
        <w:spacing w:line="240" w:lineRule="auto" w:before="192"/>
        <w:ind w:left="1105" w:right="954" w:hanging="720"/>
        <w:jc w:val="both"/>
        <w:rPr>
          <w:sz w:val="24"/>
        </w:rPr>
      </w:pPr>
      <w:r>
        <w:rPr>
          <w:sz w:val="24"/>
        </w:rPr>
        <w:t>World</w:t>
      </w:r>
      <w:r>
        <w:rPr>
          <w:spacing w:val="40"/>
          <w:sz w:val="24"/>
        </w:rPr>
        <w:t> </w:t>
      </w:r>
      <w:r>
        <w:rPr>
          <w:sz w:val="24"/>
        </w:rPr>
        <w:t>Health</w:t>
      </w:r>
      <w:r>
        <w:rPr>
          <w:spacing w:val="39"/>
          <w:sz w:val="24"/>
        </w:rPr>
        <w:t> </w:t>
      </w:r>
      <w:r>
        <w:rPr>
          <w:sz w:val="24"/>
        </w:rPr>
        <w:t>Organization.</w:t>
      </w:r>
      <w:r>
        <w:rPr>
          <w:spacing w:val="39"/>
          <w:sz w:val="24"/>
        </w:rPr>
        <w:t> </w:t>
      </w:r>
      <w:r>
        <w:rPr>
          <w:sz w:val="24"/>
        </w:rPr>
        <w:t>(2013).</w:t>
      </w:r>
      <w:r>
        <w:rPr>
          <w:i/>
          <w:sz w:val="24"/>
        </w:rPr>
        <w:t>Diarrhoeal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disease.Integrated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action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plan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prevention and control of pneumonia and diarrhoea </w:t>
      </w:r>
      <w:r>
        <w:rPr>
          <w:sz w:val="24"/>
        </w:rPr>
        <w:t>(GAPPD).World Health</w:t>
      </w:r>
      <w:r>
        <w:rPr>
          <w:spacing w:val="1"/>
          <w:sz w:val="24"/>
        </w:rPr>
        <w:t> </w:t>
      </w:r>
      <w:r>
        <w:rPr>
          <w:sz w:val="24"/>
        </w:rPr>
        <w:t>Organisation.</w:t>
      </w:r>
    </w:p>
    <w:p>
      <w:pPr>
        <w:spacing w:line="242" w:lineRule="auto" w:before="199"/>
        <w:ind w:left="1105" w:right="955" w:hanging="720"/>
        <w:jc w:val="both"/>
        <w:rPr>
          <w:i/>
          <w:sz w:val="24"/>
        </w:rPr>
      </w:pPr>
      <w:r>
        <w:rPr>
          <w:sz w:val="24"/>
        </w:rPr>
        <w:t>World Health Organization. (2013). Diarrhoeal disease Fact Sheet. Geneva: </w:t>
      </w:r>
      <w:r>
        <w:rPr>
          <w:i/>
          <w:sz w:val="24"/>
        </w:rPr>
        <w:t>World 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Organization.</w:t>
      </w:r>
    </w:p>
    <w:p>
      <w:pPr>
        <w:spacing w:line="242" w:lineRule="auto" w:before="196"/>
        <w:ind w:left="1105" w:right="958" w:hanging="720"/>
        <w:jc w:val="both"/>
        <w:rPr>
          <w:sz w:val="24"/>
        </w:rPr>
      </w:pPr>
      <w:r>
        <w:rPr>
          <w:sz w:val="24"/>
        </w:rPr>
        <w:t>World Health Organization. (2013). </w:t>
      </w:r>
      <w:r>
        <w:rPr>
          <w:i/>
          <w:sz w:val="24"/>
        </w:rPr>
        <w:t>Pocket book of hospital care for children: guidelines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common childhood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illnesses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Organization.</w:t>
      </w:r>
    </w:p>
    <w:p>
      <w:pPr>
        <w:pStyle w:val="BodyText"/>
        <w:spacing w:line="242" w:lineRule="auto" w:before="194"/>
        <w:ind w:left="1105" w:right="955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(WHO).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Children’s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(UNICEF)(2013)</w:t>
      </w:r>
      <w:r>
        <w:rPr>
          <w:spacing w:val="33"/>
        </w:rPr>
        <w:t> </w:t>
      </w:r>
      <w:r>
        <w:rPr/>
        <w:t>Ending</w:t>
      </w:r>
      <w:r>
        <w:rPr>
          <w:spacing w:val="34"/>
        </w:rPr>
        <w:t> </w:t>
      </w:r>
      <w:r>
        <w:rPr/>
        <w:t>preventable</w:t>
      </w:r>
      <w:r>
        <w:rPr>
          <w:spacing w:val="33"/>
        </w:rPr>
        <w:t> </w:t>
      </w:r>
      <w:r>
        <w:rPr/>
        <w:t>child</w:t>
      </w:r>
      <w:r>
        <w:rPr>
          <w:spacing w:val="34"/>
        </w:rPr>
        <w:t> </w:t>
      </w:r>
      <w:r>
        <w:rPr/>
        <w:t>deaths</w:t>
      </w:r>
      <w:r>
        <w:rPr>
          <w:spacing w:val="34"/>
        </w:rPr>
        <w:t> </w:t>
      </w:r>
      <w:r>
        <w:rPr/>
        <w:t>from</w:t>
      </w:r>
      <w:r>
        <w:rPr>
          <w:spacing w:val="34"/>
        </w:rPr>
        <w:t> </w:t>
      </w:r>
      <w:r>
        <w:rPr/>
        <w:t>pneumonia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diarrhoea</w:t>
      </w:r>
      <w:r>
        <w:rPr>
          <w:spacing w:val="-58"/>
        </w:rPr>
        <w:t> </w:t>
      </w:r>
      <w:r>
        <w:rPr/>
        <w:t>by</w:t>
      </w:r>
      <w:r>
        <w:rPr>
          <w:spacing w:val="-6"/>
        </w:rPr>
        <w:t> </w:t>
      </w:r>
      <w:r>
        <w:rPr/>
        <w:t>2025. The</w:t>
      </w:r>
      <w:r>
        <w:rPr>
          <w:spacing w:val="-2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global action</w:t>
      </w:r>
      <w:r>
        <w:rPr>
          <w:spacing w:val="-1"/>
        </w:rPr>
        <w:t> </w:t>
      </w:r>
      <w:r>
        <w:rPr/>
        <w:t>plan for</w:t>
      </w:r>
      <w:r>
        <w:rPr>
          <w:spacing w:val="-2"/>
        </w:rPr>
        <w:t> </w:t>
      </w:r>
      <w:r>
        <w:rPr/>
        <w:t>pneumonia</w:t>
      </w:r>
      <w:r>
        <w:rPr>
          <w:spacing w:val="-1"/>
        </w:rPr>
        <w:t> </w:t>
      </w:r>
      <w:r>
        <w:rPr/>
        <w:t>and diarrhoea (GAPPD).</w:t>
      </w:r>
    </w:p>
    <w:p>
      <w:pPr>
        <w:spacing w:line="240" w:lineRule="auto" w:before="191"/>
        <w:ind w:left="1105" w:right="952" w:hanging="720"/>
        <w:jc w:val="both"/>
        <w:rPr>
          <w:sz w:val="24"/>
        </w:rPr>
      </w:pPr>
      <w:r>
        <w:rPr>
          <w:sz w:val="24"/>
        </w:rPr>
        <w:t>Yakubu, M. T., Nurudeen, Q. O., Salimon, S. S., Yakubu, M. O., Jimoh, R. O., Nafiu, M.</w:t>
      </w:r>
      <w:r>
        <w:rPr>
          <w:spacing w:val="1"/>
          <w:sz w:val="24"/>
        </w:rPr>
        <w:t> </w:t>
      </w:r>
      <w:r>
        <w:rPr>
          <w:sz w:val="24"/>
        </w:rPr>
        <w:t>O., ...</w:t>
      </w:r>
      <w:r>
        <w:rPr>
          <w:spacing w:val="1"/>
          <w:sz w:val="24"/>
        </w:rPr>
        <w:t> </w:t>
      </w:r>
      <w:r>
        <w:rPr>
          <w:sz w:val="24"/>
        </w:rPr>
        <w:t>and Williams, F. E. (2015). Antidiarrhoeal activity of </w:t>
      </w:r>
      <w:r>
        <w:rPr>
          <w:i/>
          <w:sz w:val="24"/>
        </w:rPr>
        <w:t>Musa paradisiaca </w:t>
      </w:r>
      <w:r>
        <w:rPr>
          <w:sz w:val="24"/>
        </w:rPr>
        <w:t>Sap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Wistar</w:t>
      </w:r>
      <w:r>
        <w:rPr>
          <w:spacing w:val="-1"/>
          <w:sz w:val="24"/>
        </w:rPr>
        <w:t> </w:t>
      </w:r>
      <w:r>
        <w:rPr>
          <w:sz w:val="24"/>
        </w:rPr>
        <w:t>rats. </w:t>
      </w:r>
      <w:r>
        <w:rPr>
          <w:i/>
          <w:sz w:val="24"/>
        </w:rPr>
        <w:t>Evidence-Based Complementary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202"/>
        <w:ind w:left="1105" w:right="953" w:hanging="720"/>
        <w:jc w:val="both"/>
      </w:pPr>
      <w:r>
        <w:rPr/>
        <w:t>Yang, M., Wu, Z., Wang, Y., Kai, G., Njateng, G. S. S., …… and Cheng, G. (2019). Acute</w:t>
      </w:r>
      <w:r>
        <w:rPr>
          <w:spacing w:val="1"/>
        </w:rPr>
        <w:t> </w:t>
      </w:r>
      <w:r>
        <w:rPr/>
        <w:t>and subacute toxicity evaluation of ethanol extract from aerial parts of </w:t>
      </w:r>
      <w:r>
        <w:rPr>
          <w:i/>
        </w:rPr>
        <w:t>Epigynum</w:t>
      </w:r>
      <w:r>
        <w:rPr>
          <w:i/>
          <w:spacing w:val="1"/>
        </w:rPr>
        <w:t> </w:t>
      </w:r>
      <w:r>
        <w:rPr>
          <w:i/>
        </w:rPr>
        <w:t>auritum</w:t>
      </w:r>
      <w:r>
        <w:rPr>
          <w:i/>
          <w:spacing w:val="-1"/>
        </w:rPr>
        <w:t> </w:t>
      </w:r>
      <w:r>
        <w:rPr/>
        <w:t>in mice. </w:t>
      </w:r>
      <w:r>
        <w:rPr>
          <w:i/>
        </w:rPr>
        <w:t>Food and Chemical Toxicology</w:t>
      </w:r>
      <w:r>
        <w:rPr/>
        <w:t>,</w:t>
      </w:r>
      <w:r>
        <w:rPr>
          <w:spacing w:val="2"/>
        </w:rPr>
        <w:t> </w:t>
      </w:r>
      <w:r>
        <w:rPr/>
        <w:t>131, 1-8.</w:t>
      </w:r>
    </w:p>
    <w:p>
      <w:pPr>
        <w:pStyle w:val="BodyText"/>
        <w:spacing w:before="199"/>
        <w:ind w:left="1105" w:right="955" w:hanging="720"/>
        <w:jc w:val="both"/>
      </w:pPr>
      <w:r>
        <w:rPr/>
        <w:t>Yaya,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Hudani,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Udenigwe,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Shah,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Ekholuenetale,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Bishwajit,</w:t>
      </w:r>
      <w:r>
        <w:rPr>
          <w:spacing w:val="60"/>
        </w:rPr>
        <w:t> </w:t>
      </w:r>
      <w:r>
        <w:rPr/>
        <w:t>G.</w:t>
      </w:r>
      <w:r>
        <w:rPr>
          <w:spacing w:val="-57"/>
        </w:rPr>
        <w:t> </w:t>
      </w:r>
      <w:r>
        <w:rPr/>
        <w:t>(2018). Improving Water, Sanitation and Hygiene Practices, and Housing Quality to</w:t>
      </w:r>
      <w:r>
        <w:rPr>
          <w:spacing w:val="-57"/>
        </w:rPr>
        <w:t> </w:t>
      </w:r>
      <w:r>
        <w:rPr/>
        <w:t>Prevent Diarrhea among Under-Five Children in Nigeria. </w:t>
      </w:r>
      <w:r>
        <w:rPr>
          <w:i/>
        </w:rPr>
        <w:t>Tropical Medicine and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</w:t>
      </w:r>
      <w:r>
        <w:rPr/>
        <w:t>, 3(2): 41-49.</w:t>
      </w:r>
    </w:p>
    <w:p>
      <w:pPr>
        <w:spacing w:line="244" w:lineRule="auto" w:before="200"/>
        <w:ind w:left="1105" w:right="956" w:hanging="720"/>
        <w:jc w:val="both"/>
        <w:rPr>
          <w:rFonts w:ascii="Courier New"/>
          <w:sz w:val="20"/>
        </w:rPr>
      </w:pPr>
      <w:r>
        <w:rPr>
          <w:sz w:val="24"/>
        </w:rPr>
        <w:t>Yuet Ping, K., Darah, I., Chen, Y., Sreeramanan, S., and Sasidharan, S. (2013). Acute and</w:t>
      </w:r>
      <w:r>
        <w:rPr>
          <w:spacing w:val="1"/>
          <w:sz w:val="24"/>
        </w:rPr>
        <w:t> </w:t>
      </w:r>
      <w:r>
        <w:rPr>
          <w:sz w:val="24"/>
        </w:rPr>
        <w:t>subchronic toxicity study of </w:t>
      </w:r>
      <w:r>
        <w:rPr>
          <w:i/>
          <w:sz w:val="24"/>
        </w:rPr>
        <w:t>Euphorbia hirta </w:t>
      </w:r>
      <w:r>
        <w:rPr>
          <w:sz w:val="24"/>
        </w:rPr>
        <w:t>L. methanol extract in rats. </w:t>
      </w:r>
      <w:r>
        <w:rPr>
          <w:i/>
          <w:sz w:val="24"/>
        </w:rPr>
        <w:t>BioMed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 2013. </w:t>
      </w:r>
      <w:hyperlink r:id="rId231">
        <w:r>
          <w:rPr>
            <w:sz w:val="24"/>
          </w:rPr>
          <w:t>Doi.org/10.1155/2013/182064</w:t>
        </w:r>
      </w:hyperlink>
      <w:r>
        <w:rPr>
          <w:rFonts w:ascii="Courier New"/>
          <w:sz w:val="20"/>
        </w:rPr>
        <w:t>.</w:t>
      </w:r>
    </w:p>
    <w:p>
      <w:pPr>
        <w:pStyle w:val="BodyText"/>
        <w:rPr>
          <w:rFonts w:ascii="Courier New"/>
          <w:sz w:val="23"/>
        </w:rPr>
      </w:pPr>
    </w:p>
    <w:p>
      <w:pPr>
        <w:pStyle w:val="BodyText"/>
        <w:spacing w:before="1"/>
        <w:ind w:left="1105" w:right="956" w:hanging="720"/>
        <w:jc w:val="both"/>
      </w:pPr>
      <w:r>
        <w:rPr/>
        <w:t>Zaman, R., Parvez, M., Hasan, M. I., Ali, M. S., Sayeed, M. A., and Hossain, M. A. (2015).</w:t>
      </w:r>
      <w:r>
        <w:rPr>
          <w:spacing w:val="-57"/>
        </w:rPr>
        <w:t> </w:t>
      </w:r>
      <w:r>
        <w:rPr/>
        <w:t>Comparative Antidiarrheal Activity of Three Bangladeshi Medicinal Plants Using in</w:t>
      </w:r>
      <w:r>
        <w:rPr>
          <w:spacing w:val="-57"/>
        </w:rPr>
        <w:t> </w:t>
      </w:r>
      <w:r>
        <w:rPr/>
        <w:t>Vivo Animal Model Study. </w:t>
      </w:r>
      <w:r>
        <w:rPr>
          <w:i/>
        </w:rPr>
        <w:t>American Journal of Biomedical. Science</w:t>
      </w:r>
      <w:r>
        <w:rPr/>
        <w:t>, 7(4): 252-</w:t>
      </w:r>
      <w:r>
        <w:rPr>
          <w:spacing w:val="1"/>
        </w:rPr>
        <w:t> </w:t>
      </w:r>
      <w:r>
        <w:rPr/>
        <w:t>259.</w:t>
      </w:r>
    </w:p>
    <w:p>
      <w:pPr>
        <w:spacing w:after="0"/>
        <w:jc w:val="both"/>
        <w:sectPr>
          <w:pgSz w:w="12240" w:h="15840"/>
          <w:pgMar w:header="0" w:footer="294" w:top="1500" w:bottom="480" w:left="1600" w:right="460"/>
        </w:sectPr>
      </w:pPr>
    </w:p>
    <w:p>
      <w:pPr>
        <w:spacing w:line="240" w:lineRule="auto" w:before="70"/>
        <w:ind w:left="1105" w:right="958" w:hanging="720"/>
        <w:jc w:val="both"/>
        <w:rPr>
          <w:sz w:val="24"/>
        </w:rPr>
      </w:pPr>
      <w:r>
        <w:rPr>
          <w:sz w:val="24"/>
        </w:rPr>
        <w:t>Zambrano, L. D., Levy, K., Menezes, N. P., and Freeman, M. C. (2014). Human diarrhea</w:t>
      </w:r>
      <w:r>
        <w:rPr>
          <w:spacing w:val="1"/>
          <w:sz w:val="24"/>
        </w:rPr>
        <w:t> </w:t>
      </w:r>
      <w:r>
        <w:rPr>
          <w:sz w:val="24"/>
        </w:rPr>
        <w:t>infections associated with domestic animal husbandry:</w:t>
      </w:r>
      <w:r>
        <w:rPr>
          <w:spacing w:val="1"/>
          <w:sz w:val="24"/>
        </w:rPr>
        <w:t> </w:t>
      </w:r>
      <w:r>
        <w:rPr>
          <w:sz w:val="24"/>
        </w:rPr>
        <w:t>a systematic review and</w:t>
      </w:r>
      <w:r>
        <w:rPr>
          <w:spacing w:val="1"/>
          <w:sz w:val="24"/>
        </w:rPr>
        <w:t> </w:t>
      </w:r>
      <w:r>
        <w:rPr>
          <w:sz w:val="24"/>
        </w:rPr>
        <w:t>meta-analysis.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108(6): 313-325.</w:t>
      </w:r>
    </w:p>
    <w:p>
      <w:pPr>
        <w:pStyle w:val="BodyText"/>
        <w:spacing w:before="200"/>
        <w:ind w:left="1105" w:right="954" w:hanging="720"/>
        <w:jc w:val="both"/>
      </w:pPr>
      <w:r>
        <w:rPr/>
        <w:t>Zhang, Y., Wang, C., Wang, L., Parks, G. S., Zhang, X., Guo, Z., ... and Borrelli, E. (2014).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61"/>
        </w:rPr>
        <w:t> </w:t>
      </w:r>
      <w:r>
        <w:rPr/>
        <w:t>analgesic</w:t>
      </w:r>
      <w:r>
        <w:rPr>
          <w:spacing w:val="61"/>
        </w:rPr>
        <w:t> </w:t>
      </w:r>
      <w:r>
        <w:rPr/>
        <w:t>isolated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traditional</w:t>
      </w:r>
      <w:r>
        <w:rPr>
          <w:spacing w:val="61"/>
        </w:rPr>
        <w:t> </w:t>
      </w:r>
      <w:r>
        <w:rPr/>
        <w:t>Chinese</w:t>
      </w:r>
      <w:r>
        <w:rPr>
          <w:spacing w:val="61"/>
        </w:rPr>
        <w:t> </w:t>
      </w:r>
      <w:r>
        <w:rPr/>
        <w:t>medicine.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Biology</w:t>
      </w:r>
      <w:r>
        <w:rPr/>
        <w:t>,</w:t>
      </w:r>
      <w:r>
        <w:rPr>
          <w:spacing w:val="-1"/>
        </w:rPr>
        <w:t> </w:t>
      </w:r>
      <w:r>
        <w:rPr/>
        <w:t>24(2):</w:t>
      </w:r>
      <w:r>
        <w:rPr>
          <w:spacing w:val="1"/>
        </w:rPr>
        <w:t> </w:t>
      </w:r>
      <w:r>
        <w:rPr/>
        <w:t>117-123.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before="77"/>
        <w:ind w:left="4026" w:right="4580"/>
        <w:jc w:val="center"/>
      </w:pPr>
      <w:bookmarkStart w:name="_TOC_250000" w:id="75"/>
      <w:bookmarkEnd w:id="75"/>
      <w:r>
        <w:rPr/>
        <w:t>APPENDICES</w:t>
      </w:r>
    </w:p>
    <w:p>
      <w:pPr>
        <w:pStyle w:val="BodyText"/>
        <w:spacing w:before="2"/>
        <w:rPr>
          <w:b/>
          <w:sz w:val="22"/>
        </w:rPr>
      </w:pPr>
    </w:p>
    <w:p>
      <w:pPr>
        <w:spacing w:line="480" w:lineRule="auto" w:before="0"/>
        <w:ind w:left="385" w:right="1049" w:firstLine="0"/>
        <w:jc w:val="left"/>
        <w:rPr>
          <w:b/>
          <w:i/>
          <w:sz w:val="24"/>
        </w:rPr>
      </w:pPr>
      <w:r>
        <w:rPr>
          <w:b/>
          <w:sz w:val="24"/>
        </w:rPr>
        <w:t>Appendix 1: Calculation of Percentage Yield of Methanol Leaf Extract of </w:t>
      </w:r>
      <w:r>
        <w:rPr>
          <w:b/>
          <w:i/>
          <w:sz w:val="24"/>
        </w:rPr>
        <w:t>Combretum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hypopilinum</w:t>
      </w:r>
    </w:p>
    <w:p>
      <w:pPr>
        <w:pStyle w:val="BodyText"/>
        <w:spacing w:line="480" w:lineRule="auto"/>
        <w:ind w:left="385" w:right="1652"/>
      </w:pPr>
      <w:r>
        <w:rPr/>
        <w:t>One</w:t>
      </w:r>
      <w:r>
        <w:rPr>
          <w:spacing w:val="-4"/>
        </w:rPr>
        <w:t> </w:t>
      </w:r>
      <w:r>
        <w:rPr/>
        <w:t>thousand</w:t>
      </w:r>
      <w:r>
        <w:rPr>
          <w:spacing w:val="1"/>
        </w:rPr>
        <w:t> </w:t>
      </w:r>
      <w:r>
        <w:rPr/>
        <w:t>grams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leaf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7.5</w:t>
      </w:r>
      <w:r>
        <w:rPr>
          <w:spacing w:val="-1"/>
        </w:rPr>
        <w:t> </w:t>
      </w:r>
      <w:r>
        <w:rPr/>
        <w:t>litres</w:t>
      </w:r>
      <w:r>
        <w:rPr>
          <w:spacing w:val="-1"/>
        </w:rPr>
        <w:t> </w:t>
      </w:r>
      <w:r>
        <w:rPr/>
        <w:t>of methanol.</w:t>
      </w:r>
      <w:r>
        <w:rPr>
          <w:spacing w:val="-57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the powdered</w:t>
      </w:r>
      <w:r>
        <w:rPr>
          <w:spacing w:val="2"/>
        </w:rPr>
        <w:t> </w:t>
      </w:r>
      <w:r>
        <w:rPr/>
        <w:t>crude</w:t>
      </w:r>
      <w:r>
        <w:rPr>
          <w:spacing w:val="-2"/>
        </w:rPr>
        <w:t> </w:t>
      </w:r>
      <w:r>
        <w:rPr/>
        <w:t>leaf =</w:t>
      </w:r>
      <w:r>
        <w:rPr>
          <w:spacing w:val="-2"/>
        </w:rPr>
        <w:t> </w:t>
      </w:r>
      <w:r>
        <w:rPr/>
        <w:t>1,000</w:t>
      </w:r>
      <w:r>
        <w:rPr>
          <w:spacing w:val="2"/>
        </w:rPr>
        <w:t> </w:t>
      </w:r>
      <w:r>
        <w:rPr/>
        <w:t>g</w:t>
      </w:r>
    </w:p>
    <w:p>
      <w:pPr>
        <w:pStyle w:val="BodyText"/>
        <w:ind w:left="385"/>
      </w:pPr>
      <w:r>
        <w:rPr/>
        <w:t>Weight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126.24</w:t>
      </w:r>
      <w:r>
        <w:rPr>
          <w:spacing w:val="1"/>
        </w:rPr>
        <w:t> </w:t>
      </w:r>
      <w:r>
        <w:rPr/>
        <w:t>g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85"/>
      </w:pPr>
      <w:r>
        <w:rPr/>
        <w:t>Percentage</w:t>
      </w:r>
      <w:r>
        <w:rPr>
          <w:spacing w:val="1"/>
        </w:rPr>
        <w:t> </w:t>
      </w:r>
      <w:r>
        <w:rPr/>
        <w:t>yield =</w:t>
      </w:r>
      <w:r>
        <w:rPr>
          <w:spacing w:val="-1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extract</w:t>
      </w:r>
      <w:r>
        <w:rPr>
          <w:spacing w:val="58"/>
        </w:rPr>
        <w:t> </w:t>
      </w:r>
      <w:r>
        <w:rPr/>
        <w:t>×</w:t>
      </w:r>
      <w:r>
        <w:rPr>
          <w:spacing w:val="-2"/>
        </w:rPr>
        <w:t> </w:t>
      </w:r>
      <w:r>
        <w:rPr/>
        <w:t>100</w:t>
      </w:r>
    </w:p>
    <w:p>
      <w:pPr>
        <w:pStyle w:val="BodyText"/>
        <w:spacing w:before="1"/>
        <w:ind w:left="2125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leaf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45"/>
      </w:pPr>
      <w:r>
        <w:rPr/>
        <w:t>=</w:t>
      </w:r>
      <w:r>
        <w:rPr>
          <w:spacing w:val="-1"/>
        </w:rPr>
        <w:t> </w:t>
      </w:r>
      <w:r>
        <w:rPr>
          <w:u w:val="single"/>
        </w:rPr>
        <w:t>126.24</w:t>
      </w:r>
      <w:r>
        <w:rPr/>
        <w:t> ×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ind w:left="2485"/>
      </w:pPr>
      <w:r>
        <w:rPr/>
        <w:t>1,000</w:t>
      </w:r>
    </w:p>
    <w:p>
      <w:pPr>
        <w:pStyle w:val="BodyText"/>
      </w:pPr>
    </w:p>
    <w:p>
      <w:pPr>
        <w:pStyle w:val="BodyText"/>
        <w:ind w:left="2485"/>
      </w:pPr>
      <w:r>
        <w:rPr/>
        <w:t>=</w:t>
      </w:r>
      <w:r>
        <w:rPr>
          <w:spacing w:val="-1"/>
        </w:rPr>
        <w:t> </w:t>
      </w:r>
      <w:r>
        <w:rPr/>
        <w:t>12.62 %</w:t>
      </w:r>
    </w:p>
    <w:p>
      <w:pPr>
        <w:spacing w:after="0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 w:after="7"/>
        <w:ind w:right="953"/>
      </w:pPr>
      <w:r>
        <w:rPr/>
        <w:t>Appendix 2: Effect of Methanol Leaf Extract of </w:t>
      </w:r>
      <w:r>
        <w:rPr>
          <w:i/>
        </w:rPr>
        <w:t>Combretum hypopilinum </w:t>
      </w:r>
      <w:r>
        <w:rPr/>
        <w:t>on Castor</w:t>
      </w:r>
      <w:r>
        <w:rPr>
          <w:spacing w:val="1"/>
        </w:rPr>
        <w:t> </w:t>
      </w:r>
      <w:r>
        <w:rPr/>
        <w:t>Oil-Induced</w:t>
      </w:r>
      <w:r>
        <w:rPr>
          <w:spacing w:val="-1"/>
        </w:rPr>
        <w:t> </w:t>
      </w:r>
      <w:r>
        <w:rPr/>
        <w:t>Enteropooling</w:t>
      </w:r>
      <w:r>
        <w:rPr>
          <w:spacing w:val="2"/>
        </w:rPr>
        <w:t> </w:t>
      </w:r>
      <w:r>
        <w:rPr/>
        <w:t>in Mice</w:t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1931"/>
        <w:gridCol w:w="1636"/>
        <w:gridCol w:w="1809"/>
        <w:gridCol w:w="2021"/>
      </w:tblGrid>
      <w:tr>
        <w:trPr>
          <w:trHeight w:val="1103" w:hRule="atLeast"/>
        </w:trPr>
        <w:tc>
          <w:tcPr>
            <w:tcW w:w="1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right="585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9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304" w:right="441"/>
              <w:rPr>
                <w:sz w:val="24"/>
              </w:rPr>
            </w:pPr>
            <w:r>
              <w:rPr>
                <w:sz w:val="24"/>
              </w:rPr>
              <w:t>volume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intestinal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(ml)</w:t>
            </w:r>
          </w:p>
        </w:tc>
        <w:tc>
          <w:tcPr>
            <w:tcW w:w="1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73" w:right="411"/>
              <w:rPr>
                <w:sz w:val="24"/>
              </w:rPr>
            </w:pPr>
            <w:r>
              <w:rPr>
                <w:sz w:val="24"/>
              </w:rPr>
              <w:t>Weight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intestinal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49" w:right="145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volume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intestinal</w:t>
            </w:r>
          </w:p>
          <w:p>
            <w:pPr>
              <w:pStyle w:val="TableParagraph"/>
              <w:spacing w:line="264" w:lineRule="exact" w:before="0"/>
              <w:ind w:left="249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2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9" w:right="219"/>
              <w:rPr>
                <w:sz w:val="24"/>
              </w:rPr>
            </w:pPr>
            <w:r>
              <w:rPr>
                <w:sz w:val="24"/>
              </w:rPr>
              <w:t>% reduction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intestinal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</w:tr>
      <w:tr>
        <w:trPr>
          <w:trHeight w:val="410" w:hRule="atLeast"/>
        </w:trPr>
        <w:tc>
          <w:tcPr>
            <w:tcW w:w="1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(10ml/kg)</w:t>
            </w:r>
          </w:p>
        </w:tc>
        <w:tc>
          <w:tcPr>
            <w:tcW w:w="1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04"/>
              <w:rPr>
                <w:sz w:val="24"/>
              </w:rPr>
            </w:pPr>
            <w:r>
              <w:rPr>
                <w:sz w:val="24"/>
              </w:rPr>
              <w:t>0.60 ± 0.04</w:t>
            </w:r>
          </w:p>
        </w:tc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73"/>
              <w:rPr>
                <w:sz w:val="24"/>
              </w:rPr>
            </w:pPr>
            <w:r>
              <w:rPr>
                <w:sz w:val="24"/>
              </w:rPr>
              <w:t>0.76 ± 0.07</w:t>
            </w:r>
          </w:p>
        </w:tc>
        <w:tc>
          <w:tcPr>
            <w:tcW w:w="1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8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(250)</w:t>
            </w:r>
          </w:p>
        </w:tc>
        <w:tc>
          <w:tcPr>
            <w:tcW w:w="1931" w:type="dxa"/>
          </w:tcPr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0.56 ± 0.07</w:t>
            </w:r>
          </w:p>
        </w:tc>
        <w:tc>
          <w:tcPr>
            <w:tcW w:w="1636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0.72 ± 0.07</w:t>
            </w:r>
          </w:p>
        </w:tc>
        <w:tc>
          <w:tcPr>
            <w:tcW w:w="1809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2021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5.26</w:t>
            </w:r>
          </w:p>
        </w:tc>
      </w:tr>
      <w:tr>
        <w:trPr>
          <w:trHeight w:val="552" w:hRule="atLeast"/>
        </w:trPr>
        <w:tc>
          <w:tcPr>
            <w:tcW w:w="18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(500)</w:t>
            </w:r>
          </w:p>
        </w:tc>
        <w:tc>
          <w:tcPr>
            <w:tcW w:w="1931" w:type="dxa"/>
          </w:tcPr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0.36 ± 0.04*</w:t>
            </w:r>
          </w:p>
        </w:tc>
        <w:tc>
          <w:tcPr>
            <w:tcW w:w="1636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0.62 ± 0.04</w:t>
            </w:r>
          </w:p>
        </w:tc>
        <w:tc>
          <w:tcPr>
            <w:tcW w:w="1809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2021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18.42</w:t>
            </w:r>
          </w:p>
        </w:tc>
      </w:tr>
      <w:tr>
        <w:trPr>
          <w:trHeight w:val="552" w:hRule="atLeast"/>
        </w:trPr>
        <w:tc>
          <w:tcPr>
            <w:tcW w:w="18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(1,000)</w:t>
            </w:r>
          </w:p>
        </w:tc>
        <w:tc>
          <w:tcPr>
            <w:tcW w:w="1931" w:type="dxa"/>
          </w:tcPr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0.29 ± 0.06**</w:t>
            </w:r>
          </w:p>
        </w:tc>
        <w:tc>
          <w:tcPr>
            <w:tcW w:w="1636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0.52 ± 0.09</w:t>
            </w:r>
          </w:p>
        </w:tc>
        <w:tc>
          <w:tcPr>
            <w:tcW w:w="1809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51.67</w:t>
            </w:r>
          </w:p>
        </w:tc>
        <w:tc>
          <w:tcPr>
            <w:tcW w:w="2021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31.58</w:t>
            </w:r>
          </w:p>
        </w:tc>
      </w:tr>
      <w:tr>
        <w:trPr>
          <w:trHeight w:val="408" w:hRule="atLeast"/>
        </w:trPr>
        <w:tc>
          <w:tcPr>
            <w:tcW w:w="1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(5)</w:t>
            </w:r>
          </w:p>
        </w:tc>
        <w:tc>
          <w:tcPr>
            <w:tcW w:w="1931" w:type="dxa"/>
          </w:tcPr>
          <w:p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0.23 ± 0.04***</w:t>
            </w:r>
          </w:p>
        </w:tc>
        <w:tc>
          <w:tcPr>
            <w:tcW w:w="1636" w:type="dxa"/>
          </w:tcPr>
          <w:p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0.42 ± 0.09*</w:t>
            </w:r>
          </w:p>
        </w:tc>
        <w:tc>
          <w:tcPr>
            <w:tcW w:w="1809" w:type="dxa"/>
          </w:tcPr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61.67</w:t>
            </w:r>
          </w:p>
        </w:tc>
        <w:tc>
          <w:tcPr>
            <w:tcW w:w="2021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44.74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3.144005pt;margin-top:14.174932pt;width:465.196022pt;height:.479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85" w:right="952"/>
        <w:jc w:val="both"/>
      </w:pPr>
      <w:r>
        <w:rPr/>
        <w:t>Data are presented as Mean ± SEM; * </w:t>
      </w:r>
      <w:r>
        <w:rPr>
          <w:i/>
        </w:rPr>
        <w:t>p</w:t>
      </w:r>
      <w:r>
        <w:rPr/>
        <w:t>≤0.05, ** </w:t>
      </w:r>
      <w:r>
        <w:rPr>
          <w:i/>
        </w:rPr>
        <w:t>p</w:t>
      </w:r>
      <w:r>
        <w:rPr/>
        <w:t>≤0.01 and *** </w:t>
      </w:r>
      <w:r>
        <w:rPr>
          <w:i/>
        </w:rPr>
        <w:t>p</w:t>
      </w:r>
      <w:r>
        <w:rPr/>
        <w:t>≤0.001 versus distilled</w:t>
      </w:r>
      <w:r>
        <w:rPr>
          <w:spacing w:val="1"/>
        </w:rPr>
        <w:t> </w:t>
      </w:r>
      <w:r>
        <w:rPr/>
        <w:t>water group (One Way ANOVA followed by Dunnett’s post hoc test), DW= distilled water,</w:t>
      </w:r>
      <w:r>
        <w:rPr>
          <w:spacing w:val="-57"/>
        </w:rPr>
        <w:t> </w:t>
      </w:r>
      <w:r>
        <w:rPr/>
        <w:t>MECH=</w:t>
      </w:r>
      <w:r>
        <w:rPr>
          <w:spacing w:val="-3"/>
        </w:rPr>
        <w:t> </w:t>
      </w:r>
      <w:r>
        <w:rPr/>
        <w:t>Methanol leaf extract 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hypopilinum</w:t>
      </w:r>
      <w:r>
        <w:rPr/>
        <w:t>,</w:t>
      </w:r>
      <w:r>
        <w:rPr>
          <w:spacing w:val="2"/>
        </w:rPr>
        <w:t> </w:t>
      </w:r>
      <w:r>
        <w:rPr/>
        <w:t>LOP= Loperamide, n=5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spacing w:line="360" w:lineRule="auto" w:before="77" w:after="7"/>
        <w:ind w:left="385" w:right="1034" w:firstLine="0"/>
        <w:jc w:val="both"/>
        <w:rPr>
          <w:b/>
          <w:sz w:val="24"/>
        </w:rPr>
      </w:pPr>
      <w:r>
        <w:rPr>
          <w:b/>
          <w:sz w:val="24"/>
        </w:rPr>
        <w:t>Appendix 3: Effect of Methanol Leaf Extract of </w:t>
      </w:r>
      <w:r>
        <w:rPr>
          <w:b/>
          <w:i/>
          <w:sz w:val="24"/>
        </w:rPr>
        <w:t>Combretum hypopilinum </w:t>
      </w:r>
      <w:r>
        <w:rPr>
          <w:b/>
          <w:sz w:val="24"/>
        </w:rPr>
        <w:t>on Intestinal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Transit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</w:t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9"/>
        <w:gridCol w:w="1788"/>
        <w:gridCol w:w="1872"/>
        <w:gridCol w:w="1558"/>
        <w:gridCol w:w="2088"/>
      </w:tblGrid>
      <w:tr>
        <w:trPr>
          <w:trHeight w:val="827" w:hRule="atLeast"/>
        </w:trPr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right="442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7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87" w:right="189" w:firstLine="62"/>
              <w:rPr>
                <w:sz w:val="24"/>
              </w:rPr>
            </w:pPr>
            <w:r>
              <w:rPr>
                <w:sz w:val="24"/>
              </w:rPr>
              <w:t>Length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  <w:p>
            <w:pPr>
              <w:pStyle w:val="TableParagraph"/>
              <w:spacing w:line="264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(cm)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95" w:right="528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travelled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 w:before="0"/>
              <w:ind w:left="195"/>
              <w:rPr>
                <w:sz w:val="24"/>
              </w:rPr>
            </w:pPr>
            <w:r>
              <w:rPr>
                <w:sz w:val="24"/>
              </w:rPr>
              <w:t>charcoal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22" w:right="356"/>
              <w:rPr>
                <w:sz w:val="24"/>
              </w:rPr>
            </w:pPr>
            <w:r>
              <w:rPr>
                <w:sz w:val="24"/>
              </w:rPr>
              <w:t>Peristaltic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373" w:right="241"/>
              <w:rPr>
                <w:sz w:val="24"/>
              </w:rPr>
            </w:pPr>
            <w:r>
              <w:rPr>
                <w:sz w:val="24"/>
              </w:rPr>
              <w:t>% inhibition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charcoal</w:t>
            </w:r>
          </w:p>
          <w:p>
            <w:pPr>
              <w:pStyle w:val="TableParagraph"/>
              <w:spacing w:line="264" w:lineRule="exact" w:before="0"/>
              <w:ind w:left="373"/>
              <w:rPr>
                <w:sz w:val="24"/>
              </w:rPr>
            </w:pPr>
            <w:r>
              <w:rPr>
                <w:sz w:val="24"/>
              </w:rPr>
              <w:t>movement</w:t>
            </w:r>
          </w:p>
        </w:tc>
      </w:tr>
      <w:tr>
        <w:trPr>
          <w:trHeight w:val="410" w:hRule="atLeast"/>
        </w:trPr>
        <w:tc>
          <w:tcPr>
            <w:tcW w:w="1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44.00 ± 1.70</w:t>
            </w:r>
          </w:p>
        </w:tc>
        <w:tc>
          <w:tcPr>
            <w:tcW w:w="1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55"/>
              <w:rPr>
                <w:sz w:val="24"/>
              </w:rPr>
            </w:pPr>
            <w:r>
              <w:rPr>
                <w:sz w:val="24"/>
              </w:rPr>
              <w:t>33.20 ± 2.58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2"/>
              <w:rPr>
                <w:sz w:val="24"/>
              </w:rPr>
            </w:pPr>
            <w:r>
              <w:rPr>
                <w:sz w:val="24"/>
              </w:rPr>
              <w:t>75.46</w:t>
            </w:r>
          </w:p>
        </w:tc>
        <w:tc>
          <w:tcPr>
            <w:tcW w:w="2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(250)</w:t>
            </w:r>
          </w:p>
        </w:tc>
        <w:tc>
          <w:tcPr>
            <w:tcW w:w="1788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40.60 ± 0.69</w:t>
            </w:r>
          </w:p>
        </w:tc>
        <w:tc>
          <w:tcPr>
            <w:tcW w:w="1872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24.20 ± 2.89</w:t>
            </w:r>
          </w:p>
        </w:tc>
        <w:tc>
          <w:tcPr>
            <w:tcW w:w="1558" w:type="dxa"/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59.61</w:t>
            </w:r>
          </w:p>
        </w:tc>
        <w:tc>
          <w:tcPr>
            <w:tcW w:w="2088" w:type="dxa"/>
          </w:tcPr>
          <w:p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</w:tr>
      <w:tr>
        <w:trPr>
          <w:trHeight w:val="551" w:hRule="atLeast"/>
        </w:trPr>
        <w:tc>
          <w:tcPr>
            <w:tcW w:w="1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(500)</w:t>
            </w:r>
          </w:p>
        </w:tc>
        <w:tc>
          <w:tcPr>
            <w:tcW w:w="1788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43.80 ± 1.36</w:t>
            </w:r>
          </w:p>
        </w:tc>
        <w:tc>
          <w:tcPr>
            <w:tcW w:w="1872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20.40 ± 2.38*</w:t>
            </w:r>
          </w:p>
        </w:tc>
        <w:tc>
          <w:tcPr>
            <w:tcW w:w="1558" w:type="dxa"/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46.58</w:t>
            </w:r>
          </w:p>
        </w:tc>
        <w:tc>
          <w:tcPr>
            <w:tcW w:w="2088" w:type="dxa"/>
          </w:tcPr>
          <w:p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38.55</w:t>
            </w:r>
          </w:p>
        </w:tc>
      </w:tr>
      <w:tr>
        <w:trPr>
          <w:trHeight w:val="552" w:hRule="atLeast"/>
        </w:trPr>
        <w:tc>
          <w:tcPr>
            <w:tcW w:w="1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(1,000)</w:t>
            </w:r>
          </w:p>
        </w:tc>
        <w:tc>
          <w:tcPr>
            <w:tcW w:w="1788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42.00 ± 0.84</w:t>
            </w:r>
          </w:p>
        </w:tc>
        <w:tc>
          <w:tcPr>
            <w:tcW w:w="1872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08.50 ±1.39**</w:t>
            </w:r>
          </w:p>
        </w:tc>
        <w:tc>
          <w:tcPr>
            <w:tcW w:w="1558" w:type="dxa"/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20.24</w:t>
            </w:r>
          </w:p>
        </w:tc>
        <w:tc>
          <w:tcPr>
            <w:tcW w:w="2088" w:type="dxa"/>
          </w:tcPr>
          <w:p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74.40</w:t>
            </w:r>
          </w:p>
        </w:tc>
      </w:tr>
      <w:tr>
        <w:trPr>
          <w:trHeight w:val="409" w:hRule="atLeast"/>
        </w:trPr>
        <w:tc>
          <w:tcPr>
            <w:tcW w:w="174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(5)</w:t>
            </w:r>
          </w:p>
        </w:tc>
        <w:tc>
          <w:tcPr>
            <w:tcW w:w="1788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39.20 ± 1.16</w:t>
            </w:r>
          </w:p>
        </w:tc>
        <w:tc>
          <w:tcPr>
            <w:tcW w:w="1872" w:type="dxa"/>
          </w:tcPr>
          <w:p>
            <w:pPr>
              <w:pStyle w:val="TableParagraph"/>
              <w:spacing w:line="256" w:lineRule="exact"/>
              <w:ind w:left="195"/>
              <w:rPr>
                <w:sz w:val="24"/>
              </w:rPr>
            </w:pPr>
            <w:r>
              <w:rPr>
                <w:sz w:val="24"/>
              </w:rPr>
              <w:t>11.40 ± 2.89**</w:t>
            </w:r>
          </w:p>
        </w:tc>
        <w:tc>
          <w:tcPr>
            <w:tcW w:w="1558" w:type="dxa"/>
          </w:tcPr>
          <w:p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29.08</w:t>
            </w:r>
          </w:p>
        </w:tc>
        <w:tc>
          <w:tcPr>
            <w:tcW w:w="2088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65.66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3.144005pt;margin-top:14.173961pt;width:453.435022pt;height:.48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85" w:right="953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≤0.05 and **</w:t>
      </w:r>
      <w:r>
        <w:rPr>
          <w:i/>
        </w:rPr>
        <w:t>p</w:t>
      </w:r>
      <w:r>
        <w:rPr/>
        <w:t>≤0.001, versus distilled water group</w:t>
      </w:r>
      <w:r>
        <w:rPr>
          <w:spacing w:val="1"/>
        </w:rPr>
        <w:t> </w:t>
      </w:r>
      <w:r>
        <w:rPr/>
        <w:t>(One Way ANOVA followed by Dunnett’s post hoc test), DW= Distilled Water, MECH=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C. hypopilinum</w:t>
      </w:r>
      <w:r>
        <w:rPr/>
        <w:t>,</w:t>
      </w:r>
      <w:r>
        <w:rPr>
          <w:spacing w:val="1"/>
        </w:rPr>
        <w:t> </w:t>
      </w:r>
      <w:r>
        <w:rPr/>
        <w:t>LOP=</w:t>
      </w:r>
      <w:r>
        <w:rPr>
          <w:spacing w:val="2"/>
        </w:rPr>
        <w:t> </w:t>
      </w:r>
      <w:r>
        <w:rPr/>
        <w:t>Loperamide,</w:t>
      </w:r>
      <w:r>
        <w:rPr>
          <w:spacing w:val="-1"/>
        </w:rPr>
        <w:t> </w:t>
      </w:r>
      <w:r>
        <w:rPr/>
        <w:t>n=5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 w:after="7"/>
        <w:ind w:right="956"/>
      </w:pPr>
      <w:r>
        <w:rPr/>
        <w:t>Appendix 4: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Naloxone on</w:t>
      </w:r>
      <w:r>
        <w:rPr>
          <w:spacing w:val="1"/>
        </w:rPr>
        <w:t> </w:t>
      </w:r>
      <w:r>
        <w:rPr/>
        <w:t>the Antidiarrhoeal Activity of</w:t>
      </w:r>
      <w:r>
        <w:rPr>
          <w:spacing w:val="1"/>
        </w:rPr>
        <w:t> </w:t>
      </w:r>
      <w:r>
        <w:rPr/>
        <w:t>Methanol 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 </w:t>
      </w:r>
      <w:r>
        <w:rPr/>
        <w:t>in the</w:t>
      </w:r>
      <w:r>
        <w:rPr>
          <w:spacing w:val="-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Transit in</w:t>
      </w:r>
      <w:r>
        <w:rPr>
          <w:spacing w:val="1"/>
        </w:rPr>
        <w:t> </w:t>
      </w:r>
      <w:r>
        <w:rPr/>
        <w:t>Mice</w:t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1698"/>
        <w:gridCol w:w="1608"/>
        <w:gridCol w:w="1793"/>
        <w:gridCol w:w="1302"/>
        <w:gridCol w:w="1797"/>
      </w:tblGrid>
      <w:tr>
        <w:trPr>
          <w:trHeight w:val="827" w:hRule="atLeast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right="106"/>
              <w:rPr>
                <w:sz w:val="24"/>
              </w:rPr>
            </w:pPr>
            <w:r>
              <w:rPr>
                <w:spacing w:val="-1"/>
                <w:sz w:val="24"/>
              </w:rPr>
              <w:t>Pretreatments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5" w:right="383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29" w:right="20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small</w:t>
            </w:r>
          </w:p>
          <w:p>
            <w:pPr>
              <w:pStyle w:val="TableParagraph"/>
              <w:spacing w:line="264" w:lineRule="exact" w:before="0"/>
              <w:ind w:left="129"/>
              <w:rPr>
                <w:sz w:val="24"/>
              </w:rPr>
            </w:pPr>
            <w:r>
              <w:rPr>
                <w:sz w:val="24"/>
              </w:rPr>
              <w:t>Intestine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2" w:right="503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travelled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 w:before="0"/>
              <w:ind w:left="142"/>
              <w:rPr>
                <w:sz w:val="24"/>
              </w:rPr>
            </w:pPr>
            <w:r>
              <w:rPr>
                <w:sz w:val="24"/>
              </w:rPr>
              <w:t>charcoal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3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9" w:right="173"/>
              <w:rPr>
                <w:sz w:val="24"/>
              </w:rPr>
            </w:pPr>
            <w:r>
              <w:rPr>
                <w:sz w:val="24"/>
              </w:rPr>
              <w:t>Peristaltic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96" w:right="127"/>
              <w:rPr>
                <w:sz w:val="24"/>
              </w:rPr>
            </w:pPr>
            <w:r>
              <w:rPr>
                <w:sz w:val="24"/>
              </w:rPr>
              <w:t>% inhibition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charcoal</w:t>
            </w:r>
          </w:p>
          <w:p>
            <w:pPr>
              <w:pStyle w:val="TableParagraph"/>
              <w:spacing w:line="264" w:lineRule="exact" w:before="0"/>
              <w:ind w:left="196"/>
              <w:rPr>
                <w:sz w:val="24"/>
              </w:rPr>
            </w:pPr>
            <w:r>
              <w:rPr>
                <w:sz w:val="24"/>
              </w:rPr>
              <w:t>movement</w:t>
            </w:r>
          </w:p>
        </w:tc>
      </w:tr>
      <w:tr>
        <w:trPr>
          <w:trHeight w:val="410" w:hRule="atLeast"/>
        </w:trPr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90" w:right="150"/>
              <w:jc w:val="center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9"/>
              <w:rPr>
                <w:sz w:val="24"/>
              </w:rPr>
            </w:pPr>
            <w:r>
              <w:rPr>
                <w:sz w:val="24"/>
              </w:rPr>
              <w:t>45.20 ± 1.66</w:t>
            </w:r>
          </w:p>
        </w:tc>
        <w:tc>
          <w:tcPr>
            <w:tcW w:w="17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2"/>
              <w:rPr>
                <w:sz w:val="24"/>
              </w:rPr>
            </w:pPr>
            <w:r>
              <w:rPr>
                <w:sz w:val="24"/>
              </w:rPr>
              <w:t>38.00 ± 2.21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9"/>
              <w:rPr>
                <w:sz w:val="24"/>
              </w:rPr>
            </w:pPr>
            <w:r>
              <w:rPr>
                <w:sz w:val="24"/>
              </w:rPr>
              <w:t>84.07</w:t>
            </w:r>
          </w:p>
        </w:tc>
        <w:tc>
          <w:tcPr>
            <w:tcW w:w="1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1540" w:type="dxa"/>
          </w:tcPr>
          <w:p>
            <w:pPr>
              <w:pStyle w:val="TableParagraph"/>
              <w:ind w:left="90" w:right="150"/>
              <w:jc w:val="center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698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608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43.60 ± 1.29</w:t>
            </w:r>
          </w:p>
        </w:tc>
        <w:tc>
          <w:tcPr>
            <w:tcW w:w="1793" w:type="dxa"/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12.00 ± 4.10*</w:t>
            </w:r>
          </w:p>
        </w:tc>
        <w:tc>
          <w:tcPr>
            <w:tcW w:w="1302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27.52</w:t>
            </w:r>
          </w:p>
        </w:tc>
        <w:tc>
          <w:tcPr>
            <w:tcW w:w="1797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68.42</w:t>
            </w:r>
          </w:p>
        </w:tc>
      </w:tr>
      <w:tr>
        <w:trPr>
          <w:trHeight w:val="571" w:hRule="atLeast"/>
        </w:trPr>
        <w:tc>
          <w:tcPr>
            <w:tcW w:w="1540" w:type="dxa"/>
          </w:tcPr>
          <w:p>
            <w:pPr>
              <w:pStyle w:val="TableParagraph"/>
              <w:spacing w:before="153"/>
              <w:ind w:left="90" w:right="150"/>
              <w:jc w:val="center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698" w:type="dxa"/>
          </w:tcPr>
          <w:p>
            <w:pPr>
              <w:pStyle w:val="TableParagraph"/>
              <w:spacing w:before="153"/>
              <w:ind w:left="115"/>
              <w:rPr>
                <w:sz w:val="24"/>
              </w:rPr>
            </w:pPr>
            <w:r>
              <w:rPr>
                <w:sz w:val="24"/>
              </w:rPr>
              <w:t>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3"/>
              <w:ind w:left="129"/>
              <w:rPr>
                <w:sz w:val="24"/>
              </w:rPr>
            </w:pPr>
            <w:r>
              <w:rPr>
                <w:sz w:val="24"/>
              </w:rPr>
              <w:t>40.60 ± 1.12</w:t>
            </w:r>
          </w:p>
        </w:tc>
        <w:tc>
          <w:tcPr>
            <w:tcW w:w="1793" w:type="dxa"/>
          </w:tcPr>
          <w:p>
            <w:pPr>
              <w:pStyle w:val="TableParagraph"/>
              <w:spacing w:before="153"/>
              <w:ind w:left="202"/>
              <w:rPr>
                <w:sz w:val="24"/>
              </w:rPr>
            </w:pPr>
            <w:r>
              <w:rPr>
                <w:sz w:val="24"/>
              </w:rPr>
              <w:t>34.40 ± 1.63</w:t>
            </w:r>
            <w:r>
              <w:rPr>
                <w:sz w:val="24"/>
                <w:vertAlign w:val="superscript"/>
              </w:rPr>
              <w:t>##a</w:t>
            </w:r>
          </w:p>
        </w:tc>
        <w:tc>
          <w:tcPr>
            <w:tcW w:w="1302" w:type="dxa"/>
          </w:tcPr>
          <w:p>
            <w:pPr>
              <w:pStyle w:val="TableParagraph"/>
              <w:spacing w:before="153"/>
              <w:ind w:left="149"/>
              <w:rPr>
                <w:sz w:val="24"/>
              </w:rPr>
            </w:pPr>
            <w:r>
              <w:rPr>
                <w:sz w:val="24"/>
              </w:rPr>
              <w:t>84.72</w:t>
            </w:r>
          </w:p>
        </w:tc>
        <w:tc>
          <w:tcPr>
            <w:tcW w:w="1797" w:type="dxa"/>
          </w:tcPr>
          <w:p>
            <w:pPr>
              <w:pStyle w:val="TableParagraph"/>
              <w:spacing w:before="153"/>
              <w:ind w:left="196"/>
              <w:rPr>
                <w:sz w:val="24"/>
              </w:rPr>
            </w:pPr>
            <w:r>
              <w:rPr>
                <w:sz w:val="24"/>
              </w:rPr>
              <w:t>9.47</w:t>
            </w:r>
          </w:p>
        </w:tc>
      </w:tr>
      <w:tr>
        <w:trPr>
          <w:trHeight w:val="532" w:hRule="atLeast"/>
        </w:trPr>
        <w:tc>
          <w:tcPr>
            <w:tcW w:w="1540" w:type="dxa"/>
          </w:tcPr>
          <w:p>
            <w:pPr>
              <w:pStyle w:val="TableParagraph"/>
              <w:ind w:left="90" w:right="150"/>
              <w:jc w:val="center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698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LOP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608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40.00 ± 0.84</w:t>
            </w:r>
          </w:p>
        </w:tc>
        <w:tc>
          <w:tcPr>
            <w:tcW w:w="1793" w:type="dxa"/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11.40 ± 2.89*</w:t>
            </w:r>
          </w:p>
        </w:tc>
        <w:tc>
          <w:tcPr>
            <w:tcW w:w="1302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28.50</w:t>
            </w:r>
          </w:p>
        </w:tc>
        <w:tc>
          <w:tcPr>
            <w:tcW w:w="1797" w:type="dxa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</w:tr>
      <w:tr>
        <w:trPr>
          <w:trHeight w:val="572" w:hRule="atLeast"/>
        </w:trPr>
        <w:tc>
          <w:tcPr>
            <w:tcW w:w="1540" w:type="dxa"/>
          </w:tcPr>
          <w:p>
            <w:pPr>
              <w:pStyle w:val="TableParagraph"/>
              <w:spacing w:before="153"/>
              <w:ind w:left="90" w:right="261"/>
              <w:jc w:val="center"/>
              <w:rPr>
                <w:sz w:val="24"/>
              </w:rPr>
            </w:pPr>
            <w:r>
              <w:rPr>
                <w:sz w:val="24"/>
              </w:rPr>
              <w:t>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698" w:type="dxa"/>
          </w:tcPr>
          <w:p>
            <w:pPr>
              <w:pStyle w:val="TableParagraph"/>
              <w:spacing w:before="153"/>
              <w:ind w:left="115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(1,000)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3"/>
              <w:ind w:left="129"/>
              <w:rPr>
                <w:sz w:val="24"/>
              </w:rPr>
            </w:pPr>
            <w:r>
              <w:rPr>
                <w:sz w:val="24"/>
              </w:rPr>
              <w:t>40.20 ± 0.66</w:t>
            </w:r>
          </w:p>
        </w:tc>
        <w:tc>
          <w:tcPr>
            <w:tcW w:w="1793" w:type="dxa"/>
          </w:tcPr>
          <w:p>
            <w:pPr>
              <w:pStyle w:val="TableParagraph"/>
              <w:spacing w:before="153"/>
              <w:ind w:left="202"/>
              <w:rPr>
                <w:sz w:val="24"/>
              </w:rPr>
            </w:pPr>
            <w:r>
              <w:rPr>
                <w:sz w:val="24"/>
              </w:rPr>
              <w:t>32.00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2.28</w:t>
            </w:r>
            <w:r>
              <w:rPr>
                <w:sz w:val="24"/>
                <w:vertAlign w:val="superscript"/>
              </w:rPr>
              <w:t>#a</w:t>
            </w:r>
          </w:p>
        </w:tc>
        <w:tc>
          <w:tcPr>
            <w:tcW w:w="1302" w:type="dxa"/>
          </w:tcPr>
          <w:p>
            <w:pPr>
              <w:pStyle w:val="TableParagraph"/>
              <w:spacing w:before="153"/>
              <w:ind w:left="149"/>
              <w:rPr>
                <w:sz w:val="24"/>
              </w:rPr>
            </w:pPr>
            <w:r>
              <w:rPr>
                <w:sz w:val="24"/>
              </w:rPr>
              <w:t>79.60</w:t>
            </w:r>
          </w:p>
        </w:tc>
        <w:tc>
          <w:tcPr>
            <w:tcW w:w="1797" w:type="dxa"/>
          </w:tcPr>
          <w:p>
            <w:pPr>
              <w:pStyle w:val="TableParagraph"/>
              <w:spacing w:before="153"/>
              <w:ind w:left="196"/>
              <w:rPr>
                <w:sz w:val="24"/>
              </w:rPr>
            </w:pPr>
            <w:r>
              <w:rPr>
                <w:sz w:val="24"/>
              </w:rPr>
              <w:t>15.79</w:t>
            </w:r>
          </w:p>
        </w:tc>
      </w:tr>
      <w:tr>
        <w:trPr>
          <w:trHeight w:val="408" w:hRule="atLeast"/>
        </w:trPr>
        <w:tc>
          <w:tcPr>
            <w:tcW w:w="1540" w:type="dxa"/>
          </w:tcPr>
          <w:p>
            <w:pPr>
              <w:pStyle w:val="TableParagraph"/>
              <w:spacing w:line="256" w:lineRule="exact"/>
              <w:ind w:left="90" w:right="261"/>
              <w:jc w:val="center"/>
              <w:rPr>
                <w:sz w:val="24"/>
              </w:rPr>
            </w:pPr>
            <w:r>
              <w:rPr>
                <w:sz w:val="24"/>
              </w:rPr>
              <w:t>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69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LOP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608" w:type="dxa"/>
          </w:tcPr>
          <w:p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41.00 ± 0.55</w:t>
            </w:r>
          </w:p>
        </w:tc>
        <w:tc>
          <w:tcPr>
            <w:tcW w:w="1793" w:type="dxa"/>
          </w:tcPr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24.60 ± 3.51</w:t>
            </w:r>
          </w:p>
        </w:tc>
        <w:tc>
          <w:tcPr>
            <w:tcW w:w="1302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797" w:type="dxa"/>
          </w:tcPr>
          <w:p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35.26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3.144005pt;margin-top:14.173963pt;width:487.756023pt;height:.48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85" w:right="953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≤0.001 compared to distilled water group, </w:t>
      </w:r>
      <w:r>
        <w:rPr>
          <w:vertAlign w:val="superscript"/>
        </w:rPr>
        <w:t>#</w:t>
      </w:r>
      <w:r>
        <w:rPr>
          <w:i/>
          <w:vertAlign w:val="baseline"/>
        </w:rPr>
        <w:t>p</w:t>
      </w:r>
      <w:r>
        <w:rPr>
          <w:vertAlign w:val="baseline"/>
        </w:rPr>
        <w:t>≤0.01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superscript"/>
        </w:rPr>
        <w:t>##</w:t>
      </w:r>
      <w:r>
        <w:rPr>
          <w:i/>
          <w:vertAlign w:val="baseline"/>
        </w:rPr>
        <w:t>p≤</w:t>
      </w:r>
      <w:r>
        <w:rPr>
          <w:vertAlign w:val="baseline"/>
        </w:rPr>
        <w:t>0.001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MECH,</w:t>
      </w:r>
      <w:r>
        <w:rPr>
          <w:spacing w:val="1"/>
          <w:vertAlign w:val="baseline"/>
        </w:rPr>
        <w:t> </w:t>
      </w:r>
      <w:r>
        <w:rPr>
          <w:vertAlign w:val="superscript"/>
        </w:rPr>
        <w:t>a</w:t>
      </w:r>
      <w:r>
        <w:rPr>
          <w:vertAlign w:val="baseline"/>
        </w:rPr>
        <w:t> </w:t>
      </w:r>
      <w:r>
        <w:rPr>
          <w:i/>
          <w:vertAlign w:val="baseline"/>
        </w:rPr>
        <w:t>p≤</w:t>
      </w:r>
      <w:r>
        <w:rPr>
          <w:vertAlign w:val="baseline"/>
        </w:rPr>
        <w:t>0.001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LOP</w:t>
      </w:r>
      <w:r>
        <w:rPr>
          <w:spacing w:val="1"/>
          <w:vertAlign w:val="baseline"/>
        </w:rPr>
        <w:t> </w:t>
      </w:r>
      <w:r>
        <w:rPr>
          <w:vertAlign w:val="baseline"/>
        </w:rPr>
        <w:t>(One</w:t>
      </w:r>
      <w:r>
        <w:rPr>
          <w:spacing w:val="1"/>
          <w:vertAlign w:val="baseline"/>
        </w:rPr>
        <w:t> </w:t>
      </w:r>
      <w:r>
        <w:rPr>
          <w:vertAlign w:val="baseline"/>
        </w:rPr>
        <w:t>Way ANOVA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 by Bonferroni’s post hoc test), DW= Distilled Water, MECH= Methanol leaf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C. hypopilinum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NAL=</w:t>
      </w:r>
      <w:r>
        <w:rPr>
          <w:spacing w:val="-1"/>
          <w:vertAlign w:val="baseline"/>
        </w:rPr>
        <w:t> </w:t>
      </w:r>
      <w:r>
        <w:rPr>
          <w:vertAlign w:val="baseline"/>
        </w:rPr>
        <w:t>Naloxone,</w:t>
      </w:r>
      <w:r>
        <w:rPr>
          <w:spacing w:val="1"/>
          <w:vertAlign w:val="baseline"/>
        </w:rPr>
        <w:t> </w:t>
      </w:r>
      <w:r>
        <w:rPr>
          <w:vertAlign w:val="baseline"/>
        </w:rPr>
        <w:t>LOP=</w:t>
      </w:r>
      <w:r>
        <w:rPr>
          <w:spacing w:val="3"/>
          <w:vertAlign w:val="baseline"/>
        </w:rPr>
        <w:t> </w:t>
      </w:r>
      <w:r>
        <w:rPr>
          <w:vertAlign w:val="baseline"/>
        </w:rPr>
        <w:t>Loperamide, n=5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 w:after="7"/>
        <w:ind w:right="957"/>
      </w:pPr>
      <w:r>
        <w:rPr/>
        <w:t>Appendix</w:t>
      </w:r>
      <w:r>
        <w:rPr>
          <w:spacing w:val="1"/>
        </w:rPr>
        <w:t> </w:t>
      </w:r>
      <w:r>
        <w:rPr/>
        <w:t>5: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Prazosin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-57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 </w:t>
      </w:r>
      <w:r>
        <w:rPr/>
        <w:t>in the</w:t>
      </w:r>
      <w:r>
        <w:rPr>
          <w:spacing w:val="-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Transit in</w:t>
      </w:r>
      <w:r>
        <w:rPr>
          <w:spacing w:val="1"/>
        </w:rPr>
        <w:t> </w:t>
      </w:r>
      <w:r>
        <w:rPr/>
        <w:t>Mice</w:t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1551"/>
        <w:gridCol w:w="1064"/>
        <w:gridCol w:w="438"/>
        <w:gridCol w:w="1782"/>
        <w:gridCol w:w="1215"/>
        <w:gridCol w:w="1465"/>
      </w:tblGrid>
      <w:tr>
        <w:trPr>
          <w:trHeight w:val="1103" w:hRule="atLeast"/>
        </w:trPr>
        <w:tc>
          <w:tcPr>
            <w:tcW w:w="15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right="105"/>
              <w:rPr>
                <w:sz w:val="24"/>
              </w:rPr>
            </w:pPr>
            <w:r>
              <w:rPr>
                <w:spacing w:val="-1"/>
                <w:sz w:val="24"/>
              </w:rPr>
              <w:t>Pretreatments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" w:right="237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9" w:right="117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Intestine</w:t>
            </w:r>
          </w:p>
          <w:p>
            <w:pPr>
              <w:pStyle w:val="TableParagraph"/>
              <w:spacing w:line="264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(cm)</w:t>
            </w: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9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1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8" w:right="346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travelled by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charcoal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9" w:right="126"/>
              <w:rPr>
                <w:sz w:val="24"/>
              </w:rPr>
            </w:pPr>
            <w:r>
              <w:rPr>
                <w:sz w:val="24"/>
              </w:rPr>
              <w:t>Peristaltic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5" w:right="106"/>
              <w:rPr>
                <w:sz w:val="24"/>
              </w:rPr>
            </w:pPr>
            <w:r>
              <w:rPr>
                <w:sz w:val="24"/>
              </w:rPr>
              <w:t>% inhibition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charcoal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movement</w:t>
            </w:r>
          </w:p>
        </w:tc>
      </w:tr>
      <w:tr>
        <w:trPr>
          <w:trHeight w:val="410" w:hRule="atLeast"/>
        </w:trPr>
        <w:tc>
          <w:tcPr>
            <w:tcW w:w="1539" w:type="dxa"/>
          </w:tcPr>
          <w:p>
            <w:pPr>
              <w:pStyle w:val="TableParagraph"/>
              <w:spacing w:line="263" w:lineRule="exact" w:before="0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1" w:type="dxa"/>
          </w:tcPr>
          <w:p>
            <w:pPr>
              <w:pStyle w:val="TableParagraph"/>
              <w:spacing w:line="263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63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45.20 ± 1.66</w:t>
            </w:r>
          </w:p>
        </w:tc>
        <w:tc>
          <w:tcPr>
            <w:tcW w:w="1782" w:type="dxa"/>
          </w:tcPr>
          <w:p>
            <w:pPr>
              <w:pStyle w:val="TableParagraph"/>
              <w:spacing w:line="263" w:lineRule="exact" w:before="0"/>
              <w:ind w:left="168"/>
              <w:rPr>
                <w:sz w:val="24"/>
              </w:rPr>
            </w:pPr>
            <w:r>
              <w:rPr>
                <w:sz w:val="24"/>
              </w:rPr>
              <w:t>38.00 ± 2.21</w:t>
            </w:r>
          </w:p>
        </w:tc>
        <w:tc>
          <w:tcPr>
            <w:tcW w:w="1215" w:type="dxa"/>
          </w:tcPr>
          <w:p>
            <w:pPr>
              <w:pStyle w:val="TableParagraph"/>
              <w:spacing w:line="263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84.07</w:t>
            </w:r>
          </w:p>
        </w:tc>
        <w:tc>
          <w:tcPr>
            <w:tcW w:w="1465" w:type="dxa"/>
          </w:tcPr>
          <w:p>
            <w:pPr>
              <w:pStyle w:val="TableParagraph"/>
              <w:spacing w:line="263" w:lineRule="exact" w:before="0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1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43.60 ± 1.29</w:t>
            </w:r>
          </w:p>
        </w:tc>
        <w:tc>
          <w:tcPr>
            <w:tcW w:w="1782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12.00 ± 4.10*</w:t>
            </w:r>
          </w:p>
        </w:tc>
        <w:tc>
          <w:tcPr>
            <w:tcW w:w="12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27.52</w:t>
            </w:r>
          </w:p>
        </w:tc>
        <w:tc>
          <w:tcPr>
            <w:tcW w:w="1465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68.42</w:t>
            </w:r>
          </w:p>
        </w:tc>
      </w:tr>
      <w:tr>
        <w:trPr>
          <w:trHeight w:val="572" w:hRule="atLeast"/>
        </w:trPr>
        <w:tc>
          <w:tcPr>
            <w:tcW w:w="1539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1" w:type="dxa"/>
          </w:tcPr>
          <w:p>
            <w:pPr>
              <w:pStyle w:val="TableParagraph"/>
              <w:spacing w:before="153"/>
              <w:ind w:left="114"/>
              <w:rPr>
                <w:sz w:val="24"/>
              </w:rPr>
            </w:pPr>
            <w:r>
              <w:rPr>
                <w:sz w:val="24"/>
              </w:rPr>
              <w:t>PRA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53"/>
              <w:ind w:left="109"/>
              <w:rPr>
                <w:sz w:val="24"/>
              </w:rPr>
            </w:pPr>
            <w:r>
              <w:rPr>
                <w:sz w:val="24"/>
              </w:rPr>
              <w:t>46.00 ± 1.79</w:t>
            </w:r>
          </w:p>
        </w:tc>
        <w:tc>
          <w:tcPr>
            <w:tcW w:w="1782" w:type="dxa"/>
          </w:tcPr>
          <w:p>
            <w:pPr>
              <w:pStyle w:val="TableParagraph"/>
              <w:spacing w:before="153"/>
              <w:ind w:left="168"/>
              <w:rPr>
                <w:sz w:val="24"/>
              </w:rPr>
            </w:pPr>
            <w:r>
              <w:rPr>
                <w:sz w:val="24"/>
              </w:rPr>
              <w:t>39.00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1.38</w:t>
            </w:r>
            <w:r>
              <w:rPr>
                <w:sz w:val="24"/>
                <w:vertAlign w:val="superscript"/>
              </w:rPr>
              <w:t>##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3"/>
              <w:ind w:left="109"/>
              <w:rPr>
                <w:sz w:val="24"/>
              </w:rPr>
            </w:pPr>
            <w:r>
              <w:rPr>
                <w:sz w:val="24"/>
              </w:rPr>
              <w:t>84.78</w:t>
            </w:r>
          </w:p>
        </w:tc>
        <w:tc>
          <w:tcPr>
            <w:tcW w:w="1465" w:type="dxa"/>
          </w:tcPr>
          <w:p>
            <w:pPr>
              <w:pStyle w:val="TableParagraph"/>
              <w:spacing w:before="153"/>
              <w:ind w:left="145"/>
              <w:rPr>
                <w:sz w:val="24"/>
              </w:rPr>
            </w:pPr>
            <w:r>
              <w:rPr>
                <w:sz w:val="24"/>
              </w:rPr>
              <w:t>-2.63</w:t>
            </w:r>
          </w:p>
        </w:tc>
      </w:tr>
      <w:tr>
        <w:trPr>
          <w:trHeight w:val="532" w:hRule="atLeast"/>
        </w:trPr>
        <w:tc>
          <w:tcPr>
            <w:tcW w:w="1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MOR 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43.60 ± 0.51</w:t>
            </w:r>
          </w:p>
        </w:tc>
        <w:tc>
          <w:tcPr>
            <w:tcW w:w="1782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18.80 ± 1.98*</w:t>
            </w:r>
          </w:p>
        </w:tc>
        <w:tc>
          <w:tcPr>
            <w:tcW w:w="12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43.12</w:t>
            </w:r>
          </w:p>
        </w:tc>
        <w:tc>
          <w:tcPr>
            <w:tcW w:w="1465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50.53</w:t>
            </w:r>
          </w:p>
        </w:tc>
      </w:tr>
      <w:tr>
        <w:trPr>
          <w:trHeight w:val="571" w:hRule="atLeast"/>
        </w:trPr>
        <w:tc>
          <w:tcPr>
            <w:tcW w:w="1539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PRA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51" w:type="dxa"/>
          </w:tcPr>
          <w:p>
            <w:pPr>
              <w:pStyle w:val="TableParagraph"/>
              <w:spacing w:before="153"/>
              <w:ind w:left="114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53"/>
              <w:ind w:left="109"/>
              <w:rPr>
                <w:sz w:val="24"/>
              </w:rPr>
            </w:pPr>
            <w:r>
              <w:rPr>
                <w:sz w:val="24"/>
              </w:rPr>
              <w:t>45.80 ± 1.11</w:t>
            </w:r>
          </w:p>
        </w:tc>
        <w:tc>
          <w:tcPr>
            <w:tcW w:w="1782" w:type="dxa"/>
          </w:tcPr>
          <w:p>
            <w:pPr>
              <w:pStyle w:val="TableParagraph"/>
              <w:spacing w:before="153"/>
              <w:ind w:left="168"/>
              <w:rPr>
                <w:sz w:val="24"/>
              </w:rPr>
            </w:pPr>
            <w:r>
              <w:rPr>
                <w:sz w:val="24"/>
              </w:rPr>
              <w:t>27.80 ± 2.46</w:t>
            </w:r>
            <w:r>
              <w:rPr>
                <w:sz w:val="24"/>
                <w:vertAlign w:val="superscript"/>
              </w:rPr>
              <w:t>#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3"/>
              <w:ind w:left="109"/>
              <w:rPr>
                <w:sz w:val="24"/>
              </w:rPr>
            </w:pPr>
            <w:r>
              <w:rPr>
                <w:sz w:val="24"/>
              </w:rPr>
              <w:t>60.70</w:t>
            </w:r>
          </w:p>
        </w:tc>
        <w:tc>
          <w:tcPr>
            <w:tcW w:w="1465" w:type="dxa"/>
          </w:tcPr>
          <w:p>
            <w:pPr>
              <w:pStyle w:val="TableParagraph"/>
              <w:spacing w:before="153"/>
              <w:ind w:left="145"/>
              <w:rPr>
                <w:sz w:val="24"/>
              </w:rPr>
            </w:pPr>
            <w:r>
              <w:rPr>
                <w:sz w:val="24"/>
              </w:rPr>
              <w:t>26.84</w:t>
            </w:r>
          </w:p>
        </w:tc>
      </w:tr>
      <w:tr>
        <w:trPr>
          <w:trHeight w:val="408" w:hRule="atLeast"/>
        </w:trPr>
        <w:tc>
          <w:tcPr>
            <w:tcW w:w="153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51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MOR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44.40 ± 1.21</w:t>
            </w:r>
          </w:p>
        </w:tc>
        <w:tc>
          <w:tcPr>
            <w:tcW w:w="1782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18.00 ± 0.89*</w:t>
            </w:r>
          </w:p>
        </w:tc>
        <w:tc>
          <w:tcPr>
            <w:tcW w:w="1215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40.54</w:t>
            </w:r>
          </w:p>
        </w:tc>
        <w:tc>
          <w:tcPr>
            <w:tcW w:w="1465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52.63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3.144005pt;margin-top:14.173963pt;width:453.436022pt;height:.48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9" w:lineRule="auto"/>
        <w:ind w:left="385" w:right="953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≤0.001 compared to distilled water group, </w:t>
      </w:r>
      <w:r>
        <w:rPr>
          <w:vertAlign w:val="superscript"/>
        </w:rPr>
        <w:t>#</w:t>
      </w:r>
      <w:r>
        <w:rPr>
          <w:i/>
          <w:vertAlign w:val="baseline"/>
        </w:rPr>
        <w:t>p</w:t>
      </w:r>
      <w:r>
        <w:rPr>
          <w:vertAlign w:val="baseline"/>
        </w:rPr>
        <w:t>≤0.01</w:t>
      </w:r>
      <w:r>
        <w:rPr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vertAlign w:val="superscript"/>
        </w:rPr>
        <w:t>##</w:t>
      </w:r>
      <w:r>
        <w:rPr>
          <w:i/>
          <w:vertAlign w:val="baseline"/>
        </w:rPr>
        <w:t>p</w:t>
      </w:r>
      <w:r>
        <w:rPr>
          <w:vertAlign w:val="baseline"/>
        </w:rPr>
        <w:t>≤0.001 compared to MECH, </w:t>
      </w:r>
      <w:r>
        <w:rPr>
          <w:vertAlign w:val="superscript"/>
        </w:rPr>
        <w:t>a</w:t>
      </w:r>
      <w:r>
        <w:rPr>
          <w:i/>
          <w:vertAlign w:val="baseline"/>
        </w:rPr>
        <w:t>p≤</w:t>
      </w:r>
      <w:r>
        <w:rPr>
          <w:vertAlign w:val="baseline"/>
        </w:rPr>
        <w:t>0.001 compared to MOR, </w:t>
      </w:r>
      <w:r>
        <w:rPr>
          <w:vertAlign w:val="superscript"/>
        </w:rPr>
        <w:t>1</w:t>
      </w:r>
      <w:r>
        <w:rPr>
          <w:i/>
          <w:vertAlign w:val="baseline"/>
        </w:rPr>
        <w:t>p≤</w:t>
      </w:r>
      <w:r>
        <w:rPr>
          <w:vertAlign w:val="baseline"/>
        </w:rPr>
        <w:t>0.01 and </w:t>
      </w:r>
      <w:r>
        <w:rPr>
          <w:vertAlign w:val="superscript"/>
        </w:rPr>
        <w:t>2</w:t>
      </w:r>
      <w:r>
        <w:rPr>
          <w:i/>
          <w:vertAlign w:val="baseline"/>
        </w:rPr>
        <w:t>p≤</w:t>
      </w:r>
      <w:r>
        <w:rPr>
          <w:vertAlign w:val="baseline"/>
        </w:rPr>
        <w:t>0.001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to PRA (One Way ANOVA followed by Bonferroni’s post hoc test), DW=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 Water, MECH= Methanol leaf extract of </w:t>
      </w:r>
      <w:r>
        <w:rPr>
          <w:i/>
          <w:vertAlign w:val="baseline"/>
        </w:rPr>
        <w:t>C. hypopilinum</w:t>
      </w:r>
      <w:r>
        <w:rPr>
          <w:vertAlign w:val="baseline"/>
        </w:rPr>
        <w:t>, PRA= Prazosin, MOR=</w:t>
      </w:r>
      <w:r>
        <w:rPr>
          <w:spacing w:val="1"/>
          <w:vertAlign w:val="baseline"/>
        </w:rPr>
        <w:t> </w:t>
      </w:r>
      <w:r>
        <w:rPr>
          <w:vertAlign w:val="baseline"/>
        </w:rPr>
        <w:t>Morphine,</w:t>
      </w:r>
      <w:r>
        <w:rPr>
          <w:spacing w:val="-1"/>
          <w:vertAlign w:val="baseline"/>
        </w:rPr>
        <w:t> </w:t>
      </w:r>
      <w:r>
        <w:rPr>
          <w:vertAlign w:val="baseline"/>
        </w:rPr>
        <w:t>n=5</w:t>
      </w:r>
    </w:p>
    <w:p>
      <w:pPr>
        <w:spacing w:after="0" w:line="249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 w:after="7"/>
        <w:ind w:right="957"/>
      </w:pPr>
      <w:r>
        <w:rPr/>
        <w:t>Appendix 6: Effect of Yohimbine on the Antidiarrhoeal Activity of Methanol Leaf</w:t>
      </w:r>
      <w:r>
        <w:rPr>
          <w:spacing w:val="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 </w:t>
      </w:r>
      <w:r>
        <w:rPr/>
        <w:t>in the</w:t>
      </w:r>
      <w:r>
        <w:rPr>
          <w:spacing w:val="-1"/>
        </w:rPr>
        <w:t> </w:t>
      </w:r>
      <w:r>
        <w:rPr/>
        <w:t>Intestinal Transit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1550"/>
        <w:gridCol w:w="1570"/>
        <w:gridCol w:w="1817"/>
        <w:gridCol w:w="1118"/>
        <w:gridCol w:w="1463"/>
      </w:tblGrid>
      <w:tr>
        <w:trPr>
          <w:trHeight w:val="827" w:hRule="atLeast"/>
        </w:trPr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right="104"/>
              <w:rPr>
                <w:sz w:val="24"/>
              </w:rPr>
            </w:pPr>
            <w:r>
              <w:rPr>
                <w:spacing w:val="-1"/>
                <w:sz w:val="24"/>
              </w:rPr>
              <w:t>Pretreatments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3" w:right="238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9" w:right="446" w:firstLine="62"/>
              <w:rPr>
                <w:sz w:val="24"/>
              </w:rPr>
            </w:pPr>
            <w:r>
              <w:rPr>
                <w:spacing w:val="-1"/>
                <w:sz w:val="24"/>
              </w:rPr>
              <w:t>Length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small</w:t>
            </w:r>
          </w:p>
          <w:p>
            <w:pPr>
              <w:pStyle w:val="TableParagraph"/>
              <w:spacing w:line="264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Intestine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21" w:right="547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travelled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 w:before="0"/>
              <w:ind w:left="121"/>
              <w:rPr>
                <w:sz w:val="24"/>
              </w:rPr>
            </w:pPr>
            <w:r>
              <w:rPr>
                <w:sz w:val="24"/>
              </w:rPr>
              <w:t>charcoal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21" w:right="123"/>
              <w:rPr>
                <w:sz w:val="24"/>
              </w:rPr>
            </w:pPr>
            <w:r>
              <w:rPr>
                <w:sz w:val="24"/>
              </w:rPr>
              <w:t>Peristalti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  <w:p>
            <w:pPr>
              <w:pStyle w:val="TableParagraph"/>
              <w:spacing w:line="264" w:lineRule="exact" w:before="0"/>
              <w:ind w:left="121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1" w:right="108"/>
              <w:rPr>
                <w:sz w:val="24"/>
              </w:rPr>
            </w:pPr>
            <w:r>
              <w:rPr>
                <w:sz w:val="24"/>
              </w:rPr>
              <w:t>% inhibition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charcoal</w:t>
            </w:r>
          </w:p>
          <w:p>
            <w:pPr>
              <w:pStyle w:val="TableParagraph"/>
              <w:spacing w:line="264" w:lineRule="exact" w:before="0"/>
              <w:ind w:left="141"/>
              <w:rPr>
                <w:sz w:val="24"/>
              </w:rPr>
            </w:pPr>
            <w:r>
              <w:rPr>
                <w:sz w:val="24"/>
              </w:rPr>
              <w:t>movement</w:t>
            </w:r>
          </w:p>
        </w:tc>
      </w:tr>
      <w:tr>
        <w:trPr>
          <w:trHeight w:val="410" w:hRule="atLeast"/>
        </w:trPr>
        <w:tc>
          <w:tcPr>
            <w:tcW w:w="1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90" w:right="148"/>
              <w:jc w:val="center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3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45.20 ± 1.66</w:t>
            </w:r>
          </w:p>
        </w:tc>
        <w:tc>
          <w:tcPr>
            <w:tcW w:w="1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1"/>
              <w:rPr>
                <w:sz w:val="24"/>
              </w:rPr>
            </w:pPr>
            <w:r>
              <w:rPr>
                <w:sz w:val="24"/>
              </w:rPr>
              <w:t>38.00 ± 2.21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1"/>
              <w:rPr>
                <w:sz w:val="24"/>
              </w:rPr>
            </w:pPr>
            <w:r>
              <w:rPr>
                <w:sz w:val="24"/>
              </w:rPr>
              <w:t>84.07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33" w:hRule="atLeast"/>
        </w:trPr>
        <w:tc>
          <w:tcPr>
            <w:tcW w:w="1538" w:type="dxa"/>
          </w:tcPr>
          <w:p>
            <w:pPr>
              <w:pStyle w:val="TableParagraph"/>
              <w:ind w:left="90" w:right="148"/>
              <w:jc w:val="center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5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43.60 ± 1.29</w:t>
            </w:r>
          </w:p>
        </w:tc>
        <w:tc>
          <w:tcPr>
            <w:tcW w:w="1817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12.00 ± 4.10***</w:t>
            </w:r>
          </w:p>
        </w:tc>
        <w:tc>
          <w:tcPr>
            <w:tcW w:w="1118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27.52</w:t>
            </w:r>
          </w:p>
        </w:tc>
        <w:tc>
          <w:tcPr>
            <w:tcW w:w="1463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68.42</w:t>
            </w:r>
          </w:p>
        </w:tc>
      </w:tr>
      <w:tr>
        <w:trPr>
          <w:trHeight w:val="635" w:hRule="atLeast"/>
        </w:trPr>
        <w:tc>
          <w:tcPr>
            <w:tcW w:w="1538" w:type="dxa"/>
          </w:tcPr>
          <w:p>
            <w:pPr>
              <w:pStyle w:val="TableParagraph"/>
              <w:spacing w:before="151"/>
              <w:ind w:left="90" w:right="148"/>
              <w:jc w:val="center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0" w:type="dxa"/>
          </w:tcPr>
          <w:p>
            <w:pPr>
              <w:pStyle w:val="TableParagraph"/>
              <w:spacing w:before="151"/>
              <w:ind w:left="113"/>
              <w:rPr>
                <w:sz w:val="24"/>
              </w:rPr>
            </w:pPr>
            <w:r>
              <w:rPr>
                <w:sz w:val="24"/>
              </w:rPr>
              <w:t>YOH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70" w:type="dxa"/>
          </w:tcPr>
          <w:p>
            <w:pPr>
              <w:pStyle w:val="TableParagraph"/>
              <w:spacing w:before="151"/>
              <w:ind w:left="109"/>
              <w:rPr>
                <w:sz w:val="24"/>
              </w:rPr>
            </w:pPr>
            <w:r>
              <w:rPr>
                <w:sz w:val="24"/>
              </w:rPr>
              <w:t>47.60 ± 0.98</w:t>
            </w:r>
          </w:p>
        </w:tc>
        <w:tc>
          <w:tcPr>
            <w:tcW w:w="1817" w:type="dxa"/>
          </w:tcPr>
          <w:p>
            <w:pPr>
              <w:pStyle w:val="TableParagraph"/>
              <w:spacing w:before="190"/>
              <w:ind w:left="121"/>
              <w:rPr>
                <w:sz w:val="24"/>
              </w:rPr>
            </w:pPr>
            <w:r>
              <w:rPr>
                <w:sz w:val="24"/>
              </w:rPr>
              <w:t>35.80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4.53</w:t>
            </w:r>
            <w:r>
              <w:rPr>
                <w:sz w:val="24"/>
                <w:vertAlign w:val="superscript"/>
              </w:rPr>
              <w:t>#a</w:t>
            </w:r>
          </w:p>
        </w:tc>
        <w:tc>
          <w:tcPr>
            <w:tcW w:w="1118" w:type="dxa"/>
          </w:tcPr>
          <w:p>
            <w:pPr>
              <w:pStyle w:val="TableParagraph"/>
              <w:spacing w:before="151"/>
              <w:ind w:left="121"/>
              <w:rPr>
                <w:sz w:val="24"/>
              </w:rPr>
            </w:pPr>
            <w:r>
              <w:rPr>
                <w:sz w:val="24"/>
              </w:rPr>
              <w:t>75.21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1"/>
              <w:ind w:left="141"/>
              <w:rPr>
                <w:sz w:val="24"/>
              </w:rPr>
            </w:pPr>
            <w:r>
              <w:rPr>
                <w:sz w:val="24"/>
              </w:rPr>
              <w:t>5.79</w:t>
            </w:r>
          </w:p>
        </w:tc>
      </w:tr>
      <w:tr>
        <w:trPr>
          <w:trHeight w:val="558" w:hRule="atLeast"/>
        </w:trPr>
        <w:tc>
          <w:tcPr>
            <w:tcW w:w="1538" w:type="dxa"/>
          </w:tcPr>
          <w:p>
            <w:pPr>
              <w:pStyle w:val="TableParagraph"/>
              <w:spacing w:before="159"/>
              <w:ind w:left="90" w:right="148"/>
              <w:jc w:val="center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0" w:type="dxa"/>
          </w:tcPr>
          <w:p>
            <w:pPr>
              <w:pStyle w:val="TableParagraph"/>
              <w:spacing w:before="159"/>
              <w:ind w:left="113"/>
              <w:rPr>
                <w:sz w:val="24"/>
              </w:rPr>
            </w:pPr>
            <w:r>
              <w:rPr>
                <w:sz w:val="24"/>
              </w:rPr>
              <w:t>MOR 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70" w:type="dxa"/>
          </w:tcPr>
          <w:p>
            <w:pPr>
              <w:pStyle w:val="TableParagraph"/>
              <w:spacing w:before="159"/>
              <w:ind w:left="109"/>
              <w:rPr>
                <w:sz w:val="24"/>
              </w:rPr>
            </w:pPr>
            <w:r>
              <w:rPr>
                <w:sz w:val="24"/>
              </w:rPr>
              <w:t>43.60 ± 0.51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9"/>
              <w:ind w:left="121"/>
              <w:rPr>
                <w:sz w:val="24"/>
              </w:rPr>
            </w:pPr>
            <w:r>
              <w:rPr>
                <w:sz w:val="24"/>
              </w:rPr>
              <w:t>18.80 ±1.98*</w:t>
            </w:r>
          </w:p>
        </w:tc>
        <w:tc>
          <w:tcPr>
            <w:tcW w:w="1118" w:type="dxa"/>
          </w:tcPr>
          <w:p>
            <w:pPr>
              <w:pStyle w:val="TableParagraph"/>
              <w:spacing w:before="159"/>
              <w:ind w:left="121"/>
              <w:rPr>
                <w:sz w:val="24"/>
              </w:rPr>
            </w:pPr>
            <w:r>
              <w:rPr>
                <w:sz w:val="24"/>
              </w:rPr>
              <w:t>43.11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9"/>
              <w:ind w:left="141"/>
              <w:rPr>
                <w:sz w:val="24"/>
              </w:rPr>
            </w:pPr>
            <w:r>
              <w:rPr>
                <w:sz w:val="24"/>
              </w:rPr>
              <w:t>50.53</w:t>
            </w:r>
          </w:p>
        </w:tc>
      </w:tr>
      <w:tr>
        <w:trPr>
          <w:trHeight w:val="571" w:hRule="atLeast"/>
        </w:trPr>
        <w:tc>
          <w:tcPr>
            <w:tcW w:w="1538" w:type="dxa"/>
          </w:tcPr>
          <w:p>
            <w:pPr>
              <w:pStyle w:val="TableParagraph"/>
              <w:spacing w:before="153"/>
              <w:ind w:left="8" w:right="148"/>
              <w:jc w:val="center"/>
              <w:rPr>
                <w:sz w:val="24"/>
              </w:rPr>
            </w:pPr>
            <w:r>
              <w:rPr>
                <w:sz w:val="24"/>
              </w:rPr>
              <w:t>YOH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50" w:type="dxa"/>
          </w:tcPr>
          <w:p>
            <w:pPr>
              <w:pStyle w:val="TableParagraph"/>
              <w:spacing w:before="153"/>
              <w:ind w:left="113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570" w:type="dxa"/>
          </w:tcPr>
          <w:p>
            <w:pPr>
              <w:pStyle w:val="TableParagraph"/>
              <w:spacing w:before="153"/>
              <w:ind w:left="109"/>
              <w:rPr>
                <w:sz w:val="24"/>
              </w:rPr>
            </w:pPr>
            <w:r>
              <w:rPr>
                <w:sz w:val="24"/>
              </w:rPr>
              <w:t>49.40 ± 0.81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3"/>
              <w:ind w:left="121"/>
              <w:rPr>
                <w:sz w:val="24"/>
              </w:rPr>
            </w:pPr>
            <w:r>
              <w:rPr>
                <w:sz w:val="24"/>
              </w:rPr>
              <w:t>17.20 ± 2.60**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118" w:type="dxa"/>
          </w:tcPr>
          <w:p>
            <w:pPr>
              <w:pStyle w:val="TableParagraph"/>
              <w:spacing w:before="153"/>
              <w:ind w:left="121"/>
              <w:rPr>
                <w:sz w:val="24"/>
              </w:rPr>
            </w:pPr>
            <w:r>
              <w:rPr>
                <w:sz w:val="24"/>
              </w:rPr>
              <w:t>34.82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3"/>
              <w:ind w:left="141"/>
              <w:rPr>
                <w:sz w:val="24"/>
              </w:rPr>
            </w:pPr>
            <w:r>
              <w:rPr>
                <w:sz w:val="24"/>
              </w:rPr>
              <w:t>54.74</w:t>
            </w:r>
          </w:p>
        </w:tc>
      </w:tr>
      <w:tr>
        <w:trPr>
          <w:trHeight w:val="408" w:hRule="atLeast"/>
        </w:trPr>
        <w:tc>
          <w:tcPr>
            <w:tcW w:w="1538" w:type="dxa"/>
          </w:tcPr>
          <w:p>
            <w:pPr>
              <w:pStyle w:val="TableParagraph"/>
              <w:spacing w:line="256" w:lineRule="exact"/>
              <w:ind w:left="8" w:right="148"/>
              <w:jc w:val="center"/>
              <w:rPr>
                <w:sz w:val="24"/>
              </w:rPr>
            </w:pPr>
            <w:r>
              <w:rPr>
                <w:sz w:val="24"/>
              </w:rPr>
              <w:t>YOH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50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MOR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7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45.80 ± 1.11</w:t>
            </w:r>
          </w:p>
        </w:tc>
        <w:tc>
          <w:tcPr>
            <w:tcW w:w="1817" w:type="dxa"/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22.60 ± 4.84</w:t>
            </w:r>
          </w:p>
        </w:tc>
        <w:tc>
          <w:tcPr>
            <w:tcW w:w="1118" w:type="dxa"/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49.34</w:t>
            </w:r>
          </w:p>
        </w:tc>
        <w:tc>
          <w:tcPr>
            <w:tcW w:w="1463" w:type="dxa"/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40. 53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3.144005pt;margin-top:14.173963pt;width:453.436022pt;height:.48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52" w:lineRule="auto"/>
        <w:ind w:left="385" w:right="952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≤0.01 and **</w:t>
      </w:r>
      <w:r>
        <w:rPr>
          <w:i/>
        </w:rPr>
        <w:t>p</w:t>
      </w:r>
      <w:r>
        <w:rPr/>
        <w:t>≤0.001 compared to distilled water</w:t>
      </w:r>
      <w:r>
        <w:rPr>
          <w:spacing w:val="1"/>
        </w:rPr>
        <w:t> </w:t>
      </w:r>
      <w:r>
        <w:rPr/>
        <w:t>group,</w:t>
      </w:r>
      <w:r>
        <w:rPr>
          <w:spacing w:val="49"/>
        </w:rPr>
        <w:t> </w:t>
      </w:r>
      <w:r>
        <w:rPr>
          <w:vertAlign w:val="superscript"/>
        </w:rPr>
        <w:t>#</w:t>
      </w:r>
      <w:r>
        <w:rPr>
          <w:i/>
          <w:vertAlign w:val="baseline"/>
        </w:rPr>
        <w:t>p</w:t>
      </w:r>
      <w:r>
        <w:rPr>
          <w:vertAlign w:val="baseline"/>
        </w:rPr>
        <w:t>≤0.01</w:t>
      </w:r>
      <w:r>
        <w:rPr>
          <w:spacing w:val="49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50"/>
          <w:vertAlign w:val="baseline"/>
        </w:rPr>
        <w:t> </w:t>
      </w:r>
      <w:r>
        <w:rPr>
          <w:vertAlign w:val="baseline"/>
        </w:rPr>
        <w:t>to</w:t>
      </w:r>
      <w:r>
        <w:rPr>
          <w:spacing w:val="49"/>
          <w:vertAlign w:val="baseline"/>
        </w:rPr>
        <w:t> </w:t>
      </w:r>
      <w:r>
        <w:rPr>
          <w:vertAlign w:val="baseline"/>
        </w:rPr>
        <w:t>MECH,</w:t>
      </w:r>
      <w:r>
        <w:rPr>
          <w:spacing w:val="49"/>
          <w:vertAlign w:val="baseline"/>
        </w:rPr>
        <w:t> </w:t>
      </w:r>
      <w:r>
        <w:rPr>
          <w:vertAlign w:val="superscript"/>
        </w:rPr>
        <w:t>a</w:t>
      </w:r>
      <w:r>
        <w:rPr>
          <w:i/>
          <w:vertAlign w:val="baseline"/>
        </w:rPr>
        <w:t>p≤</w:t>
      </w:r>
      <w:r>
        <w:rPr>
          <w:vertAlign w:val="baseline"/>
        </w:rPr>
        <w:t>0.05</w:t>
      </w:r>
      <w:r>
        <w:rPr>
          <w:spacing w:val="49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50"/>
          <w:vertAlign w:val="baseline"/>
        </w:rPr>
        <w:t> </w:t>
      </w:r>
      <w:r>
        <w:rPr>
          <w:vertAlign w:val="baseline"/>
        </w:rPr>
        <w:t>to</w:t>
      </w:r>
      <w:r>
        <w:rPr>
          <w:spacing w:val="49"/>
          <w:vertAlign w:val="baseline"/>
        </w:rPr>
        <w:t> </w:t>
      </w:r>
      <w:r>
        <w:rPr>
          <w:vertAlign w:val="baseline"/>
        </w:rPr>
        <w:t>MOR,</w:t>
      </w:r>
      <w:r>
        <w:rPr>
          <w:spacing w:val="51"/>
          <w:vertAlign w:val="baseline"/>
        </w:rPr>
        <w:t> </w:t>
      </w:r>
      <w:r>
        <w:rPr>
          <w:vertAlign w:val="superscript"/>
        </w:rPr>
        <w:t>1</w:t>
      </w:r>
      <w:r>
        <w:rPr>
          <w:i/>
          <w:vertAlign w:val="baseline"/>
        </w:rPr>
        <w:t>p≤</w:t>
      </w:r>
      <w:r>
        <w:rPr>
          <w:vertAlign w:val="baseline"/>
        </w:rPr>
        <w:t>0.05</w:t>
      </w:r>
      <w:r>
        <w:rPr>
          <w:spacing w:val="49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50"/>
          <w:vertAlign w:val="baseline"/>
        </w:rPr>
        <w:t> </w:t>
      </w:r>
      <w:r>
        <w:rPr>
          <w:vertAlign w:val="baseline"/>
        </w:rPr>
        <w:t>to</w:t>
      </w:r>
      <w:r>
        <w:rPr>
          <w:spacing w:val="-58"/>
          <w:vertAlign w:val="baseline"/>
        </w:rPr>
        <w:t> </w:t>
      </w:r>
      <w:r>
        <w:rPr>
          <w:vertAlign w:val="baseline"/>
        </w:rPr>
        <w:t>YOH (One Way ANOVA followed by Bonferroni’s post hoc test), DW= Distilled Water,</w:t>
      </w:r>
      <w:r>
        <w:rPr>
          <w:spacing w:val="1"/>
          <w:vertAlign w:val="baseline"/>
        </w:rPr>
        <w:t> </w:t>
      </w:r>
      <w:r>
        <w:rPr>
          <w:vertAlign w:val="baseline"/>
        </w:rPr>
        <w:t>MECH= Methanol leaf extract of </w:t>
      </w:r>
      <w:r>
        <w:rPr>
          <w:i/>
          <w:vertAlign w:val="baseline"/>
        </w:rPr>
        <w:t>C. hypopilinum</w:t>
      </w:r>
      <w:r>
        <w:rPr>
          <w:vertAlign w:val="baseline"/>
        </w:rPr>
        <w:t>, YOH= Yohimbine, MOR= Morphine,</w:t>
      </w:r>
      <w:r>
        <w:rPr>
          <w:spacing w:val="1"/>
          <w:vertAlign w:val="baseline"/>
        </w:rPr>
        <w:t> </w:t>
      </w:r>
      <w:r>
        <w:rPr>
          <w:vertAlign w:val="baseline"/>
        </w:rPr>
        <w:t>n=5</w:t>
      </w:r>
    </w:p>
    <w:p>
      <w:pPr>
        <w:spacing w:after="0" w:line="252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 w:after="7"/>
        <w:ind w:right="958"/>
      </w:pPr>
      <w:r>
        <w:rPr/>
        <w:t>Appendix 7: Effect of Propranolol on the Antidiarrhoeal Activity of Methanol 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 </w:t>
      </w:r>
      <w:r>
        <w:rPr/>
        <w:t>in the</w:t>
      </w:r>
      <w:r>
        <w:rPr>
          <w:spacing w:val="-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Transit</w:t>
      </w:r>
      <w:r>
        <w:rPr>
          <w:spacing w:val="1"/>
        </w:rPr>
        <w:t> </w:t>
      </w:r>
      <w:r>
        <w:rPr/>
        <w:t>in Mice</w:t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1589"/>
        <w:gridCol w:w="1626"/>
        <w:gridCol w:w="1798"/>
        <w:gridCol w:w="1363"/>
        <w:gridCol w:w="1826"/>
      </w:tblGrid>
      <w:tr>
        <w:trPr>
          <w:trHeight w:val="827" w:hRule="atLeast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right="106"/>
              <w:rPr>
                <w:sz w:val="24"/>
              </w:rPr>
            </w:pPr>
            <w:r>
              <w:rPr>
                <w:spacing w:val="-1"/>
                <w:sz w:val="24"/>
              </w:rPr>
              <w:t>Pretreatments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5" w:right="274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7" w:right="26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small</w:t>
            </w:r>
          </w:p>
          <w:p>
            <w:pPr>
              <w:pStyle w:val="TableParagraph"/>
              <w:spacing w:line="264" w:lineRule="exact" w:before="0"/>
              <w:ind w:left="147"/>
              <w:rPr>
                <w:sz w:val="24"/>
              </w:rPr>
            </w:pPr>
            <w:r>
              <w:rPr>
                <w:sz w:val="24"/>
              </w:rPr>
              <w:t>Intestine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1" w:right="508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travelled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 w:before="0"/>
              <w:ind w:left="141"/>
              <w:rPr>
                <w:sz w:val="24"/>
              </w:rPr>
            </w:pPr>
            <w:r>
              <w:rPr>
                <w:sz w:val="24"/>
              </w:rPr>
              <w:t>charcoal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3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3" w:right="240"/>
              <w:rPr>
                <w:sz w:val="24"/>
              </w:rPr>
            </w:pPr>
            <w:r>
              <w:rPr>
                <w:sz w:val="24"/>
              </w:rPr>
              <w:t>Peristaltic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57" w:right="95"/>
              <w:rPr>
                <w:sz w:val="24"/>
              </w:rPr>
            </w:pPr>
            <w:r>
              <w:rPr>
                <w:sz w:val="24"/>
              </w:rPr>
              <w:t>% inhibition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charcoal</w:t>
            </w:r>
          </w:p>
          <w:p>
            <w:pPr>
              <w:pStyle w:val="TableParagraph"/>
              <w:spacing w:line="264" w:lineRule="exact" w:before="0"/>
              <w:ind w:left="257"/>
              <w:rPr>
                <w:sz w:val="24"/>
              </w:rPr>
            </w:pPr>
            <w:r>
              <w:rPr>
                <w:sz w:val="24"/>
              </w:rPr>
              <w:t>movement</w:t>
            </w:r>
          </w:p>
        </w:tc>
      </w:tr>
      <w:tr>
        <w:trPr>
          <w:trHeight w:val="410" w:hRule="atLeast"/>
        </w:trPr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7"/>
              <w:rPr>
                <w:sz w:val="24"/>
              </w:rPr>
            </w:pPr>
            <w:r>
              <w:rPr>
                <w:sz w:val="24"/>
              </w:rPr>
              <w:t>45.20 ± 1.66</w:t>
            </w: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1"/>
              <w:rPr>
                <w:sz w:val="24"/>
              </w:rPr>
            </w:pPr>
            <w:r>
              <w:rPr>
                <w:sz w:val="24"/>
              </w:rPr>
              <w:t>38.00 ± 2.21</w:t>
            </w:r>
          </w:p>
        </w:tc>
        <w:tc>
          <w:tcPr>
            <w:tcW w:w="13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3"/>
              <w:rPr>
                <w:sz w:val="24"/>
              </w:rPr>
            </w:pPr>
            <w:r>
              <w:rPr>
                <w:sz w:val="24"/>
              </w:rPr>
              <w:t>84.07</w:t>
            </w:r>
          </w:p>
        </w:tc>
        <w:tc>
          <w:tcPr>
            <w:tcW w:w="1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0" w:right="7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5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8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626" w:type="dxa"/>
          </w:tcPr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43.60 ± 1.29</w:t>
            </w:r>
          </w:p>
        </w:tc>
        <w:tc>
          <w:tcPr>
            <w:tcW w:w="1798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12.00 ± 4.10**</w:t>
            </w:r>
          </w:p>
        </w:tc>
        <w:tc>
          <w:tcPr>
            <w:tcW w:w="1363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27.52</w:t>
            </w:r>
          </w:p>
        </w:tc>
        <w:tc>
          <w:tcPr>
            <w:tcW w:w="1826" w:type="dxa"/>
          </w:tcPr>
          <w:p>
            <w:pPr>
              <w:pStyle w:val="TableParagraph"/>
              <w:ind w:left="239" w:right="1007"/>
              <w:jc w:val="center"/>
              <w:rPr>
                <w:sz w:val="24"/>
              </w:rPr>
            </w:pPr>
            <w:r>
              <w:rPr>
                <w:sz w:val="24"/>
              </w:rPr>
              <w:t>68.42</w:t>
            </w:r>
          </w:p>
        </w:tc>
      </w:tr>
      <w:tr>
        <w:trPr>
          <w:trHeight w:val="551" w:hRule="atLeast"/>
        </w:trPr>
        <w:tc>
          <w:tcPr>
            <w:tcW w:w="15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8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(</w:t>
            </w:r>
            <w:r>
              <w:rPr>
                <w:i/>
                <w:sz w:val="24"/>
              </w:rPr>
              <w:t>i.p</w:t>
            </w:r>
            <w:r>
              <w:rPr>
                <w:sz w:val="24"/>
              </w:rPr>
              <w:t>)</w:t>
            </w:r>
          </w:p>
        </w:tc>
        <w:tc>
          <w:tcPr>
            <w:tcW w:w="1626" w:type="dxa"/>
          </w:tcPr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44.20 ± 1.16</w:t>
            </w:r>
          </w:p>
        </w:tc>
        <w:tc>
          <w:tcPr>
            <w:tcW w:w="1798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25.80 ± 5.26</w:t>
            </w:r>
          </w:p>
        </w:tc>
        <w:tc>
          <w:tcPr>
            <w:tcW w:w="1363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58.37</w:t>
            </w:r>
          </w:p>
        </w:tc>
        <w:tc>
          <w:tcPr>
            <w:tcW w:w="1826" w:type="dxa"/>
          </w:tcPr>
          <w:p>
            <w:pPr>
              <w:pStyle w:val="TableParagraph"/>
              <w:ind w:left="239" w:right="1007"/>
              <w:jc w:val="center"/>
              <w:rPr>
                <w:sz w:val="24"/>
              </w:rPr>
            </w:pPr>
            <w:r>
              <w:rPr>
                <w:sz w:val="24"/>
              </w:rPr>
              <w:t>32.11</w:t>
            </w:r>
          </w:p>
        </w:tc>
      </w:tr>
      <w:tr>
        <w:trPr>
          <w:trHeight w:val="552" w:hRule="atLeast"/>
        </w:trPr>
        <w:tc>
          <w:tcPr>
            <w:tcW w:w="15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8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MOR 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626" w:type="dxa"/>
          </w:tcPr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43.60 ± 1.14</w:t>
            </w:r>
          </w:p>
        </w:tc>
        <w:tc>
          <w:tcPr>
            <w:tcW w:w="1798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18.80 ± 1.98*</w:t>
            </w:r>
          </w:p>
        </w:tc>
        <w:tc>
          <w:tcPr>
            <w:tcW w:w="1363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43.12</w:t>
            </w:r>
          </w:p>
        </w:tc>
        <w:tc>
          <w:tcPr>
            <w:tcW w:w="1826" w:type="dxa"/>
          </w:tcPr>
          <w:p>
            <w:pPr>
              <w:pStyle w:val="TableParagraph"/>
              <w:ind w:left="239" w:right="1007"/>
              <w:jc w:val="center"/>
              <w:rPr>
                <w:sz w:val="24"/>
              </w:rPr>
            </w:pPr>
            <w:r>
              <w:rPr>
                <w:sz w:val="24"/>
              </w:rPr>
              <w:t>50.53</w:t>
            </w:r>
          </w:p>
        </w:tc>
      </w:tr>
      <w:tr>
        <w:trPr>
          <w:trHeight w:val="552" w:hRule="atLeast"/>
        </w:trPr>
        <w:tc>
          <w:tcPr>
            <w:tcW w:w="15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(</w:t>
            </w:r>
            <w:r>
              <w:rPr>
                <w:i/>
                <w:sz w:val="24"/>
              </w:rPr>
              <w:t>i.p</w:t>
            </w:r>
            <w:r>
              <w:rPr>
                <w:sz w:val="24"/>
              </w:rPr>
              <w:t>)</w:t>
            </w:r>
          </w:p>
        </w:tc>
        <w:tc>
          <w:tcPr>
            <w:tcW w:w="1589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626" w:type="dxa"/>
          </w:tcPr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47.80 ± 1.28</w:t>
            </w:r>
          </w:p>
        </w:tc>
        <w:tc>
          <w:tcPr>
            <w:tcW w:w="1798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25.40 ± 1.94</w:t>
            </w:r>
          </w:p>
        </w:tc>
        <w:tc>
          <w:tcPr>
            <w:tcW w:w="1363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53.14</w:t>
            </w:r>
          </w:p>
        </w:tc>
        <w:tc>
          <w:tcPr>
            <w:tcW w:w="1826" w:type="dxa"/>
          </w:tcPr>
          <w:p>
            <w:pPr>
              <w:pStyle w:val="TableParagraph"/>
              <w:ind w:left="239" w:right="1007"/>
              <w:jc w:val="center"/>
              <w:rPr>
                <w:sz w:val="24"/>
              </w:rPr>
            </w:pPr>
            <w:r>
              <w:rPr>
                <w:sz w:val="24"/>
              </w:rPr>
              <w:t>33.16</w:t>
            </w:r>
          </w:p>
        </w:tc>
      </w:tr>
      <w:tr>
        <w:trPr>
          <w:trHeight w:val="408" w:hRule="atLeast"/>
        </w:trPr>
        <w:tc>
          <w:tcPr>
            <w:tcW w:w="154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(</w:t>
            </w:r>
            <w:r>
              <w:rPr>
                <w:i/>
                <w:sz w:val="24"/>
              </w:rPr>
              <w:t>i.p</w:t>
            </w:r>
            <w:r>
              <w:rPr>
                <w:sz w:val="24"/>
              </w:rPr>
              <w:t>)</w:t>
            </w:r>
          </w:p>
        </w:tc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626" w:type="dxa"/>
          </w:tcPr>
          <w:p>
            <w:pPr>
              <w:pStyle w:val="TableParagraph"/>
              <w:spacing w:line="256" w:lineRule="exact"/>
              <w:ind w:left="207"/>
              <w:rPr>
                <w:sz w:val="24"/>
              </w:rPr>
            </w:pPr>
            <w:r>
              <w:rPr>
                <w:sz w:val="24"/>
              </w:rPr>
              <w:t>44.20 ± 0.59</w:t>
            </w:r>
          </w:p>
        </w:tc>
        <w:tc>
          <w:tcPr>
            <w:tcW w:w="1798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24.40 ± 3.72</w:t>
            </w:r>
          </w:p>
        </w:tc>
        <w:tc>
          <w:tcPr>
            <w:tcW w:w="1363" w:type="dxa"/>
          </w:tcPr>
          <w:p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55.20</w:t>
            </w:r>
          </w:p>
        </w:tc>
        <w:tc>
          <w:tcPr>
            <w:tcW w:w="1826" w:type="dxa"/>
          </w:tcPr>
          <w:p>
            <w:pPr>
              <w:pStyle w:val="TableParagraph"/>
              <w:spacing w:line="256" w:lineRule="exact"/>
              <w:ind w:left="239" w:right="1007"/>
              <w:jc w:val="center"/>
              <w:rPr>
                <w:sz w:val="24"/>
              </w:rPr>
            </w:pPr>
            <w:r>
              <w:rPr>
                <w:sz w:val="24"/>
              </w:rPr>
              <w:t>35.79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3.144005pt;margin-top:14.173963pt;width:487.756023pt;height:.48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85" w:right="951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≤0.01 and **</w:t>
      </w:r>
      <w:r>
        <w:rPr>
          <w:i/>
        </w:rPr>
        <w:t>p</w:t>
      </w:r>
      <w:r>
        <w:rPr/>
        <w:t>≤0.001, compared to distilled water</w:t>
      </w:r>
      <w:r>
        <w:rPr>
          <w:spacing w:val="1"/>
        </w:rPr>
        <w:t> </w:t>
      </w:r>
      <w:r>
        <w:rPr/>
        <w:t>group, (One way ANOVA followed by Bonferroni’s Post Hoc test), DW= Distilled Water,</w:t>
      </w:r>
      <w:r>
        <w:rPr>
          <w:spacing w:val="1"/>
        </w:rPr>
        <w:t> </w:t>
      </w:r>
      <w:r>
        <w:rPr/>
        <w:t>MECH= Methanol leaf extract of </w:t>
      </w:r>
      <w:r>
        <w:rPr>
          <w:i/>
        </w:rPr>
        <w:t>C. hypopilinum</w:t>
      </w:r>
      <w:r>
        <w:rPr/>
        <w:t>, PRO= Propranolol, MOR= Morphine,</w:t>
      </w:r>
      <w:r>
        <w:rPr>
          <w:spacing w:val="1"/>
        </w:rPr>
        <w:t> </w:t>
      </w:r>
      <w:r>
        <w:rPr/>
        <w:t>n=5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 w:after="7"/>
        <w:ind w:right="959"/>
      </w:pPr>
      <w:r>
        <w:rPr/>
        <w:t>Appendix 8: Effect of Pilocarpine on the Antidiarrhoeal Activity of Methanol 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-1"/>
        </w:rPr>
        <w:t> </w:t>
      </w:r>
      <w:r>
        <w:rPr>
          <w:i/>
        </w:rPr>
        <w:t>hypopilinum </w:t>
      </w:r>
      <w:r>
        <w:rPr/>
        <w:t>in the</w:t>
      </w:r>
      <w:r>
        <w:rPr>
          <w:spacing w:val="-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Transit in</w:t>
      </w:r>
      <w:r>
        <w:rPr>
          <w:spacing w:val="1"/>
        </w:rPr>
        <w:t> </w:t>
      </w:r>
      <w:r>
        <w:rPr/>
        <w:t>Mice</w:t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1553"/>
        <w:gridCol w:w="1677"/>
        <w:gridCol w:w="1861"/>
        <w:gridCol w:w="1271"/>
        <w:gridCol w:w="1548"/>
      </w:tblGrid>
      <w:tr>
        <w:trPr>
          <w:trHeight w:val="827" w:hRule="atLeast"/>
        </w:trPr>
        <w:tc>
          <w:tcPr>
            <w:tcW w:w="15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right="105"/>
              <w:rPr>
                <w:sz w:val="24"/>
              </w:rPr>
            </w:pPr>
            <w:r>
              <w:rPr>
                <w:spacing w:val="-1"/>
                <w:sz w:val="24"/>
              </w:rPr>
              <w:t>Pretreatments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" w:right="239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3" w:right="122"/>
              <w:rPr>
                <w:sz w:val="24"/>
              </w:rPr>
            </w:pPr>
            <w:r>
              <w:rPr>
                <w:sz w:val="24"/>
              </w:rPr>
              <w:t>Length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  <w:p>
            <w:pPr>
              <w:pStyle w:val="TableParagraph"/>
              <w:spacing w:line="264" w:lineRule="exact" w:before="0"/>
              <w:ind w:left="143"/>
              <w:rPr>
                <w:sz w:val="24"/>
              </w:rPr>
            </w:pPr>
            <w:r>
              <w:rPr>
                <w:sz w:val="24"/>
              </w:rPr>
              <w:t>(cm)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27" w:right="585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travelled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 w:before="0"/>
              <w:ind w:left="127"/>
              <w:rPr>
                <w:sz w:val="24"/>
              </w:rPr>
            </w:pPr>
            <w:r>
              <w:rPr>
                <w:sz w:val="24"/>
              </w:rPr>
              <w:t>charcoal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58" w:right="133"/>
              <w:rPr>
                <w:sz w:val="24"/>
              </w:rPr>
            </w:pPr>
            <w:r>
              <w:rPr>
                <w:sz w:val="24"/>
              </w:rPr>
              <w:t>Peristaltic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7" w:right="187"/>
              <w:rPr>
                <w:sz w:val="24"/>
              </w:rPr>
            </w:pPr>
            <w:r>
              <w:rPr>
                <w:sz w:val="24"/>
              </w:rPr>
              <w:t>% inhibition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charcoal</w:t>
            </w:r>
          </w:p>
          <w:p>
            <w:pPr>
              <w:pStyle w:val="TableParagraph"/>
              <w:spacing w:line="264" w:lineRule="exact" w:before="0"/>
              <w:ind w:left="147"/>
              <w:rPr>
                <w:sz w:val="24"/>
              </w:rPr>
            </w:pPr>
            <w:r>
              <w:rPr>
                <w:sz w:val="24"/>
              </w:rPr>
              <w:t>movement</w:t>
            </w:r>
          </w:p>
        </w:tc>
      </w:tr>
      <w:tr>
        <w:trPr>
          <w:trHeight w:val="410" w:hRule="atLeast"/>
        </w:trPr>
        <w:tc>
          <w:tcPr>
            <w:tcW w:w="1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85" w:right="240"/>
              <w:jc w:val="center"/>
              <w:rPr>
                <w:sz w:val="24"/>
              </w:rPr>
            </w:pPr>
            <w:r>
              <w:rPr>
                <w:sz w:val="24"/>
              </w:rPr>
              <w:t>45.20 ± 1.66</w:t>
            </w:r>
          </w:p>
        </w:tc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7"/>
              <w:rPr>
                <w:sz w:val="24"/>
              </w:rPr>
            </w:pPr>
            <w:r>
              <w:rPr>
                <w:sz w:val="24"/>
              </w:rPr>
              <w:t>38.00 ± 2.21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8"/>
              <w:rPr>
                <w:sz w:val="24"/>
              </w:rPr>
            </w:pPr>
            <w:r>
              <w:rPr>
                <w:sz w:val="24"/>
              </w:rPr>
              <w:t>84.07</w:t>
            </w:r>
          </w:p>
        </w:tc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677" w:type="dxa"/>
          </w:tcPr>
          <w:p>
            <w:pPr>
              <w:pStyle w:val="TableParagraph"/>
              <w:ind w:left="185" w:right="240"/>
              <w:jc w:val="center"/>
              <w:rPr>
                <w:sz w:val="24"/>
              </w:rPr>
            </w:pPr>
            <w:r>
              <w:rPr>
                <w:sz w:val="24"/>
              </w:rPr>
              <w:t>43.60 ± 1.29</w:t>
            </w:r>
          </w:p>
        </w:tc>
        <w:tc>
          <w:tcPr>
            <w:tcW w:w="1861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12.00 ± 4.10***</w:t>
            </w:r>
          </w:p>
        </w:tc>
        <w:tc>
          <w:tcPr>
            <w:tcW w:w="1271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27.52</w:t>
            </w:r>
          </w:p>
        </w:tc>
        <w:tc>
          <w:tcPr>
            <w:tcW w:w="1548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68.42</w:t>
            </w:r>
          </w:p>
        </w:tc>
      </w:tr>
      <w:tr>
        <w:trPr>
          <w:trHeight w:val="551" w:hRule="atLeast"/>
        </w:trPr>
        <w:tc>
          <w:tcPr>
            <w:tcW w:w="1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PIL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677" w:type="dxa"/>
          </w:tcPr>
          <w:p>
            <w:pPr>
              <w:pStyle w:val="TableParagraph"/>
              <w:ind w:left="185" w:right="240"/>
              <w:jc w:val="center"/>
              <w:rPr>
                <w:sz w:val="24"/>
              </w:rPr>
            </w:pPr>
            <w:r>
              <w:rPr>
                <w:sz w:val="24"/>
              </w:rPr>
              <w:t>43.20 ± 1.83</w:t>
            </w:r>
          </w:p>
        </w:tc>
        <w:tc>
          <w:tcPr>
            <w:tcW w:w="1861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30.00 ± 2.66</w:t>
            </w:r>
          </w:p>
        </w:tc>
        <w:tc>
          <w:tcPr>
            <w:tcW w:w="1271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69.44</w:t>
            </w:r>
          </w:p>
        </w:tc>
        <w:tc>
          <w:tcPr>
            <w:tcW w:w="1548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</w:tr>
      <w:tr>
        <w:trPr>
          <w:trHeight w:val="552" w:hRule="atLeast"/>
        </w:trPr>
        <w:tc>
          <w:tcPr>
            <w:tcW w:w="1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ATR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ind w:left="185" w:right="240"/>
              <w:jc w:val="center"/>
              <w:rPr>
                <w:sz w:val="24"/>
              </w:rPr>
            </w:pPr>
            <w:r>
              <w:rPr>
                <w:sz w:val="24"/>
              </w:rPr>
              <w:t>47.20 ± 1.80</w:t>
            </w:r>
          </w:p>
        </w:tc>
        <w:tc>
          <w:tcPr>
            <w:tcW w:w="1861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16.6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1.29*</w:t>
            </w:r>
          </w:p>
        </w:tc>
        <w:tc>
          <w:tcPr>
            <w:tcW w:w="1271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35.17</w:t>
            </w:r>
          </w:p>
        </w:tc>
        <w:tc>
          <w:tcPr>
            <w:tcW w:w="1548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56.32</w:t>
            </w:r>
          </w:p>
        </w:tc>
      </w:tr>
      <w:tr>
        <w:trPr>
          <w:trHeight w:val="552" w:hRule="atLeast"/>
        </w:trPr>
        <w:tc>
          <w:tcPr>
            <w:tcW w:w="1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5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677" w:type="dxa"/>
          </w:tcPr>
          <w:p>
            <w:pPr>
              <w:pStyle w:val="TableParagraph"/>
              <w:ind w:left="185" w:right="240"/>
              <w:jc w:val="center"/>
              <w:rPr>
                <w:sz w:val="24"/>
              </w:rPr>
            </w:pPr>
            <w:r>
              <w:rPr>
                <w:sz w:val="24"/>
              </w:rPr>
              <w:t>43.80 ± 1.66</w:t>
            </w:r>
          </w:p>
        </w:tc>
        <w:tc>
          <w:tcPr>
            <w:tcW w:w="1861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14.40 ± 6.22**</w:t>
            </w:r>
          </w:p>
        </w:tc>
        <w:tc>
          <w:tcPr>
            <w:tcW w:w="1271" w:type="dxa"/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32.88</w:t>
            </w:r>
          </w:p>
        </w:tc>
        <w:tc>
          <w:tcPr>
            <w:tcW w:w="1548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62.11</w:t>
            </w:r>
          </w:p>
        </w:tc>
      </w:tr>
      <w:tr>
        <w:trPr>
          <w:trHeight w:val="408" w:hRule="atLeast"/>
        </w:trPr>
        <w:tc>
          <w:tcPr>
            <w:tcW w:w="153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53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ATR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spacing w:line="256" w:lineRule="exact"/>
              <w:ind w:left="185" w:right="240"/>
              <w:jc w:val="center"/>
              <w:rPr>
                <w:sz w:val="24"/>
              </w:rPr>
            </w:pPr>
            <w:r>
              <w:rPr>
                <w:sz w:val="24"/>
              </w:rPr>
              <w:t>43.50 ± 1.19</w:t>
            </w:r>
          </w:p>
        </w:tc>
        <w:tc>
          <w:tcPr>
            <w:tcW w:w="1861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29.25 ± 7.80</w:t>
            </w:r>
          </w:p>
        </w:tc>
        <w:tc>
          <w:tcPr>
            <w:tcW w:w="1271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67.24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3.144005pt;margin-top:14.173963pt;width:472.996022pt;height:.48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85" w:right="956"/>
        <w:jc w:val="both"/>
      </w:pPr>
      <w:r>
        <w:rPr/>
        <w:t>Data are presented as Mean ± SEM. *</w:t>
      </w:r>
      <w:r>
        <w:rPr>
          <w:i/>
        </w:rPr>
        <w:t>p</w:t>
      </w:r>
      <w:r>
        <w:rPr/>
        <w:t>≤0.05, **</w:t>
      </w:r>
      <w:r>
        <w:rPr>
          <w:i/>
        </w:rPr>
        <w:t>p</w:t>
      </w:r>
      <w:r>
        <w:rPr/>
        <w:t>≤0.01 and ***</w:t>
      </w:r>
      <w:r>
        <w:rPr>
          <w:i/>
        </w:rPr>
        <w:t>p</w:t>
      </w:r>
      <w:r>
        <w:rPr/>
        <w:t>≤0.001 compared to</w:t>
      </w:r>
      <w:r>
        <w:rPr>
          <w:spacing w:val="1"/>
        </w:rPr>
        <w:t> </w:t>
      </w:r>
      <w:r>
        <w:rPr/>
        <w:t>distilled water group (One Way ANOVA followed by Bonferroni’s post hoc test), DW=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MECH=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/>
        <w:t>,</w:t>
      </w:r>
      <w:r>
        <w:rPr>
          <w:spacing w:val="1"/>
        </w:rPr>
        <w:t> </w:t>
      </w:r>
      <w:r>
        <w:rPr/>
        <w:t>PIL=</w:t>
      </w:r>
      <w:r>
        <w:rPr>
          <w:spacing w:val="60"/>
        </w:rPr>
        <w:t> </w:t>
      </w:r>
      <w:r>
        <w:rPr/>
        <w:t>Pilocarpine,</w:t>
      </w:r>
      <w:r>
        <w:rPr>
          <w:spacing w:val="1"/>
        </w:rPr>
        <w:t> </w:t>
      </w:r>
      <w:r>
        <w:rPr/>
        <w:t>ATR=</w:t>
      </w:r>
      <w:r>
        <w:rPr>
          <w:spacing w:val="-2"/>
        </w:rPr>
        <w:t> </w:t>
      </w:r>
      <w:r>
        <w:rPr/>
        <w:t>Atropine Sulphate, n=5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 w:after="7"/>
        <w:ind w:right="1012"/>
      </w:pPr>
      <w:r>
        <w:rPr/>
        <w:t>Appendix 9: Effect of Isosorbide Dinitrate on the Antidiarrhoeal Activity of Methanol</w:t>
      </w:r>
      <w:r>
        <w:rPr>
          <w:spacing w:val="-57"/>
        </w:rPr>
        <w:t> </w:t>
      </w:r>
      <w:r>
        <w:rPr/>
        <w:t>Leaf 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3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Transit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1551"/>
        <w:gridCol w:w="1569"/>
        <w:gridCol w:w="1969"/>
        <w:gridCol w:w="1230"/>
        <w:gridCol w:w="1467"/>
      </w:tblGrid>
      <w:tr>
        <w:trPr>
          <w:trHeight w:val="827" w:hRule="atLeast"/>
        </w:trPr>
        <w:tc>
          <w:tcPr>
            <w:tcW w:w="15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right="105"/>
              <w:rPr>
                <w:sz w:val="24"/>
              </w:rPr>
            </w:pPr>
            <w:r>
              <w:rPr>
                <w:spacing w:val="-1"/>
                <w:sz w:val="24"/>
              </w:rPr>
              <w:t>Pretreatments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" w:right="237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(mg/kg,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9" w:right="24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small</w:t>
            </w:r>
          </w:p>
          <w:p>
            <w:pPr>
              <w:pStyle w:val="TableParagraph"/>
              <w:spacing w:line="264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Intestine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20" w:right="98"/>
              <w:rPr>
                <w:sz w:val="24"/>
              </w:rPr>
            </w:pPr>
            <w:r>
              <w:rPr>
                <w:spacing w:val="-1"/>
                <w:sz w:val="24"/>
              </w:rPr>
              <w:t>Distance </w:t>
            </w:r>
            <w:r>
              <w:rPr>
                <w:sz w:val="24"/>
              </w:rPr>
              <w:t>travelled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charcoal (cm)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9" w:right="141"/>
              <w:rPr>
                <w:sz w:val="24"/>
              </w:rPr>
            </w:pPr>
            <w:r>
              <w:rPr>
                <w:sz w:val="24"/>
              </w:rPr>
              <w:t>Peristaltic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57" w:right="96"/>
              <w:rPr>
                <w:sz w:val="24"/>
              </w:rPr>
            </w:pPr>
            <w:r>
              <w:rPr>
                <w:sz w:val="24"/>
              </w:rPr>
              <w:t>% inhibition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charcoal</w:t>
            </w:r>
          </w:p>
          <w:p>
            <w:pPr>
              <w:pStyle w:val="TableParagraph"/>
              <w:spacing w:line="264" w:lineRule="exact" w:before="0"/>
              <w:ind w:left="157"/>
              <w:rPr>
                <w:sz w:val="24"/>
              </w:rPr>
            </w:pPr>
            <w:r>
              <w:rPr>
                <w:sz w:val="24"/>
              </w:rPr>
              <w:t>movement</w:t>
            </w:r>
          </w:p>
        </w:tc>
      </w:tr>
      <w:tr>
        <w:trPr>
          <w:trHeight w:val="410" w:hRule="atLeast"/>
        </w:trPr>
        <w:tc>
          <w:tcPr>
            <w:tcW w:w="1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9"/>
              <w:rPr>
                <w:sz w:val="24"/>
              </w:rPr>
            </w:pPr>
            <w:r>
              <w:rPr>
                <w:sz w:val="24"/>
              </w:rPr>
              <w:t>45.20 ± 1.66</w:t>
            </w:r>
          </w:p>
        </w:tc>
        <w:tc>
          <w:tcPr>
            <w:tcW w:w="19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80"/>
              <w:rPr>
                <w:sz w:val="24"/>
              </w:rPr>
            </w:pPr>
            <w:r>
              <w:rPr>
                <w:sz w:val="24"/>
              </w:rPr>
              <w:t>38.00 ± 2.21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84.07</w:t>
            </w:r>
          </w:p>
        </w:tc>
        <w:tc>
          <w:tcPr>
            <w:tcW w:w="1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569" w:type="dxa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43.60 ± 1.29</w:t>
            </w:r>
          </w:p>
        </w:tc>
        <w:tc>
          <w:tcPr>
            <w:tcW w:w="1969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12.00 ± 4.10**</w:t>
            </w:r>
          </w:p>
        </w:tc>
        <w:tc>
          <w:tcPr>
            <w:tcW w:w="123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27.52</w:t>
            </w:r>
          </w:p>
        </w:tc>
        <w:tc>
          <w:tcPr>
            <w:tcW w:w="1467" w:type="dxa"/>
          </w:tcPr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68.42</w:t>
            </w:r>
          </w:p>
        </w:tc>
      </w:tr>
      <w:tr>
        <w:trPr>
          <w:trHeight w:val="551" w:hRule="atLeast"/>
        </w:trPr>
        <w:tc>
          <w:tcPr>
            <w:tcW w:w="1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ISD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150</w:t>
            </w:r>
          </w:p>
        </w:tc>
        <w:tc>
          <w:tcPr>
            <w:tcW w:w="1569" w:type="dxa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40.80 ± 0.86</w:t>
            </w:r>
          </w:p>
        </w:tc>
        <w:tc>
          <w:tcPr>
            <w:tcW w:w="1969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35.00 ± 2.00</w:t>
            </w:r>
          </w:p>
        </w:tc>
        <w:tc>
          <w:tcPr>
            <w:tcW w:w="123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85.78</w:t>
            </w:r>
          </w:p>
        </w:tc>
        <w:tc>
          <w:tcPr>
            <w:tcW w:w="1467" w:type="dxa"/>
          </w:tcPr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7.89</w:t>
            </w:r>
          </w:p>
        </w:tc>
      </w:tr>
      <w:tr>
        <w:trPr>
          <w:trHeight w:val="532" w:hRule="atLeast"/>
        </w:trPr>
        <w:tc>
          <w:tcPr>
            <w:tcW w:w="15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55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MOR 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69" w:type="dxa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43.60 ± 0.51</w:t>
            </w:r>
          </w:p>
        </w:tc>
        <w:tc>
          <w:tcPr>
            <w:tcW w:w="1969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18.80 ± 1.98**</w:t>
            </w:r>
          </w:p>
        </w:tc>
        <w:tc>
          <w:tcPr>
            <w:tcW w:w="123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41.28</w:t>
            </w:r>
          </w:p>
        </w:tc>
        <w:tc>
          <w:tcPr>
            <w:tcW w:w="1467" w:type="dxa"/>
          </w:tcPr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52.63</w:t>
            </w:r>
          </w:p>
        </w:tc>
      </w:tr>
      <w:tr>
        <w:trPr>
          <w:trHeight w:val="552" w:hRule="atLeast"/>
        </w:trPr>
        <w:tc>
          <w:tcPr>
            <w:tcW w:w="1539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ISD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150</w:t>
            </w:r>
          </w:p>
        </w:tc>
        <w:tc>
          <w:tcPr>
            <w:tcW w:w="1551" w:type="dxa"/>
          </w:tcPr>
          <w:p>
            <w:pPr>
              <w:pStyle w:val="TableParagraph"/>
              <w:spacing w:before="153"/>
              <w:ind w:left="114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569" w:type="dxa"/>
          </w:tcPr>
          <w:p>
            <w:pPr>
              <w:pStyle w:val="TableParagraph"/>
              <w:spacing w:before="153"/>
              <w:ind w:left="169"/>
              <w:rPr>
                <w:sz w:val="24"/>
              </w:rPr>
            </w:pPr>
            <w:r>
              <w:rPr>
                <w:sz w:val="24"/>
              </w:rPr>
              <w:t>43.60 ± 1.78</w:t>
            </w:r>
          </w:p>
        </w:tc>
        <w:tc>
          <w:tcPr>
            <w:tcW w:w="1969" w:type="dxa"/>
          </w:tcPr>
          <w:p>
            <w:pPr>
              <w:pStyle w:val="TableParagraph"/>
              <w:spacing w:before="153"/>
              <w:ind w:left="180"/>
              <w:rPr>
                <w:sz w:val="24"/>
              </w:rPr>
            </w:pPr>
            <w:r>
              <w:rPr>
                <w:sz w:val="24"/>
              </w:rPr>
              <w:t>22.60 ± 0.93*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230" w:type="dxa"/>
          </w:tcPr>
          <w:p>
            <w:pPr>
              <w:pStyle w:val="TableParagraph"/>
              <w:spacing w:before="153"/>
              <w:ind w:left="109"/>
              <w:rPr>
                <w:sz w:val="24"/>
              </w:rPr>
            </w:pPr>
            <w:r>
              <w:rPr>
                <w:sz w:val="24"/>
              </w:rPr>
              <w:t>51.83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53"/>
              <w:ind w:left="157"/>
              <w:rPr>
                <w:sz w:val="24"/>
              </w:rPr>
            </w:pPr>
            <w:r>
              <w:rPr>
                <w:sz w:val="24"/>
              </w:rPr>
              <w:t>40.52</w:t>
            </w:r>
          </w:p>
        </w:tc>
      </w:tr>
      <w:tr>
        <w:trPr>
          <w:trHeight w:val="428" w:hRule="atLeast"/>
        </w:trPr>
        <w:tc>
          <w:tcPr>
            <w:tcW w:w="1539" w:type="dxa"/>
          </w:tcPr>
          <w:p>
            <w:pPr>
              <w:pStyle w:val="TableParagraph"/>
              <w:spacing w:line="256" w:lineRule="exact" w:before="153"/>
              <w:rPr>
                <w:sz w:val="24"/>
              </w:rPr>
            </w:pPr>
            <w:r>
              <w:rPr>
                <w:sz w:val="24"/>
              </w:rPr>
              <w:t>ISD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150</w:t>
            </w:r>
          </w:p>
        </w:tc>
        <w:tc>
          <w:tcPr>
            <w:tcW w:w="1551" w:type="dxa"/>
          </w:tcPr>
          <w:p>
            <w:pPr>
              <w:pStyle w:val="TableParagraph"/>
              <w:spacing w:line="256" w:lineRule="exact" w:before="153"/>
              <w:ind w:left="114"/>
              <w:rPr>
                <w:sz w:val="24"/>
              </w:rPr>
            </w:pPr>
            <w:r>
              <w:rPr>
                <w:sz w:val="24"/>
              </w:rPr>
              <w:t>MOR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 (</w:t>
            </w:r>
            <w:r>
              <w:rPr>
                <w:i/>
                <w:sz w:val="24"/>
              </w:rPr>
              <w:t>s.c</w:t>
            </w:r>
            <w:r>
              <w:rPr>
                <w:sz w:val="24"/>
              </w:rPr>
              <w:t>)</w:t>
            </w:r>
          </w:p>
        </w:tc>
        <w:tc>
          <w:tcPr>
            <w:tcW w:w="1569" w:type="dxa"/>
          </w:tcPr>
          <w:p>
            <w:pPr>
              <w:pStyle w:val="TableParagraph"/>
              <w:spacing w:line="256" w:lineRule="exact" w:before="153"/>
              <w:ind w:left="169"/>
              <w:rPr>
                <w:sz w:val="24"/>
              </w:rPr>
            </w:pPr>
            <w:r>
              <w:rPr>
                <w:sz w:val="24"/>
              </w:rPr>
              <w:t>40.00 ± 1.86</w:t>
            </w:r>
          </w:p>
        </w:tc>
        <w:tc>
          <w:tcPr>
            <w:tcW w:w="1969" w:type="dxa"/>
          </w:tcPr>
          <w:p>
            <w:pPr>
              <w:pStyle w:val="TableParagraph"/>
              <w:spacing w:line="256" w:lineRule="exact" w:before="153"/>
              <w:ind w:left="180"/>
              <w:rPr>
                <w:sz w:val="24"/>
              </w:rPr>
            </w:pPr>
            <w:r>
              <w:rPr>
                <w:sz w:val="24"/>
              </w:rPr>
              <w:t>18.60 ± 1.24**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 w:before="153"/>
              <w:ind w:left="109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1467" w:type="dxa"/>
          </w:tcPr>
          <w:p>
            <w:pPr>
              <w:pStyle w:val="TableParagraph"/>
              <w:spacing w:line="256" w:lineRule="exact" w:before="153"/>
              <w:ind w:left="157"/>
              <w:rPr>
                <w:sz w:val="24"/>
              </w:rPr>
            </w:pPr>
            <w:r>
              <w:rPr>
                <w:sz w:val="24"/>
              </w:rPr>
              <w:t>51.05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3.144005pt;margin-top:14.173963pt;width:466.876022pt;height:.48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85" w:right="953"/>
        <w:jc w:val="both"/>
      </w:pPr>
      <w:r>
        <w:rPr/>
        <w:t>Data are presented as Mean ± SEM; *</w:t>
      </w:r>
      <w:r>
        <w:rPr>
          <w:i/>
        </w:rPr>
        <w:t>p</w:t>
      </w:r>
      <w:r>
        <w:rPr/>
        <w:t>≤0.01 and **</w:t>
      </w:r>
      <w:r>
        <w:rPr>
          <w:i/>
        </w:rPr>
        <w:t>p</w:t>
      </w:r>
      <w:r>
        <w:rPr/>
        <w:t>≤ 0.001, compared to distilled water</w:t>
      </w:r>
      <w:r>
        <w:rPr>
          <w:spacing w:val="1"/>
        </w:rPr>
        <w:t> </w:t>
      </w:r>
      <w:r>
        <w:rPr/>
        <w:t>group, </w:t>
      </w:r>
      <w:r>
        <w:rPr>
          <w:vertAlign w:val="superscript"/>
        </w:rPr>
        <w:t>#</w:t>
      </w:r>
      <w:r>
        <w:rPr>
          <w:i/>
          <w:vertAlign w:val="baseline"/>
        </w:rPr>
        <w:t>p</w:t>
      </w:r>
      <w:r>
        <w:rPr>
          <w:vertAlign w:val="baseline"/>
        </w:rPr>
        <w:t>≤ 0.001 compared to MECH, </w:t>
      </w:r>
      <w:r>
        <w:rPr>
          <w:vertAlign w:val="superscript"/>
        </w:rPr>
        <w:t>a</w:t>
      </w:r>
      <w:r>
        <w:rPr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≤0.05 compared to MOR, </w:t>
      </w:r>
      <w:r>
        <w:rPr>
          <w:vertAlign w:val="superscript"/>
        </w:rPr>
        <w:t>1</w:t>
      </w:r>
      <w:r>
        <w:rPr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≤0.05 and </w:t>
      </w:r>
      <w:r>
        <w:rPr>
          <w:vertAlign w:val="superscript"/>
        </w:rPr>
        <w:t>2</w:t>
      </w:r>
      <w:r>
        <w:rPr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≤0.01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ISD</w:t>
      </w:r>
      <w:r>
        <w:rPr>
          <w:spacing w:val="1"/>
          <w:vertAlign w:val="baseline"/>
        </w:rPr>
        <w:t> </w:t>
      </w:r>
      <w:r>
        <w:rPr>
          <w:vertAlign w:val="baseline"/>
        </w:rPr>
        <w:t>(One</w:t>
      </w:r>
      <w:r>
        <w:rPr>
          <w:spacing w:val="1"/>
          <w:vertAlign w:val="baseline"/>
        </w:rPr>
        <w:t> </w:t>
      </w:r>
      <w:r>
        <w:rPr>
          <w:vertAlign w:val="baseline"/>
        </w:rPr>
        <w:t>Way ANOVA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Bonferroni’s</w:t>
      </w:r>
      <w:r>
        <w:rPr>
          <w:spacing w:val="1"/>
          <w:vertAlign w:val="baseline"/>
        </w:rPr>
        <w:t> </w:t>
      </w:r>
      <w:r>
        <w:rPr>
          <w:vertAlign w:val="baseline"/>
        </w:rPr>
        <w:t>post</w:t>
      </w:r>
      <w:r>
        <w:rPr>
          <w:spacing w:val="1"/>
          <w:vertAlign w:val="baseline"/>
        </w:rPr>
        <w:t> </w:t>
      </w:r>
      <w:r>
        <w:rPr>
          <w:vertAlign w:val="baseline"/>
        </w:rPr>
        <w:t>hoc</w:t>
      </w:r>
      <w:r>
        <w:rPr>
          <w:spacing w:val="1"/>
          <w:vertAlign w:val="baseline"/>
        </w:rPr>
        <w:t> </w:t>
      </w:r>
      <w:r>
        <w:rPr>
          <w:vertAlign w:val="baseline"/>
        </w:rPr>
        <w:t>test),</w:t>
      </w:r>
      <w:r>
        <w:rPr>
          <w:spacing w:val="1"/>
          <w:vertAlign w:val="baseline"/>
        </w:rPr>
        <w:t> </w:t>
      </w:r>
      <w:r>
        <w:rPr>
          <w:vertAlign w:val="baseline"/>
        </w:rPr>
        <w:t>DW=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Water,</w:t>
      </w:r>
      <w:r>
        <w:rPr>
          <w:spacing w:val="1"/>
          <w:vertAlign w:val="baseline"/>
        </w:rPr>
        <w:t> </w:t>
      </w:r>
      <w:r>
        <w:rPr>
          <w:vertAlign w:val="baseline"/>
        </w:rPr>
        <w:t>MECH=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leaf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hypopilinum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ISD=</w:t>
      </w:r>
      <w:r>
        <w:rPr>
          <w:spacing w:val="1"/>
          <w:vertAlign w:val="baseline"/>
        </w:rPr>
        <w:t> </w:t>
      </w:r>
      <w:r>
        <w:rPr>
          <w:vertAlign w:val="baseline"/>
        </w:rPr>
        <w:t>Isosorbide</w:t>
      </w:r>
      <w:r>
        <w:rPr>
          <w:spacing w:val="1"/>
          <w:vertAlign w:val="baseline"/>
        </w:rPr>
        <w:t> </w:t>
      </w:r>
      <w:r>
        <w:rPr>
          <w:vertAlign w:val="baseline"/>
        </w:rPr>
        <w:t>Dinitrate,</w:t>
      </w:r>
      <w:r>
        <w:rPr>
          <w:spacing w:val="-1"/>
          <w:vertAlign w:val="baseline"/>
        </w:rPr>
        <w:t> </w:t>
      </w:r>
      <w:r>
        <w:rPr>
          <w:vertAlign w:val="baseline"/>
        </w:rPr>
        <w:t>MOR=</w:t>
      </w:r>
      <w:r>
        <w:rPr>
          <w:spacing w:val="-1"/>
          <w:vertAlign w:val="baseline"/>
        </w:rPr>
        <w:t> </w:t>
      </w:r>
      <w:r>
        <w:rPr>
          <w:vertAlign w:val="baseline"/>
        </w:rPr>
        <w:t>Morphine, n=5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/>
        <w:ind w:right="1129"/>
        <w:jc w:val="left"/>
      </w:pPr>
      <w:r>
        <w:rPr/>
        <w:t>Appendix 10: Effect of 28-Days Daily Oral Administration of Methanol Leaf Extract</w:t>
      </w:r>
      <w:r>
        <w:rPr>
          <w:spacing w:val="-57"/>
        </w:rPr>
        <w:t> </w:t>
      </w:r>
      <w:r>
        <w:rPr/>
        <w:t>of </w:t>
      </w:r>
      <w:r>
        <w:rPr>
          <w:i/>
        </w:rPr>
        <w:t>Combretum hypopilinum</w:t>
      </w:r>
      <w:r>
        <w:rPr>
          <w:i/>
          <w:spacing w:val="3"/>
        </w:rPr>
        <w:t> </w:t>
      </w:r>
      <w:r>
        <w:rPr/>
        <w:t>on</w:t>
      </w:r>
      <w:r>
        <w:rPr>
          <w:spacing w:val="-1"/>
        </w:rPr>
        <w:t> </w:t>
      </w:r>
      <w:r>
        <w:rPr/>
        <w:t>Weekly</w:t>
      </w:r>
      <w:r>
        <w:rPr>
          <w:spacing w:val="1"/>
        </w:rPr>
        <w:t> </w:t>
      </w:r>
      <w:r>
        <w:rPr/>
        <w:t>Body Weights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</w:p>
    <w:p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  <w:pict>
          <v:group style="width:482pt;height:.5pt;mso-position-horizontal-relative:char;mso-position-vertical-relative:line" coordorigin="0,0" coordsize="9640,10">
            <v:shape style="position:absolute;left:0;top:0;width:9640;height:10" coordorigin="0,0" coordsize="9640,10" path="m9640,0l1711,0,1702,0,0,0,0,10,1702,10,1711,10,9640,10,964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4948"/>
      </w:pPr>
      <w:r>
        <w:rPr/>
        <w:t>Mean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weights</w:t>
      </w:r>
      <w:r>
        <w:rPr>
          <w:spacing w:val="-1"/>
        </w:rPr>
        <w:t> </w:t>
      </w:r>
      <w:r>
        <w:rPr/>
        <w:t>(g)</w:t>
      </w:r>
    </w:p>
    <w:p>
      <w:pPr>
        <w:pStyle w:val="BodyText"/>
        <w:tabs>
          <w:tab w:pos="1803" w:val="left" w:leader="none"/>
          <w:tab w:pos="9796" w:val="left" w:leader="none"/>
        </w:tabs>
        <w:ind w:left="210"/>
      </w:pPr>
      <w:r>
        <w:rPr/>
        <w:t>Treatments</w:t>
        <w:tab/>
      </w:r>
      <w:r>
        <w:rPr>
          <w:u w:val="single"/>
        </w:rPr>
        <w:t> </w:t>
        <w:tab/>
      </w: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8"/>
        <w:gridCol w:w="1558"/>
        <w:gridCol w:w="1619"/>
        <w:gridCol w:w="1630"/>
        <w:gridCol w:w="1572"/>
        <w:gridCol w:w="1624"/>
      </w:tblGrid>
      <w:tr>
        <w:trPr>
          <w:trHeight w:val="492" w:hRule="atLeast"/>
        </w:trPr>
        <w:tc>
          <w:tcPr>
            <w:tcW w:w="1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(mg/kg,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p.o</w:t>
            </w:r>
            <w:r>
              <w:rPr>
                <w:sz w:val="24"/>
              </w:rPr>
              <w:t>)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0"/>
              <w:ind w:left="171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0"/>
              <w:ind w:left="174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0"/>
              <w:ind w:left="113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0"/>
              <w:ind w:left="184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0"/>
              <w:ind w:left="233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  <w:tr>
        <w:trPr>
          <w:trHeight w:val="410" w:hRule="atLeast"/>
        </w:trPr>
        <w:tc>
          <w:tcPr>
            <w:tcW w:w="1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ml/kg)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71"/>
              <w:rPr>
                <w:sz w:val="24"/>
              </w:rPr>
            </w:pPr>
            <w:r>
              <w:rPr>
                <w:sz w:val="24"/>
              </w:rPr>
              <w:t>145.83±6.54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74"/>
              <w:rPr>
                <w:sz w:val="24"/>
              </w:rPr>
            </w:pPr>
            <w:r>
              <w:rPr>
                <w:sz w:val="24"/>
              </w:rPr>
              <w:t>163.00±6.79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13"/>
              <w:rPr>
                <w:sz w:val="24"/>
              </w:rPr>
            </w:pPr>
            <w:r>
              <w:rPr>
                <w:sz w:val="24"/>
              </w:rPr>
              <w:t>175.17±5.22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84"/>
              <w:rPr>
                <w:sz w:val="24"/>
              </w:rPr>
            </w:pPr>
            <w:r>
              <w:rPr>
                <w:sz w:val="24"/>
              </w:rPr>
              <w:t>182.17±5.01</w:t>
            </w:r>
          </w:p>
        </w:tc>
        <w:tc>
          <w:tcPr>
            <w:tcW w:w="1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73"/>
              <w:rPr>
                <w:sz w:val="24"/>
              </w:rPr>
            </w:pPr>
            <w:r>
              <w:rPr>
                <w:sz w:val="24"/>
              </w:rPr>
              <w:t>190.67±5.67</w:t>
            </w:r>
          </w:p>
        </w:tc>
      </w:tr>
      <w:tr>
        <w:trPr>
          <w:trHeight w:val="551" w:hRule="atLeast"/>
        </w:trPr>
        <w:tc>
          <w:tcPr>
            <w:tcW w:w="1638" w:type="dxa"/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24"/>
              <w:ind w:left="171"/>
              <w:rPr>
                <w:sz w:val="24"/>
              </w:rPr>
            </w:pPr>
            <w:r>
              <w:rPr>
                <w:sz w:val="24"/>
              </w:rPr>
              <w:t>145.00±6.28</w:t>
            </w:r>
          </w:p>
        </w:tc>
        <w:tc>
          <w:tcPr>
            <w:tcW w:w="1619" w:type="dxa"/>
          </w:tcPr>
          <w:p>
            <w:pPr>
              <w:pStyle w:val="TableParagraph"/>
              <w:spacing w:before="124"/>
              <w:ind w:left="174"/>
              <w:rPr>
                <w:sz w:val="24"/>
              </w:rPr>
            </w:pPr>
            <w:r>
              <w:rPr>
                <w:sz w:val="24"/>
              </w:rPr>
              <w:t>141.17±5.47</w:t>
            </w:r>
          </w:p>
        </w:tc>
        <w:tc>
          <w:tcPr>
            <w:tcW w:w="1630" w:type="dxa"/>
          </w:tcPr>
          <w:p>
            <w:pPr>
              <w:pStyle w:val="TableParagraph"/>
              <w:spacing w:before="124"/>
              <w:ind w:left="113"/>
              <w:rPr>
                <w:sz w:val="24"/>
              </w:rPr>
            </w:pPr>
            <w:r>
              <w:rPr>
                <w:sz w:val="24"/>
              </w:rPr>
              <w:t>154.67±8.88</w:t>
            </w:r>
          </w:p>
        </w:tc>
        <w:tc>
          <w:tcPr>
            <w:tcW w:w="1572" w:type="dxa"/>
          </w:tcPr>
          <w:p>
            <w:pPr>
              <w:pStyle w:val="TableParagraph"/>
              <w:spacing w:before="124"/>
              <w:ind w:left="184"/>
              <w:rPr>
                <w:sz w:val="24"/>
              </w:rPr>
            </w:pPr>
            <w:r>
              <w:rPr>
                <w:sz w:val="24"/>
              </w:rPr>
              <w:t>161.00±9.10</w:t>
            </w:r>
          </w:p>
        </w:tc>
        <w:tc>
          <w:tcPr>
            <w:tcW w:w="1624" w:type="dxa"/>
          </w:tcPr>
          <w:p>
            <w:pPr>
              <w:pStyle w:val="TableParagraph"/>
              <w:spacing w:before="124"/>
              <w:ind w:left="173"/>
              <w:rPr>
                <w:sz w:val="24"/>
              </w:rPr>
            </w:pPr>
            <w:r>
              <w:rPr>
                <w:sz w:val="24"/>
              </w:rPr>
              <w:t>167.50±9.17</w:t>
            </w:r>
          </w:p>
        </w:tc>
      </w:tr>
      <w:tr>
        <w:trPr>
          <w:trHeight w:val="552" w:hRule="atLeast"/>
        </w:trPr>
        <w:tc>
          <w:tcPr>
            <w:tcW w:w="1638" w:type="dxa"/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24"/>
              <w:ind w:left="171"/>
              <w:rPr>
                <w:sz w:val="24"/>
              </w:rPr>
            </w:pPr>
            <w:r>
              <w:rPr>
                <w:sz w:val="24"/>
              </w:rPr>
              <w:t>146.00±5.54</w:t>
            </w:r>
          </w:p>
        </w:tc>
        <w:tc>
          <w:tcPr>
            <w:tcW w:w="1619" w:type="dxa"/>
          </w:tcPr>
          <w:p>
            <w:pPr>
              <w:pStyle w:val="TableParagraph"/>
              <w:spacing w:before="124"/>
              <w:ind w:left="174"/>
              <w:rPr>
                <w:sz w:val="24"/>
              </w:rPr>
            </w:pPr>
            <w:r>
              <w:rPr>
                <w:sz w:val="24"/>
              </w:rPr>
              <w:t>134.83±6.47*</w:t>
            </w:r>
          </w:p>
        </w:tc>
        <w:tc>
          <w:tcPr>
            <w:tcW w:w="1630" w:type="dxa"/>
          </w:tcPr>
          <w:p>
            <w:pPr>
              <w:pStyle w:val="TableParagraph"/>
              <w:spacing w:before="124"/>
              <w:ind w:left="113"/>
              <w:rPr>
                <w:sz w:val="24"/>
              </w:rPr>
            </w:pPr>
            <w:r>
              <w:rPr>
                <w:sz w:val="24"/>
              </w:rPr>
              <w:t>144.50±6.82*</w:t>
            </w:r>
          </w:p>
        </w:tc>
        <w:tc>
          <w:tcPr>
            <w:tcW w:w="1572" w:type="dxa"/>
          </w:tcPr>
          <w:p>
            <w:pPr>
              <w:pStyle w:val="TableParagraph"/>
              <w:spacing w:before="124"/>
              <w:ind w:left="184"/>
              <w:rPr>
                <w:sz w:val="24"/>
              </w:rPr>
            </w:pPr>
            <w:r>
              <w:rPr>
                <w:sz w:val="24"/>
              </w:rPr>
              <w:t>153.67±7.50</w:t>
            </w:r>
          </w:p>
        </w:tc>
        <w:tc>
          <w:tcPr>
            <w:tcW w:w="1624" w:type="dxa"/>
          </w:tcPr>
          <w:p>
            <w:pPr>
              <w:pStyle w:val="TableParagraph"/>
              <w:spacing w:before="124"/>
              <w:ind w:left="173"/>
              <w:rPr>
                <w:sz w:val="24"/>
              </w:rPr>
            </w:pPr>
            <w:r>
              <w:rPr>
                <w:sz w:val="24"/>
              </w:rPr>
              <w:t>162.17±7.66</w:t>
            </w:r>
          </w:p>
        </w:tc>
      </w:tr>
      <w:tr>
        <w:trPr>
          <w:trHeight w:val="409" w:hRule="atLeast"/>
        </w:trPr>
        <w:tc>
          <w:tcPr>
            <w:tcW w:w="1638" w:type="dxa"/>
          </w:tcPr>
          <w:p>
            <w:pPr>
              <w:pStyle w:val="TableParagraph"/>
              <w:spacing w:line="264" w:lineRule="exact" w:before="125"/>
              <w:ind w:left="108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1,000</w:t>
            </w:r>
          </w:p>
        </w:tc>
        <w:tc>
          <w:tcPr>
            <w:tcW w:w="1558" w:type="dxa"/>
          </w:tcPr>
          <w:p>
            <w:pPr>
              <w:pStyle w:val="TableParagraph"/>
              <w:spacing w:line="264" w:lineRule="exact" w:before="125"/>
              <w:ind w:left="171"/>
              <w:rPr>
                <w:sz w:val="24"/>
              </w:rPr>
            </w:pPr>
            <w:r>
              <w:rPr>
                <w:sz w:val="24"/>
              </w:rPr>
              <w:t>145.00±6.40</w:t>
            </w:r>
          </w:p>
        </w:tc>
        <w:tc>
          <w:tcPr>
            <w:tcW w:w="1619" w:type="dxa"/>
          </w:tcPr>
          <w:p>
            <w:pPr>
              <w:pStyle w:val="TableParagraph"/>
              <w:spacing w:line="264" w:lineRule="exact" w:before="125"/>
              <w:ind w:left="174"/>
              <w:rPr>
                <w:sz w:val="24"/>
              </w:rPr>
            </w:pPr>
            <w:r>
              <w:rPr>
                <w:sz w:val="24"/>
              </w:rPr>
              <w:t>151.50±4.28</w:t>
            </w:r>
          </w:p>
        </w:tc>
        <w:tc>
          <w:tcPr>
            <w:tcW w:w="1630" w:type="dxa"/>
          </w:tcPr>
          <w:p>
            <w:pPr>
              <w:pStyle w:val="TableParagraph"/>
              <w:spacing w:line="264" w:lineRule="exact" w:before="125"/>
              <w:ind w:left="113"/>
              <w:rPr>
                <w:sz w:val="24"/>
              </w:rPr>
            </w:pPr>
            <w:r>
              <w:rPr>
                <w:sz w:val="24"/>
              </w:rPr>
              <w:t>166.00±6.90</w:t>
            </w:r>
          </w:p>
        </w:tc>
        <w:tc>
          <w:tcPr>
            <w:tcW w:w="1572" w:type="dxa"/>
          </w:tcPr>
          <w:p>
            <w:pPr>
              <w:pStyle w:val="TableParagraph"/>
              <w:spacing w:line="264" w:lineRule="exact" w:before="125"/>
              <w:ind w:left="184"/>
              <w:rPr>
                <w:sz w:val="24"/>
              </w:rPr>
            </w:pPr>
            <w:r>
              <w:rPr>
                <w:sz w:val="24"/>
              </w:rPr>
              <w:t>180.00±9.07</w:t>
            </w:r>
          </w:p>
        </w:tc>
        <w:tc>
          <w:tcPr>
            <w:tcW w:w="1624" w:type="dxa"/>
          </w:tcPr>
          <w:p>
            <w:pPr>
              <w:pStyle w:val="TableParagraph"/>
              <w:spacing w:line="264" w:lineRule="exact" w:before="125"/>
              <w:ind w:left="173"/>
              <w:rPr>
                <w:sz w:val="24"/>
              </w:rPr>
            </w:pPr>
            <w:r>
              <w:rPr>
                <w:sz w:val="24"/>
              </w:rPr>
              <w:t>192.17±9.46</w:t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pict>
          <v:rect style="position:absolute;margin-left:84.384003pt;margin-top:13.749009pt;width:482.716023pt;height:.48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85" w:right="954"/>
        <w:jc w:val="both"/>
      </w:pP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SEM; </w:t>
      </w:r>
      <w:r>
        <w:rPr>
          <w:i/>
        </w:rPr>
        <w:t>*</w:t>
      </w:r>
      <w:r>
        <w:rPr>
          <w:i/>
          <w:spacing w:val="1"/>
        </w:rPr>
        <w:t> </w:t>
      </w:r>
      <w:r>
        <w:rPr>
          <w:i/>
        </w:rPr>
        <w:t>p</w:t>
      </w:r>
      <w:r>
        <w:rPr/>
        <w:t>≤0.05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(Repeated</w:t>
      </w:r>
      <w:r>
        <w:rPr>
          <w:spacing w:val="1"/>
        </w:rPr>
        <w:t> </w:t>
      </w:r>
      <w:r>
        <w:rPr/>
        <w:t>measure ANOVA followed by Dunnet’s Post Hoc test), DW= Distilled Water, MECH=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 of</w:t>
      </w:r>
      <w:r>
        <w:rPr>
          <w:spacing w:val="3"/>
        </w:rPr>
        <w:t> </w:t>
      </w:r>
      <w:r>
        <w:rPr>
          <w:i/>
        </w:rPr>
        <w:t>C. hypopilinum</w:t>
      </w:r>
      <w:r>
        <w:rPr/>
        <w:t>, n=6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/>
        <w:ind w:right="1129"/>
        <w:jc w:val="left"/>
      </w:pPr>
      <w:r>
        <w:rPr/>
        <w:t>Appendix 11: Effect of 28-Days Daily Oral Administration of Methanol Leaf Extract</w:t>
      </w:r>
      <w:r>
        <w:rPr>
          <w:spacing w:val="-57"/>
        </w:rPr>
        <w:t> </w:t>
      </w:r>
      <w:r>
        <w:rPr/>
        <w:t>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2"/>
        </w:rPr>
        <w:t> </w:t>
      </w:r>
      <w:r>
        <w:rPr/>
        <w:t>on Relative</w:t>
      </w:r>
      <w:r>
        <w:rPr>
          <w:spacing w:val="-1"/>
        </w:rPr>
        <w:t> </w:t>
      </w:r>
      <w:r>
        <w:rPr/>
        <w:t>Organ</w:t>
      </w:r>
      <w:r>
        <w:rPr>
          <w:spacing w:val="-1"/>
        </w:rPr>
        <w:t> </w:t>
      </w:r>
      <w:r>
        <w:rPr/>
        <w:t>Weights of</w:t>
      </w:r>
      <w:r>
        <w:rPr>
          <w:spacing w:val="2"/>
        </w:rPr>
        <w:t> </w:t>
      </w:r>
      <w:r>
        <w:rPr/>
        <w:t>Rats</w:t>
      </w:r>
    </w:p>
    <w:p>
      <w:pPr>
        <w:pStyle w:val="BodyText"/>
        <w:spacing w:line="20" w:lineRule="exact"/>
        <w:ind w:left="277"/>
        <w:rPr>
          <w:sz w:val="2"/>
        </w:rPr>
      </w:pPr>
      <w:r>
        <w:rPr>
          <w:sz w:val="2"/>
        </w:rPr>
        <w:pict>
          <v:group style="width:487.05pt;height:.5pt;mso-position-horizontal-relative:char;mso-position-vertical-relative:line" coordorigin="0,0" coordsize="9741,10">
            <v:shape style="position:absolute;left:0;top:0;width:9741;height:10" coordorigin="0,0" coordsize="9741,10" path="m1649,0l1639,0,1639,0,0,0,0,10,1639,10,1639,10,1649,10,1649,0xm9741,0l1649,0,1649,10,9741,10,974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3585"/>
      </w:pPr>
      <w:r>
        <w:rPr/>
        <w:t>Mean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organ to</w:t>
      </w:r>
      <w:r>
        <w:rPr>
          <w:spacing w:val="-1"/>
        </w:rPr>
        <w:t> </w:t>
      </w:r>
      <w:r>
        <w:rPr/>
        <w:t>body</w:t>
      </w:r>
      <w:r>
        <w:rPr>
          <w:spacing w:val="-6"/>
        </w:rPr>
        <w:t> </w:t>
      </w:r>
      <w:r>
        <w:rPr/>
        <w:t>weight ratio</w:t>
      </w:r>
      <w:r>
        <w:rPr>
          <w:spacing w:val="-1"/>
        </w:rPr>
        <w:t> </w:t>
      </w:r>
      <w:r>
        <w:rPr/>
        <w:t>(%)</w:t>
      </w:r>
    </w:p>
    <w:p>
      <w:pPr>
        <w:pStyle w:val="BodyText"/>
        <w:tabs>
          <w:tab w:pos="1916" w:val="left" w:leader="none"/>
          <w:tab w:pos="10072" w:val="left" w:leader="none"/>
        </w:tabs>
        <w:ind w:left="385"/>
      </w:pPr>
      <w:r>
        <w:rPr/>
        <w:t>Treatments</w:t>
        <w:tab/>
      </w:r>
      <w:r>
        <w:rPr>
          <w:u w:val="single"/>
        </w:rPr>
        <w:t> </w:t>
        <w:tab/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1450"/>
        <w:gridCol w:w="1334"/>
        <w:gridCol w:w="1350"/>
        <w:gridCol w:w="1350"/>
        <w:gridCol w:w="1350"/>
        <w:gridCol w:w="1281"/>
      </w:tblGrid>
      <w:tr>
        <w:trPr>
          <w:trHeight w:val="559" w:hRule="atLeast"/>
        </w:trPr>
        <w:tc>
          <w:tcPr>
            <w:tcW w:w="1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rPr>
                <w:sz w:val="24"/>
              </w:rPr>
            </w:pPr>
            <w:r>
              <w:rPr>
                <w:sz w:val="24"/>
              </w:rPr>
              <w:t>(mg/kg)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123"/>
              <w:rPr>
                <w:sz w:val="24"/>
              </w:rPr>
            </w:pPr>
            <w:r>
              <w:rPr>
                <w:sz w:val="24"/>
              </w:rPr>
              <w:t>Kidney</w:t>
            </w:r>
          </w:p>
        </w:tc>
        <w:tc>
          <w:tcPr>
            <w:tcW w:w="13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113"/>
              <w:rPr>
                <w:sz w:val="24"/>
              </w:rPr>
            </w:pPr>
            <w:r>
              <w:rPr>
                <w:sz w:val="24"/>
              </w:rPr>
              <w:t>Liver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128"/>
              <w:rPr>
                <w:sz w:val="24"/>
              </w:rPr>
            </w:pPr>
            <w:r>
              <w:rPr>
                <w:sz w:val="24"/>
              </w:rPr>
              <w:t>Heart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130"/>
              <w:rPr>
                <w:sz w:val="24"/>
              </w:rPr>
            </w:pPr>
            <w:r>
              <w:rPr>
                <w:sz w:val="24"/>
              </w:rPr>
              <w:t>Lung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129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130"/>
              <w:rPr>
                <w:sz w:val="24"/>
              </w:rPr>
            </w:pPr>
            <w:r>
              <w:rPr>
                <w:sz w:val="24"/>
              </w:rPr>
              <w:t>Small</w:t>
            </w:r>
          </w:p>
          <w:p>
            <w:pPr>
              <w:pStyle w:val="TableParagraph"/>
              <w:spacing w:line="272" w:lineRule="exact" w:before="0"/>
              <w:ind w:left="130"/>
              <w:rPr>
                <w:sz w:val="24"/>
              </w:rPr>
            </w:pPr>
            <w:r>
              <w:rPr>
                <w:sz w:val="24"/>
              </w:rPr>
              <w:t>Intestine</w:t>
            </w:r>
          </w:p>
        </w:tc>
      </w:tr>
      <w:tr>
        <w:trPr>
          <w:trHeight w:val="410" w:hRule="atLeast"/>
        </w:trPr>
        <w:tc>
          <w:tcPr>
            <w:tcW w:w="1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ml/kg)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23"/>
              <w:rPr>
                <w:sz w:val="24"/>
              </w:rPr>
            </w:pPr>
            <w:r>
              <w:rPr>
                <w:sz w:val="24"/>
              </w:rPr>
              <w:t>0.99 ± 0.02</w:t>
            </w:r>
          </w:p>
        </w:tc>
        <w:tc>
          <w:tcPr>
            <w:tcW w:w="13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13"/>
              <w:rPr>
                <w:sz w:val="24"/>
              </w:rPr>
            </w:pPr>
            <w:r>
              <w:rPr>
                <w:sz w:val="24"/>
              </w:rPr>
              <w:t>3.96 ± 0.24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28"/>
              <w:rPr>
                <w:sz w:val="24"/>
              </w:rPr>
            </w:pPr>
            <w:r>
              <w:rPr>
                <w:sz w:val="24"/>
              </w:rPr>
              <w:t>0.44 ± 0.10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30"/>
              <w:rPr>
                <w:sz w:val="24"/>
              </w:rPr>
            </w:pPr>
            <w:r>
              <w:rPr>
                <w:sz w:val="24"/>
              </w:rPr>
              <w:t>1.26 ± 0.18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29"/>
              <w:rPr>
                <w:sz w:val="24"/>
              </w:rPr>
            </w:pPr>
            <w:r>
              <w:rPr>
                <w:sz w:val="24"/>
              </w:rPr>
              <w:t>1.23 ± 0.18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0"/>
              <w:ind w:left="112" w:right="157"/>
              <w:jc w:val="center"/>
              <w:rPr>
                <w:sz w:val="24"/>
              </w:rPr>
            </w:pPr>
            <w:r>
              <w:rPr>
                <w:sz w:val="24"/>
              </w:rPr>
              <w:t>2.36±0.04</w:t>
            </w:r>
          </w:p>
        </w:tc>
      </w:tr>
      <w:tr>
        <w:trPr>
          <w:trHeight w:val="552" w:hRule="atLeast"/>
        </w:trPr>
        <w:tc>
          <w:tcPr>
            <w:tcW w:w="1624" w:type="dxa"/>
          </w:tcPr>
          <w:p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(250)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24"/>
              <w:ind w:left="123"/>
              <w:rPr>
                <w:sz w:val="24"/>
              </w:rPr>
            </w:pPr>
            <w:r>
              <w:rPr>
                <w:sz w:val="24"/>
              </w:rPr>
              <w:t>0.77 ± 0.04</w:t>
            </w:r>
          </w:p>
        </w:tc>
        <w:tc>
          <w:tcPr>
            <w:tcW w:w="1334" w:type="dxa"/>
          </w:tcPr>
          <w:p>
            <w:pPr>
              <w:pStyle w:val="TableParagraph"/>
              <w:spacing w:before="124"/>
              <w:ind w:left="113"/>
              <w:rPr>
                <w:sz w:val="24"/>
              </w:rPr>
            </w:pPr>
            <w:r>
              <w:rPr>
                <w:sz w:val="24"/>
              </w:rPr>
              <w:t>3.23 ± 0.08</w:t>
            </w:r>
          </w:p>
        </w:tc>
        <w:tc>
          <w:tcPr>
            <w:tcW w:w="1350" w:type="dxa"/>
          </w:tcPr>
          <w:p>
            <w:pPr>
              <w:pStyle w:val="TableParagraph"/>
              <w:spacing w:before="124"/>
              <w:ind w:left="128"/>
              <w:rPr>
                <w:sz w:val="24"/>
              </w:rPr>
            </w:pPr>
            <w:r>
              <w:rPr>
                <w:sz w:val="24"/>
              </w:rPr>
              <w:t>0.22 ± 0.11</w:t>
            </w:r>
          </w:p>
        </w:tc>
        <w:tc>
          <w:tcPr>
            <w:tcW w:w="1350" w:type="dxa"/>
          </w:tcPr>
          <w:p>
            <w:pPr>
              <w:pStyle w:val="TableParagraph"/>
              <w:spacing w:before="124"/>
              <w:ind w:left="130"/>
              <w:rPr>
                <w:sz w:val="24"/>
              </w:rPr>
            </w:pPr>
            <w:r>
              <w:rPr>
                <w:sz w:val="24"/>
              </w:rPr>
              <w:t>1.12 ± 0.13</w:t>
            </w:r>
          </w:p>
        </w:tc>
        <w:tc>
          <w:tcPr>
            <w:tcW w:w="1350" w:type="dxa"/>
          </w:tcPr>
          <w:p>
            <w:pPr>
              <w:pStyle w:val="TableParagraph"/>
              <w:spacing w:before="124"/>
              <w:ind w:left="129"/>
              <w:rPr>
                <w:sz w:val="24"/>
              </w:rPr>
            </w:pPr>
            <w:r>
              <w:rPr>
                <w:sz w:val="24"/>
              </w:rPr>
              <w:t>1.20 ± 0.28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112" w:right="157"/>
              <w:jc w:val="center"/>
              <w:rPr>
                <w:sz w:val="24"/>
              </w:rPr>
            </w:pPr>
            <w:r>
              <w:rPr>
                <w:sz w:val="24"/>
              </w:rPr>
              <w:t>2.32±0.01</w:t>
            </w:r>
          </w:p>
        </w:tc>
      </w:tr>
      <w:tr>
        <w:trPr>
          <w:trHeight w:val="552" w:hRule="atLeast"/>
        </w:trPr>
        <w:tc>
          <w:tcPr>
            <w:tcW w:w="1624" w:type="dxa"/>
          </w:tcPr>
          <w:p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(500)</w:t>
            </w:r>
          </w:p>
        </w:tc>
        <w:tc>
          <w:tcPr>
            <w:tcW w:w="1450" w:type="dxa"/>
          </w:tcPr>
          <w:p>
            <w:pPr>
              <w:pStyle w:val="TableParagraph"/>
              <w:spacing w:before="124"/>
              <w:ind w:left="123"/>
              <w:rPr>
                <w:sz w:val="24"/>
              </w:rPr>
            </w:pPr>
            <w:r>
              <w:rPr>
                <w:sz w:val="24"/>
              </w:rPr>
              <w:t>0.72 ± 0.08*</w:t>
            </w:r>
          </w:p>
        </w:tc>
        <w:tc>
          <w:tcPr>
            <w:tcW w:w="1334" w:type="dxa"/>
          </w:tcPr>
          <w:p>
            <w:pPr>
              <w:pStyle w:val="TableParagraph"/>
              <w:spacing w:before="124"/>
              <w:ind w:left="113"/>
              <w:rPr>
                <w:sz w:val="24"/>
              </w:rPr>
            </w:pPr>
            <w:r>
              <w:rPr>
                <w:sz w:val="24"/>
              </w:rPr>
              <w:t>2.35 ±1.19</w:t>
            </w:r>
          </w:p>
        </w:tc>
        <w:tc>
          <w:tcPr>
            <w:tcW w:w="1350" w:type="dxa"/>
          </w:tcPr>
          <w:p>
            <w:pPr>
              <w:pStyle w:val="TableParagraph"/>
              <w:spacing w:before="124"/>
              <w:ind w:left="128"/>
              <w:rPr>
                <w:sz w:val="24"/>
              </w:rPr>
            </w:pPr>
            <w:r>
              <w:rPr>
                <w:sz w:val="24"/>
              </w:rPr>
              <w:t>0.37 ± 0.03</w:t>
            </w:r>
          </w:p>
        </w:tc>
        <w:tc>
          <w:tcPr>
            <w:tcW w:w="1350" w:type="dxa"/>
          </w:tcPr>
          <w:p>
            <w:pPr>
              <w:pStyle w:val="TableParagraph"/>
              <w:spacing w:before="124"/>
              <w:ind w:left="130"/>
              <w:rPr>
                <w:sz w:val="24"/>
              </w:rPr>
            </w:pPr>
            <w:r>
              <w:rPr>
                <w:sz w:val="24"/>
              </w:rPr>
              <w:t>1.12 ± 0.21</w:t>
            </w:r>
          </w:p>
        </w:tc>
        <w:tc>
          <w:tcPr>
            <w:tcW w:w="1350" w:type="dxa"/>
          </w:tcPr>
          <w:p>
            <w:pPr>
              <w:pStyle w:val="TableParagraph"/>
              <w:spacing w:before="124"/>
              <w:ind w:left="129"/>
              <w:rPr>
                <w:sz w:val="24"/>
              </w:rPr>
            </w:pPr>
            <w:r>
              <w:rPr>
                <w:sz w:val="24"/>
              </w:rPr>
              <w:t>1.34 ± 0.21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112" w:right="157"/>
              <w:jc w:val="center"/>
              <w:rPr>
                <w:sz w:val="24"/>
              </w:rPr>
            </w:pPr>
            <w:r>
              <w:rPr>
                <w:sz w:val="24"/>
              </w:rPr>
              <w:t>2.35±0.03</w:t>
            </w:r>
          </w:p>
        </w:tc>
      </w:tr>
      <w:tr>
        <w:trPr>
          <w:trHeight w:val="409" w:hRule="atLeast"/>
        </w:trPr>
        <w:tc>
          <w:tcPr>
            <w:tcW w:w="1624" w:type="dxa"/>
          </w:tcPr>
          <w:p>
            <w:pPr>
              <w:pStyle w:val="TableParagraph"/>
              <w:spacing w:line="264" w:lineRule="exact" w:before="125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(1000)</w:t>
            </w:r>
          </w:p>
        </w:tc>
        <w:tc>
          <w:tcPr>
            <w:tcW w:w="1450" w:type="dxa"/>
          </w:tcPr>
          <w:p>
            <w:pPr>
              <w:pStyle w:val="TableParagraph"/>
              <w:spacing w:line="264" w:lineRule="exact" w:before="125"/>
              <w:ind w:left="123"/>
              <w:rPr>
                <w:sz w:val="24"/>
              </w:rPr>
            </w:pPr>
            <w:r>
              <w:rPr>
                <w:sz w:val="24"/>
              </w:rPr>
              <w:t>0.6 ± 0.05**</w:t>
            </w:r>
          </w:p>
        </w:tc>
        <w:tc>
          <w:tcPr>
            <w:tcW w:w="1334" w:type="dxa"/>
          </w:tcPr>
          <w:p>
            <w:pPr>
              <w:pStyle w:val="TableParagraph"/>
              <w:spacing w:line="264" w:lineRule="exact" w:before="125"/>
              <w:ind w:left="113"/>
              <w:rPr>
                <w:sz w:val="24"/>
              </w:rPr>
            </w:pPr>
            <w:r>
              <w:rPr>
                <w:sz w:val="24"/>
              </w:rPr>
              <w:t>3.71 ± 0.16</w:t>
            </w:r>
          </w:p>
        </w:tc>
        <w:tc>
          <w:tcPr>
            <w:tcW w:w="1350" w:type="dxa"/>
          </w:tcPr>
          <w:p>
            <w:pPr>
              <w:pStyle w:val="TableParagraph"/>
              <w:spacing w:line="264" w:lineRule="exact" w:before="125"/>
              <w:ind w:left="128"/>
              <w:rPr>
                <w:sz w:val="24"/>
              </w:rPr>
            </w:pPr>
            <w:r>
              <w:rPr>
                <w:sz w:val="24"/>
              </w:rPr>
              <w:t>0.29 ± 0.01</w:t>
            </w:r>
          </w:p>
        </w:tc>
        <w:tc>
          <w:tcPr>
            <w:tcW w:w="1350" w:type="dxa"/>
          </w:tcPr>
          <w:p>
            <w:pPr>
              <w:pStyle w:val="TableParagraph"/>
              <w:spacing w:line="264" w:lineRule="exact" w:before="125"/>
              <w:ind w:left="130"/>
              <w:rPr>
                <w:sz w:val="24"/>
              </w:rPr>
            </w:pPr>
            <w:r>
              <w:rPr>
                <w:sz w:val="24"/>
              </w:rPr>
              <w:t>0.78 ± 0.06</w:t>
            </w:r>
          </w:p>
        </w:tc>
        <w:tc>
          <w:tcPr>
            <w:tcW w:w="1350" w:type="dxa"/>
          </w:tcPr>
          <w:p>
            <w:pPr>
              <w:pStyle w:val="TableParagraph"/>
              <w:spacing w:line="264" w:lineRule="exact" w:before="125"/>
              <w:ind w:left="129"/>
              <w:rPr>
                <w:sz w:val="24"/>
              </w:rPr>
            </w:pPr>
            <w:r>
              <w:rPr>
                <w:sz w:val="24"/>
              </w:rPr>
              <w:t>1.42 ± 0.17</w:t>
            </w:r>
          </w:p>
        </w:tc>
        <w:tc>
          <w:tcPr>
            <w:tcW w:w="1281" w:type="dxa"/>
          </w:tcPr>
          <w:p>
            <w:pPr>
              <w:pStyle w:val="TableParagraph"/>
              <w:spacing w:line="264" w:lineRule="exact" w:before="125"/>
              <w:ind w:left="112" w:right="157"/>
              <w:jc w:val="center"/>
              <w:rPr>
                <w:sz w:val="24"/>
              </w:rPr>
            </w:pPr>
            <w:r>
              <w:rPr>
                <w:sz w:val="24"/>
              </w:rPr>
              <w:t>2.31±0.02</w:t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pict>
          <v:rect style="position:absolute;margin-left:93.144005pt;margin-top:13.749009pt;width:487.756023pt;height:.48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85" w:right="957"/>
        <w:jc w:val="both"/>
      </w:pPr>
      <w:r>
        <w:rPr/>
        <w:t>Data are presented as Mean ± SEM; </w:t>
      </w:r>
      <w:r>
        <w:rPr>
          <w:i/>
        </w:rPr>
        <w:t>* p</w:t>
      </w:r>
      <w:r>
        <w:rPr/>
        <w:t>≤0.05 and ** </w:t>
      </w:r>
      <w:r>
        <w:rPr>
          <w:i/>
        </w:rPr>
        <w:t>p</w:t>
      </w:r>
      <w:r>
        <w:rPr/>
        <w:t>≤0.01 compared to control group</w:t>
      </w:r>
      <w:r>
        <w:rPr>
          <w:spacing w:val="1"/>
        </w:rPr>
        <w:t> </w:t>
      </w:r>
      <w:r>
        <w:rPr/>
        <w:t>(One way ANOVA followed by Dunnet’s Post Hoc test), DW= distilled water, MECH=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 of</w:t>
      </w:r>
      <w:r>
        <w:rPr>
          <w:spacing w:val="3"/>
        </w:rPr>
        <w:t> </w:t>
      </w:r>
      <w:r>
        <w:rPr>
          <w:i/>
        </w:rPr>
        <w:t>C. hypopilinum</w:t>
      </w:r>
      <w:r>
        <w:rPr/>
        <w:t>, n=3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line="360" w:lineRule="auto" w:before="77" w:after="7"/>
        <w:ind w:right="1149"/>
        <w:jc w:val="left"/>
      </w:pPr>
      <w:r>
        <w:rPr/>
        <w:t>Appendix 12: Effect of 28 Days Daily Oral Administration of Methanol Leaf Extract</w:t>
      </w:r>
      <w:r>
        <w:rPr>
          <w:spacing w:val="-57"/>
        </w:rPr>
        <w:t> </w:t>
      </w:r>
      <w:r>
        <w:rPr/>
        <w:t>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3"/>
        </w:rPr>
        <w:t> </w:t>
      </w:r>
      <w:r>
        <w:rPr/>
        <w:t>on</w:t>
      </w:r>
      <w:r>
        <w:rPr>
          <w:spacing w:val="-1"/>
        </w:rPr>
        <w:t> </w:t>
      </w:r>
      <w:r>
        <w:rPr/>
        <w:t>Lipid</w:t>
      </w:r>
      <w:r>
        <w:rPr>
          <w:spacing w:val="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 Rats</w:t>
      </w: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4"/>
        <w:gridCol w:w="1810"/>
        <w:gridCol w:w="1981"/>
        <w:gridCol w:w="2131"/>
        <w:gridCol w:w="1986"/>
      </w:tblGrid>
      <w:tr>
        <w:trPr>
          <w:trHeight w:val="551" w:hRule="atLeast"/>
        </w:trPr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  <w:p>
            <w:pPr>
              <w:pStyle w:val="TableParagraph"/>
              <w:spacing w:line="264" w:lineRule="exact" w:before="0"/>
              <w:rPr>
                <w:sz w:val="24"/>
              </w:rPr>
            </w:pPr>
            <w:r>
              <w:rPr>
                <w:sz w:val="24"/>
              </w:rPr>
              <w:t>(mg/kg)</w:t>
            </w:r>
          </w:p>
        </w:tc>
        <w:tc>
          <w:tcPr>
            <w:tcW w:w="18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4" w:right="155"/>
              <w:jc w:val="center"/>
              <w:rPr>
                <w:sz w:val="24"/>
              </w:rPr>
            </w:pPr>
            <w:r>
              <w:rPr>
                <w:sz w:val="24"/>
              </w:rPr>
              <w:t>CHOL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73"/>
              <w:rPr>
                <w:sz w:val="24"/>
              </w:rPr>
            </w:pPr>
            <w:r>
              <w:rPr>
                <w:sz w:val="24"/>
              </w:rPr>
              <w:t>TRIG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  <w:tc>
          <w:tcPr>
            <w:tcW w:w="2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53"/>
              <w:rPr>
                <w:sz w:val="24"/>
              </w:rPr>
            </w:pPr>
            <w:r>
              <w:rPr>
                <w:sz w:val="24"/>
              </w:rPr>
              <w:t>LDL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  <w:tc>
          <w:tcPr>
            <w:tcW w:w="1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2"/>
              <w:rPr>
                <w:sz w:val="24"/>
              </w:rPr>
            </w:pPr>
            <w:r>
              <w:rPr>
                <w:sz w:val="24"/>
              </w:rPr>
              <w:t>HDL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(mg/dl)</w:t>
            </w:r>
          </w:p>
        </w:tc>
      </w:tr>
      <w:tr>
        <w:trPr>
          <w:trHeight w:val="410" w:hRule="atLeast"/>
        </w:trPr>
        <w:tc>
          <w:tcPr>
            <w:tcW w:w="1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89" w:right="256"/>
              <w:jc w:val="center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ml/kg)</w:t>
            </w:r>
          </w:p>
        </w:tc>
        <w:tc>
          <w:tcPr>
            <w:tcW w:w="1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134.87 ± 11.19</w:t>
            </w:r>
          </w:p>
        </w:tc>
        <w:tc>
          <w:tcPr>
            <w:tcW w:w="1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73"/>
              <w:rPr>
                <w:sz w:val="24"/>
              </w:rPr>
            </w:pPr>
            <w:r>
              <w:rPr>
                <w:sz w:val="24"/>
              </w:rPr>
              <w:t>95.70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7.49</w:t>
            </w:r>
          </w:p>
        </w:tc>
        <w:tc>
          <w:tcPr>
            <w:tcW w:w="2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53"/>
              <w:rPr>
                <w:sz w:val="24"/>
              </w:rPr>
            </w:pPr>
            <w:r>
              <w:rPr>
                <w:sz w:val="24"/>
              </w:rPr>
              <w:t>64.75 ± 10.05</w:t>
            </w:r>
          </w:p>
        </w:tc>
        <w:tc>
          <w:tcPr>
            <w:tcW w:w="1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2"/>
              <w:rPr>
                <w:sz w:val="24"/>
              </w:rPr>
            </w:pPr>
            <w:r>
              <w:rPr>
                <w:sz w:val="24"/>
              </w:rPr>
              <w:t>51.05 ± 14.16</w:t>
            </w:r>
          </w:p>
        </w:tc>
      </w:tr>
      <w:tr>
        <w:trPr>
          <w:trHeight w:val="551" w:hRule="atLeast"/>
        </w:trPr>
        <w:tc>
          <w:tcPr>
            <w:tcW w:w="1744" w:type="dxa"/>
          </w:tcPr>
          <w:p>
            <w:pPr>
              <w:pStyle w:val="TableParagraph"/>
              <w:ind w:left="3" w:right="256"/>
              <w:jc w:val="center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(250)</w:t>
            </w:r>
          </w:p>
        </w:tc>
        <w:tc>
          <w:tcPr>
            <w:tcW w:w="1810" w:type="dxa"/>
          </w:tcPr>
          <w:p>
            <w:pPr>
              <w:pStyle w:val="TableParagraph"/>
              <w:ind w:left="163" w:right="332"/>
              <w:jc w:val="center"/>
              <w:rPr>
                <w:sz w:val="24"/>
              </w:rPr>
            </w:pPr>
            <w:r>
              <w:rPr>
                <w:sz w:val="24"/>
              </w:rPr>
              <w:t>94.88 ±14.32</w:t>
            </w:r>
          </w:p>
        </w:tc>
        <w:tc>
          <w:tcPr>
            <w:tcW w:w="1981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110.45 ± 12.26</w:t>
            </w:r>
          </w:p>
        </w:tc>
        <w:tc>
          <w:tcPr>
            <w:tcW w:w="2131" w:type="dxa"/>
          </w:tcPr>
          <w:p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23.70 ± 5.31**</w:t>
            </w:r>
          </w:p>
        </w:tc>
        <w:tc>
          <w:tcPr>
            <w:tcW w:w="1986" w:type="dxa"/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49.10 ± 15.21</w:t>
            </w:r>
          </w:p>
        </w:tc>
      </w:tr>
      <w:tr>
        <w:trPr>
          <w:trHeight w:val="552" w:hRule="atLeast"/>
        </w:trPr>
        <w:tc>
          <w:tcPr>
            <w:tcW w:w="1744" w:type="dxa"/>
          </w:tcPr>
          <w:p>
            <w:pPr>
              <w:pStyle w:val="TableParagraph"/>
              <w:ind w:left="3" w:right="256"/>
              <w:jc w:val="center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(500)</w:t>
            </w:r>
          </w:p>
        </w:tc>
        <w:tc>
          <w:tcPr>
            <w:tcW w:w="1810" w:type="dxa"/>
          </w:tcPr>
          <w:p>
            <w:pPr>
              <w:pStyle w:val="TableParagraph"/>
              <w:ind w:left="104" w:right="155"/>
              <w:jc w:val="center"/>
              <w:rPr>
                <w:sz w:val="24"/>
              </w:rPr>
            </w:pPr>
            <w:r>
              <w:rPr>
                <w:sz w:val="24"/>
              </w:rPr>
              <w:t>98.45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18.33</w:t>
            </w:r>
          </w:p>
        </w:tc>
        <w:tc>
          <w:tcPr>
            <w:tcW w:w="1981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105.97 ± 9.28</w:t>
            </w:r>
          </w:p>
        </w:tc>
        <w:tc>
          <w:tcPr>
            <w:tcW w:w="2131" w:type="dxa"/>
          </w:tcPr>
          <w:p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20.53 ± 3.10***</w:t>
            </w:r>
          </w:p>
        </w:tc>
        <w:tc>
          <w:tcPr>
            <w:tcW w:w="1986" w:type="dxa"/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56.55 ± 14.54</w:t>
            </w:r>
          </w:p>
        </w:tc>
      </w:tr>
      <w:tr>
        <w:trPr>
          <w:trHeight w:val="408" w:hRule="atLeast"/>
        </w:trPr>
        <w:tc>
          <w:tcPr>
            <w:tcW w:w="1744" w:type="dxa"/>
          </w:tcPr>
          <w:p>
            <w:pPr>
              <w:pStyle w:val="TableParagraph"/>
              <w:spacing w:line="256" w:lineRule="exact"/>
              <w:ind w:left="89" w:right="162"/>
              <w:jc w:val="center"/>
              <w:rPr>
                <w:sz w:val="24"/>
              </w:rPr>
            </w:pPr>
            <w:r>
              <w:rPr>
                <w:sz w:val="24"/>
              </w:rPr>
              <w:t>MECH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(1,000)</w:t>
            </w:r>
          </w:p>
        </w:tc>
        <w:tc>
          <w:tcPr>
            <w:tcW w:w="1810" w:type="dxa"/>
          </w:tcPr>
          <w:p>
            <w:pPr>
              <w:pStyle w:val="TableParagraph"/>
              <w:spacing w:line="256" w:lineRule="exact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132.13 ± 13.77</w:t>
            </w:r>
          </w:p>
        </w:tc>
        <w:tc>
          <w:tcPr>
            <w:tcW w:w="1981" w:type="dxa"/>
          </w:tcPr>
          <w:p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133.28 ± 21.14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38.38 ± 4.17*</w:t>
            </w:r>
          </w:p>
        </w:tc>
        <w:tc>
          <w:tcPr>
            <w:tcW w:w="1986" w:type="dxa"/>
          </w:tcPr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67.07 ± 10.91</w:t>
            </w:r>
          </w:p>
        </w:tc>
      </w:tr>
    </w:tbl>
    <w:p>
      <w:pPr>
        <w:pStyle w:val="BodyText"/>
        <w:spacing w:before="4"/>
        <w:rPr>
          <w:b/>
          <w:sz w:val="21"/>
        </w:rPr>
      </w:pPr>
      <w:r>
        <w:rPr/>
        <w:pict>
          <v:rect style="position:absolute;margin-left:93.144005pt;margin-top:14.223948pt;width:483.196023pt;height:.48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85" w:right="957"/>
        <w:jc w:val="both"/>
      </w:pPr>
      <w:r>
        <w:rPr/>
        <w:t>Data are presented as Mean ± SEM; </w:t>
      </w:r>
      <w:r>
        <w:rPr>
          <w:i/>
        </w:rPr>
        <w:t>* p</w:t>
      </w:r>
      <w:r>
        <w:rPr/>
        <w:t>≤0.05, ** </w:t>
      </w:r>
      <w:r>
        <w:rPr>
          <w:i/>
        </w:rPr>
        <w:t>p</w:t>
      </w:r>
      <w:r>
        <w:rPr/>
        <w:t>≤0.01 and *** </w:t>
      </w:r>
      <w:r>
        <w:rPr>
          <w:i/>
        </w:rPr>
        <w:t>p</w:t>
      </w:r>
      <w:r>
        <w:rPr/>
        <w:t>≤0.001 compared to</w:t>
      </w:r>
      <w:r>
        <w:rPr>
          <w:spacing w:val="1"/>
        </w:rPr>
        <w:t> </w:t>
      </w:r>
      <w:r>
        <w:rPr/>
        <w:t>control group (One way ANOVA followed by Dunnet’s Post Hoc test), DW= distilled</w:t>
      </w:r>
      <w:r>
        <w:rPr>
          <w:spacing w:val="1"/>
        </w:rPr>
        <w:t> </w:t>
      </w:r>
      <w:r>
        <w:rPr/>
        <w:t>water, MECH= Methanol leaf extract of </w:t>
      </w:r>
      <w:r>
        <w:rPr>
          <w:i/>
        </w:rPr>
        <w:t>C. hypopilinum</w:t>
      </w:r>
      <w:r>
        <w:rPr/>
        <w:t>, LDL= Low Density Lipoprotein,</w:t>
      </w:r>
      <w:r>
        <w:rPr>
          <w:spacing w:val="1"/>
        </w:rPr>
        <w:t> </w:t>
      </w:r>
      <w:r>
        <w:rPr/>
        <w:t>HDL=</w:t>
      </w:r>
      <w:r>
        <w:rPr>
          <w:spacing w:val="-2"/>
        </w:rPr>
        <w:t> </w:t>
      </w:r>
      <w:r>
        <w:rPr/>
        <w:t>High Density</w:t>
      </w:r>
      <w:r>
        <w:rPr>
          <w:spacing w:val="-3"/>
        </w:rPr>
        <w:t> </w:t>
      </w:r>
      <w:r>
        <w:rPr/>
        <w:t>Lipoprotein,</w:t>
      </w:r>
      <w:r>
        <w:rPr>
          <w:spacing w:val="2"/>
        </w:rPr>
        <w:t> </w:t>
      </w:r>
      <w:r>
        <w:rPr/>
        <w:t>n=6</w:t>
      </w:r>
    </w:p>
    <w:p>
      <w:pPr>
        <w:spacing w:after="0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Heading1"/>
        <w:spacing w:before="75"/>
      </w:pPr>
      <w:r>
        <w:rPr/>
        <w:t>Appendix</w:t>
      </w:r>
      <w:r>
        <w:rPr>
          <w:spacing w:val="-2"/>
        </w:rPr>
        <w:t> </w:t>
      </w:r>
      <w:r>
        <w:rPr/>
        <w:t>13:</w:t>
      </w:r>
      <w:r>
        <w:rPr>
          <w:spacing w:val="-1"/>
        </w:rPr>
        <w:t> </w:t>
      </w:r>
      <w:r>
        <w:rPr/>
        <w:t>Journal</w:t>
      </w:r>
      <w:r>
        <w:rPr>
          <w:spacing w:val="-3"/>
        </w:rPr>
        <w:t> </w:t>
      </w:r>
      <w:r>
        <w:rPr/>
        <w:t>publications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3524" w:val="left" w:leader="none"/>
          <w:tab w:pos="5065" w:val="left" w:leader="none"/>
          <w:tab w:pos="8441" w:val="left" w:leader="none"/>
        </w:tabs>
        <w:ind w:left="385" w:right="953"/>
        <w:jc w:val="both"/>
      </w:pPr>
      <w:r>
        <w:rPr/>
        <w:t>Ahmad, M. H., Zezi, A. U., Anafi, S. B., Alhassan, Z., Mohammed, M., and Danraka, R. N.</w:t>
      </w:r>
      <w:r>
        <w:rPr>
          <w:spacing w:val="-57"/>
        </w:rPr>
        <w:t> </w:t>
      </w:r>
      <w:r>
        <w:rPr/>
        <w:t>(2020). Mechanisms of Antidiarrhoeal Activity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Diels (Combretaceae): Involvement of Opioidergic and (α1 and β)-Adrenergic</w:t>
      </w:r>
      <w:r>
        <w:rPr>
          <w:spacing w:val="-57"/>
        </w:rPr>
        <w:t> </w:t>
      </w:r>
      <w:r>
        <w:rPr/>
        <w:t>Pathways.</w:t>
      </w:r>
      <w:r>
        <w:rPr>
          <w:spacing w:val="1"/>
        </w:rPr>
        <w:t> </w:t>
      </w:r>
      <w:r>
        <w:rPr>
          <w:i/>
        </w:rPr>
        <w:t>Journal</w:t>
        <w:tab/>
        <w:t>of</w:t>
        <w:tab/>
        <w:t>Ethnopharmacology,</w:t>
        <w:tab/>
      </w:r>
      <w:r>
        <w:rPr>
          <w:spacing w:val="-1"/>
        </w:rPr>
        <w:t>113750.</w:t>
      </w:r>
    </w:p>
    <w:p>
      <w:pPr>
        <w:pStyle w:val="BodyText"/>
        <w:ind w:left="385"/>
      </w:pPr>
      <w:hyperlink r:id="rId232">
        <w:r>
          <w:rPr>
            <w:color w:val="0000FF"/>
            <w:u w:val="single" w:color="0000FF"/>
          </w:rPr>
          <w:t>https://doi.org/10.1016/j.jep.2020.113750</w:t>
        </w:r>
      </w:hyperlink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76" w:lineRule="auto" w:before="90"/>
        <w:ind w:left="385" w:right="953"/>
        <w:jc w:val="both"/>
      </w:pPr>
      <w:r>
        <w:rPr/>
        <w:t>Ahmad, M. H., Zezi, A. U., Anafi, S. B., Alhassan, Z., Mohammed, M., and Danraka, R. N.</w:t>
      </w:r>
      <w:r>
        <w:rPr>
          <w:spacing w:val="-57"/>
        </w:rPr>
        <w:t> </w:t>
      </w:r>
      <w:r>
        <w:rPr/>
        <w:t>(2021). Data on the Mechanisms of Antidiarrhoeal Activity of Methanol Leaf Extract of</w:t>
      </w:r>
      <w:r>
        <w:rPr>
          <w:spacing w:val="1"/>
        </w:rPr>
        <w:t> </w:t>
      </w:r>
      <w:r>
        <w:rPr>
          <w:i/>
        </w:rPr>
        <w:t>Combretum hypopilinum </w:t>
      </w:r>
      <w:r>
        <w:rPr/>
        <w:t>Diels (Combretaceae): Involvement of Opioidergic and (α1 and</w:t>
      </w:r>
      <w:r>
        <w:rPr>
          <w:spacing w:val="1"/>
        </w:rPr>
        <w:t> </w:t>
      </w:r>
      <w:r>
        <w:rPr/>
        <w:t>β)-Adrenergic</w:t>
      </w:r>
      <w:r>
        <w:rPr>
          <w:spacing w:val="-2"/>
        </w:rPr>
        <w:t> </w:t>
      </w:r>
      <w:r>
        <w:rPr/>
        <w:t>Pathways.</w:t>
      </w:r>
      <w:r>
        <w:rPr>
          <w:spacing w:val="2"/>
        </w:rPr>
        <w:t> </w:t>
      </w:r>
      <w:r>
        <w:rPr>
          <w:i/>
        </w:rPr>
        <w:t>Data</w:t>
      </w:r>
      <w:r>
        <w:rPr>
          <w:i/>
          <w:spacing w:val="-2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Brief.</w:t>
      </w:r>
      <w:r>
        <w:rPr>
          <w:i/>
          <w:spacing w:val="-2"/>
        </w:rPr>
        <w:t> </w:t>
      </w:r>
      <w:r>
        <w:rPr/>
        <w:t>107155.</w:t>
      </w:r>
      <w:r>
        <w:rPr>
          <w:spacing w:val="-2"/>
        </w:rPr>
        <w:t> </w:t>
      </w:r>
      <w:hyperlink r:id="rId233">
        <w:r>
          <w:rPr>
            <w:color w:val="0C7CBA"/>
            <w:u w:val="single" w:color="0C7CBA"/>
          </w:rPr>
          <w:t>https://doi.org/10.1016/j.dib.2021.107155</w:t>
        </w:r>
      </w:hyperlink>
    </w:p>
    <w:p>
      <w:pPr>
        <w:pStyle w:val="BodyText"/>
        <w:spacing w:line="276" w:lineRule="auto" w:before="199"/>
        <w:ind w:left="385" w:right="952"/>
        <w:jc w:val="both"/>
      </w:pPr>
      <w:r>
        <w:rPr/>
        <w:t>Ahmad, M. H., Zezi, A. U., Anafi, S. B., Mohammed, M., Danraka, R. N., and Alhassan, Z.</w:t>
      </w:r>
      <w:r>
        <w:rPr>
          <w:spacing w:val="-57"/>
        </w:rPr>
        <w:t> </w:t>
      </w:r>
      <w:r>
        <w:rPr/>
        <w:t>(2020).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 </w:t>
      </w:r>
      <w:r>
        <w:rPr/>
        <w:t>Diels (Combretaceae) leaves in mice. </w:t>
      </w:r>
      <w:r>
        <w:rPr>
          <w:i/>
        </w:rPr>
        <w:t>Advance Pharmaceutical Journal</w:t>
      </w:r>
      <w:r>
        <w:rPr/>
        <w:t>, (5)2:</w:t>
      </w:r>
      <w:r>
        <w:rPr>
          <w:spacing w:val="1"/>
        </w:rPr>
        <w:t> </w:t>
      </w:r>
      <w:r>
        <w:rPr/>
        <w:t>54-61.</w:t>
      </w:r>
    </w:p>
    <w:p>
      <w:pPr>
        <w:pStyle w:val="BodyText"/>
        <w:spacing w:line="276" w:lineRule="auto" w:before="200"/>
        <w:ind w:left="385" w:right="952"/>
        <w:jc w:val="both"/>
      </w:pPr>
      <w:r>
        <w:rPr/>
        <w:t>Ahmad, M. H.,</w:t>
      </w:r>
      <w:r>
        <w:rPr>
          <w:spacing w:val="1"/>
        </w:rPr>
        <w:t> </w:t>
      </w:r>
      <w:r>
        <w:rPr/>
        <w:t>Zezi, A. U., Anafi, S. B., Mohammed, M. Acute and</w:t>
      </w:r>
      <w:r>
        <w:rPr>
          <w:spacing w:val="1"/>
        </w:rPr>
        <w:t> </w:t>
      </w:r>
      <w:r>
        <w:rPr/>
        <w:t>Sub-acute Oral</w:t>
      </w:r>
      <w:r>
        <w:rPr>
          <w:spacing w:val="1"/>
        </w:rPr>
        <w:t> </w:t>
      </w:r>
      <w:r>
        <w:rPr/>
        <w:t>Toxicity Assessment of Hydromethanolic Leaves Extract of </w:t>
      </w:r>
      <w:r>
        <w:rPr>
          <w:i/>
        </w:rPr>
        <w:t>Combretum hypopilinum </w:t>
      </w:r>
      <w:r>
        <w:rPr/>
        <w:t>Diels</w:t>
      </w:r>
      <w:r>
        <w:rPr>
          <w:spacing w:val="1"/>
        </w:rPr>
        <w:t> </w:t>
      </w:r>
      <w:r>
        <w:rPr/>
        <w:t>(Combretaceae)</w:t>
      </w:r>
      <w:r>
        <w:rPr>
          <w:spacing w:val="-1"/>
        </w:rPr>
        <w:t> </w:t>
      </w:r>
      <w:r>
        <w:rPr/>
        <w:t>in Wistar</w:t>
      </w:r>
      <w:r>
        <w:rPr>
          <w:spacing w:val="-1"/>
        </w:rPr>
        <w:t> </w:t>
      </w:r>
      <w:r>
        <w:rPr/>
        <w:t>Rats.</w:t>
      </w:r>
      <w:r>
        <w:rPr>
          <w:spacing w:val="2"/>
        </w:rPr>
        <w:t> </w:t>
      </w:r>
      <w:r>
        <w:rPr>
          <w:b/>
        </w:rPr>
        <w:t>Under</w:t>
      </w:r>
      <w:r>
        <w:rPr>
          <w:b/>
          <w:spacing w:val="-1"/>
        </w:rPr>
        <w:t> </w:t>
      </w:r>
      <w:r>
        <w:rPr>
          <w:b/>
        </w:rPr>
        <w:t>review</w:t>
      </w:r>
      <w:r>
        <w:rPr>
          <w:b/>
          <w:spacing w:val="1"/>
        </w:rPr>
        <w:t> </w:t>
      </w:r>
      <w:r>
        <w:rPr/>
        <w:t>in Toxicological research.</w:t>
      </w:r>
    </w:p>
    <w:p>
      <w:pPr>
        <w:spacing w:after="0" w:line="276" w:lineRule="auto"/>
        <w:jc w:val="both"/>
        <w:sectPr>
          <w:pgSz w:w="12240" w:h="15840"/>
          <w:pgMar w:header="0" w:footer="294" w:top="1340" w:bottom="480" w:left="1600" w:right="460"/>
        </w:sectPr>
      </w:pP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90"/>
      </w:pPr>
      <w:r>
        <w:rPr/>
        <w:t>Appendix</w:t>
      </w:r>
      <w:r>
        <w:rPr>
          <w:spacing w:val="-2"/>
        </w:rPr>
        <w:t> </w:t>
      </w:r>
      <w:r>
        <w:rPr/>
        <w:t>14:</w:t>
      </w:r>
      <w:r>
        <w:rPr>
          <w:spacing w:val="-1"/>
        </w:rPr>
        <w:t> </w:t>
      </w:r>
      <w:r>
        <w:rPr/>
        <w:t>Conference</w:t>
      </w:r>
      <w:r>
        <w:rPr>
          <w:spacing w:val="-3"/>
        </w:rPr>
        <w:t> </w:t>
      </w:r>
      <w:r>
        <w:rPr/>
        <w:t>papers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385" w:right="951"/>
        <w:jc w:val="both"/>
      </w:pPr>
      <w:r>
        <w:rPr/>
        <w:t>Ahmad, M. H., Zezi, A. U., Anafi, S. B., Muhammad, S., and Mohammed, M. (2020).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 Antidiarrhoeal</w:t>
      </w:r>
      <w:r>
        <w:rPr>
          <w:spacing w:val="1"/>
        </w:rPr>
        <w:t> </w:t>
      </w:r>
      <w:r>
        <w:rPr/>
        <w:t>Activity 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Combretum</w:t>
      </w:r>
      <w:r>
        <w:rPr>
          <w:i/>
          <w:spacing w:val="60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/>
        <w:t>Diels</w:t>
      </w:r>
      <w:r>
        <w:rPr>
          <w:spacing w:val="1"/>
        </w:rPr>
        <w:t> </w:t>
      </w:r>
      <w:r>
        <w:rPr/>
        <w:t>(Combretaceae)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NAPA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Scientific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Conference: Virtual Edition, University of Nigeria Nsukka, Enugu, Nigeria, 24</w:t>
      </w:r>
      <w:r>
        <w:rPr>
          <w:vertAlign w:val="superscript"/>
        </w:rPr>
        <w:t>th</w:t>
      </w:r>
      <w:r>
        <w:rPr>
          <w:vertAlign w:val="baseline"/>
        </w:rPr>
        <w:t> to 26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August,</w:t>
      </w:r>
      <w:r>
        <w:rPr>
          <w:spacing w:val="-1"/>
          <w:vertAlign w:val="baseline"/>
        </w:rPr>
        <w:t> </w:t>
      </w:r>
      <w:r>
        <w:rPr>
          <w:vertAlign w:val="baseline"/>
        </w:rPr>
        <w:t>2020, Paper presentation. Page, 227.</w:t>
      </w:r>
    </w:p>
    <w:p>
      <w:pPr>
        <w:pStyle w:val="BodyText"/>
        <w:spacing w:line="276" w:lineRule="auto" w:before="201"/>
        <w:ind w:left="385" w:right="958"/>
        <w:jc w:val="both"/>
      </w:pPr>
      <w:r>
        <w:rPr/>
        <w:t>Ahmad, M. H.,</w:t>
      </w:r>
      <w:r>
        <w:rPr>
          <w:spacing w:val="1"/>
        </w:rPr>
        <w:t> </w:t>
      </w:r>
      <w:r>
        <w:rPr/>
        <w:t>Zezi, A. U., Anafi, S. B.</w:t>
      </w:r>
      <w:r>
        <w:rPr>
          <w:spacing w:val="60"/>
        </w:rPr>
        <w:t> </w:t>
      </w:r>
      <w:r>
        <w:rPr/>
        <w:t>(2020). Sub-acute Toxicity Study of Methanol</w:t>
      </w:r>
      <w:r>
        <w:rPr>
          <w:spacing w:val="1"/>
        </w:rPr>
        <w:t> </w:t>
      </w:r>
      <w:r>
        <w:rPr/>
        <w:t>Leaf Extract of </w:t>
      </w:r>
      <w:r>
        <w:rPr>
          <w:i/>
        </w:rPr>
        <w:t>Combretum hypopilinum </w:t>
      </w:r>
      <w:r>
        <w:rPr/>
        <w:t>Diels (Combretaceae) in Rats, presented at 9th</w:t>
      </w:r>
      <w:r>
        <w:rPr>
          <w:spacing w:val="1"/>
        </w:rPr>
        <w:t> </w:t>
      </w:r>
      <w:r>
        <w:rPr/>
        <w:t>International Conference/AGM of West African</w:t>
      </w:r>
      <w:r>
        <w:rPr>
          <w:spacing w:val="1"/>
        </w:rPr>
        <w:t> </w:t>
      </w:r>
      <w:r>
        <w:rPr/>
        <w:t>Society of Toxicology,</w:t>
      </w:r>
      <w:r>
        <w:rPr>
          <w:spacing w:val="60"/>
        </w:rPr>
        <w:t> </w:t>
      </w:r>
      <w:r>
        <w:rPr/>
        <w:t>Lagos, Nigeria,</w:t>
      </w:r>
      <w:r>
        <w:rPr>
          <w:spacing w:val="1"/>
        </w:rPr>
        <w:t> </w:t>
      </w:r>
      <w:r>
        <w:rPr/>
        <w:t>12</w:t>
      </w:r>
      <w:r>
        <w:rPr>
          <w:vertAlign w:val="superscript"/>
        </w:rPr>
        <w:t>th</w:t>
      </w:r>
      <w:r>
        <w:rPr>
          <w:vertAlign w:val="baseline"/>
        </w:rPr>
        <w:t> to 15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February, 2020, Paper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presentation. Page</w:t>
      </w:r>
      <w:r>
        <w:rPr>
          <w:spacing w:val="-1"/>
          <w:vertAlign w:val="baseline"/>
        </w:rPr>
        <w:t> </w:t>
      </w:r>
      <w:r>
        <w:rPr>
          <w:vertAlign w:val="baseline"/>
        </w:rPr>
        <w:t>38</w:t>
      </w:r>
    </w:p>
    <w:p>
      <w:pPr>
        <w:pStyle w:val="BodyText"/>
        <w:spacing w:line="276" w:lineRule="auto" w:before="200"/>
        <w:ind w:left="385" w:right="954"/>
        <w:jc w:val="both"/>
      </w:pPr>
      <w:r>
        <w:rPr/>
        <w:t>Ahmad, M. H., Zezi, A. U., Anafi, S. B., and Mohammed, M. (2021). Elucidation of the</w:t>
      </w:r>
      <w:r>
        <w:rPr>
          <w:spacing w:val="1"/>
        </w:rPr>
        <w:t> </w:t>
      </w:r>
      <w:r>
        <w:rPr/>
        <w:t>Possible Mechanisms of Antidiarrhoeal Activity of Methanol Leaf Extract of </w:t>
      </w:r>
      <w:r>
        <w:rPr>
          <w:i/>
        </w:rPr>
        <w:t>Combretum</w:t>
      </w:r>
      <w:r>
        <w:rPr>
          <w:i/>
          <w:spacing w:val="1"/>
        </w:rPr>
        <w:t> </w:t>
      </w:r>
      <w:r>
        <w:rPr>
          <w:i/>
        </w:rPr>
        <w:t>hypopilinum</w:t>
      </w:r>
      <w:r>
        <w:rPr>
          <w:i/>
          <w:spacing w:val="1"/>
        </w:rPr>
        <w:t> </w:t>
      </w:r>
      <w:r>
        <w:rPr>
          <w:i/>
        </w:rPr>
        <w:t>Diels</w:t>
      </w:r>
      <w:r>
        <w:rPr>
          <w:i/>
          <w:spacing w:val="1"/>
        </w:rPr>
        <w:t> </w:t>
      </w:r>
      <w:r>
        <w:rPr/>
        <w:t>(Combretaceae),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Pharmacy 1st Annual Scientific Conference, 10</w:t>
      </w:r>
      <w:r>
        <w:rPr>
          <w:vertAlign w:val="superscript"/>
        </w:rPr>
        <w:t>th</w:t>
      </w:r>
      <w:r>
        <w:rPr>
          <w:vertAlign w:val="baseline"/>
        </w:rPr>
        <w:t> to 11</w:t>
      </w:r>
      <w:r>
        <w:rPr>
          <w:vertAlign w:val="superscript"/>
        </w:rPr>
        <w:t>th</w:t>
      </w:r>
      <w:r>
        <w:rPr>
          <w:vertAlign w:val="baseline"/>
        </w:rPr>
        <w:t> March, 2021, Paper presentation.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Page</w:t>
      </w:r>
      <w:r>
        <w:rPr>
          <w:spacing w:val="-2"/>
          <w:vertAlign w:val="baseline"/>
        </w:rPr>
        <w:t> </w:t>
      </w:r>
      <w:r>
        <w:rPr>
          <w:vertAlign w:val="baseline"/>
        </w:rPr>
        <w:t>41.</w:t>
      </w:r>
    </w:p>
    <w:sectPr>
      <w:pgSz w:w="12240" w:h="15840"/>
      <w:pgMar w:header="0" w:footer="294" w:top="1500" w:bottom="480" w:left="16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8.570007pt;margin-top:766.280029pt;width:23.4pt;height:13.05pt;mso-position-horizontal-relative:page;mso-position-vertical-relative:page;z-index:-186009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70007pt;margin-top:766.280029pt;width:17.3pt;height:13.05pt;mso-position-horizontal-relative:page;mso-position-vertical-relative:page;z-index:-18600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809998pt;margin-top:766.280029pt;width:22.75pt;height:13.05pt;mso-position-horizontal-relative:page;mso-position-vertical-relative:page;z-index:-185999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6"/>
      <w:numFmt w:val="decimal"/>
      <w:lvlText w:val="%1"/>
      <w:lvlJc w:val="left"/>
      <w:pPr>
        <w:ind w:left="194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4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85" w:hanging="32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10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105" w:hanging="281"/>
        <w:jc w:val="left"/>
      </w:pPr>
      <w:rPr>
        <w:rFonts w:hint="default" w:ascii="Times New Roman" w:hAnsi="Times New Roman" w:eastAsia="Times New Roman" w:cs="Times New Roman"/>
        <w:color w:val="212121"/>
        <w:spacing w:val="-4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7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5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3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2" w:hanging="28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265" w:hanging="5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65" w:hanging="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5" w:hanging="5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6" w:hanging="5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265" w:hanging="60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65" w:hanging="60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5" w:hanging="60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6" w:hanging="6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8" w:hanging="6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6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2" w:hanging="6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4" w:hanging="6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6" w:hanging="60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440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0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925" w:hanging="66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925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5" w:hanging="6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8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8" w:hanging="6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985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8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0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3203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0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8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0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3539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3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0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04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4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894" w:hanging="62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4" w:hanging="62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894" w:hanging="62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w w:val="100"/>
        <w:position w:val="-5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0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0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0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0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62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94" w:hanging="629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894" w:hanging="629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4" w:hanging="62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94" w:hanging="62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4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6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8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1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3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5" w:hanging="62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94" w:hanging="62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4" w:hanging="62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94" w:hanging="62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4" w:hanging="62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4" w:hanging="629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right="234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894" w:hanging="629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894" w:hanging="629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894" w:hanging="629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1"/>
      <w:ind w:left="80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76"/>
      <w:ind w:left="86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85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94" w:hanging="62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www.sciencedirect.com/topics/medicine-and-dentistry/infectious-disease" TargetMode="External"/><Relationship Id="rId8" Type="http://schemas.openxmlformats.org/officeDocument/2006/relationships/hyperlink" Target="https://www.sciencedirect.com/topics/medicine-and-dentistry/geohelminth" TargetMode="External"/><Relationship Id="rId9" Type="http://schemas.openxmlformats.org/officeDocument/2006/relationships/hyperlink" Target="https://www.sciencedirect.com/topics/medicine-and-dentistry/trachoma" TargetMode="External"/><Relationship Id="rId10" Type="http://schemas.openxmlformats.org/officeDocument/2006/relationships/hyperlink" Target="https://www.ncbi.nlm.nih.gov/pmc/articles/PMC4830099/#bibr67-1756283X15625586" TargetMode="External"/><Relationship Id="rId11" Type="http://schemas.openxmlformats.org/officeDocument/2006/relationships/hyperlink" Target="https://www.sciencedirect.com/topics/medicine-and-dentistry/mucosa" TargetMode="External"/><Relationship Id="rId12" Type="http://schemas.openxmlformats.org/officeDocument/2006/relationships/hyperlink" Target="https://www.sciencedirect.com/topics/medicine-and-dentistry/lumen-anatomy" TargetMode="External"/><Relationship Id="rId13" Type="http://schemas.openxmlformats.org/officeDocument/2006/relationships/hyperlink" Target="https://www.sciencedirect.com/topics/medicine-and-dentistry/malnutrition" TargetMode="External"/><Relationship Id="rId14" Type="http://schemas.openxmlformats.org/officeDocument/2006/relationships/hyperlink" Target="https://www.ncbi.nlm.nih.gov/pmc/articles/PMC4830099/#bibr46-1756283X15625586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100" Type="http://schemas.openxmlformats.org/officeDocument/2006/relationships/image" Target="media/image86.png"/><Relationship Id="rId101" Type="http://schemas.openxmlformats.org/officeDocument/2006/relationships/image" Target="media/image87.png"/><Relationship Id="rId102" Type="http://schemas.openxmlformats.org/officeDocument/2006/relationships/image" Target="media/image88.png"/><Relationship Id="rId103" Type="http://schemas.openxmlformats.org/officeDocument/2006/relationships/image" Target="media/image89.png"/><Relationship Id="rId104" Type="http://schemas.openxmlformats.org/officeDocument/2006/relationships/image" Target="media/image90.png"/><Relationship Id="rId105" Type="http://schemas.openxmlformats.org/officeDocument/2006/relationships/image" Target="media/image91.png"/><Relationship Id="rId106" Type="http://schemas.openxmlformats.org/officeDocument/2006/relationships/image" Target="media/image92.pn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image" Target="media/image99.png"/><Relationship Id="rId114" Type="http://schemas.openxmlformats.org/officeDocument/2006/relationships/image" Target="media/image100.png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image" Target="media/image103.png"/><Relationship Id="rId118" Type="http://schemas.openxmlformats.org/officeDocument/2006/relationships/image" Target="media/image104.png"/><Relationship Id="rId119" Type="http://schemas.openxmlformats.org/officeDocument/2006/relationships/image" Target="media/image105.pn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image" Target="media/image112.pn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image" Target="media/image118.png"/><Relationship Id="rId133" Type="http://schemas.openxmlformats.org/officeDocument/2006/relationships/image" Target="media/image119.png"/><Relationship Id="rId134" Type="http://schemas.openxmlformats.org/officeDocument/2006/relationships/image" Target="media/image120.png"/><Relationship Id="rId135" Type="http://schemas.openxmlformats.org/officeDocument/2006/relationships/image" Target="media/image121.png"/><Relationship Id="rId136" Type="http://schemas.openxmlformats.org/officeDocument/2006/relationships/image" Target="media/image122.png"/><Relationship Id="rId137" Type="http://schemas.openxmlformats.org/officeDocument/2006/relationships/image" Target="media/image123.png"/><Relationship Id="rId138" Type="http://schemas.openxmlformats.org/officeDocument/2006/relationships/image" Target="media/image124.png"/><Relationship Id="rId139" Type="http://schemas.openxmlformats.org/officeDocument/2006/relationships/image" Target="media/image125.png"/><Relationship Id="rId140" Type="http://schemas.openxmlformats.org/officeDocument/2006/relationships/image" Target="media/image126.png"/><Relationship Id="rId141" Type="http://schemas.openxmlformats.org/officeDocument/2006/relationships/image" Target="media/image127.png"/><Relationship Id="rId142" Type="http://schemas.openxmlformats.org/officeDocument/2006/relationships/image" Target="media/image128.png"/><Relationship Id="rId143" Type="http://schemas.openxmlformats.org/officeDocument/2006/relationships/image" Target="media/image129.png"/><Relationship Id="rId144" Type="http://schemas.openxmlformats.org/officeDocument/2006/relationships/image" Target="media/image130.png"/><Relationship Id="rId145" Type="http://schemas.openxmlformats.org/officeDocument/2006/relationships/image" Target="media/image131.png"/><Relationship Id="rId146" Type="http://schemas.openxmlformats.org/officeDocument/2006/relationships/image" Target="media/image132.png"/><Relationship Id="rId147" Type="http://schemas.openxmlformats.org/officeDocument/2006/relationships/image" Target="media/image133.png"/><Relationship Id="rId148" Type="http://schemas.openxmlformats.org/officeDocument/2006/relationships/image" Target="media/image134.png"/><Relationship Id="rId149" Type="http://schemas.openxmlformats.org/officeDocument/2006/relationships/image" Target="media/image135.png"/><Relationship Id="rId150" Type="http://schemas.openxmlformats.org/officeDocument/2006/relationships/image" Target="media/image136.png"/><Relationship Id="rId151" Type="http://schemas.openxmlformats.org/officeDocument/2006/relationships/image" Target="media/image137.png"/><Relationship Id="rId152" Type="http://schemas.openxmlformats.org/officeDocument/2006/relationships/image" Target="media/image138.png"/><Relationship Id="rId153" Type="http://schemas.openxmlformats.org/officeDocument/2006/relationships/image" Target="media/image139.png"/><Relationship Id="rId154" Type="http://schemas.openxmlformats.org/officeDocument/2006/relationships/image" Target="media/image140.png"/><Relationship Id="rId155" Type="http://schemas.openxmlformats.org/officeDocument/2006/relationships/image" Target="media/image141.png"/><Relationship Id="rId156" Type="http://schemas.openxmlformats.org/officeDocument/2006/relationships/image" Target="media/image142.png"/><Relationship Id="rId157" Type="http://schemas.openxmlformats.org/officeDocument/2006/relationships/image" Target="media/image143.png"/><Relationship Id="rId158" Type="http://schemas.openxmlformats.org/officeDocument/2006/relationships/image" Target="media/image144.png"/><Relationship Id="rId159" Type="http://schemas.openxmlformats.org/officeDocument/2006/relationships/image" Target="media/image145.png"/><Relationship Id="rId160" Type="http://schemas.openxmlformats.org/officeDocument/2006/relationships/image" Target="media/image146.png"/><Relationship Id="rId161" Type="http://schemas.openxmlformats.org/officeDocument/2006/relationships/image" Target="media/image147.png"/><Relationship Id="rId162" Type="http://schemas.openxmlformats.org/officeDocument/2006/relationships/image" Target="media/image148.png"/><Relationship Id="rId163" Type="http://schemas.openxmlformats.org/officeDocument/2006/relationships/image" Target="media/image149.png"/><Relationship Id="rId164" Type="http://schemas.openxmlformats.org/officeDocument/2006/relationships/image" Target="media/image150.png"/><Relationship Id="rId165" Type="http://schemas.openxmlformats.org/officeDocument/2006/relationships/image" Target="media/image151.png"/><Relationship Id="rId166" Type="http://schemas.openxmlformats.org/officeDocument/2006/relationships/image" Target="media/image152.png"/><Relationship Id="rId167" Type="http://schemas.openxmlformats.org/officeDocument/2006/relationships/image" Target="media/image153.png"/><Relationship Id="rId168" Type="http://schemas.openxmlformats.org/officeDocument/2006/relationships/image" Target="media/image154.png"/><Relationship Id="rId169" Type="http://schemas.openxmlformats.org/officeDocument/2006/relationships/footer" Target="footer3.xml"/><Relationship Id="rId170" Type="http://schemas.openxmlformats.org/officeDocument/2006/relationships/footer" Target="footer4.xml"/><Relationship Id="rId171" Type="http://schemas.openxmlformats.org/officeDocument/2006/relationships/footer" Target="footer5.xml"/><Relationship Id="rId172" Type="http://schemas.openxmlformats.org/officeDocument/2006/relationships/footer" Target="footer6.xml"/><Relationship Id="rId173" Type="http://schemas.openxmlformats.org/officeDocument/2006/relationships/image" Target="media/image155.png"/><Relationship Id="rId174" Type="http://schemas.openxmlformats.org/officeDocument/2006/relationships/image" Target="media/image156.png"/><Relationship Id="rId175" Type="http://schemas.openxmlformats.org/officeDocument/2006/relationships/image" Target="media/image157.png"/><Relationship Id="rId176" Type="http://schemas.openxmlformats.org/officeDocument/2006/relationships/image" Target="media/image158.png"/><Relationship Id="rId177" Type="http://schemas.openxmlformats.org/officeDocument/2006/relationships/image" Target="media/image159.png"/><Relationship Id="rId178" Type="http://schemas.openxmlformats.org/officeDocument/2006/relationships/image" Target="media/image160.png"/><Relationship Id="rId179" Type="http://schemas.openxmlformats.org/officeDocument/2006/relationships/image" Target="media/image161.png"/><Relationship Id="rId180" Type="http://schemas.openxmlformats.org/officeDocument/2006/relationships/image" Target="media/image162.png"/><Relationship Id="rId181" Type="http://schemas.openxmlformats.org/officeDocument/2006/relationships/image" Target="media/image163.png"/><Relationship Id="rId182" Type="http://schemas.openxmlformats.org/officeDocument/2006/relationships/image" Target="media/image164.png"/><Relationship Id="rId183" Type="http://schemas.openxmlformats.org/officeDocument/2006/relationships/image" Target="media/image165.png"/><Relationship Id="rId184" Type="http://schemas.openxmlformats.org/officeDocument/2006/relationships/image" Target="media/image166.png"/><Relationship Id="rId185" Type="http://schemas.openxmlformats.org/officeDocument/2006/relationships/image" Target="media/image167.png"/><Relationship Id="rId186" Type="http://schemas.openxmlformats.org/officeDocument/2006/relationships/image" Target="media/image168.png"/><Relationship Id="rId187" Type="http://schemas.openxmlformats.org/officeDocument/2006/relationships/image" Target="media/image169.png"/><Relationship Id="rId188" Type="http://schemas.openxmlformats.org/officeDocument/2006/relationships/image" Target="media/image170.png"/><Relationship Id="rId189" Type="http://schemas.openxmlformats.org/officeDocument/2006/relationships/image" Target="media/image171.png"/><Relationship Id="rId190" Type="http://schemas.openxmlformats.org/officeDocument/2006/relationships/image" Target="media/image172.png"/><Relationship Id="rId191" Type="http://schemas.openxmlformats.org/officeDocument/2006/relationships/image" Target="media/image173.png"/><Relationship Id="rId192" Type="http://schemas.openxmlformats.org/officeDocument/2006/relationships/image" Target="media/image174.png"/><Relationship Id="rId193" Type="http://schemas.openxmlformats.org/officeDocument/2006/relationships/image" Target="media/image175.png"/><Relationship Id="rId194" Type="http://schemas.openxmlformats.org/officeDocument/2006/relationships/image" Target="media/image176.png"/><Relationship Id="rId195" Type="http://schemas.openxmlformats.org/officeDocument/2006/relationships/image" Target="media/image177.png"/><Relationship Id="rId196" Type="http://schemas.openxmlformats.org/officeDocument/2006/relationships/image" Target="media/image178.png"/><Relationship Id="rId197" Type="http://schemas.openxmlformats.org/officeDocument/2006/relationships/image" Target="media/image179.png"/><Relationship Id="rId198" Type="http://schemas.openxmlformats.org/officeDocument/2006/relationships/image" Target="media/image180.png"/><Relationship Id="rId199" Type="http://schemas.openxmlformats.org/officeDocument/2006/relationships/image" Target="media/image181.png"/><Relationship Id="rId200" Type="http://schemas.openxmlformats.org/officeDocument/2006/relationships/image" Target="media/image182.png"/><Relationship Id="rId201" Type="http://schemas.openxmlformats.org/officeDocument/2006/relationships/image" Target="media/image183.png"/><Relationship Id="rId202" Type="http://schemas.openxmlformats.org/officeDocument/2006/relationships/image" Target="media/image184.png"/><Relationship Id="rId203" Type="http://schemas.openxmlformats.org/officeDocument/2006/relationships/image" Target="media/image185.png"/><Relationship Id="rId204" Type="http://schemas.openxmlformats.org/officeDocument/2006/relationships/image" Target="media/image186.png"/><Relationship Id="rId205" Type="http://schemas.openxmlformats.org/officeDocument/2006/relationships/image" Target="media/image187.png"/><Relationship Id="rId206" Type="http://schemas.openxmlformats.org/officeDocument/2006/relationships/image" Target="media/image188.png"/><Relationship Id="rId207" Type="http://schemas.openxmlformats.org/officeDocument/2006/relationships/image" Target="media/image189.png"/><Relationship Id="rId208" Type="http://schemas.openxmlformats.org/officeDocument/2006/relationships/image" Target="media/image190.png"/><Relationship Id="rId209" Type="http://schemas.openxmlformats.org/officeDocument/2006/relationships/image" Target="media/image191.jpeg"/><Relationship Id="rId210" Type="http://schemas.openxmlformats.org/officeDocument/2006/relationships/image" Target="media/image192.jpeg"/><Relationship Id="rId211" Type="http://schemas.openxmlformats.org/officeDocument/2006/relationships/image" Target="media/image193.png"/><Relationship Id="rId212" Type="http://schemas.openxmlformats.org/officeDocument/2006/relationships/image" Target="media/image194.png"/><Relationship Id="rId213" Type="http://schemas.openxmlformats.org/officeDocument/2006/relationships/image" Target="media/image195.jpeg"/><Relationship Id="rId214" Type="http://schemas.openxmlformats.org/officeDocument/2006/relationships/image" Target="media/image196.jpeg"/><Relationship Id="rId215" Type="http://schemas.openxmlformats.org/officeDocument/2006/relationships/image" Target="media/image197.png"/><Relationship Id="rId216" Type="http://schemas.openxmlformats.org/officeDocument/2006/relationships/image" Target="media/image198.jpeg"/><Relationship Id="rId217" Type="http://schemas.openxmlformats.org/officeDocument/2006/relationships/image" Target="media/image199.jpeg"/><Relationship Id="rId218" Type="http://schemas.openxmlformats.org/officeDocument/2006/relationships/image" Target="media/image200.png"/><Relationship Id="rId219" Type="http://schemas.openxmlformats.org/officeDocument/2006/relationships/image" Target="media/image201.png"/><Relationship Id="rId220" Type="http://schemas.openxmlformats.org/officeDocument/2006/relationships/image" Target="media/image202.png"/><Relationship Id="rId221" Type="http://schemas.openxmlformats.org/officeDocument/2006/relationships/image" Target="media/image203.png"/><Relationship Id="rId222" Type="http://schemas.openxmlformats.org/officeDocument/2006/relationships/image" Target="media/image204.png"/><Relationship Id="rId223" Type="http://schemas.openxmlformats.org/officeDocument/2006/relationships/image" Target="media/image205.png"/><Relationship Id="rId224" Type="http://schemas.openxmlformats.org/officeDocument/2006/relationships/hyperlink" Target="https://doi.org/10.1016/j.jep.2004.12.025" TargetMode="External"/><Relationship Id="rId225" Type="http://schemas.openxmlformats.org/officeDocument/2006/relationships/hyperlink" Target="https://dx.doi.org/10.1542%2Fpeds.2012-3986" TargetMode="External"/><Relationship Id="rId226" Type="http://schemas.openxmlformats.org/officeDocument/2006/relationships/hyperlink" Target="http://dx.doi.org/10.1155/2013/612403" TargetMode="External"/><Relationship Id="rId227" Type="http://schemas.openxmlformats.org/officeDocument/2006/relationships/hyperlink" Target="https://doi.org/10.1016/0378-8741(82)90070-8" TargetMode="External"/><Relationship Id="rId228" Type="http://schemas.openxmlformats.org/officeDocument/2006/relationships/hyperlink" Target="https://doi.org/10.1046/j.1365-2036.2001.01114.x" TargetMode="External"/><Relationship Id="rId229" Type="http://schemas.openxmlformats.org/officeDocument/2006/relationships/hyperlink" Target="https://dx.doi.org/10.1016%2Fj.cgh.2013.12.001" TargetMode="External"/><Relationship Id="rId230" Type="http://schemas.openxmlformats.org/officeDocument/2006/relationships/hyperlink" Target="https://doi.org/10.1016/j.jep.2015.03.066" TargetMode="External"/><Relationship Id="rId231" Type="http://schemas.openxmlformats.org/officeDocument/2006/relationships/hyperlink" Target="http://dx.doi.org/10.1155/2013/182064" TargetMode="External"/><Relationship Id="rId232" Type="http://schemas.openxmlformats.org/officeDocument/2006/relationships/hyperlink" Target="https://doi.org/10.1016/j.jep.2020.113750" TargetMode="External"/><Relationship Id="rId233" Type="http://schemas.openxmlformats.org/officeDocument/2006/relationships/hyperlink" Target="https://doi.org/10.1016/j.dib.2021.107155" TargetMode="External"/><Relationship Id="rId2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2023-11-02T21:25:51Z</dcterms:created>
  <dcterms:modified xsi:type="dcterms:W3CDTF">2023-11-02T21:25:51Z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2023-11-02T00:00:00Z</vt:filetime>
  </property>
</Properties>
</file>